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1DE4" w14:textId="77777777" w:rsidR="00581B9F" w:rsidRPr="00C26F6B" w:rsidRDefault="00581B9F" w:rsidP="00581B9F">
      <w:pPr>
        <w:pStyle w:val="NormalBold"/>
        <w:jc w:val="center"/>
        <w:rPr>
          <w:rFonts w:ascii="Times New Roman" w:hAnsi="Times New Roman" w:cs="Times New Roman"/>
          <w:sz w:val="28"/>
          <w:szCs w:val="28"/>
        </w:rPr>
      </w:pPr>
      <w:bookmarkStart w:id="0" w:name="_GoBack"/>
      <w:bookmarkEnd w:id="0"/>
      <w:r w:rsidRPr="00C26F6B">
        <w:rPr>
          <w:rFonts w:ascii="Times New Roman" w:hAnsi="Times New Roman" w:cs="Times New Roman"/>
          <w:sz w:val="28"/>
          <w:szCs w:val="28"/>
        </w:rPr>
        <w:t>Explanatory Statement</w:t>
      </w:r>
    </w:p>
    <w:p w14:paraId="4CE79D2D" w14:textId="7BF18635" w:rsidR="00581B9F" w:rsidRPr="00C26F6B" w:rsidRDefault="00581B9F" w:rsidP="00581B9F">
      <w:pPr>
        <w:jc w:val="center"/>
        <w:rPr>
          <w:rFonts w:ascii="Times New Roman" w:hAnsi="Times New Roman"/>
        </w:rPr>
      </w:pPr>
      <w:r w:rsidRPr="00C26F6B">
        <w:rPr>
          <w:rFonts w:ascii="Times New Roman" w:hAnsi="Times New Roman"/>
        </w:rPr>
        <w:t xml:space="preserve">Issued by the Authority of the Minister for Communications, </w:t>
      </w:r>
      <w:r w:rsidR="0045439F">
        <w:rPr>
          <w:rFonts w:ascii="Times New Roman" w:hAnsi="Times New Roman"/>
        </w:rPr>
        <w:br/>
      </w:r>
      <w:r w:rsidRPr="00C26F6B">
        <w:rPr>
          <w:rFonts w:ascii="Times New Roman" w:hAnsi="Times New Roman"/>
        </w:rPr>
        <w:t>Urban Infrastructure, Cities and the Arts</w:t>
      </w:r>
    </w:p>
    <w:p w14:paraId="6C85B005" w14:textId="77777777" w:rsidR="00581B9F" w:rsidRPr="00C26F6B" w:rsidRDefault="00581B9F" w:rsidP="00581B9F">
      <w:pPr>
        <w:jc w:val="center"/>
        <w:rPr>
          <w:rFonts w:ascii="Times New Roman" w:hAnsi="Times New Roman"/>
          <w:i/>
        </w:rPr>
      </w:pPr>
      <w:r w:rsidRPr="00C26F6B">
        <w:rPr>
          <w:rFonts w:ascii="Times New Roman" w:hAnsi="Times New Roman"/>
          <w:i/>
        </w:rPr>
        <w:t>Telecommunications Act 1997</w:t>
      </w:r>
    </w:p>
    <w:p w14:paraId="5FBEA680" w14:textId="77777777" w:rsidR="00581B9F" w:rsidRPr="00C26F6B" w:rsidRDefault="00581B9F" w:rsidP="00581B9F">
      <w:pPr>
        <w:spacing w:before="100" w:beforeAutospacing="1" w:after="100" w:afterAutospacing="1" w:line="300" w:lineRule="atLeast"/>
        <w:jc w:val="center"/>
        <w:rPr>
          <w:rFonts w:ascii="Times New Roman" w:hAnsi="Times New Roman"/>
          <w:b/>
          <w:i/>
        </w:rPr>
      </w:pPr>
      <w:r w:rsidRPr="00C26F6B">
        <w:rPr>
          <w:rFonts w:ascii="Times New Roman" w:hAnsi="Times New Roman"/>
          <w:b/>
          <w:i/>
        </w:rPr>
        <w:t>Telecommunications (Carrier Licence Conditions—Telstra Corporation Limited) Amendment (Regional Service Information) Instrument 2021</w:t>
      </w:r>
    </w:p>
    <w:p w14:paraId="300671EA" w14:textId="77777777" w:rsidR="00581B9F" w:rsidRPr="00C26F6B" w:rsidRDefault="00581B9F" w:rsidP="00581B9F">
      <w:pPr>
        <w:spacing w:before="100" w:beforeAutospacing="1" w:after="100" w:afterAutospacing="1" w:line="276" w:lineRule="auto"/>
        <w:rPr>
          <w:rFonts w:ascii="Times New Roman" w:hAnsi="Times New Roman"/>
          <w:b/>
        </w:rPr>
      </w:pPr>
      <w:r w:rsidRPr="00C26F6B">
        <w:rPr>
          <w:rFonts w:ascii="Times New Roman" w:hAnsi="Times New Roman"/>
          <w:b/>
        </w:rPr>
        <w:t>Authority</w:t>
      </w:r>
    </w:p>
    <w:p w14:paraId="024CE9B1" w14:textId="1CF9FA9F" w:rsidR="00581B9F" w:rsidRPr="00C26F6B" w:rsidRDefault="00581B9F" w:rsidP="00543216">
      <w:pPr>
        <w:spacing w:before="100" w:beforeAutospacing="1" w:after="100" w:afterAutospacing="1"/>
        <w:rPr>
          <w:rFonts w:ascii="Times New Roman" w:hAnsi="Times New Roman"/>
        </w:rPr>
      </w:pPr>
      <w:r w:rsidRPr="00C26F6B">
        <w:rPr>
          <w:rFonts w:ascii="Times New Roman" w:hAnsi="Times New Roman"/>
        </w:rPr>
        <w:t xml:space="preserve">The </w:t>
      </w:r>
      <w:r w:rsidRPr="00C26F6B">
        <w:rPr>
          <w:rFonts w:ascii="Times New Roman" w:hAnsi="Times New Roman"/>
          <w:i/>
        </w:rPr>
        <w:t>Telecommunications (Carrier Licence Conditions—Telstra Corporation Limited) Amendment (Regional Service Information) Instrument 2021</w:t>
      </w:r>
      <w:r w:rsidRPr="00C26F6B">
        <w:rPr>
          <w:rFonts w:ascii="Times New Roman" w:hAnsi="Times New Roman"/>
        </w:rPr>
        <w:t xml:space="preserve"> (the Amendment Instrument) is made under subsection 63(5) of the </w:t>
      </w:r>
      <w:r w:rsidRPr="00C26F6B">
        <w:rPr>
          <w:rFonts w:ascii="Times New Roman" w:hAnsi="Times New Roman"/>
          <w:i/>
        </w:rPr>
        <w:t xml:space="preserve">Telecommunications Act 1997 </w:t>
      </w:r>
      <w:r w:rsidRPr="00C26F6B">
        <w:rPr>
          <w:rFonts w:ascii="Times New Roman" w:hAnsi="Times New Roman"/>
        </w:rPr>
        <w:t xml:space="preserve">(the Act). Subsection 63(5) of the Act confers power on the Minister to vary an instrument made under </w:t>
      </w:r>
      <w:r w:rsidR="000F7EA7">
        <w:rPr>
          <w:rFonts w:ascii="Times New Roman" w:hAnsi="Times New Roman"/>
        </w:rPr>
        <w:t>s</w:t>
      </w:r>
      <w:r w:rsidRPr="00C26F6B">
        <w:rPr>
          <w:rFonts w:ascii="Times New Roman" w:hAnsi="Times New Roman"/>
        </w:rPr>
        <w:t xml:space="preserve">ubsection 63(2) that declares that a particular carrier is subject to specified licence conditions. </w:t>
      </w:r>
    </w:p>
    <w:p w14:paraId="5BADC9F2" w14:textId="77777777" w:rsidR="00581B9F" w:rsidRDefault="00581B9F" w:rsidP="00581B9F">
      <w:pPr>
        <w:rPr>
          <w:rFonts w:ascii="Times New Roman" w:hAnsi="Times New Roman"/>
          <w:b/>
        </w:rPr>
      </w:pPr>
      <w:r w:rsidRPr="00C26F6B">
        <w:rPr>
          <w:rFonts w:ascii="Times New Roman" w:hAnsi="Times New Roman"/>
          <w:b/>
        </w:rPr>
        <w:t>Purpose</w:t>
      </w:r>
    </w:p>
    <w:p w14:paraId="35292DEC" w14:textId="7FF85EBB" w:rsidR="00581B9F" w:rsidRDefault="00581B9F" w:rsidP="00581B9F">
      <w:pPr>
        <w:rPr>
          <w:rFonts w:ascii="Times New Roman" w:hAnsi="Times New Roman"/>
        </w:rPr>
      </w:pPr>
      <w:r w:rsidRPr="00C26F6B">
        <w:rPr>
          <w:rFonts w:ascii="Times New Roman" w:hAnsi="Times New Roman"/>
        </w:rPr>
        <w:t>The Amendment Instrument</w:t>
      </w:r>
      <w:r w:rsidRPr="00C26F6B">
        <w:rPr>
          <w:rFonts w:ascii="Times New Roman" w:hAnsi="Times New Roman"/>
          <w:color w:val="000000"/>
        </w:rPr>
        <w:t xml:space="preserve"> </w:t>
      </w:r>
      <w:r w:rsidR="00CA5A75">
        <w:rPr>
          <w:rFonts w:ascii="Times New Roman" w:hAnsi="Times New Roman"/>
        </w:rPr>
        <w:t>amends</w:t>
      </w:r>
      <w:r w:rsidR="00CA5A75" w:rsidRPr="00C26F6B">
        <w:rPr>
          <w:rFonts w:ascii="Times New Roman" w:hAnsi="Times New Roman"/>
        </w:rPr>
        <w:t xml:space="preserve"> </w:t>
      </w:r>
      <w:r w:rsidRPr="00C26F6B">
        <w:rPr>
          <w:rFonts w:ascii="Times New Roman" w:hAnsi="Times New Roman"/>
        </w:rPr>
        <w:t xml:space="preserve">the </w:t>
      </w:r>
      <w:r w:rsidRPr="00C26F6B">
        <w:rPr>
          <w:rFonts w:ascii="Times New Roman" w:hAnsi="Times New Roman"/>
          <w:i/>
        </w:rPr>
        <w:t xml:space="preserve">Telecommunications (Carrier Licence Conditions—Telstra Corporation Limited) Declaration 2019 </w:t>
      </w:r>
      <w:r w:rsidRPr="00C26F6B">
        <w:rPr>
          <w:rFonts w:ascii="Times New Roman" w:hAnsi="Times New Roman"/>
        </w:rPr>
        <w:t xml:space="preserve">(the Original </w:t>
      </w:r>
      <w:r>
        <w:rPr>
          <w:rFonts w:ascii="Times New Roman" w:hAnsi="Times New Roman"/>
        </w:rPr>
        <w:t>Instrument</w:t>
      </w:r>
      <w:r w:rsidRPr="00C26F6B">
        <w:rPr>
          <w:rFonts w:ascii="Times New Roman" w:hAnsi="Times New Roman"/>
        </w:rPr>
        <w:t xml:space="preserve">) to include </w:t>
      </w:r>
      <w:r>
        <w:rPr>
          <w:rFonts w:ascii="Times New Roman" w:hAnsi="Times New Roman"/>
        </w:rPr>
        <w:t xml:space="preserve">new requirements within Telstra’s carrier licence </w:t>
      </w:r>
      <w:r w:rsidRPr="00C26F6B">
        <w:rPr>
          <w:rFonts w:ascii="Times New Roman" w:hAnsi="Times New Roman"/>
        </w:rPr>
        <w:t>conditions</w:t>
      </w:r>
      <w:r>
        <w:rPr>
          <w:rFonts w:ascii="Times New Roman" w:hAnsi="Times New Roman"/>
        </w:rPr>
        <w:t xml:space="preserve"> (CLCs). </w:t>
      </w:r>
      <w:r w:rsidRPr="00C26F6B">
        <w:rPr>
          <w:rFonts w:ascii="Times New Roman" w:hAnsi="Times New Roman"/>
        </w:rPr>
        <w:t xml:space="preserve">The new </w:t>
      </w:r>
      <w:r>
        <w:rPr>
          <w:rFonts w:ascii="Times New Roman" w:hAnsi="Times New Roman"/>
        </w:rPr>
        <w:t xml:space="preserve">licence conditions </w:t>
      </w:r>
      <w:r w:rsidRPr="00C26F6B">
        <w:rPr>
          <w:rFonts w:ascii="Times New Roman" w:hAnsi="Times New Roman"/>
        </w:rPr>
        <w:t xml:space="preserve">require Telstra to improve its reporting on its delivery of voice services in regional and remote areas of Australia under the Universal Service Guarantee (USG). </w:t>
      </w:r>
    </w:p>
    <w:p w14:paraId="3C93D36B" w14:textId="68A06A2E" w:rsidR="004830C2" w:rsidRDefault="00581B9F" w:rsidP="00581B9F">
      <w:pPr>
        <w:rPr>
          <w:rFonts w:ascii="Times New Roman" w:hAnsi="Times New Roman"/>
        </w:rPr>
      </w:pPr>
      <w:r>
        <w:rPr>
          <w:rFonts w:ascii="Times New Roman" w:hAnsi="Times New Roman"/>
        </w:rPr>
        <w:t xml:space="preserve">The purpose of the Amendment Instrument is to obtain more </w:t>
      </w:r>
      <w:r w:rsidR="0045439F">
        <w:rPr>
          <w:rFonts w:ascii="Times New Roman" w:hAnsi="Times New Roman"/>
        </w:rPr>
        <w:t xml:space="preserve">frequent, localised </w:t>
      </w:r>
      <w:r>
        <w:rPr>
          <w:rFonts w:ascii="Times New Roman" w:hAnsi="Times New Roman"/>
        </w:rPr>
        <w:t xml:space="preserve">and </w:t>
      </w:r>
      <w:r w:rsidR="0045439F">
        <w:rPr>
          <w:rFonts w:ascii="Times New Roman" w:hAnsi="Times New Roman"/>
        </w:rPr>
        <w:t>detailed</w:t>
      </w:r>
      <w:r w:rsidR="0045439F" w:rsidRPr="00F65F2D">
        <w:rPr>
          <w:rFonts w:ascii="Times New Roman" w:hAnsi="Times New Roman"/>
        </w:rPr>
        <w:t xml:space="preserve"> </w:t>
      </w:r>
      <w:r w:rsidRPr="00F65F2D">
        <w:rPr>
          <w:rFonts w:ascii="Times New Roman" w:hAnsi="Times New Roman"/>
        </w:rPr>
        <w:t xml:space="preserve">data that will </w:t>
      </w:r>
      <w:r w:rsidR="0045439F">
        <w:rPr>
          <w:rFonts w:ascii="Times New Roman" w:hAnsi="Times New Roman"/>
        </w:rPr>
        <w:t>provide</w:t>
      </w:r>
      <w:r w:rsidRPr="00F65F2D">
        <w:rPr>
          <w:rFonts w:ascii="Times New Roman" w:hAnsi="Times New Roman"/>
        </w:rPr>
        <w:t xml:space="preserve"> a more </w:t>
      </w:r>
      <w:r w:rsidR="0045439F">
        <w:rPr>
          <w:rFonts w:ascii="Times New Roman" w:hAnsi="Times New Roman"/>
        </w:rPr>
        <w:t>comprehensive understanding</w:t>
      </w:r>
      <w:r w:rsidR="0045439F" w:rsidRPr="00F65F2D">
        <w:rPr>
          <w:rFonts w:ascii="Times New Roman" w:hAnsi="Times New Roman"/>
        </w:rPr>
        <w:t xml:space="preserve"> </w:t>
      </w:r>
      <w:r w:rsidRPr="00F65F2D">
        <w:rPr>
          <w:rFonts w:ascii="Times New Roman" w:hAnsi="Times New Roman"/>
        </w:rPr>
        <w:t xml:space="preserve">of Telstra’s performance </w:t>
      </w:r>
      <w:r w:rsidR="0045439F">
        <w:rPr>
          <w:rFonts w:ascii="Times New Roman" w:hAnsi="Times New Roman"/>
        </w:rPr>
        <w:t xml:space="preserve">in delivering voice services </w:t>
      </w:r>
      <w:r>
        <w:rPr>
          <w:rFonts w:ascii="Times New Roman" w:hAnsi="Times New Roman"/>
        </w:rPr>
        <w:t xml:space="preserve">in </w:t>
      </w:r>
      <w:r w:rsidR="0045439F">
        <w:rPr>
          <w:rFonts w:ascii="Times New Roman" w:hAnsi="Times New Roman"/>
        </w:rPr>
        <w:t xml:space="preserve">rural </w:t>
      </w:r>
      <w:r>
        <w:rPr>
          <w:rFonts w:ascii="Times New Roman" w:hAnsi="Times New Roman"/>
        </w:rPr>
        <w:t>and remote areas. The reporting requirements are focus</w:t>
      </w:r>
      <w:r w:rsidR="00CD5F76">
        <w:rPr>
          <w:rFonts w:ascii="Times New Roman" w:hAnsi="Times New Roman"/>
        </w:rPr>
        <w:t>s</w:t>
      </w:r>
      <w:r>
        <w:rPr>
          <w:rFonts w:ascii="Times New Roman" w:hAnsi="Times New Roman"/>
        </w:rPr>
        <w:t xml:space="preserve">ed on premises outside the NBN fixed-line footprint, where Telstra is still required to provide infrastructure to deliver standard telephone services (STS). </w:t>
      </w:r>
      <w:r w:rsidRPr="00F65F2D">
        <w:rPr>
          <w:rFonts w:ascii="Times New Roman" w:hAnsi="Times New Roman"/>
        </w:rPr>
        <w:t xml:space="preserve">Telstra will </w:t>
      </w:r>
      <w:r>
        <w:rPr>
          <w:rFonts w:ascii="Times New Roman" w:hAnsi="Times New Roman"/>
        </w:rPr>
        <w:t xml:space="preserve">be obliged to </w:t>
      </w:r>
      <w:r w:rsidRPr="00F65F2D">
        <w:rPr>
          <w:rFonts w:ascii="Times New Roman" w:hAnsi="Times New Roman"/>
        </w:rPr>
        <w:t xml:space="preserve">report publicly </w:t>
      </w:r>
      <w:r>
        <w:rPr>
          <w:rFonts w:ascii="Times New Roman" w:hAnsi="Times New Roman"/>
        </w:rPr>
        <w:t>each quarter</w:t>
      </w:r>
      <w:r w:rsidRPr="00F65F2D">
        <w:rPr>
          <w:rFonts w:ascii="Times New Roman" w:hAnsi="Times New Roman"/>
        </w:rPr>
        <w:t xml:space="preserve"> against a number of key indicators, and report even greater information to the Department of Infrastructure, Transport, Regional Development and Communications (the Department) and the A</w:t>
      </w:r>
      <w:r>
        <w:rPr>
          <w:rFonts w:ascii="Times New Roman" w:hAnsi="Times New Roman"/>
        </w:rPr>
        <w:t>ustralian Communications Media Authority (ACMA)</w:t>
      </w:r>
      <w:r w:rsidRPr="00F65F2D">
        <w:rPr>
          <w:rFonts w:ascii="Times New Roman" w:hAnsi="Times New Roman"/>
        </w:rPr>
        <w:t xml:space="preserve">, </w:t>
      </w:r>
      <w:r w:rsidR="008947E5">
        <w:rPr>
          <w:rFonts w:ascii="Times New Roman" w:hAnsi="Times New Roman"/>
        </w:rPr>
        <w:t>as well as providing some</w:t>
      </w:r>
      <w:r w:rsidRPr="00F65F2D">
        <w:rPr>
          <w:rFonts w:ascii="Times New Roman" w:hAnsi="Times New Roman"/>
        </w:rPr>
        <w:t xml:space="preserve"> historical data</w:t>
      </w:r>
      <w:r w:rsidR="008947E5">
        <w:rPr>
          <w:rFonts w:ascii="Times New Roman" w:hAnsi="Times New Roman"/>
        </w:rPr>
        <w:t xml:space="preserve"> as a baseline</w:t>
      </w:r>
      <w:r w:rsidRPr="00F65F2D">
        <w:rPr>
          <w:rFonts w:ascii="Times New Roman" w:hAnsi="Times New Roman"/>
        </w:rPr>
        <w:t>.</w:t>
      </w:r>
      <w:r>
        <w:rPr>
          <w:rFonts w:ascii="Times New Roman" w:hAnsi="Times New Roman"/>
        </w:rPr>
        <w:t xml:space="preserve"> </w:t>
      </w:r>
    </w:p>
    <w:p w14:paraId="57366D6A" w14:textId="3D106693" w:rsidR="00581B9F" w:rsidRDefault="00581B9F" w:rsidP="00543216">
      <w:pPr>
        <w:ind w:right="-144"/>
        <w:rPr>
          <w:rFonts w:ascii="Times New Roman" w:hAnsi="Times New Roman"/>
        </w:rPr>
      </w:pPr>
      <w:r w:rsidRPr="004C7F64">
        <w:rPr>
          <w:rFonts w:ascii="Times New Roman" w:hAnsi="Times New Roman"/>
        </w:rPr>
        <w:t xml:space="preserve">This will allow </w:t>
      </w:r>
      <w:r>
        <w:rPr>
          <w:rFonts w:ascii="Times New Roman" w:hAnsi="Times New Roman"/>
        </w:rPr>
        <w:t xml:space="preserve">the </w:t>
      </w:r>
      <w:r w:rsidRPr="004C7F64">
        <w:rPr>
          <w:rFonts w:ascii="Times New Roman" w:hAnsi="Times New Roman"/>
        </w:rPr>
        <w:t>Government to more effectively monitor Telstra’s performance</w:t>
      </w:r>
      <w:r>
        <w:rPr>
          <w:rFonts w:ascii="Times New Roman" w:hAnsi="Times New Roman"/>
        </w:rPr>
        <w:t xml:space="preserve"> and make </w:t>
      </w:r>
      <w:r w:rsidRPr="004C7F64">
        <w:rPr>
          <w:rFonts w:ascii="Times New Roman" w:hAnsi="Times New Roman"/>
        </w:rPr>
        <w:t>comparisons over time.</w:t>
      </w:r>
      <w:r>
        <w:rPr>
          <w:rFonts w:ascii="Times New Roman" w:hAnsi="Times New Roman"/>
        </w:rPr>
        <w:t xml:space="preserve"> The reporting framework will also provide a detailed evidence</w:t>
      </w:r>
      <w:r w:rsidR="008947E5">
        <w:rPr>
          <w:rFonts w:ascii="Times New Roman" w:hAnsi="Times New Roman"/>
        </w:rPr>
        <w:t xml:space="preserve"> </w:t>
      </w:r>
      <w:r>
        <w:rPr>
          <w:rFonts w:ascii="Times New Roman" w:hAnsi="Times New Roman"/>
        </w:rPr>
        <w:t xml:space="preserve">base of Telstra’s </w:t>
      </w:r>
      <w:r w:rsidR="008947E5">
        <w:rPr>
          <w:rFonts w:ascii="Times New Roman" w:hAnsi="Times New Roman"/>
        </w:rPr>
        <w:t>performance that</w:t>
      </w:r>
      <w:r>
        <w:rPr>
          <w:rFonts w:ascii="Times New Roman" w:hAnsi="Times New Roman"/>
        </w:rPr>
        <w:t xml:space="preserve"> can be used to inform the design of further action, if necessary. In particular, the Amendment Instrument is focu</w:t>
      </w:r>
      <w:r w:rsidR="008947E5">
        <w:rPr>
          <w:rFonts w:ascii="Times New Roman" w:hAnsi="Times New Roman"/>
        </w:rPr>
        <w:t>s</w:t>
      </w:r>
      <w:r>
        <w:rPr>
          <w:rFonts w:ascii="Times New Roman" w:hAnsi="Times New Roman"/>
        </w:rPr>
        <w:t xml:space="preserve">sed on gaining a greater understanding of Telstra’s localised delivery of voice services. By requiring Telstra to report data at a more granular level, the arrangements provide the community with greater transparency and awareness of how Telstra is performing in specific </w:t>
      </w:r>
      <w:r w:rsidR="007A6DAB">
        <w:rPr>
          <w:rFonts w:ascii="Times New Roman" w:hAnsi="Times New Roman"/>
        </w:rPr>
        <w:t>areas in regional and remote Australia.</w:t>
      </w:r>
      <w:r>
        <w:rPr>
          <w:rFonts w:ascii="Times New Roman" w:hAnsi="Times New Roman"/>
        </w:rPr>
        <w:t xml:space="preserve"> The additional data </w:t>
      </w:r>
      <w:r w:rsidR="008947E5">
        <w:rPr>
          <w:rFonts w:ascii="Times New Roman" w:hAnsi="Times New Roman"/>
        </w:rPr>
        <w:t>can also help</w:t>
      </w:r>
      <w:r w:rsidR="00543216">
        <w:rPr>
          <w:rFonts w:ascii="Times New Roman" w:hAnsi="Times New Roman"/>
        </w:rPr>
        <w:t xml:space="preserve"> to</w:t>
      </w:r>
      <w:r w:rsidR="008947E5">
        <w:rPr>
          <w:rFonts w:ascii="Times New Roman" w:hAnsi="Times New Roman"/>
        </w:rPr>
        <w:t xml:space="preserve"> </w:t>
      </w:r>
      <w:r>
        <w:rPr>
          <w:rFonts w:ascii="Times New Roman" w:hAnsi="Times New Roman"/>
        </w:rPr>
        <w:t>identify individual areas of poor performance</w:t>
      </w:r>
      <w:r w:rsidR="008947E5">
        <w:rPr>
          <w:rFonts w:ascii="Times New Roman" w:hAnsi="Times New Roman"/>
        </w:rPr>
        <w:t xml:space="preserve"> that may warrant further attention</w:t>
      </w:r>
      <w:r>
        <w:rPr>
          <w:rFonts w:ascii="Times New Roman" w:hAnsi="Times New Roman"/>
        </w:rPr>
        <w:t xml:space="preserve">, </w:t>
      </w:r>
      <w:r w:rsidR="008947E5">
        <w:rPr>
          <w:rFonts w:ascii="Times New Roman" w:hAnsi="Times New Roman"/>
        </w:rPr>
        <w:t>including</w:t>
      </w:r>
      <w:r>
        <w:rPr>
          <w:rFonts w:ascii="Times New Roman" w:hAnsi="Times New Roman"/>
        </w:rPr>
        <w:t xml:space="preserve"> </w:t>
      </w:r>
      <w:r w:rsidR="007A6DAB">
        <w:rPr>
          <w:rFonts w:ascii="Times New Roman" w:hAnsi="Times New Roman"/>
        </w:rPr>
        <w:t>locations</w:t>
      </w:r>
      <w:r>
        <w:rPr>
          <w:rFonts w:ascii="Times New Roman" w:hAnsi="Times New Roman"/>
        </w:rPr>
        <w:t xml:space="preserve"> </w:t>
      </w:r>
      <w:r w:rsidR="008947E5">
        <w:rPr>
          <w:rFonts w:ascii="Times New Roman" w:hAnsi="Times New Roman"/>
        </w:rPr>
        <w:t>where</w:t>
      </w:r>
      <w:r>
        <w:rPr>
          <w:rFonts w:ascii="Times New Roman" w:hAnsi="Times New Roman"/>
        </w:rPr>
        <w:t xml:space="preserve"> community feedback has raised concerns. </w:t>
      </w:r>
    </w:p>
    <w:p w14:paraId="5E105C04" w14:textId="77777777" w:rsidR="00581B9F" w:rsidRPr="00C26F6B" w:rsidRDefault="00581B9F" w:rsidP="00581B9F">
      <w:pPr>
        <w:rPr>
          <w:rFonts w:ascii="Times New Roman" w:hAnsi="Times New Roman"/>
        </w:rPr>
      </w:pPr>
      <w:r w:rsidRPr="00C26F6B">
        <w:rPr>
          <w:rFonts w:ascii="Times New Roman" w:hAnsi="Times New Roman"/>
        </w:rPr>
        <w:t xml:space="preserve">The Amendment Instrument is a legislative instrument for the purposes of the </w:t>
      </w:r>
      <w:r w:rsidRPr="00C26F6B">
        <w:rPr>
          <w:rFonts w:ascii="Times New Roman" w:hAnsi="Times New Roman"/>
          <w:i/>
        </w:rPr>
        <w:t xml:space="preserve">Legislation Act 2003. </w:t>
      </w:r>
      <w:r w:rsidRPr="00C26F6B">
        <w:rPr>
          <w:rFonts w:ascii="Times New Roman" w:hAnsi="Times New Roman"/>
        </w:rPr>
        <w:t xml:space="preserve">The Amendment Instrument commences the day after it is registered. </w:t>
      </w:r>
    </w:p>
    <w:p w14:paraId="34A6DD7F" w14:textId="77777777" w:rsidR="00581B9F" w:rsidRPr="00C26F6B" w:rsidRDefault="00581B9F" w:rsidP="00581B9F">
      <w:pPr>
        <w:rPr>
          <w:rFonts w:ascii="Times New Roman" w:hAnsi="Times New Roman"/>
          <w:u w:val="single"/>
        </w:rPr>
      </w:pPr>
      <w:r w:rsidRPr="00C26F6B">
        <w:rPr>
          <w:rFonts w:ascii="Times New Roman" w:hAnsi="Times New Roman"/>
        </w:rPr>
        <w:t xml:space="preserve">Details of the Amendment Instrument are set out in </w:t>
      </w:r>
      <w:r w:rsidRPr="00C26F6B">
        <w:rPr>
          <w:rFonts w:ascii="Times New Roman" w:hAnsi="Times New Roman"/>
          <w:u w:val="single"/>
        </w:rPr>
        <w:t xml:space="preserve">Attachment A. </w:t>
      </w:r>
    </w:p>
    <w:p w14:paraId="008C1507" w14:textId="77777777" w:rsidR="00581B9F" w:rsidRPr="00D132B2" w:rsidRDefault="00581B9F" w:rsidP="00581B9F">
      <w:pPr>
        <w:spacing w:before="100" w:beforeAutospacing="1" w:after="100" w:afterAutospacing="1" w:line="276" w:lineRule="auto"/>
        <w:rPr>
          <w:rFonts w:ascii="Times New Roman" w:hAnsi="Times New Roman"/>
          <w:b/>
        </w:rPr>
      </w:pPr>
      <w:r w:rsidRPr="00C26F6B">
        <w:rPr>
          <w:rFonts w:ascii="Times New Roman" w:hAnsi="Times New Roman"/>
          <w:b/>
        </w:rPr>
        <w:lastRenderedPageBreak/>
        <w:t>Background</w:t>
      </w:r>
    </w:p>
    <w:p w14:paraId="190F5063" w14:textId="5D9FADD8" w:rsidR="00581B9F" w:rsidRDefault="00581B9F" w:rsidP="00543216">
      <w:pPr>
        <w:spacing w:before="100" w:beforeAutospacing="1" w:after="100" w:afterAutospacing="1"/>
        <w:rPr>
          <w:rFonts w:ascii="Times New Roman" w:hAnsi="Times New Roman"/>
        </w:rPr>
      </w:pPr>
      <w:r>
        <w:rPr>
          <w:rFonts w:ascii="Times New Roman" w:hAnsi="Times New Roman"/>
        </w:rPr>
        <w:t>In December 2018, t</w:t>
      </w:r>
      <w:r w:rsidRPr="00203C80">
        <w:rPr>
          <w:rFonts w:ascii="Times New Roman" w:hAnsi="Times New Roman"/>
        </w:rPr>
        <w:t xml:space="preserve">he Government confirmed it was introducing a </w:t>
      </w:r>
      <w:r>
        <w:rPr>
          <w:rFonts w:ascii="Times New Roman" w:hAnsi="Times New Roman"/>
        </w:rPr>
        <w:t xml:space="preserve">Universal Service Guarantee (USG) </w:t>
      </w:r>
      <w:r w:rsidRPr="00203C80">
        <w:rPr>
          <w:rFonts w:ascii="Times New Roman" w:hAnsi="Times New Roman"/>
        </w:rPr>
        <w:t xml:space="preserve">for broadband </w:t>
      </w:r>
      <w:r w:rsidR="008947E5">
        <w:rPr>
          <w:rFonts w:ascii="Times New Roman" w:hAnsi="Times New Roman"/>
        </w:rPr>
        <w:t>and</w:t>
      </w:r>
      <w:r w:rsidRPr="00203C80">
        <w:rPr>
          <w:rFonts w:ascii="Times New Roman" w:hAnsi="Times New Roman"/>
        </w:rPr>
        <w:t xml:space="preserve"> voice</w:t>
      </w:r>
      <w:r w:rsidR="008947E5">
        <w:rPr>
          <w:rFonts w:ascii="Times New Roman" w:hAnsi="Times New Roman"/>
        </w:rPr>
        <w:t xml:space="preserve"> services. The broadband component is primarily delivered via</w:t>
      </w:r>
      <w:r>
        <w:rPr>
          <w:rFonts w:ascii="Times New Roman" w:hAnsi="Times New Roman"/>
        </w:rPr>
        <w:t xml:space="preserve"> the National Broadband Network (NBN)</w:t>
      </w:r>
      <w:r w:rsidR="00D84493">
        <w:rPr>
          <w:rFonts w:ascii="Times New Roman" w:hAnsi="Times New Roman"/>
        </w:rPr>
        <w:t>, which must also support voice services on its fixed line and fixed wireless networks. The USG also incorporates the long-standing Universal Service Obligation (USO)</w:t>
      </w:r>
      <w:r w:rsidR="00543216">
        <w:rPr>
          <w:rFonts w:ascii="Times New Roman" w:hAnsi="Times New Roman"/>
        </w:rPr>
        <w:t>,</w:t>
      </w:r>
      <w:r w:rsidR="00D84493">
        <w:rPr>
          <w:rFonts w:ascii="Times New Roman" w:hAnsi="Times New Roman"/>
        </w:rPr>
        <w:t xml:space="preserve"> under which Telstra is required to provide reasonable access to STS upon request nationally. </w:t>
      </w:r>
      <w:r w:rsidR="00543216">
        <w:rPr>
          <w:rFonts w:ascii="Times New Roman" w:hAnsi="Times New Roman"/>
        </w:rPr>
        <w:t>Within</w:t>
      </w:r>
      <w:r w:rsidR="00D84493">
        <w:rPr>
          <w:rFonts w:ascii="Times New Roman" w:hAnsi="Times New Roman"/>
        </w:rPr>
        <w:t xml:space="preserve"> the NBN fixed</w:t>
      </w:r>
      <w:r w:rsidR="001F25A0">
        <w:rPr>
          <w:rFonts w:ascii="Times New Roman" w:hAnsi="Times New Roman"/>
        </w:rPr>
        <w:t>-</w:t>
      </w:r>
      <w:r w:rsidR="00D84493">
        <w:rPr>
          <w:rFonts w:ascii="Times New Roman" w:hAnsi="Times New Roman"/>
        </w:rPr>
        <w:t>line footprint, Telstra generally uses the NBN to provide voice services. Outside this footprint</w:t>
      </w:r>
      <w:r w:rsidR="00D84493" w:rsidRPr="00D84493">
        <w:rPr>
          <w:rFonts w:ascii="Times New Roman" w:hAnsi="Times New Roman"/>
        </w:rPr>
        <w:t xml:space="preserve"> </w:t>
      </w:r>
      <w:r w:rsidR="00D84493">
        <w:rPr>
          <w:rFonts w:ascii="Times New Roman" w:hAnsi="Times New Roman"/>
        </w:rPr>
        <w:t xml:space="preserve">in rural and remote Australia, Telstra </w:t>
      </w:r>
      <w:r>
        <w:rPr>
          <w:rFonts w:ascii="Times New Roman" w:hAnsi="Times New Roman"/>
        </w:rPr>
        <w:t>continue</w:t>
      </w:r>
      <w:r w:rsidR="00D84493">
        <w:rPr>
          <w:rFonts w:ascii="Times New Roman" w:hAnsi="Times New Roman"/>
        </w:rPr>
        <w:t>s</w:t>
      </w:r>
      <w:r>
        <w:rPr>
          <w:rFonts w:ascii="Times New Roman" w:hAnsi="Times New Roman"/>
        </w:rPr>
        <w:t xml:space="preserve"> to use </w:t>
      </w:r>
      <w:r w:rsidR="00543216">
        <w:rPr>
          <w:rFonts w:ascii="Times New Roman" w:hAnsi="Times New Roman"/>
        </w:rPr>
        <w:t xml:space="preserve">its own </w:t>
      </w:r>
      <w:r>
        <w:rPr>
          <w:rFonts w:ascii="Times New Roman" w:hAnsi="Times New Roman"/>
        </w:rPr>
        <w:t xml:space="preserve">existing </w:t>
      </w:r>
      <w:r w:rsidR="00543216">
        <w:rPr>
          <w:rFonts w:ascii="Times New Roman" w:hAnsi="Times New Roman"/>
        </w:rPr>
        <w:t>network</w:t>
      </w:r>
      <w:r>
        <w:rPr>
          <w:rFonts w:ascii="Times New Roman" w:hAnsi="Times New Roman"/>
        </w:rPr>
        <w:t xml:space="preserve">. The Government has stated the USO will remain in place as an important consumer safeguard, particularly for the </w:t>
      </w:r>
      <w:r w:rsidR="00FD68BA">
        <w:rPr>
          <w:rFonts w:ascii="Times New Roman" w:hAnsi="Times New Roman"/>
        </w:rPr>
        <w:t xml:space="preserve">approximately </w:t>
      </w:r>
      <w:r>
        <w:rPr>
          <w:rFonts w:ascii="Times New Roman" w:hAnsi="Times New Roman"/>
        </w:rPr>
        <w:t>8</w:t>
      </w:r>
      <w:r w:rsidR="001F25A0">
        <w:rPr>
          <w:rFonts w:ascii="Times New Roman" w:hAnsi="Times New Roman"/>
        </w:rPr>
        <w:t xml:space="preserve"> per cent</w:t>
      </w:r>
      <w:r>
        <w:rPr>
          <w:rFonts w:ascii="Times New Roman" w:hAnsi="Times New Roman"/>
        </w:rPr>
        <w:t xml:space="preserve"> of premises </w:t>
      </w:r>
      <w:r w:rsidR="00FD68BA">
        <w:rPr>
          <w:rFonts w:ascii="Times New Roman" w:hAnsi="Times New Roman"/>
        </w:rPr>
        <w:t xml:space="preserve">currently </w:t>
      </w:r>
      <w:r>
        <w:rPr>
          <w:rFonts w:ascii="Times New Roman" w:hAnsi="Times New Roman"/>
        </w:rPr>
        <w:t>located outside the NBN fixed</w:t>
      </w:r>
      <w:r w:rsidR="00543216">
        <w:rPr>
          <w:rFonts w:ascii="Times New Roman" w:hAnsi="Times New Roman"/>
        </w:rPr>
        <w:t>-</w:t>
      </w:r>
      <w:r>
        <w:rPr>
          <w:rFonts w:ascii="Times New Roman" w:hAnsi="Times New Roman"/>
        </w:rPr>
        <w:t xml:space="preserve">line footprint. </w:t>
      </w:r>
    </w:p>
    <w:p w14:paraId="7B8BAB32" w14:textId="46E0561A" w:rsidR="00581B9F" w:rsidRDefault="00581B9F" w:rsidP="00543216">
      <w:pPr>
        <w:spacing w:before="100" w:beforeAutospacing="1" w:after="100" w:afterAutospacing="1"/>
        <w:rPr>
          <w:rFonts w:ascii="Times New Roman" w:hAnsi="Times New Roman"/>
        </w:rPr>
      </w:pPr>
      <w:r>
        <w:rPr>
          <w:rFonts w:ascii="Times New Roman" w:hAnsi="Times New Roman"/>
        </w:rPr>
        <w:t>Under its statutory and contractual USO requirements, Telstra must provide aggregate, national information to demonstrate that it meets applicable connection and repair timeframes in 90% of cases under the Customer Service Guarantee (CSG). The Network Reliability Framework (NRF) is a further legal requirement under Telstra’s existing CLCs that require it to publish</w:t>
      </w:r>
      <w:r w:rsidR="00E3563A">
        <w:rPr>
          <w:rFonts w:ascii="Times New Roman" w:hAnsi="Times New Roman"/>
        </w:rPr>
        <w:t xml:space="preserve"> monthly</w:t>
      </w:r>
      <w:r>
        <w:rPr>
          <w:rFonts w:ascii="Times New Roman" w:hAnsi="Times New Roman"/>
        </w:rPr>
        <w:t xml:space="preserve"> data on network reliability and availability, improve the operation of poorly performing parts of its network and report on its performance to the ACMA. </w:t>
      </w:r>
    </w:p>
    <w:p w14:paraId="7868195C" w14:textId="2891D983" w:rsidR="00126329" w:rsidRDefault="00581B9F" w:rsidP="00543216">
      <w:pPr>
        <w:spacing w:before="100" w:beforeAutospacing="1" w:after="100" w:afterAutospacing="1"/>
        <w:rPr>
          <w:rFonts w:ascii="Times New Roman" w:hAnsi="Times New Roman"/>
        </w:rPr>
      </w:pPr>
      <w:r>
        <w:rPr>
          <w:rFonts w:ascii="Times New Roman" w:hAnsi="Times New Roman"/>
        </w:rPr>
        <w:t>While existing data indicate</w:t>
      </w:r>
      <w:r w:rsidR="00D84493">
        <w:rPr>
          <w:rFonts w:ascii="Times New Roman" w:hAnsi="Times New Roman"/>
        </w:rPr>
        <w:t>s</w:t>
      </w:r>
      <w:r>
        <w:rPr>
          <w:rFonts w:ascii="Times New Roman" w:hAnsi="Times New Roman"/>
        </w:rPr>
        <w:t xml:space="preserve"> service delivery by Telstra in rural and remote Australia is generally </w:t>
      </w:r>
      <w:r w:rsidR="00D84493">
        <w:rPr>
          <w:rFonts w:ascii="Times New Roman" w:hAnsi="Times New Roman"/>
        </w:rPr>
        <w:t>sound</w:t>
      </w:r>
      <w:r w:rsidR="00D84493" w:rsidRPr="00D84493">
        <w:rPr>
          <w:rFonts w:ascii="Times New Roman" w:hAnsi="Times New Roman"/>
        </w:rPr>
        <w:t xml:space="preserve"> </w:t>
      </w:r>
      <w:r w:rsidR="00D84493">
        <w:rPr>
          <w:rFonts w:ascii="Times New Roman" w:hAnsi="Times New Roman"/>
        </w:rPr>
        <w:t>overall</w:t>
      </w:r>
      <w:r>
        <w:rPr>
          <w:rFonts w:ascii="Times New Roman" w:hAnsi="Times New Roman"/>
        </w:rPr>
        <w:t xml:space="preserve">, </w:t>
      </w:r>
      <w:r w:rsidRPr="003F4B1D">
        <w:rPr>
          <w:rFonts w:ascii="Times New Roman" w:hAnsi="Times New Roman"/>
        </w:rPr>
        <w:t xml:space="preserve">community feedback </w:t>
      </w:r>
      <w:r>
        <w:rPr>
          <w:rFonts w:ascii="Times New Roman" w:hAnsi="Times New Roman"/>
        </w:rPr>
        <w:t>has indicated</w:t>
      </w:r>
      <w:r w:rsidRPr="003F4B1D">
        <w:rPr>
          <w:rFonts w:ascii="Times New Roman" w:hAnsi="Times New Roman"/>
        </w:rPr>
        <w:t xml:space="preserve"> there are pockets of </w:t>
      </w:r>
      <w:r w:rsidR="00D84493">
        <w:rPr>
          <w:rFonts w:ascii="Times New Roman" w:hAnsi="Times New Roman"/>
        </w:rPr>
        <w:t xml:space="preserve">strong </w:t>
      </w:r>
      <w:r w:rsidRPr="003F4B1D">
        <w:rPr>
          <w:rFonts w:ascii="Times New Roman" w:hAnsi="Times New Roman"/>
        </w:rPr>
        <w:t>concern about Telstra’s performance</w:t>
      </w:r>
      <w:r>
        <w:rPr>
          <w:rFonts w:ascii="Times New Roman" w:hAnsi="Times New Roman"/>
        </w:rPr>
        <w:t xml:space="preserve">. Regional stakeholders have raised concerns with </w:t>
      </w:r>
      <w:r w:rsidR="00D84493">
        <w:rPr>
          <w:rFonts w:ascii="Times New Roman" w:hAnsi="Times New Roman"/>
        </w:rPr>
        <w:t>the Government</w:t>
      </w:r>
      <w:r>
        <w:rPr>
          <w:rFonts w:ascii="Times New Roman" w:hAnsi="Times New Roman"/>
        </w:rPr>
        <w:t xml:space="preserve"> regarding Telstra’s ongoing maintenance of its copper and HCRC (High Capacity Radio Concentrator) </w:t>
      </w:r>
      <w:r w:rsidR="009460F1">
        <w:rPr>
          <w:rFonts w:ascii="Times New Roman" w:hAnsi="Times New Roman"/>
        </w:rPr>
        <w:t>networks.</w:t>
      </w:r>
      <w:r>
        <w:rPr>
          <w:rFonts w:ascii="Times New Roman" w:hAnsi="Times New Roman"/>
        </w:rPr>
        <w:t xml:space="preserve"> Feedback has also highlighted localised instances of high fault rates, repeated faults and slow service restoration. </w:t>
      </w:r>
      <w:r w:rsidR="00D84493">
        <w:rPr>
          <w:rFonts w:ascii="Times New Roman" w:hAnsi="Times New Roman"/>
        </w:rPr>
        <w:t>Similar feedback has been submitted to the 2021 Regional Tel</w:t>
      </w:r>
      <w:r w:rsidR="004F78CB">
        <w:rPr>
          <w:rFonts w:ascii="Times New Roman" w:hAnsi="Times New Roman"/>
        </w:rPr>
        <w:t>e</w:t>
      </w:r>
      <w:r w:rsidR="00D84493">
        <w:rPr>
          <w:rFonts w:ascii="Times New Roman" w:hAnsi="Times New Roman"/>
        </w:rPr>
        <w:t>commu</w:t>
      </w:r>
      <w:r w:rsidR="004F78CB">
        <w:rPr>
          <w:rFonts w:ascii="Times New Roman" w:hAnsi="Times New Roman"/>
        </w:rPr>
        <w:t>ni</w:t>
      </w:r>
      <w:r w:rsidR="00D84493">
        <w:rPr>
          <w:rFonts w:ascii="Times New Roman" w:hAnsi="Times New Roman"/>
        </w:rPr>
        <w:t>cations Review.</w:t>
      </w:r>
      <w:r w:rsidR="004F78CB">
        <w:rPr>
          <w:rStyle w:val="FootnoteReference"/>
          <w:rFonts w:ascii="Times New Roman" w:hAnsi="Times New Roman"/>
        </w:rPr>
        <w:footnoteReference w:id="2"/>
      </w:r>
    </w:p>
    <w:p w14:paraId="10B9C1AF" w14:textId="56654F57" w:rsidR="00126329" w:rsidRDefault="00CD0403" w:rsidP="00543216">
      <w:pPr>
        <w:spacing w:before="100" w:beforeAutospacing="1" w:after="100" w:afterAutospacing="1"/>
        <w:rPr>
          <w:rFonts w:ascii="Times New Roman" w:hAnsi="Times New Roman"/>
        </w:rPr>
      </w:pPr>
      <w:r>
        <w:rPr>
          <w:rFonts w:ascii="Times New Roman" w:hAnsi="Times New Roman"/>
        </w:rPr>
        <w:t xml:space="preserve">In </w:t>
      </w:r>
      <w:r w:rsidR="00126329">
        <w:rPr>
          <w:rFonts w:ascii="Times New Roman" w:hAnsi="Times New Roman"/>
        </w:rPr>
        <w:t>this context, the Government h</w:t>
      </w:r>
      <w:r w:rsidR="007A6DAB">
        <w:rPr>
          <w:rFonts w:ascii="Times New Roman" w:hAnsi="Times New Roman"/>
        </w:rPr>
        <w:t xml:space="preserve">as decided to introduce additional requirements into Telstra’s CLCs. </w:t>
      </w:r>
      <w:r w:rsidR="00126329">
        <w:rPr>
          <w:rFonts w:ascii="Times New Roman" w:hAnsi="Times New Roman"/>
        </w:rPr>
        <w:t xml:space="preserve">The </w:t>
      </w:r>
      <w:r w:rsidR="000C46C3">
        <w:rPr>
          <w:rFonts w:ascii="Times New Roman" w:hAnsi="Times New Roman"/>
        </w:rPr>
        <w:t xml:space="preserve">Amendment Instrument will provide </w:t>
      </w:r>
      <w:r w:rsidR="007A6DAB">
        <w:rPr>
          <w:rFonts w:ascii="Times New Roman" w:hAnsi="Times New Roman"/>
        </w:rPr>
        <w:t xml:space="preserve">more </w:t>
      </w:r>
      <w:r w:rsidR="00875F24">
        <w:rPr>
          <w:rFonts w:ascii="Times New Roman" w:hAnsi="Times New Roman"/>
        </w:rPr>
        <w:t>frequent, localised and detailed</w:t>
      </w:r>
      <w:r w:rsidR="00126329">
        <w:rPr>
          <w:rFonts w:ascii="Times New Roman" w:hAnsi="Times New Roman"/>
        </w:rPr>
        <w:t xml:space="preserve"> information than Telstra has previously reported against CSG benchmarks and under the NRF, allowing </w:t>
      </w:r>
      <w:r w:rsidR="000C46C3">
        <w:rPr>
          <w:rFonts w:ascii="Times New Roman" w:hAnsi="Times New Roman"/>
        </w:rPr>
        <w:t>Government and the community to</w:t>
      </w:r>
      <w:r w:rsidR="00126329">
        <w:rPr>
          <w:rFonts w:ascii="Times New Roman" w:hAnsi="Times New Roman"/>
        </w:rPr>
        <w:t xml:space="preserve"> </w:t>
      </w:r>
      <w:r w:rsidR="00875F24">
        <w:rPr>
          <w:rFonts w:ascii="Times New Roman" w:hAnsi="Times New Roman"/>
        </w:rPr>
        <w:t>better understand</w:t>
      </w:r>
      <w:r w:rsidR="000C46C3">
        <w:rPr>
          <w:rFonts w:ascii="Times New Roman" w:hAnsi="Times New Roman"/>
        </w:rPr>
        <w:t xml:space="preserve"> the localised performance and reliability of Telstra’s network.</w:t>
      </w:r>
      <w:r w:rsidR="009460F1">
        <w:rPr>
          <w:rFonts w:ascii="Times New Roman" w:hAnsi="Times New Roman"/>
        </w:rPr>
        <w:t xml:space="preserve"> </w:t>
      </w:r>
      <w:r w:rsidR="00513A83">
        <w:rPr>
          <w:rFonts w:ascii="Times New Roman" w:hAnsi="Times New Roman"/>
        </w:rPr>
        <w:t xml:space="preserve">The additional data </w:t>
      </w:r>
      <w:r w:rsidR="00875F24">
        <w:rPr>
          <w:rFonts w:ascii="Times New Roman" w:hAnsi="Times New Roman"/>
        </w:rPr>
        <w:t>could also assist with designing other measures to improve service delivery if warranted</w:t>
      </w:r>
      <w:r w:rsidR="00513A83">
        <w:rPr>
          <w:rFonts w:ascii="Times New Roman" w:hAnsi="Times New Roman"/>
        </w:rPr>
        <w:t>.</w:t>
      </w:r>
    </w:p>
    <w:p w14:paraId="5075B5A9" w14:textId="1F08F604" w:rsidR="00875F24" w:rsidRDefault="000C46C3" w:rsidP="00D26F2F">
      <w:pPr>
        <w:spacing w:before="100" w:beforeAutospacing="1" w:after="100" w:afterAutospacing="1"/>
        <w:rPr>
          <w:rFonts w:ascii="Times New Roman" w:hAnsi="Times New Roman"/>
          <w:b/>
        </w:rPr>
      </w:pPr>
      <w:r w:rsidRPr="000C46C3">
        <w:rPr>
          <w:rFonts w:ascii="Times New Roman" w:hAnsi="Times New Roman"/>
        </w:rPr>
        <w:t>The Original Instrument</w:t>
      </w:r>
      <w:r>
        <w:rPr>
          <w:rFonts w:ascii="Times New Roman" w:hAnsi="Times New Roman"/>
        </w:rPr>
        <w:t xml:space="preserve"> was made on 25 March 2019 and came into force on 29 March 2019.  </w:t>
      </w:r>
      <w:r w:rsidR="009460F1">
        <w:rPr>
          <w:rFonts w:ascii="Times New Roman" w:hAnsi="Times New Roman"/>
        </w:rPr>
        <w:t xml:space="preserve">It remade an earlier version of Telstra’s CLCs that was due to sunset on 1 April 2019, with minor changes that updated the drafting style and removed redundant obligations on Telstra. </w:t>
      </w:r>
    </w:p>
    <w:p w14:paraId="03258AE5" w14:textId="185A04C5" w:rsidR="00581B9F" w:rsidRPr="00A90ADD" w:rsidRDefault="00581B9F" w:rsidP="00543216">
      <w:pPr>
        <w:spacing w:before="100" w:beforeAutospacing="1" w:after="100" w:afterAutospacing="1"/>
        <w:rPr>
          <w:rFonts w:ascii="Times New Roman" w:hAnsi="Times New Roman"/>
        </w:rPr>
      </w:pPr>
      <w:r w:rsidRPr="00A90ADD">
        <w:rPr>
          <w:rFonts w:ascii="Times New Roman" w:hAnsi="Times New Roman"/>
          <w:b/>
        </w:rPr>
        <w:t>Consultation</w:t>
      </w:r>
    </w:p>
    <w:p w14:paraId="524E1A14" w14:textId="613175C0" w:rsidR="00581B9F" w:rsidRDefault="00581B9F" w:rsidP="00581B9F">
      <w:pPr>
        <w:rPr>
          <w:rFonts w:ascii="Times New Roman" w:hAnsi="Times New Roman"/>
          <w:lang w:val="en-GB"/>
        </w:rPr>
      </w:pPr>
      <w:r>
        <w:rPr>
          <w:rFonts w:ascii="Times New Roman" w:hAnsi="Times New Roman"/>
          <w:lang w:val="en-GB"/>
        </w:rPr>
        <w:t xml:space="preserve">The Department </w:t>
      </w:r>
      <w:r w:rsidRPr="001D2B0C">
        <w:rPr>
          <w:rFonts w:ascii="Times New Roman" w:hAnsi="Times New Roman"/>
          <w:lang w:val="en-GB"/>
        </w:rPr>
        <w:t xml:space="preserve">of Infrastructure, Transport, Regional Development and Communications </w:t>
      </w:r>
      <w:r w:rsidR="00201223">
        <w:rPr>
          <w:rFonts w:ascii="Times New Roman" w:hAnsi="Times New Roman"/>
          <w:lang w:val="en-GB"/>
        </w:rPr>
        <w:t xml:space="preserve">(the Department) </w:t>
      </w:r>
      <w:r>
        <w:rPr>
          <w:rFonts w:ascii="Times New Roman" w:hAnsi="Times New Roman"/>
          <w:lang w:val="en-GB"/>
        </w:rPr>
        <w:t xml:space="preserve">undertook a public consultation process for a period of 30 days during October-November 2021, with stakeholders given the opportunity to provide feedback on a draft of the proposed instrument. One member of the public made a brief supportive submission. </w:t>
      </w:r>
      <w:r w:rsidR="008007C4">
        <w:rPr>
          <w:rFonts w:ascii="Times New Roman" w:hAnsi="Times New Roman"/>
          <w:lang w:val="en-GB"/>
        </w:rPr>
        <w:t xml:space="preserve">Five </w:t>
      </w:r>
      <w:r>
        <w:rPr>
          <w:rFonts w:ascii="Times New Roman" w:hAnsi="Times New Roman"/>
          <w:lang w:val="en-GB"/>
        </w:rPr>
        <w:t xml:space="preserve">further submissions were received, from Telstra, NBN Co, Optus, the </w:t>
      </w:r>
      <w:r>
        <w:rPr>
          <w:rFonts w:ascii="Times New Roman" w:hAnsi="Times New Roman"/>
          <w:lang w:val="en-GB"/>
        </w:rPr>
        <w:lastRenderedPageBreak/>
        <w:t xml:space="preserve">Australian Communications Consumer Action Network (ACCAN), and the Isolated Children’s Parents’ Association (ICPA). </w:t>
      </w:r>
    </w:p>
    <w:p w14:paraId="7B501C8A" w14:textId="48EEE60A" w:rsidR="007D2401" w:rsidRDefault="00581B9F" w:rsidP="007D2401">
      <w:pPr>
        <w:rPr>
          <w:rFonts w:ascii="Times New Roman" w:hAnsi="Times New Roman"/>
          <w:lang w:val="en-GB"/>
        </w:rPr>
      </w:pPr>
      <w:r>
        <w:rPr>
          <w:rFonts w:ascii="Times New Roman" w:hAnsi="Times New Roman"/>
          <w:lang w:val="en-GB"/>
        </w:rPr>
        <w:t xml:space="preserve">Overall, all stakeholders supported introducing an instrument to provide greater information about Telstra’s performance in </w:t>
      </w:r>
      <w:r w:rsidR="00875F24">
        <w:rPr>
          <w:rFonts w:ascii="Times New Roman" w:hAnsi="Times New Roman"/>
          <w:lang w:val="en-GB"/>
        </w:rPr>
        <w:t xml:space="preserve">rural </w:t>
      </w:r>
      <w:r>
        <w:rPr>
          <w:rFonts w:ascii="Times New Roman" w:hAnsi="Times New Roman"/>
          <w:lang w:val="en-GB"/>
        </w:rPr>
        <w:t xml:space="preserve">and remote areas. Most </w:t>
      </w:r>
      <w:r w:rsidR="007D2401">
        <w:rPr>
          <w:rFonts w:ascii="Times New Roman" w:hAnsi="Times New Roman"/>
          <w:lang w:val="en-GB"/>
        </w:rPr>
        <w:t xml:space="preserve">submissions included </w:t>
      </w:r>
      <w:r>
        <w:rPr>
          <w:rFonts w:ascii="Times New Roman" w:hAnsi="Times New Roman"/>
          <w:lang w:val="en-GB"/>
        </w:rPr>
        <w:t xml:space="preserve">suggestions about the detailed drafting of reporting </w:t>
      </w:r>
      <w:r w:rsidR="00E3563A">
        <w:rPr>
          <w:rFonts w:ascii="Times New Roman" w:hAnsi="Times New Roman"/>
          <w:lang w:val="en-GB"/>
        </w:rPr>
        <w:t>requirements</w:t>
      </w:r>
      <w:r w:rsidR="000C46C3">
        <w:rPr>
          <w:rFonts w:ascii="Times New Roman" w:hAnsi="Times New Roman"/>
          <w:lang w:val="en-GB"/>
        </w:rPr>
        <w:t xml:space="preserve">, some of which </w:t>
      </w:r>
      <w:r w:rsidR="00875F24">
        <w:rPr>
          <w:rFonts w:ascii="Times New Roman" w:hAnsi="Times New Roman"/>
          <w:lang w:val="en-GB"/>
        </w:rPr>
        <w:t xml:space="preserve">have been </w:t>
      </w:r>
      <w:r w:rsidR="000C46C3">
        <w:rPr>
          <w:rFonts w:ascii="Times New Roman" w:hAnsi="Times New Roman"/>
          <w:lang w:val="en-GB"/>
        </w:rPr>
        <w:t xml:space="preserve">adopted in the final </w:t>
      </w:r>
      <w:r w:rsidR="00920E72">
        <w:rPr>
          <w:rFonts w:ascii="Times New Roman" w:hAnsi="Times New Roman"/>
          <w:lang w:val="en-GB"/>
        </w:rPr>
        <w:t xml:space="preserve">Amendment Instrument. </w:t>
      </w:r>
      <w:r w:rsidR="007A6DAB">
        <w:rPr>
          <w:rFonts w:ascii="Times New Roman" w:hAnsi="Times New Roman"/>
          <w:lang w:val="en-GB"/>
        </w:rPr>
        <w:t xml:space="preserve">  </w:t>
      </w:r>
      <w:r w:rsidR="007D2401">
        <w:rPr>
          <w:rFonts w:ascii="Times New Roman" w:hAnsi="Times New Roman"/>
          <w:lang w:val="en-GB"/>
        </w:rPr>
        <w:t xml:space="preserve"> </w:t>
      </w:r>
    </w:p>
    <w:p w14:paraId="046D2FD6" w14:textId="3041F7B7" w:rsidR="00581B9F" w:rsidRDefault="00581B9F" w:rsidP="007D2401">
      <w:pPr>
        <w:rPr>
          <w:rFonts w:ascii="Times New Roman" w:hAnsi="Times New Roman"/>
          <w:lang w:val="en-GB"/>
        </w:rPr>
      </w:pPr>
      <w:r>
        <w:rPr>
          <w:rFonts w:ascii="Times New Roman" w:hAnsi="Times New Roman"/>
          <w:lang w:val="en-GB"/>
        </w:rPr>
        <w:t>Telstra raised concerns about its inability to report some of the information proposed in the consultation draft, and made a number of recommendations it considered would provide the community with more meaningful data on its performance</w:t>
      </w:r>
      <w:r w:rsidR="00C77077">
        <w:rPr>
          <w:rFonts w:ascii="Times New Roman" w:hAnsi="Times New Roman"/>
          <w:lang w:val="en-GB"/>
        </w:rPr>
        <w:t xml:space="preserve"> sooner</w:t>
      </w:r>
      <w:r>
        <w:rPr>
          <w:rFonts w:ascii="Times New Roman" w:hAnsi="Times New Roman"/>
          <w:lang w:val="en-GB"/>
        </w:rPr>
        <w:t xml:space="preserve">. NBN Co, </w:t>
      </w:r>
      <w:r w:rsidR="007D2401">
        <w:rPr>
          <w:rFonts w:ascii="Times New Roman" w:hAnsi="Times New Roman"/>
          <w:lang w:val="en-GB"/>
        </w:rPr>
        <w:t>Optus, ACCAN and the ICPA</w:t>
      </w:r>
      <w:r>
        <w:rPr>
          <w:rFonts w:ascii="Times New Roman" w:hAnsi="Times New Roman"/>
          <w:lang w:val="en-GB"/>
        </w:rPr>
        <w:t xml:space="preserve"> made suggestions related to the drafting of specific </w:t>
      </w:r>
      <w:r w:rsidR="007A6DAB">
        <w:rPr>
          <w:rFonts w:ascii="Times New Roman" w:hAnsi="Times New Roman"/>
          <w:lang w:val="en-GB"/>
        </w:rPr>
        <w:t>provisions.</w:t>
      </w:r>
      <w:r w:rsidR="007D2401">
        <w:rPr>
          <w:rFonts w:ascii="Times New Roman" w:hAnsi="Times New Roman"/>
          <w:lang w:val="en-GB"/>
        </w:rPr>
        <w:t xml:space="preserve"> </w:t>
      </w:r>
      <w:r w:rsidR="00167581">
        <w:rPr>
          <w:rFonts w:ascii="Times New Roman" w:hAnsi="Times New Roman"/>
          <w:lang w:val="en-GB"/>
        </w:rPr>
        <w:t xml:space="preserve">Section 11B was amended to address some concerns about potential privacy issues. </w:t>
      </w:r>
      <w:r w:rsidR="007D2401">
        <w:rPr>
          <w:rFonts w:ascii="Times New Roman" w:hAnsi="Times New Roman"/>
          <w:lang w:val="en-GB"/>
        </w:rPr>
        <w:t xml:space="preserve">Some </w:t>
      </w:r>
      <w:r>
        <w:rPr>
          <w:rFonts w:ascii="Times New Roman" w:hAnsi="Times New Roman"/>
          <w:lang w:val="en-GB"/>
        </w:rPr>
        <w:t>o</w:t>
      </w:r>
      <w:r w:rsidR="007D2401">
        <w:rPr>
          <w:rFonts w:ascii="Times New Roman" w:hAnsi="Times New Roman"/>
          <w:lang w:val="en-GB"/>
        </w:rPr>
        <w:t>f these submissions highlighted</w:t>
      </w:r>
      <w:r>
        <w:rPr>
          <w:rFonts w:ascii="Times New Roman" w:hAnsi="Times New Roman"/>
          <w:lang w:val="en-GB"/>
        </w:rPr>
        <w:t xml:space="preserve"> broader concerns about the transparency and accountability of Telstra’s delivery of voice services under the USO. </w:t>
      </w:r>
      <w:r w:rsidR="00167581">
        <w:rPr>
          <w:rFonts w:ascii="Times New Roman" w:hAnsi="Times New Roman"/>
          <w:lang w:val="en-GB"/>
        </w:rPr>
        <w:t xml:space="preserve">These go to wider issues than those being addressed by the Amendment Instrument and will be considered further as warranted. </w:t>
      </w:r>
    </w:p>
    <w:p w14:paraId="6C6753A4" w14:textId="7FE19D9E" w:rsidR="00EF25EF" w:rsidRDefault="008F24E8" w:rsidP="007D2401">
      <w:pPr>
        <w:rPr>
          <w:rFonts w:ascii="Times New Roman" w:hAnsi="Times New Roman"/>
          <w:lang w:val="en-GB"/>
        </w:rPr>
      </w:pPr>
      <w:r w:rsidRPr="00EF25EF">
        <w:rPr>
          <w:rFonts w:ascii="Times New Roman" w:hAnsi="Times New Roman"/>
          <w:lang w:val="en-GB"/>
        </w:rPr>
        <w:t>The A</w:t>
      </w:r>
      <w:r w:rsidR="008007C4">
        <w:rPr>
          <w:rFonts w:ascii="Times New Roman" w:hAnsi="Times New Roman"/>
          <w:lang w:val="en-GB"/>
        </w:rPr>
        <w:t xml:space="preserve">ustralian </w:t>
      </w:r>
      <w:r w:rsidR="008007C4" w:rsidRPr="00EF25EF">
        <w:rPr>
          <w:rFonts w:ascii="Times New Roman" w:hAnsi="Times New Roman"/>
          <w:lang w:val="en-GB"/>
        </w:rPr>
        <w:t>C</w:t>
      </w:r>
      <w:r w:rsidR="008007C4">
        <w:rPr>
          <w:rFonts w:ascii="Times New Roman" w:hAnsi="Times New Roman"/>
          <w:lang w:val="en-GB"/>
        </w:rPr>
        <w:t xml:space="preserve">ommunications and Media Authority (ACMA) separately </w:t>
      </w:r>
      <w:r w:rsidRPr="00EF25EF">
        <w:rPr>
          <w:rFonts w:ascii="Times New Roman" w:hAnsi="Times New Roman"/>
          <w:lang w:val="en-GB"/>
        </w:rPr>
        <w:t xml:space="preserve">suggested it would be useful to clarify the roles and responsibilities of it and the Department </w:t>
      </w:r>
      <w:r w:rsidR="002C431E">
        <w:rPr>
          <w:rFonts w:ascii="Times New Roman" w:hAnsi="Times New Roman"/>
          <w:lang w:val="en-GB"/>
        </w:rPr>
        <w:t>in</w:t>
      </w:r>
      <w:r w:rsidR="002C431E" w:rsidRPr="00EF25EF">
        <w:rPr>
          <w:rFonts w:ascii="Times New Roman" w:hAnsi="Times New Roman"/>
          <w:lang w:val="en-GB"/>
        </w:rPr>
        <w:t xml:space="preserve"> </w:t>
      </w:r>
      <w:r w:rsidR="002C431E">
        <w:rPr>
          <w:rFonts w:ascii="Times New Roman" w:hAnsi="Times New Roman"/>
          <w:lang w:val="en-GB"/>
        </w:rPr>
        <w:t>using the</w:t>
      </w:r>
      <w:r w:rsidR="002C431E" w:rsidRPr="00EF25EF">
        <w:rPr>
          <w:rFonts w:ascii="Times New Roman" w:hAnsi="Times New Roman"/>
          <w:lang w:val="en-GB"/>
        </w:rPr>
        <w:t xml:space="preserve"> </w:t>
      </w:r>
      <w:r w:rsidRPr="00EF25EF">
        <w:rPr>
          <w:rFonts w:ascii="Times New Roman" w:hAnsi="Times New Roman"/>
          <w:lang w:val="en-GB"/>
        </w:rPr>
        <w:t>data reported by Telstra</w:t>
      </w:r>
      <w:r w:rsidR="00EF25EF">
        <w:rPr>
          <w:rFonts w:ascii="Times New Roman" w:hAnsi="Times New Roman"/>
          <w:lang w:val="en-GB"/>
        </w:rPr>
        <w:t xml:space="preserve">. </w:t>
      </w:r>
      <w:r w:rsidR="008007C4">
        <w:rPr>
          <w:rFonts w:ascii="Times New Roman" w:hAnsi="Times New Roman"/>
          <w:lang w:val="en-GB"/>
        </w:rPr>
        <w:t>As well as providing more information to the public, t</w:t>
      </w:r>
      <w:r w:rsidR="00EF25EF">
        <w:rPr>
          <w:rFonts w:ascii="Times New Roman" w:hAnsi="Times New Roman"/>
          <w:lang w:val="en-GB"/>
        </w:rPr>
        <w:t>he Amendment Instrument has been</w:t>
      </w:r>
      <w:r w:rsidR="002C431E">
        <w:rPr>
          <w:rFonts w:ascii="Times New Roman" w:hAnsi="Times New Roman"/>
          <w:lang w:val="en-GB"/>
        </w:rPr>
        <w:t xml:space="preserve"> d</w:t>
      </w:r>
      <w:r w:rsidRPr="00EF25EF">
        <w:rPr>
          <w:rFonts w:ascii="Times New Roman" w:hAnsi="Times New Roman"/>
          <w:lang w:val="en-GB"/>
        </w:rPr>
        <w:t xml:space="preserve">rafted </w:t>
      </w:r>
      <w:r w:rsidR="00875F24">
        <w:rPr>
          <w:rFonts w:ascii="Times New Roman" w:hAnsi="Times New Roman"/>
          <w:lang w:val="en-GB"/>
        </w:rPr>
        <w:t xml:space="preserve">on the basis that the information </w:t>
      </w:r>
      <w:r w:rsidR="002C431E">
        <w:rPr>
          <w:rFonts w:ascii="Times New Roman" w:hAnsi="Times New Roman"/>
          <w:lang w:val="en-GB"/>
        </w:rPr>
        <w:t xml:space="preserve">will be used by </w:t>
      </w:r>
      <w:r w:rsidR="00875F24">
        <w:rPr>
          <w:rFonts w:ascii="Times New Roman" w:hAnsi="Times New Roman"/>
          <w:lang w:val="en-GB"/>
        </w:rPr>
        <w:t xml:space="preserve">the </w:t>
      </w:r>
      <w:r w:rsidR="002C431E">
        <w:rPr>
          <w:rFonts w:ascii="Times New Roman" w:hAnsi="Times New Roman"/>
          <w:lang w:val="en-GB"/>
        </w:rPr>
        <w:t xml:space="preserve">Department for </w:t>
      </w:r>
      <w:r w:rsidR="008007C4">
        <w:rPr>
          <w:rFonts w:ascii="Times New Roman" w:hAnsi="Times New Roman"/>
          <w:lang w:val="en-GB"/>
        </w:rPr>
        <w:t xml:space="preserve">a wide range of monitoring, </w:t>
      </w:r>
      <w:r w:rsidR="002C431E">
        <w:rPr>
          <w:rFonts w:ascii="Times New Roman" w:hAnsi="Times New Roman"/>
          <w:lang w:val="en-GB"/>
        </w:rPr>
        <w:t xml:space="preserve">policy </w:t>
      </w:r>
      <w:r w:rsidR="008007C4">
        <w:rPr>
          <w:rFonts w:ascii="Times New Roman" w:hAnsi="Times New Roman"/>
          <w:lang w:val="en-GB"/>
        </w:rPr>
        <w:t>development a</w:t>
      </w:r>
      <w:r w:rsidR="002C431E">
        <w:rPr>
          <w:rFonts w:ascii="Times New Roman" w:hAnsi="Times New Roman"/>
          <w:lang w:val="en-GB"/>
        </w:rPr>
        <w:t xml:space="preserve">nd contract management purposes. The intention is </w:t>
      </w:r>
      <w:r w:rsidR="00386BA7">
        <w:rPr>
          <w:rFonts w:ascii="Times New Roman" w:hAnsi="Times New Roman"/>
          <w:lang w:val="en-GB"/>
        </w:rPr>
        <w:t xml:space="preserve">that </w:t>
      </w:r>
      <w:r w:rsidR="002C431E">
        <w:rPr>
          <w:rFonts w:ascii="Times New Roman" w:hAnsi="Times New Roman"/>
          <w:lang w:val="en-GB"/>
        </w:rPr>
        <w:t xml:space="preserve">the data will be a </w:t>
      </w:r>
      <w:r w:rsidR="00875F24">
        <w:rPr>
          <w:rFonts w:ascii="Times New Roman" w:hAnsi="Times New Roman"/>
          <w:lang w:val="en-GB"/>
        </w:rPr>
        <w:t xml:space="preserve">resource </w:t>
      </w:r>
      <w:r w:rsidR="002C431E">
        <w:rPr>
          <w:rFonts w:ascii="Times New Roman" w:hAnsi="Times New Roman"/>
          <w:lang w:val="en-GB"/>
        </w:rPr>
        <w:t xml:space="preserve">the ACMA </w:t>
      </w:r>
      <w:r w:rsidR="00875F24">
        <w:rPr>
          <w:rFonts w:ascii="Times New Roman" w:hAnsi="Times New Roman"/>
          <w:lang w:val="en-GB"/>
        </w:rPr>
        <w:t>can draw on if and as required</w:t>
      </w:r>
      <w:r w:rsidR="002C431E">
        <w:rPr>
          <w:rFonts w:ascii="Times New Roman" w:hAnsi="Times New Roman"/>
          <w:lang w:val="en-GB"/>
        </w:rPr>
        <w:t xml:space="preserve"> as the regulator</w:t>
      </w:r>
      <w:r w:rsidRPr="00EF25EF">
        <w:rPr>
          <w:rFonts w:ascii="Times New Roman" w:hAnsi="Times New Roman"/>
          <w:lang w:val="en-GB"/>
        </w:rPr>
        <w:t xml:space="preserve">. </w:t>
      </w:r>
      <w:r w:rsidR="008007C4">
        <w:rPr>
          <w:rFonts w:ascii="Times New Roman" w:hAnsi="Times New Roman"/>
          <w:lang w:val="en-GB"/>
        </w:rPr>
        <w:t>It is not envisaged the ACMA will undertake detailed analysis o</w:t>
      </w:r>
      <w:r w:rsidR="00C77077">
        <w:rPr>
          <w:rFonts w:ascii="Times New Roman" w:hAnsi="Times New Roman"/>
          <w:lang w:val="en-GB"/>
        </w:rPr>
        <w:t>r</w:t>
      </w:r>
      <w:r w:rsidR="008007C4">
        <w:rPr>
          <w:rFonts w:ascii="Times New Roman" w:hAnsi="Times New Roman"/>
          <w:lang w:val="en-GB"/>
        </w:rPr>
        <w:t xml:space="preserve"> reporting </w:t>
      </w:r>
      <w:r w:rsidR="00C77077">
        <w:rPr>
          <w:rFonts w:ascii="Times New Roman" w:hAnsi="Times New Roman"/>
          <w:lang w:val="en-GB"/>
        </w:rPr>
        <w:t>using the data</w:t>
      </w:r>
      <w:r w:rsidR="008007C4">
        <w:rPr>
          <w:rFonts w:ascii="Times New Roman" w:hAnsi="Times New Roman"/>
          <w:lang w:val="en-GB"/>
        </w:rPr>
        <w:t xml:space="preserve"> a</w:t>
      </w:r>
      <w:r w:rsidR="00C77077">
        <w:rPr>
          <w:rFonts w:ascii="Times New Roman" w:hAnsi="Times New Roman"/>
          <w:lang w:val="en-GB"/>
        </w:rPr>
        <w:t>s</w:t>
      </w:r>
      <w:r w:rsidR="008007C4">
        <w:rPr>
          <w:rFonts w:ascii="Times New Roman" w:hAnsi="Times New Roman"/>
          <w:lang w:val="en-GB"/>
        </w:rPr>
        <w:t xml:space="preserve"> </w:t>
      </w:r>
      <w:r w:rsidR="00C77077">
        <w:rPr>
          <w:rFonts w:ascii="Times New Roman" w:hAnsi="Times New Roman"/>
          <w:lang w:val="en-GB"/>
        </w:rPr>
        <w:t xml:space="preserve">a </w:t>
      </w:r>
      <w:r w:rsidR="008007C4">
        <w:rPr>
          <w:rFonts w:ascii="Times New Roman" w:hAnsi="Times New Roman"/>
          <w:lang w:val="en-GB"/>
        </w:rPr>
        <w:t xml:space="preserve">day-to-day function. </w:t>
      </w:r>
      <w:r w:rsidRPr="00EF25EF">
        <w:rPr>
          <w:rFonts w:ascii="Times New Roman" w:hAnsi="Times New Roman"/>
          <w:lang w:val="en-GB"/>
        </w:rPr>
        <w:t>If Telstra was only required to report information to the Department, it may prove difficult for it to be readily shared with the ACMA in the future</w:t>
      </w:r>
      <w:r w:rsidR="008007C4">
        <w:rPr>
          <w:rFonts w:ascii="Times New Roman" w:hAnsi="Times New Roman"/>
          <w:lang w:val="en-GB"/>
        </w:rPr>
        <w:t xml:space="preserve"> if needed.</w:t>
      </w:r>
    </w:p>
    <w:p w14:paraId="6BD0D6B8" w14:textId="3AC0D888" w:rsidR="00581B9F" w:rsidRPr="00C26F6B" w:rsidRDefault="00581B9F" w:rsidP="00581B9F">
      <w:pPr>
        <w:rPr>
          <w:rFonts w:ascii="Times New Roman" w:hAnsi="Times New Roman"/>
          <w:b/>
          <w:bCs/>
        </w:rPr>
      </w:pPr>
      <w:r w:rsidRPr="00C26F6B">
        <w:rPr>
          <w:rFonts w:ascii="Times New Roman" w:hAnsi="Times New Roman"/>
          <w:b/>
          <w:bCs/>
        </w:rPr>
        <w:t>Regulatory Impact Statement</w:t>
      </w:r>
    </w:p>
    <w:p w14:paraId="45CA309A" w14:textId="136C9E30" w:rsidR="00581B9F" w:rsidRPr="00C26F6B" w:rsidRDefault="00581B9F" w:rsidP="00581B9F">
      <w:pPr>
        <w:rPr>
          <w:rFonts w:ascii="Times New Roman" w:hAnsi="Times New Roman"/>
          <w:bCs/>
        </w:rPr>
      </w:pPr>
      <w:r w:rsidRPr="00C26F6B">
        <w:rPr>
          <w:rFonts w:ascii="Times New Roman" w:hAnsi="Times New Roman"/>
          <w:bCs/>
        </w:rPr>
        <w:t xml:space="preserve">A preliminary assessment of the proposal to make the Amendment Instrument was provided to the Office of Best Practice Regulation (OBPR) to determine whether a Regulatory Impact Statement (RIS) was required. </w:t>
      </w:r>
      <w:r w:rsidR="008B17C5">
        <w:rPr>
          <w:rFonts w:ascii="Times New Roman" w:hAnsi="Times New Roman"/>
          <w:bCs/>
        </w:rPr>
        <w:t xml:space="preserve">The </w:t>
      </w:r>
      <w:r w:rsidRPr="00C26F6B">
        <w:rPr>
          <w:rFonts w:ascii="Times New Roman" w:hAnsi="Times New Roman"/>
          <w:bCs/>
        </w:rPr>
        <w:t xml:space="preserve">OBPR assessed the proposal as having a no more than minor regulatory impact and advised no RIS was required (OBPR ID: </w:t>
      </w:r>
      <w:r w:rsidRPr="00C26F6B">
        <w:rPr>
          <w:rFonts w:ascii="Times New Roman" w:hAnsi="Times New Roman"/>
        </w:rPr>
        <w:t xml:space="preserve">44696). </w:t>
      </w:r>
    </w:p>
    <w:p w14:paraId="78B7632D" w14:textId="77777777" w:rsidR="00581B9F" w:rsidRPr="00C26F6B" w:rsidRDefault="00581B9F" w:rsidP="00581B9F">
      <w:pPr>
        <w:rPr>
          <w:rFonts w:ascii="Times New Roman" w:hAnsi="Times New Roman"/>
          <w:b/>
        </w:rPr>
      </w:pPr>
      <w:r w:rsidRPr="00C26F6B">
        <w:rPr>
          <w:rFonts w:ascii="Times New Roman" w:hAnsi="Times New Roman"/>
          <w:b/>
          <w:bCs/>
        </w:rPr>
        <w:t>Statement of compatibility with human rights</w:t>
      </w:r>
    </w:p>
    <w:p w14:paraId="2E64B062" w14:textId="77777777" w:rsidR="00581B9F" w:rsidRPr="00C26F6B" w:rsidRDefault="00581B9F" w:rsidP="00581B9F">
      <w:pPr>
        <w:spacing w:before="100" w:beforeAutospacing="1" w:after="100" w:afterAutospacing="1" w:line="276" w:lineRule="auto"/>
        <w:rPr>
          <w:rFonts w:ascii="Times New Roman" w:hAnsi="Times New Roman"/>
        </w:rPr>
        <w:sectPr w:rsidR="00581B9F" w:rsidRPr="00C26F6B" w:rsidSect="000A2F7D">
          <w:headerReference w:type="default" r:id="rId11"/>
          <w:footerReference w:type="default" r:id="rId12"/>
          <w:headerReference w:type="first" r:id="rId13"/>
          <w:footerReference w:type="first" r:id="rId14"/>
          <w:pgSz w:w="11906" w:h="16838" w:code="9"/>
          <w:pgMar w:top="1418" w:right="1418" w:bottom="1418" w:left="1418" w:header="720" w:footer="720" w:gutter="0"/>
          <w:cols w:space="720"/>
          <w:docGrid w:linePitch="360"/>
        </w:sectPr>
      </w:pPr>
      <w:r w:rsidRPr="00C26F6B">
        <w:rPr>
          <w:rFonts w:ascii="Times New Roman" w:hAnsi="Times New Roman"/>
        </w:rPr>
        <w:t xml:space="preserve">A statement of compatibility with human rights for the purposes of Part 3 of the </w:t>
      </w:r>
      <w:r w:rsidRPr="00C26F6B">
        <w:rPr>
          <w:rFonts w:ascii="Times New Roman" w:hAnsi="Times New Roman"/>
          <w:i/>
        </w:rPr>
        <w:t xml:space="preserve">Human Rights (Parliamentary Scrutiny) Act 2011 </w:t>
      </w:r>
      <w:r w:rsidRPr="00C26F6B">
        <w:rPr>
          <w:rFonts w:ascii="Times New Roman" w:hAnsi="Times New Roman"/>
        </w:rPr>
        <w:t xml:space="preserve">is set out at </w:t>
      </w:r>
      <w:r w:rsidRPr="00C26F6B">
        <w:rPr>
          <w:rFonts w:ascii="Times New Roman" w:hAnsi="Times New Roman"/>
          <w:u w:val="single"/>
        </w:rPr>
        <w:t>Attachment B.</w:t>
      </w:r>
    </w:p>
    <w:p w14:paraId="67CF5CF7" w14:textId="77777777" w:rsidR="00581B9F" w:rsidRPr="00C26F6B" w:rsidRDefault="00581B9F" w:rsidP="00581B9F">
      <w:pPr>
        <w:ind w:right="91"/>
        <w:jc w:val="right"/>
        <w:rPr>
          <w:rFonts w:ascii="Times New Roman" w:hAnsi="Times New Roman"/>
          <w:b/>
          <w:sz w:val="28"/>
          <w:szCs w:val="28"/>
        </w:rPr>
      </w:pPr>
      <w:r w:rsidRPr="00C26F6B">
        <w:rPr>
          <w:rFonts w:ascii="Times New Roman" w:hAnsi="Times New Roman"/>
          <w:b/>
          <w:sz w:val="28"/>
          <w:szCs w:val="28"/>
        </w:rPr>
        <w:lastRenderedPageBreak/>
        <w:t>Attachment A</w:t>
      </w:r>
    </w:p>
    <w:p w14:paraId="192E66DF" w14:textId="77777777" w:rsidR="00581B9F" w:rsidRPr="00C26F6B" w:rsidRDefault="00581B9F" w:rsidP="006D31A4">
      <w:pPr>
        <w:ind w:right="-711"/>
        <w:rPr>
          <w:rFonts w:ascii="Times New Roman" w:hAnsi="Times New Roman"/>
          <w:b/>
          <w:i/>
          <w:sz w:val="28"/>
          <w:szCs w:val="28"/>
        </w:rPr>
      </w:pPr>
      <w:r w:rsidRPr="00C26F6B">
        <w:rPr>
          <w:rFonts w:ascii="Times New Roman" w:hAnsi="Times New Roman"/>
          <w:b/>
          <w:sz w:val="28"/>
          <w:szCs w:val="28"/>
        </w:rPr>
        <w:t xml:space="preserve">Details of the </w:t>
      </w:r>
      <w:r w:rsidRPr="00C26F6B">
        <w:rPr>
          <w:rFonts w:ascii="Times New Roman" w:hAnsi="Times New Roman"/>
          <w:b/>
          <w:i/>
          <w:sz w:val="28"/>
          <w:szCs w:val="28"/>
        </w:rPr>
        <w:t>Telecommunications (Carrier Licence Conditions</w:t>
      </w:r>
      <w:r w:rsidRPr="00C26F6B">
        <w:rPr>
          <w:rFonts w:ascii="Times New Roman" w:hAnsi="Times New Roman"/>
          <w:b/>
          <w:i/>
          <w:sz w:val="28"/>
          <w:szCs w:val="28"/>
        </w:rPr>
        <w:softHyphen/>
        <w:t>—Telstra Corporation Limited) Amendment (Regional Service Information) Instrument 2021</w:t>
      </w:r>
    </w:p>
    <w:p w14:paraId="242D2526" w14:textId="77777777" w:rsidR="00581B9F" w:rsidRPr="00C26F6B" w:rsidRDefault="00581B9F" w:rsidP="00581B9F">
      <w:pPr>
        <w:widowControl w:val="0"/>
        <w:ind w:right="91"/>
        <w:rPr>
          <w:rFonts w:ascii="Times New Roman" w:eastAsiaTheme="minorHAnsi" w:hAnsi="Times New Roman"/>
          <w:b/>
          <w:kern w:val="24"/>
          <w:lang w:eastAsia="en-US"/>
        </w:rPr>
      </w:pPr>
      <w:r w:rsidRPr="00C26F6B">
        <w:rPr>
          <w:rFonts w:ascii="Times New Roman" w:eastAsiaTheme="minorHAnsi" w:hAnsi="Times New Roman"/>
          <w:b/>
          <w:kern w:val="24"/>
          <w:lang w:eastAsia="en-US"/>
        </w:rPr>
        <w:t>Section 1 – Name</w:t>
      </w:r>
    </w:p>
    <w:p w14:paraId="72F6D5C1" w14:textId="77777777" w:rsidR="00581B9F" w:rsidRPr="00C26F6B" w:rsidRDefault="00581B9F" w:rsidP="00581B9F">
      <w:pPr>
        <w:rPr>
          <w:rFonts w:ascii="Times New Roman" w:hAnsi="Times New Roman"/>
          <w:b/>
        </w:rPr>
      </w:pPr>
      <w:r w:rsidRPr="00C26F6B">
        <w:rPr>
          <w:rFonts w:ascii="Times New Roman" w:eastAsiaTheme="minorHAnsi" w:hAnsi="Times New Roman"/>
          <w:kern w:val="24"/>
          <w:lang w:eastAsia="en-US"/>
        </w:rPr>
        <w:t xml:space="preserve">This section provides that the name of the Amendment Instrument is the </w:t>
      </w:r>
      <w:r w:rsidRPr="00C26F6B">
        <w:rPr>
          <w:rFonts w:ascii="Times New Roman" w:hAnsi="Times New Roman"/>
          <w:i/>
        </w:rPr>
        <w:t>Telecommunications (Carrier Licence Conditions—Telstra Corporation Limited) Amendment (Regional Service Information) Instrument 2021</w:t>
      </w:r>
      <w:r w:rsidRPr="00C26F6B">
        <w:rPr>
          <w:rFonts w:ascii="Times New Roman" w:hAnsi="Times New Roman"/>
        </w:rPr>
        <w:t xml:space="preserve">. </w:t>
      </w:r>
    </w:p>
    <w:p w14:paraId="02733ABD" w14:textId="77777777" w:rsidR="00581B9F" w:rsidRPr="00C26F6B" w:rsidRDefault="00581B9F" w:rsidP="00581B9F">
      <w:pPr>
        <w:widowControl w:val="0"/>
        <w:ind w:right="91"/>
        <w:rPr>
          <w:rFonts w:ascii="Times New Roman" w:eastAsiaTheme="minorHAnsi" w:hAnsi="Times New Roman"/>
          <w:b/>
          <w:kern w:val="24"/>
          <w:lang w:eastAsia="en-US"/>
        </w:rPr>
      </w:pPr>
      <w:r w:rsidRPr="00C26F6B">
        <w:rPr>
          <w:rFonts w:ascii="Times New Roman" w:eastAsiaTheme="minorHAnsi" w:hAnsi="Times New Roman"/>
          <w:b/>
          <w:kern w:val="24"/>
          <w:lang w:eastAsia="en-US"/>
        </w:rPr>
        <w:t>Section 2 – Commencement</w:t>
      </w:r>
    </w:p>
    <w:p w14:paraId="19A10E3F" w14:textId="77777777" w:rsidR="00581B9F" w:rsidRPr="00C26F6B" w:rsidRDefault="00581B9F" w:rsidP="00581B9F">
      <w:pPr>
        <w:widowControl w:val="0"/>
        <w:ind w:right="91"/>
        <w:rPr>
          <w:rFonts w:ascii="Times New Roman" w:eastAsiaTheme="minorHAnsi" w:hAnsi="Times New Roman"/>
          <w:kern w:val="24"/>
          <w:lang w:eastAsia="en-US"/>
        </w:rPr>
      </w:pPr>
      <w:r w:rsidRPr="00C26F6B">
        <w:rPr>
          <w:rFonts w:ascii="Times New Roman" w:eastAsiaTheme="minorHAnsi" w:hAnsi="Times New Roman"/>
          <w:kern w:val="24"/>
          <w:lang w:eastAsia="en-US"/>
        </w:rPr>
        <w:t>This section provides for the Amendment Instrument to commence on the day after it is registered on the Federal Register of Legislation.</w:t>
      </w:r>
    </w:p>
    <w:p w14:paraId="52AC5976" w14:textId="77777777" w:rsidR="00581B9F" w:rsidRPr="00C26F6B" w:rsidRDefault="00581B9F" w:rsidP="00581B9F">
      <w:pPr>
        <w:widowControl w:val="0"/>
        <w:ind w:right="91"/>
        <w:rPr>
          <w:rFonts w:ascii="Times New Roman" w:eastAsiaTheme="minorHAnsi" w:hAnsi="Times New Roman"/>
          <w:b/>
          <w:kern w:val="24"/>
          <w:lang w:eastAsia="en-US"/>
        </w:rPr>
      </w:pPr>
      <w:r w:rsidRPr="00C26F6B">
        <w:rPr>
          <w:rFonts w:ascii="Times New Roman" w:eastAsiaTheme="minorHAnsi" w:hAnsi="Times New Roman"/>
          <w:b/>
          <w:kern w:val="24"/>
          <w:lang w:eastAsia="en-US"/>
        </w:rPr>
        <w:t xml:space="preserve">Section 3 – Authority </w:t>
      </w:r>
    </w:p>
    <w:p w14:paraId="38F0D4CA" w14:textId="77777777" w:rsidR="00581B9F" w:rsidRPr="00C26F6B" w:rsidRDefault="00581B9F" w:rsidP="00581B9F">
      <w:pPr>
        <w:widowControl w:val="0"/>
        <w:ind w:right="91"/>
        <w:rPr>
          <w:rFonts w:ascii="Times New Roman" w:eastAsiaTheme="minorHAnsi" w:hAnsi="Times New Roman"/>
          <w:kern w:val="24"/>
          <w:lang w:eastAsia="en-US"/>
        </w:rPr>
      </w:pPr>
      <w:r w:rsidRPr="00C26F6B">
        <w:rPr>
          <w:rFonts w:ascii="Times New Roman" w:eastAsiaTheme="minorHAnsi" w:hAnsi="Times New Roman"/>
          <w:kern w:val="24"/>
          <w:lang w:eastAsia="en-US"/>
        </w:rPr>
        <w:t xml:space="preserve">This section provides that the Amendment Instrument is made under subsection 63(5) of the </w:t>
      </w:r>
      <w:r w:rsidRPr="00C26F6B">
        <w:rPr>
          <w:rFonts w:ascii="Times New Roman" w:eastAsiaTheme="minorHAnsi" w:hAnsi="Times New Roman"/>
          <w:i/>
          <w:kern w:val="24"/>
          <w:lang w:eastAsia="en-US"/>
        </w:rPr>
        <w:t>Telecommunications Act 1997</w:t>
      </w:r>
      <w:r w:rsidRPr="00C26F6B">
        <w:rPr>
          <w:rFonts w:ascii="Times New Roman" w:eastAsiaTheme="minorHAnsi" w:hAnsi="Times New Roman"/>
          <w:kern w:val="24"/>
          <w:lang w:eastAsia="en-US"/>
        </w:rPr>
        <w:t xml:space="preserve">. </w:t>
      </w:r>
    </w:p>
    <w:p w14:paraId="0A2029D2" w14:textId="77777777" w:rsidR="00581B9F" w:rsidRPr="00C26F6B" w:rsidRDefault="00581B9F" w:rsidP="00581B9F">
      <w:pPr>
        <w:ind w:right="91"/>
        <w:rPr>
          <w:rFonts w:ascii="Times New Roman" w:hAnsi="Times New Roman"/>
          <w:b/>
        </w:rPr>
      </w:pPr>
      <w:r w:rsidRPr="00C26F6B">
        <w:rPr>
          <w:rFonts w:ascii="Times New Roman" w:eastAsiaTheme="minorHAnsi" w:hAnsi="Times New Roman"/>
          <w:b/>
          <w:kern w:val="24"/>
          <w:lang w:eastAsia="en-US"/>
        </w:rPr>
        <w:t>Section 4 – Schedules</w:t>
      </w:r>
    </w:p>
    <w:p w14:paraId="0EF10800" w14:textId="77777777" w:rsidR="00581B9F" w:rsidRPr="00C26F6B" w:rsidRDefault="00581B9F" w:rsidP="00581B9F">
      <w:pPr>
        <w:shd w:val="clear" w:color="auto" w:fill="FFFFFF"/>
        <w:ind w:right="91"/>
        <w:rPr>
          <w:rFonts w:ascii="Times New Roman" w:hAnsi="Times New Roman"/>
          <w:szCs w:val="22"/>
        </w:rPr>
      </w:pPr>
      <w:r w:rsidRPr="00C26F6B">
        <w:rPr>
          <w:rFonts w:ascii="Times New Roman" w:hAnsi="Times New Roman"/>
          <w:bCs/>
          <w:color w:val="000000"/>
          <w:szCs w:val="22"/>
        </w:rPr>
        <w:t xml:space="preserve">Section 4 provides that </w:t>
      </w:r>
      <w:r w:rsidRPr="00C26F6B">
        <w:rPr>
          <w:rFonts w:ascii="Times New Roman" w:hAnsi="Times New Roman"/>
          <w:szCs w:val="22"/>
        </w:rPr>
        <w:t xml:space="preserve">each instrument that is specified in a Schedule to this instrument is amended or repealed as set out in the applicable items in the Schedule concerned, and any other item in a </w:t>
      </w:r>
      <w:r w:rsidRPr="00C26F6B">
        <w:rPr>
          <w:rFonts w:ascii="Times New Roman" w:hAnsi="Times New Roman"/>
          <w:color w:val="000000"/>
          <w:szCs w:val="22"/>
        </w:rPr>
        <w:t>Schedule</w:t>
      </w:r>
      <w:r w:rsidRPr="00C26F6B">
        <w:rPr>
          <w:rFonts w:ascii="Times New Roman" w:hAnsi="Times New Roman"/>
          <w:szCs w:val="22"/>
        </w:rPr>
        <w:t xml:space="preserve"> to this instrument has effect according to its terms.</w:t>
      </w:r>
    </w:p>
    <w:p w14:paraId="4FCCB001" w14:textId="77777777" w:rsidR="00581B9F" w:rsidRPr="00C26F6B" w:rsidRDefault="00581B9F" w:rsidP="00581B9F">
      <w:pPr>
        <w:shd w:val="clear" w:color="auto" w:fill="FFFFFF"/>
        <w:ind w:right="91"/>
        <w:rPr>
          <w:rFonts w:ascii="Times New Roman" w:hAnsi="Times New Roman"/>
          <w:b/>
          <w:szCs w:val="22"/>
        </w:rPr>
      </w:pPr>
      <w:r w:rsidRPr="00C26F6B">
        <w:rPr>
          <w:rFonts w:ascii="Times New Roman" w:hAnsi="Times New Roman"/>
          <w:b/>
          <w:szCs w:val="22"/>
        </w:rPr>
        <w:t>Schedule 1 – Amendments</w:t>
      </w:r>
    </w:p>
    <w:p w14:paraId="7A89058E" w14:textId="77777777" w:rsidR="00581B9F" w:rsidRPr="00C26F6B" w:rsidRDefault="00581B9F" w:rsidP="00581B9F">
      <w:pPr>
        <w:shd w:val="clear" w:color="auto" w:fill="FFFFFF"/>
        <w:ind w:right="91"/>
        <w:rPr>
          <w:rFonts w:ascii="Times New Roman" w:hAnsi="Times New Roman"/>
          <w:b/>
          <w:i/>
          <w:szCs w:val="22"/>
        </w:rPr>
      </w:pPr>
      <w:r w:rsidRPr="00C26F6B">
        <w:rPr>
          <w:rFonts w:ascii="Times New Roman" w:hAnsi="Times New Roman"/>
          <w:b/>
          <w:i/>
          <w:szCs w:val="22"/>
        </w:rPr>
        <w:t>Telecommunications (Carrier Licence Conditions—Telstra Corporation Limited) Declaration 2019</w:t>
      </w:r>
    </w:p>
    <w:p w14:paraId="75A707B4" w14:textId="77777777" w:rsidR="00581B9F" w:rsidRPr="00C26F6B" w:rsidRDefault="00581B9F" w:rsidP="00581B9F">
      <w:pPr>
        <w:shd w:val="clear" w:color="auto" w:fill="FFFFFF"/>
        <w:ind w:right="91"/>
        <w:rPr>
          <w:rFonts w:ascii="Times New Roman" w:hAnsi="Times New Roman"/>
          <w:b/>
          <w:szCs w:val="22"/>
        </w:rPr>
      </w:pPr>
      <w:r w:rsidRPr="00C26F6B">
        <w:rPr>
          <w:rFonts w:ascii="Times New Roman" w:hAnsi="Times New Roman"/>
          <w:b/>
          <w:szCs w:val="22"/>
        </w:rPr>
        <w:t xml:space="preserve">Clause 1 </w:t>
      </w:r>
      <w:r w:rsidRPr="00C26F6B">
        <w:rPr>
          <w:rFonts w:ascii="Times New Roman" w:hAnsi="Times New Roman"/>
          <w:b/>
          <w:szCs w:val="22"/>
        </w:rPr>
        <w:tab/>
        <w:t>Section 4</w:t>
      </w:r>
    </w:p>
    <w:p w14:paraId="23DF6C9E" w14:textId="0D68B541" w:rsidR="00581B9F" w:rsidRPr="00C26F6B" w:rsidRDefault="00581B9F" w:rsidP="00581B9F">
      <w:pPr>
        <w:spacing w:line="276" w:lineRule="auto"/>
        <w:rPr>
          <w:rFonts w:ascii="Times New Roman" w:hAnsi="Times New Roman"/>
        </w:rPr>
      </w:pPr>
      <w:r w:rsidRPr="00C26F6B">
        <w:rPr>
          <w:rFonts w:ascii="Times New Roman" w:hAnsi="Times New Roman"/>
        </w:rPr>
        <w:t xml:space="preserve">Clause 1 inserts definitions for the terms </w:t>
      </w:r>
      <w:r w:rsidRPr="00C26F6B">
        <w:rPr>
          <w:rFonts w:ascii="Times New Roman" w:hAnsi="Times New Roman"/>
          <w:i/>
        </w:rPr>
        <w:t>CSG service</w:t>
      </w:r>
      <w:r w:rsidRPr="00C26F6B">
        <w:rPr>
          <w:rFonts w:ascii="Times New Roman" w:hAnsi="Times New Roman"/>
        </w:rPr>
        <w:t>,</w:t>
      </w:r>
      <w:r w:rsidRPr="00C26F6B">
        <w:rPr>
          <w:rFonts w:ascii="Times New Roman" w:hAnsi="Times New Roman"/>
          <w:i/>
        </w:rPr>
        <w:t xml:space="preserve"> CSG standard</w:t>
      </w:r>
      <w:r w:rsidRPr="00C26F6B">
        <w:rPr>
          <w:rFonts w:ascii="Times New Roman" w:hAnsi="Times New Roman"/>
        </w:rPr>
        <w:t>,</w:t>
      </w:r>
      <w:r w:rsidRPr="00C26F6B">
        <w:rPr>
          <w:rFonts w:ascii="Times New Roman" w:hAnsi="Times New Roman"/>
          <w:i/>
        </w:rPr>
        <w:t xml:space="preserve"> fault or service difficulty</w:t>
      </w:r>
      <w:r w:rsidRPr="00C26F6B">
        <w:rPr>
          <w:rFonts w:ascii="Times New Roman" w:hAnsi="Times New Roman"/>
        </w:rPr>
        <w:t>,</w:t>
      </w:r>
      <w:r w:rsidRPr="00C26F6B">
        <w:rPr>
          <w:rFonts w:ascii="Times New Roman" w:hAnsi="Times New Roman"/>
          <w:i/>
        </w:rPr>
        <w:t xml:space="preserve"> quarter </w:t>
      </w:r>
      <w:r w:rsidRPr="00C26F6B">
        <w:rPr>
          <w:rFonts w:ascii="Times New Roman" w:hAnsi="Times New Roman"/>
        </w:rPr>
        <w:t xml:space="preserve">and </w:t>
      </w:r>
      <w:r w:rsidRPr="00C26F6B">
        <w:rPr>
          <w:rFonts w:ascii="Times New Roman" w:hAnsi="Times New Roman"/>
          <w:i/>
        </w:rPr>
        <w:t xml:space="preserve">Secretary </w:t>
      </w:r>
      <w:r w:rsidRPr="00C26F6B">
        <w:rPr>
          <w:rFonts w:ascii="Times New Roman" w:hAnsi="Times New Roman"/>
        </w:rPr>
        <w:t xml:space="preserve">into </w:t>
      </w:r>
      <w:r w:rsidR="00386BA7">
        <w:rPr>
          <w:rFonts w:ascii="Times New Roman" w:hAnsi="Times New Roman"/>
        </w:rPr>
        <w:t>s</w:t>
      </w:r>
      <w:r w:rsidRPr="00C26F6B">
        <w:rPr>
          <w:rFonts w:ascii="Times New Roman" w:hAnsi="Times New Roman"/>
        </w:rPr>
        <w:t xml:space="preserve">ection 4 of the Original Instrument. </w:t>
      </w:r>
    </w:p>
    <w:p w14:paraId="4D56B659" w14:textId="53B7E2D9"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terms </w:t>
      </w:r>
      <w:r w:rsidRPr="00C26F6B">
        <w:rPr>
          <w:rFonts w:ascii="Times New Roman" w:hAnsi="Times New Roman"/>
          <w:i/>
        </w:rPr>
        <w:t>CSG service</w:t>
      </w:r>
      <w:r w:rsidRPr="00C26F6B">
        <w:rPr>
          <w:rFonts w:ascii="Times New Roman" w:hAnsi="Times New Roman"/>
        </w:rPr>
        <w:t xml:space="preserve">, </w:t>
      </w:r>
      <w:r w:rsidRPr="00C26F6B">
        <w:rPr>
          <w:rFonts w:ascii="Times New Roman" w:hAnsi="Times New Roman"/>
          <w:i/>
        </w:rPr>
        <w:t xml:space="preserve">fault or service difficulty </w:t>
      </w:r>
      <w:r w:rsidRPr="00C26F6B">
        <w:rPr>
          <w:rFonts w:ascii="Times New Roman" w:hAnsi="Times New Roman"/>
        </w:rPr>
        <w:t xml:space="preserve">and </w:t>
      </w:r>
      <w:r w:rsidRPr="00C26F6B">
        <w:rPr>
          <w:rFonts w:ascii="Times New Roman" w:hAnsi="Times New Roman"/>
          <w:i/>
        </w:rPr>
        <w:t xml:space="preserve">quarter </w:t>
      </w:r>
      <w:r w:rsidRPr="00C26F6B">
        <w:rPr>
          <w:rFonts w:ascii="Times New Roman" w:hAnsi="Times New Roman"/>
        </w:rPr>
        <w:t xml:space="preserve">are defined to mean the same as previously defined in </w:t>
      </w:r>
      <w:r w:rsidR="00386BA7">
        <w:rPr>
          <w:rFonts w:ascii="Times New Roman" w:hAnsi="Times New Roman"/>
        </w:rPr>
        <w:t>s</w:t>
      </w:r>
      <w:r w:rsidRPr="00C26F6B">
        <w:rPr>
          <w:rFonts w:ascii="Times New Roman" w:hAnsi="Times New Roman"/>
        </w:rPr>
        <w:t xml:space="preserve">ubsection 14(1) of the Original Instrument. These definitions are repealed from </w:t>
      </w:r>
      <w:r w:rsidR="00386BA7">
        <w:rPr>
          <w:rFonts w:ascii="Times New Roman" w:hAnsi="Times New Roman"/>
        </w:rPr>
        <w:t>s</w:t>
      </w:r>
      <w:r w:rsidRPr="00C26F6B">
        <w:rPr>
          <w:rFonts w:ascii="Times New Roman" w:hAnsi="Times New Roman"/>
        </w:rPr>
        <w:t xml:space="preserve">ubsection 14(1) by </w:t>
      </w:r>
      <w:r w:rsidR="00386BA7">
        <w:rPr>
          <w:rFonts w:ascii="Times New Roman" w:hAnsi="Times New Roman"/>
        </w:rPr>
        <w:t>c</w:t>
      </w:r>
      <w:r w:rsidRPr="00C26F6B">
        <w:rPr>
          <w:rFonts w:ascii="Times New Roman" w:hAnsi="Times New Roman"/>
        </w:rPr>
        <w:t xml:space="preserve">lause 3 of the Amendment Instrument. </w:t>
      </w:r>
    </w:p>
    <w:p w14:paraId="129E6314" w14:textId="53823CA1"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CSG Standard </w:t>
      </w:r>
      <w:r w:rsidRPr="00C26F6B">
        <w:rPr>
          <w:rFonts w:ascii="Times New Roman" w:hAnsi="Times New Roman"/>
        </w:rPr>
        <w:t xml:space="preserve">is defined to mean the </w:t>
      </w:r>
      <w:r w:rsidRPr="00C26F6B">
        <w:rPr>
          <w:rFonts w:ascii="Times New Roman" w:hAnsi="Times New Roman"/>
          <w:i/>
        </w:rPr>
        <w:t>Telecommunications (Customer Service Guarantee) Standard 2011</w:t>
      </w:r>
      <w:r w:rsidRPr="00C26F6B">
        <w:rPr>
          <w:rFonts w:ascii="Times New Roman" w:hAnsi="Times New Roman"/>
        </w:rPr>
        <w:t xml:space="preserve">, as previously set out in </w:t>
      </w:r>
      <w:r w:rsidR="00386BA7">
        <w:rPr>
          <w:rFonts w:ascii="Times New Roman" w:hAnsi="Times New Roman"/>
        </w:rPr>
        <w:t>i</w:t>
      </w:r>
      <w:r w:rsidRPr="00C26F6B">
        <w:rPr>
          <w:rFonts w:ascii="Times New Roman" w:hAnsi="Times New Roman"/>
        </w:rPr>
        <w:t xml:space="preserve">tem (1A) of Schedule 1 within the Original Instrument. Item (1A) is repealed by </w:t>
      </w:r>
      <w:r w:rsidR="00386BA7">
        <w:rPr>
          <w:rFonts w:ascii="Times New Roman" w:hAnsi="Times New Roman"/>
        </w:rPr>
        <w:t>c</w:t>
      </w:r>
      <w:r w:rsidRPr="00C26F6B">
        <w:rPr>
          <w:rFonts w:ascii="Times New Roman" w:hAnsi="Times New Roman"/>
        </w:rPr>
        <w:t xml:space="preserve">lause 4 of the Amendment Instrument. </w:t>
      </w:r>
    </w:p>
    <w:p w14:paraId="614BBB93" w14:textId="77777777"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Secretary </w:t>
      </w:r>
      <w:r w:rsidRPr="00C26F6B">
        <w:rPr>
          <w:rFonts w:ascii="Times New Roman" w:hAnsi="Times New Roman"/>
        </w:rPr>
        <w:t xml:space="preserve">is defined to mean the Secretary of the Department of Infrastructure, Transport, Regional Development and Communications (the Department). </w:t>
      </w:r>
    </w:p>
    <w:p w14:paraId="75966C2B" w14:textId="77777777" w:rsidR="007D5A91" w:rsidRDefault="007D5A91" w:rsidP="00581B9F">
      <w:pPr>
        <w:spacing w:line="276" w:lineRule="auto"/>
        <w:rPr>
          <w:rFonts w:ascii="Times New Roman" w:hAnsi="Times New Roman"/>
          <w:b/>
        </w:rPr>
      </w:pPr>
    </w:p>
    <w:p w14:paraId="3167D0EB" w14:textId="77777777" w:rsidR="00581B9F" w:rsidRPr="00C26F6B" w:rsidRDefault="00581B9F" w:rsidP="00581B9F">
      <w:pPr>
        <w:spacing w:line="276" w:lineRule="auto"/>
        <w:rPr>
          <w:rFonts w:ascii="Times New Roman" w:hAnsi="Times New Roman"/>
          <w:b/>
        </w:rPr>
      </w:pPr>
      <w:r w:rsidRPr="00C26F6B">
        <w:rPr>
          <w:rFonts w:ascii="Times New Roman" w:hAnsi="Times New Roman"/>
          <w:b/>
        </w:rPr>
        <w:lastRenderedPageBreak/>
        <w:t xml:space="preserve">Clause 2 </w:t>
      </w:r>
      <w:r w:rsidRPr="00C26F6B">
        <w:rPr>
          <w:rFonts w:ascii="Times New Roman" w:hAnsi="Times New Roman"/>
          <w:b/>
        </w:rPr>
        <w:tab/>
      </w:r>
      <w:r>
        <w:rPr>
          <w:rFonts w:ascii="Times New Roman" w:hAnsi="Times New Roman"/>
          <w:b/>
        </w:rPr>
        <w:t>After section 11</w:t>
      </w:r>
    </w:p>
    <w:p w14:paraId="76C68B07" w14:textId="664F950F" w:rsidR="00581B9F" w:rsidRPr="00C26F6B" w:rsidRDefault="00581B9F" w:rsidP="00581B9F">
      <w:pPr>
        <w:spacing w:line="276" w:lineRule="auto"/>
        <w:rPr>
          <w:rFonts w:ascii="Times New Roman" w:hAnsi="Times New Roman"/>
        </w:rPr>
      </w:pPr>
      <w:r w:rsidRPr="00C26F6B">
        <w:rPr>
          <w:rFonts w:ascii="Times New Roman" w:hAnsi="Times New Roman"/>
        </w:rPr>
        <w:t>Clause 2 inserts the additional carrier licence conditions into the Original Instrument. The additional requirements are set out in</w:t>
      </w:r>
      <w:r w:rsidR="00EA35D9">
        <w:rPr>
          <w:rFonts w:ascii="Times New Roman" w:hAnsi="Times New Roman"/>
        </w:rPr>
        <w:t xml:space="preserve"> six</w:t>
      </w:r>
      <w:r w:rsidRPr="00C26F6B">
        <w:rPr>
          <w:rFonts w:ascii="Times New Roman" w:hAnsi="Times New Roman"/>
        </w:rPr>
        <w:t xml:space="preserve"> </w:t>
      </w:r>
      <w:r w:rsidR="007D5A91">
        <w:rPr>
          <w:rFonts w:ascii="Times New Roman" w:hAnsi="Times New Roman"/>
        </w:rPr>
        <w:t xml:space="preserve">new </w:t>
      </w:r>
      <w:r w:rsidRPr="00C26F6B">
        <w:rPr>
          <w:rFonts w:ascii="Times New Roman" w:hAnsi="Times New Roman"/>
        </w:rPr>
        <w:t>sections (1</w:t>
      </w:r>
      <w:r w:rsidR="00EA35D9">
        <w:rPr>
          <w:rFonts w:ascii="Times New Roman" w:hAnsi="Times New Roman"/>
        </w:rPr>
        <w:t>1</w:t>
      </w:r>
      <w:r w:rsidRPr="00C26F6B">
        <w:rPr>
          <w:rFonts w:ascii="Times New Roman" w:hAnsi="Times New Roman"/>
        </w:rPr>
        <w:t>A to 1</w:t>
      </w:r>
      <w:r w:rsidR="00EA35D9">
        <w:rPr>
          <w:rFonts w:ascii="Times New Roman" w:hAnsi="Times New Roman"/>
        </w:rPr>
        <w:t>1F</w:t>
      </w:r>
      <w:r w:rsidRPr="00C26F6B">
        <w:rPr>
          <w:rFonts w:ascii="Times New Roman" w:hAnsi="Times New Roman"/>
        </w:rPr>
        <w:t>) inserted after section 1</w:t>
      </w:r>
      <w:r w:rsidR="00EA35D9">
        <w:rPr>
          <w:rFonts w:ascii="Times New Roman" w:hAnsi="Times New Roman"/>
        </w:rPr>
        <w:t>1</w:t>
      </w:r>
      <w:r w:rsidRPr="00C26F6B">
        <w:rPr>
          <w:rFonts w:ascii="Times New Roman" w:hAnsi="Times New Roman"/>
        </w:rPr>
        <w:t xml:space="preserve"> of the Original Instrument. </w:t>
      </w:r>
    </w:p>
    <w:p w14:paraId="39D08C92" w14:textId="480F3690" w:rsidR="00581B9F" w:rsidRPr="00C26F6B" w:rsidRDefault="00581B9F" w:rsidP="00581B9F">
      <w:pPr>
        <w:spacing w:line="276" w:lineRule="auto"/>
        <w:rPr>
          <w:rFonts w:ascii="Times New Roman" w:hAnsi="Times New Roman"/>
          <w:u w:val="single"/>
        </w:rPr>
      </w:pPr>
      <w:r w:rsidRPr="00C26F6B">
        <w:rPr>
          <w:rFonts w:ascii="Times New Roman" w:hAnsi="Times New Roman"/>
          <w:u w:val="single"/>
        </w:rPr>
        <w:t>Section 1</w:t>
      </w:r>
      <w:r w:rsidR="00F01B9A">
        <w:rPr>
          <w:rFonts w:ascii="Times New Roman" w:hAnsi="Times New Roman"/>
          <w:u w:val="single"/>
        </w:rPr>
        <w:t>1</w:t>
      </w:r>
      <w:r w:rsidRPr="00C26F6B">
        <w:rPr>
          <w:rFonts w:ascii="Times New Roman" w:hAnsi="Times New Roman"/>
          <w:u w:val="single"/>
        </w:rPr>
        <w:t xml:space="preserve">A – Preliminary provisions </w:t>
      </w:r>
    </w:p>
    <w:p w14:paraId="10AD8ECA" w14:textId="465CBD69" w:rsidR="00581B9F" w:rsidRPr="00C26F6B" w:rsidRDefault="00A9646A" w:rsidP="00581B9F">
      <w:pPr>
        <w:spacing w:line="276" w:lineRule="auto"/>
        <w:rPr>
          <w:rFonts w:ascii="Times New Roman" w:hAnsi="Times New Roman"/>
        </w:rPr>
      </w:pPr>
      <w:r>
        <w:rPr>
          <w:rFonts w:ascii="Times New Roman" w:hAnsi="Times New Roman"/>
        </w:rPr>
        <w:t>S</w:t>
      </w:r>
      <w:r w:rsidRPr="00C26F6B">
        <w:rPr>
          <w:rFonts w:ascii="Times New Roman" w:hAnsi="Times New Roman"/>
        </w:rPr>
        <w:t xml:space="preserve">ection </w:t>
      </w:r>
      <w:r>
        <w:rPr>
          <w:rFonts w:ascii="Times New Roman" w:hAnsi="Times New Roman"/>
        </w:rPr>
        <w:t xml:space="preserve">11A </w:t>
      </w:r>
      <w:r w:rsidR="00581B9F" w:rsidRPr="00C26F6B">
        <w:rPr>
          <w:rFonts w:ascii="Times New Roman" w:hAnsi="Times New Roman"/>
        </w:rPr>
        <w:t>provides preliminary provisions for the purposes of sections 1</w:t>
      </w:r>
      <w:r w:rsidR="00F01B9A">
        <w:rPr>
          <w:rFonts w:ascii="Times New Roman" w:hAnsi="Times New Roman"/>
        </w:rPr>
        <w:t>1A</w:t>
      </w:r>
      <w:r w:rsidR="00581B9F" w:rsidRPr="00C26F6B">
        <w:rPr>
          <w:rFonts w:ascii="Times New Roman" w:hAnsi="Times New Roman"/>
        </w:rPr>
        <w:t xml:space="preserve"> to 1</w:t>
      </w:r>
      <w:r w:rsidR="00F01B9A">
        <w:rPr>
          <w:rFonts w:ascii="Times New Roman" w:hAnsi="Times New Roman"/>
        </w:rPr>
        <w:t>1F</w:t>
      </w:r>
      <w:r w:rsidR="00581B9F" w:rsidRPr="00C26F6B">
        <w:rPr>
          <w:rFonts w:ascii="Times New Roman" w:hAnsi="Times New Roman"/>
        </w:rPr>
        <w:t>. Subsection 1</w:t>
      </w:r>
      <w:r w:rsidR="00F01B9A">
        <w:rPr>
          <w:rFonts w:ascii="Times New Roman" w:hAnsi="Times New Roman"/>
        </w:rPr>
        <w:t>1</w:t>
      </w:r>
      <w:r w:rsidR="00581B9F" w:rsidRPr="00C26F6B">
        <w:rPr>
          <w:rFonts w:ascii="Times New Roman" w:hAnsi="Times New Roman"/>
        </w:rPr>
        <w:t xml:space="preserve">A(1) sets out specific definitions for terminology used in </w:t>
      </w:r>
      <w:r w:rsidR="00386BA7">
        <w:rPr>
          <w:rFonts w:ascii="Times New Roman" w:hAnsi="Times New Roman"/>
        </w:rPr>
        <w:t>s</w:t>
      </w:r>
      <w:r w:rsidR="00581B9F" w:rsidRPr="00C26F6B">
        <w:rPr>
          <w:rFonts w:ascii="Times New Roman" w:hAnsi="Times New Roman"/>
        </w:rPr>
        <w:t>ections 1</w:t>
      </w:r>
      <w:r w:rsidR="00F01B9A">
        <w:rPr>
          <w:rFonts w:ascii="Times New Roman" w:hAnsi="Times New Roman"/>
        </w:rPr>
        <w:t>1A</w:t>
      </w:r>
      <w:r w:rsidR="00581B9F" w:rsidRPr="00C26F6B">
        <w:rPr>
          <w:rFonts w:ascii="Times New Roman" w:hAnsi="Times New Roman"/>
        </w:rPr>
        <w:t xml:space="preserve"> to 1</w:t>
      </w:r>
      <w:r w:rsidR="00F01B9A">
        <w:rPr>
          <w:rFonts w:ascii="Times New Roman" w:hAnsi="Times New Roman"/>
        </w:rPr>
        <w:t>1F</w:t>
      </w:r>
      <w:r w:rsidR="00581B9F" w:rsidRPr="00C26F6B">
        <w:rPr>
          <w:rFonts w:ascii="Times New Roman" w:hAnsi="Times New Roman"/>
        </w:rPr>
        <w:t xml:space="preserve"> that is not defined in other sections of the Original Instrument. </w:t>
      </w:r>
    </w:p>
    <w:p w14:paraId="6D4B9560" w14:textId="77777777"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another network </w:t>
      </w:r>
      <w:r w:rsidRPr="00C26F6B">
        <w:rPr>
          <w:rFonts w:ascii="Times New Roman" w:hAnsi="Times New Roman"/>
        </w:rPr>
        <w:t xml:space="preserve">is defined to mean any telecommunications network other than a Telstra network or the national broadband network (NBN). </w:t>
      </w:r>
    </w:p>
    <w:p w14:paraId="07AE7459" w14:textId="77777777"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appointment </w:t>
      </w:r>
      <w:r w:rsidRPr="00C26F6B">
        <w:rPr>
          <w:rFonts w:ascii="Times New Roman" w:hAnsi="Times New Roman"/>
        </w:rPr>
        <w:t xml:space="preserve">is clarified to be an appointment for either the connection of a service or the rectification of a fault or service difficulty. </w:t>
      </w:r>
    </w:p>
    <w:p w14:paraId="4AB2202C" w14:textId="6D090FD6" w:rsidR="00581B9F" w:rsidRPr="00C26F6B" w:rsidRDefault="00581B9F" w:rsidP="00581B9F">
      <w:pPr>
        <w:spacing w:line="276" w:lineRule="auto"/>
        <w:rPr>
          <w:rFonts w:ascii="Times New Roman" w:hAnsi="Times New Roman"/>
        </w:rPr>
      </w:pPr>
      <w:r w:rsidRPr="00C26F6B">
        <w:rPr>
          <w:rFonts w:ascii="Times New Roman" w:hAnsi="Times New Roman"/>
        </w:rPr>
        <w:t xml:space="preserve">An </w:t>
      </w:r>
      <w:r w:rsidRPr="00C26F6B">
        <w:rPr>
          <w:rFonts w:ascii="Times New Roman" w:hAnsi="Times New Roman"/>
          <w:i/>
        </w:rPr>
        <w:t xml:space="preserve">authorised officer </w:t>
      </w:r>
      <w:r w:rsidRPr="00C26F6B">
        <w:rPr>
          <w:rFonts w:ascii="Times New Roman" w:hAnsi="Times New Roman"/>
        </w:rPr>
        <w:t>is clarified to mean an SES employee or acting SES employee</w:t>
      </w:r>
      <w:r w:rsidR="00CF70E1">
        <w:rPr>
          <w:rFonts w:ascii="Times New Roman" w:hAnsi="Times New Roman"/>
        </w:rPr>
        <w:t xml:space="preserve"> </w:t>
      </w:r>
      <w:r w:rsidRPr="00C26F6B">
        <w:rPr>
          <w:rFonts w:ascii="Times New Roman" w:hAnsi="Times New Roman"/>
        </w:rPr>
        <w:t>in the Department who is designated by the Secretary for the purpose of the additional reporting requirements. If designated, an authorised officer may act on behalf of the Secretary by receiving reports from Telstra, notifying Telstra of specific requirements such as regarding the form and manner of reporting, and approving relevant requests from Telstra related to the timeliness, form and manner of reporting. Subsection 1</w:t>
      </w:r>
      <w:r w:rsidR="00F01B9A">
        <w:rPr>
          <w:rFonts w:ascii="Times New Roman" w:hAnsi="Times New Roman"/>
        </w:rPr>
        <w:t>1</w:t>
      </w:r>
      <w:r w:rsidRPr="00C26F6B">
        <w:rPr>
          <w:rFonts w:ascii="Times New Roman" w:hAnsi="Times New Roman"/>
        </w:rPr>
        <w:t>A(2) establishes that the Secretary must designate authorised officers by written notice given to Telstra</w:t>
      </w:r>
      <w:r w:rsidR="00CF70E1">
        <w:rPr>
          <w:rFonts w:ascii="Times New Roman" w:hAnsi="Times New Roman"/>
        </w:rPr>
        <w:t xml:space="preserve">, and notes that the terms SES employee and acting SES employee are defined in </w:t>
      </w:r>
      <w:r w:rsidR="00386BA7">
        <w:rPr>
          <w:rFonts w:ascii="Times New Roman" w:hAnsi="Times New Roman"/>
        </w:rPr>
        <w:t>s</w:t>
      </w:r>
      <w:r w:rsidR="00CF70E1">
        <w:rPr>
          <w:rFonts w:ascii="Times New Roman" w:hAnsi="Times New Roman"/>
        </w:rPr>
        <w:t xml:space="preserve">ection 2B of the </w:t>
      </w:r>
      <w:r w:rsidR="00CF70E1">
        <w:rPr>
          <w:rFonts w:ascii="Times New Roman" w:hAnsi="Times New Roman"/>
          <w:i/>
        </w:rPr>
        <w:t>Acts Interpretation Act 1901</w:t>
      </w:r>
      <w:r w:rsidR="00386BA7">
        <w:rPr>
          <w:rFonts w:ascii="Times New Roman" w:hAnsi="Times New Roman"/>
        </w:rPr>
        <w:t>.</w:t>
      </w:r>
      <w:r w:rsidR="00CF70E1" w:rsidRPr="00C26F6B">
        <w:rPr>
          <w:rFonts w:ascii="Times New Roman" w:hAnsi="Times New Roman"/>
        </w:rPr>
        <w:t xml:space="preserve"> </w:t>
      </w:r>
      <w:r w:rsidR="00CF70E1">
        <w:rPr>
          <w:rFonts w:ascii="Times New Roman" w:hAnsi="Times New Roman"/>
        </w:rPr>
        <w:t xml:space="preserve"> </w:t>
      </w:r>
    </w:p>
    <w:p w14:paraId="2E890769" w14:textId="259FA82F"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complaint </w:t>
      </w:r>
      <w:r w:rsidRPr="00C26F6B">
        <w:rPr>
          <w:rFonts w:ascii="Times New Roman" w:hAnsi="Times New Roman"/>
        </w:rPr>
        <w:t xml:space="preserve">is defined to mean an expression of dissatisfaction made to Telstra about either a service or the complaints handling process itself, where a response or resolution is expected by the customer. This is clarified as not including an initial call by the customer to request support or information, or to report a fault or service difficulty, unless the customer advises that they want the call to be treated as a complaint. The term does not </w:t>
      </w:r>
      <w:r w:rsidR="00386BA7">
        <w:rPr>
          <w:rFonts w:ascii="Times New Roman" w:hAnsi="Times New Roman"/>
        </w:rPr>
        <w:t>apply</w:t>
      </w:r>
      <w:r w:rsidRPr="00C26F6B">
        <w:rPr>
          <w:rFonts w:ascii="Times New Roman" w:hAnsi="Times New Roman"/>
        </w:rPr>
        <w:t xml:space="preserve"> to any issue that is the subject of legal action. </w:t>
      </w:r>
    </w:p>
    <w:p w14:paraId="59EE0F4D" w14:textId="23E45E5E" w:rsidR="00581B9F" w:rsidRDefault="00581B9F" w:rsidP="00581B9F">
      <w:pPr>
        <w:spacing w:line="276" w:lineRule="auto"/>
        <w:rPr>
          <w:rFonts w:ascii="Times New Roman" w:hAnsi="Times New Roman"/>
        </w:rPr>
      </w:pPr>
      <w:r w:rsidRPr="00C26F6B">
        <w:rPr>
          <w:rFonts w:ascii="Times New Roman" w:hAnsi="Times New Roman"/>
        </w:rPr>
        <w:t xml:space="preserve">The definition for </w:t>
      </w:r>
      <w:r w:rsidRPr="00C26F6B">
        <w:rPr>
          <w:rFonts w:ascii="Times New Roman" w:hAnsi="Times New Roman"/>
          <w:i/>
        </w:rPr>
        <w:t xml:space="preserve">complaint category </w:t>
      </w:r>
      <w:r w:rsidRPr="00C26F6B">
        <w:rPr>
          <w:rFonts w:ascii="Times New Roman" w:hAnsi="Times New Roman"/>
        </w:rPr>
        <w:t>sets out the various kinds of complaints that are cover</w:t>
      </w:r>
      <w:r>
        <w:rPr>
          <w:rFonts w:ascii="Times New Roman" w:hAnsi="Times New Roman"/>
        </w:rPr>
        <w:t xml:space="preserve">ed under </w:t>
      </w:r>
      <w:r w:rsidR="00386BA7">
        <w:rPr>
          <w:rFonts w:ascii="Times New Roman" w:hAnsi="Times New Roman"/>
        </w:rPr>
        <w:t>s</w:t>
      </w:r>
      <w:r>
        <w:rPr>
          <w:rFonts w:ascii="Times New Roman" w:hAnsi="Times New Roman"/>
        </w:rPr>
        <w:t xml:space="preserve">ection </w:t>
      </w:r>
      <w:r w:rsidR="00A2212A">
        <w:rPr>
          <w:rFonts w:ascii="Times New Roman" w:hAnsi="Times New Roman"/>
        </w:rPr>
        <w:t>11</w:t>
      </w:r>
      <w:r w:rsidR="00386BA7">
        <w:rPr>
          <w:rFonts w:ascii="Times New Roman" w:hAnsi="Times New Roman"/>
        </w:rPr>
        <w:t>E</w:t>
      </w:r>
      <w:r>
        <w:rPr>
          <w:rFonts w:ascii="Times New Roman" w:hAnsi="Times New Roman"/>
        </w:rPr>
        <w:t>(</w:t>
      </w:r>
      <w:r w:rsidR="00CF70E1">
        <w:rPr>
          <w:rFonts w:ascii="Times New Roman" w:hAnsi="Times New Roman"/>
        </w:rPr>
        <w:t>12</w:t>
      </w:r>
      <w:r>
        <w:rPr>
          <w:rFonts w:ascii="Times New Roman" w:hAnsi="Times New Roman"/>
        </w:rPr>
        <w:t xml:space="preserve">) of the Amendment Instrument. Following feedback from Telstra during formal consultation, the categorisation originally proposed was amended to better match Telstra’s existing complaint handling systems. The requirement </w:t>
      </w:r>
      <w:r w:rsidR="008E0CB8">
        <w:rPr>
          <w:rFonts w:ascii="Times New Roman" w:hAnsi="Times New Roman"/>
        </w:rPr>
        <w:t>covers</w:t>
      </w:r>
      <w:r>
        <w:rPr>
          <w:rFonts w:ascii="Times New Roman" w:hAnsi="Times New Roman"/>
        </w:rPr>
        <w:t xml:space="preserve"> complaints related to:</w:t>
      </w:r>
    </w:p>
    <w:p w14:paraId="1CCDD3BE" w14:textId="03BDDA3D" w:rsidR="00581B9F" w:rsidRDefault="00CA5A75" w:rsidP="00581B9F">
      <w:pPr>
        <w:pStyle w:val="ListParagraph"/>
        <w:numPr>
          <w:ilvl w:val="0"/>
          <w:numId w:val="39"/>
        </w:numPr>
        <w:spacing w:line="276" w:lineRule="auto"/>
        <w:rPr>
          <w:color w:val="000000" w:themeColor="text1"/>
        </w:rPr>
      </w:pPr>
      <w:r>
        <w:rPr>
          <w:color w:val="000000" w:themeColor="text1"/>
        </w:rPr>
        <w:t>s</w:t>
      </w:r>
      <w:r w:rsidR="00581B9F">
        <w:rPr>
          <w:color w:val="000000" w:themeColor="text1"/>
        </w:rPr>
        <w:t>ales and orders, such as complaints about connection delays, unprocessed service disconnections, technician appointments, a lack of clear information provided at point of sale, or changing providers (e.g. number por</w:t>
      </w:r>
      <w:r w:rsidR="00EF25EF">
        <w:rPr>
          <w:color w:val="000000" w:themeColor="text1"/>
        </w:rPr>
        <w:t xml:space="preserve">ting or customer churn); </w:t>
      </w:r>
    </w:p>
    <w:p w14:paraId="1F40E08A" w14:textId="2569FCFA" w:rsidR="00581B9F" w:rsidRDefault="00CA5A75" w:rsidP="00581B9F">
      <w:pPr>
        <w:pStyle w:val="ListParagraph"/>
        <w:numPr>
          <w:ilvl w:val="0"/>
          <w:numId w:val="39"/>
        </w:numPr>
        <w:spacing w:line="276" w:lineRule="auto"/>
        <w:rPr>
          <w:color w:val="000000" w:themeColor="text1"/>
        </w:rPr>
      </w:pPr>
      <w:r>
        <w:rPr>
          <w:color w:val="000000" w:themeColor="text1"/>
        </w:rPr>
        <w:t>b</w:t>
      </w:r>
      <w:r w:rsidR="00581B9F">
        <w:rPr>
          <w:color w:val="000000" w:themeColor="text1"/>
        </w:rPr>
        <w:t>illing and accounts, such as complaints about refund or credit owed, credit management action, billing o</w:t>
      </w:r>
      <w:r w:rsidR="00EF25EF">
        <w:rPr>
          <w:color w:val="000000" w:themeColor="text1"/>
        </w:rPr>
        <w:t xml:space="preserve">r payment, or privacy or fraud; </w:t>
      </w:r>
    </w:p>
    <w:p w14:paraId="16F2D0AC" w14:textId="6E1AB9BE" w:rsidR="00581B9F" w:rsidRDefault="00CA5A75" w:rsidP="00581B9F">
      <w:pPr>
        <w:pStyle w:val="ListParagraph"/>
        <w:numPr>
          <w:ilvl w:val="0"/>
          <w:numId w:val="39"/>
        </w:numPr>
        <w:spacing w:line="276" w:lineRule="auto"/>
        <w:rPr>
          <w:color w:val="000000" w:themeColor="text1"/>
        </w:rPr>
      </w:pPr>
      <w:r>
        <w:rPr>
          <w:color w:val="000000" w:themeColor="text1"/>
        </w:rPr>
        <w:lastRenderedPageBreak/>
        <w:t>f</w:t>
      </w:r>
      <w:r w:rsidR="00581B9F">
        <w:rPr>
          <w:color w:val="000000" w:themeColor="text1"/>
        </w:rPr>
        <w:t>aults, including complaints about no service, in</w:t>
      </w:r>
      <w:r w:rsidR="00EF25EF">
        <w:rPr>
          <w:color w:val="000000" w:themeColor="text1"/>
        </w:rPr>
        <w:t xml:space="preserve">termittent service or drop outs; and </w:t>
      </w:r>
      <w:r w:rsidR="00581B9F">
        <w:rPr>
          <w:color w:val="000000" w:themeColor="text1"/>
        </w:rPr>
        <w:t xml:space="preserve"> </w:t>
      </w:r>
    </w:p>
    <w:p w14:paraId="7C3C1559" w14:textId="77777777" w:rsidR="00581B9F" w:rsidRPr="00F81CDD" w:rsidRDefault="00581B9F" w:rsidP="00581B9F">
      <w:pPr>
        <w:pStyle w:val="ListParagraph"/>
        <w:numPr>
          <w:ilvl w:val="0"/>
          <w:numId w:val="39"/>
        </w:numPr>
        <w:spacing w:line="276" w:lineRule="auto"/>
        <w:rPr>
          <w:color w:val="000000" w:themeColor="text1"/>
        </w:rPr>
      </w:pPr>
      <w:r>
        <w:rPr>
          <w:color w:val="000000" w:themeColor="text1"/>
        </w:rPr>
        <w:t>Telstra being uncontactable or difficult to contact.</w:t>
      </w:r>
    </w:p>
    <w:p w14:paraId="00ECCC04" w14:textId="716CCC6E" w:rsidR="00F93BF9"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contact </w:t>
      </w:r>
      <w:r w:rsidRPr="00C26F6B">
        <w:rPr>
          <w:rFonts w:ascii="Times New Roman" w:hAnsi="Times New Roman"/>
        </w:rPr>
        <w:t xml:space="preserve">is defined to mean any call, online chat session, </w:t>
      </w:r>
      <w:r w:rsidR="00511FD0">
        <w:rPr>
          <w:rFonts w:ascii="Times New Roman" w:hAnsi="Times New Roman"/>
        </w:rPr>
        <w:t>email exchange or message exchange</w:t>
      </w:r>
      <w:r w:rsidRPr="00C26F6B">
        <w:rPr>
          <w:rFonts w:ascii="Times New Roman" w:hAnsi="Times New Roman"/>
        </w:rPr>
        <w:t xml:space="preserve"> where Telstra operates a formal channel to provide support or sales assistance in relation to a service. For contact via an email or series of emails, this includes any instance where an email is generated by a form on Telstra’s website or other systems. </w:t>
      </w:r>
      <w:r w:rsidR="00511FD0">
        <w:rPr>
          <w:rFonts w:ascii="Times New Roman" w:hAnsi="Times New Roman"/>
        </w:rPr>
        <w:t xml:space="preserve">Telstra may be expected to be contacted for a variety of reasons, including requests for it to connect, cancel or </w:t>
      </w:r>
      <w:r w:rsidR="00511FD0" w:rsidRPr="00C26F6B">
        <w:rPr>
          <w:rFonts w:ascii="Times New Roman" w:hAnsi="Times New Roman"/>
        </w:rPr>
        <w:t>relocate a service, make or change an appointment, or activate or deactivate a particular feature of a service</w:t>
      </w:r>
      <w:r w:rsidR="00511FD0">
        <w:rPr>
          <w:rFonts w:ascii="Times New Roman" w:hAnsi="Times New Roman"/>
        </w:rPr>
        <w:t xml:space="preserve">. It may also be contacted by a consumer wanting to report a fault or service difficulty, or enquire about service terms and conditions, customer equipment, and billing or charging. </w:t>
      </w:r>
    </w:p>
    <w:p w14:paraId="2A7B650D" w14:textId="770A3C9F" w:rsidR="00913BAB" w:rsidRDefault="00805D82" w:rsidP="00581B9F">
      <w:pPr>
        <w:spacing w:line="276" w:lineRule="auto"/>
        <w:rPr>
          <w:rFonts w:ascii="Times New Roman" w:hAnsi="Times New Roman"/>
        </w:rPr>
      </w:pPr>
      <w:r>
        <w:rPr>
          <w:rFonts w:ascii="Times New Roman" w:hAnsi="Times New Roman"/>
        </w:rPr>
        <w:t xml:space="preserve">The scope of contacts covered under </w:t>
      </w:r>
      <w:r w:rsidR="009D644E">
        <w:rPr>
          <w:rFonts w:ascii="Times New Roman" w:hAnsi="Times New Roman"/>
        </w:rPr>
        <w:t>this definition</w:t>
      </w:r>
      <w:r>
        <w:rPr>
          <w:rFonts w:ascii="Times New Roman" w:hAnsi="Times New Roman"/>
        </w:rPr>
        <w:t xml:space="preserve"> was </w:t>
      </w:r>
      <w:r w:rsidR="002F76AE">
        <w:rPr>
          <w:rFonts w:ascii="Times New Roman" w:hAnsi="Times New Roman"/>
        </w:rPr>
        <w:t xml:space="preserve">further </w:t>
      </w:r>
      <w:r>
        <w:rPr>
          <w:rFonts w:ascii="Times New Roman" w:hAnsi="Times New Roman"/>
        </w:rPr>
        <w:t xml:space="preserve">considered and adjusted </w:t>
      </w:r>
      <w:r w:rsidR="009D644E">
        <w:rPr>
          <w:rFonts w:ascii="Times New Roman" w:hAnsi="Times New Roman"/>
        </w:rPr>
        <w:t xml:space="preserve">in the final Amendment Instrument </w:t>
      </w:r>
      <w:r>
        <w:rPr>
          <w:rFonts w:ascii="Times New Roman" w:hAnsi="Times New Roman"/>
        </w:rPr>
        <w:t>following consultation with stakeholders.</w:t>
      </w:r>
      <w:r w:rsidR="00F93BF9">
        <w:rPr>
          <w:rFonts w:ascii="Times New Roman" w:hAnsi="Times New Roman"/>
        </w:rPr>
        <w:t xml:space="preserve"> ICPA considered that the definition should include text messages where it is possible for a customer to utilise this form of contact. </w:t>
      </w:r>
      <w:r w:rsidR="00FC5A08">
        <w:rPr>
          <w:rFonts w:ascii="Times New Roman" w:hAnsi="Times New Roman"/>
        </w:rPr>
        <w:t>While Telstra indicated it does not presently offer</w:t>
      </w:r>
      <w:r w:rsidR="00F93BF9">
        <w:rPr>
          <w:rFonts w:ascii="Times New Roman" w:hAnsi="Times New Roman"/>
        </w:rPr>
        <w:t xml:space="preserve"> text messaging, or live chat, as primary forms of contact, </w:t>
      </w:r>
      <w:r w:rsidR="00FC5A08">
        <w:rPr>
          <w:rFonts w:ascii="Times New Roman" w:hAnsi="Times New Roman"/>
        </w:rPr>
        <w:t xml:space="preserve">the term ‘chat or messaging’ has been adopted to ensure that the reporting requirements cover </w:t>
      </w:r>
      <w:r w:rsidR="00F93BF9">
        <w:rPr>
          <w:rFonts w:ascii="Times New Roman" w:hAnsi="Times New Roman"/>
        </w:rPr>
        <w:t>these forms of contact</w:t>
      </w:r>
      <w:r w:rsidR="00FC5A08">
        <w:rPr>
          <w:rFonts w:ascii="Times New Roman" w:hAnsi="Times New Roman"/>
        </w:rPr>
        <w:t xml:space="preserve"> if Telstra does </w:t>
      </w:r>
      <w:r w:rsidR="00F93BF9">
        <w:rPr>
          <w:rFonts w:ascii="Times New Roman" w:hAnsi="Times New Roman"/>
        </w:rPr>
        <w:t>offer them</w:t>
      </w:r>
      <w:r w:rsidR="00FC5A08">
        <w:rPr>
          <w:rFonts w:ascii="Times New Roman" w:hAnsi="Times New Roman"/>
        </w:rPr>
        <w:t xml:space="preserve"> in the fut</w:t>
      </w:r>
      <w:r w:rsidR="00913BAB">
        <w:rPr>
          <w:rFonts w:ascii="Times New Roman" w:hAnsi="Times New Roman"/>
        </w:rPr>
        <w:t xml:space="preserve">ure. </w:t>
      </w:r>
      <w:r w:rsidR="00F93BF9">
        <w:rPr>
          <w:rFonts w:ascii="Times New Roman" w:hAnsi="Times New Roman"/>
        </w:rPr>
        <w:t>Telstra also noted that it does not presently offer email as a p</w:t>
      </w:r>
      <w:r w:rsidR="00913BAB">
        <w:rPr>
          <w:rFonts w:ascii="Times New Roman" w:hAnsi="Times New Roman"/>
        </w:rPr>
        <w:t xml:space="preserve">rimary point of contact and recommended </w:t>
      </w:r>
      <w:r w:rsidR="00386BA7">
        <w:rPr>
          <w:rFonts w:ascii="Times New Roman" w:hAnsi="Times New Roman"/>
        </w:rPr>
        <w:t xml:space="preserve">that </w:t>
      </w:r>
      <w:r w:rsidR="00913BAB">
        <w:rPr>
          <w:rFonts w:ascii="Times New Roman" w:hAnsi="Times New Roman"/>
        </w:rPr>
        <w:t>requirements for it to report on</w:t>
      </w:r>
      <w:r w:rsidR="00913BAB" w:rsidRPr="00913BAB">
        <w:rPr>
          <w:rFonts w:ascii="Times New Roman" w:hAnsi="Times New Roman"/>
        </w:rPr>
        <w:t xml:space="preserve"> </w:t>
      </w:r>
      <w:r w:rsidR="00913BAB">
        <w:rPr>
          <w:rFonts w:ascii="Times New Roman" w:hAnsi="Times New Roman"/>
        </w:rPr>
        <w:t>email contacts that were substantively engaged with (under subsections 11C(2) and 11</w:t>
      </w:r>
      <w:r w:rsidR="00386BA7">
        <w:rPr>
          <w:rFonts w:ascii="Times New Roman" w:hAnsi="Times New Roman"/>
        </w:rPr>
        <w:t>E</w:t>
      </w:r>
      <w:r w:rsidR="00913BAB">
        <w:rPr>
          <w:rFonts w:ascii="Times New Roman" w:hAnsi="Times New Roman"/>
        </w:rPr>
        <w:t>(11)</w:t>
      </w:r>
      <w:r w:rsidR="00097009">
        <w:rPr>
          <w:rFonts w:ascii="Times New Roman" w:hAnsi="Times New Roman"/>
        </w:rPr>
        <w:t>)</w:t>
      </w:r>
      <w:r w:rsidR="00913BAB">
        <w:rPr>
          <w:rFonts w:ascii="Times New Roman" w:hAnsi="Times New Roman"/>
        </w:rPr>
        <w:t xml:space="preserve"> only be applied where email is used in this fashion. This suggestion did not </w:t>
      </w:r>
      <w:r w:rsidR="00C77077">
        <w:rPr>
          <w:rFonts w:ascii="Times New Roman" w:hAnsi="Times New Roman"/>
        </w:rPr>
        <w:t xml:space="preserve">require </w:t>
      </w:r>
      <w:r w:rsidR="00913BAB">
        <w:rPr>
          <w:rFonts w:ascii="Times New Roman" w:hAnsi="Times New Roman"/>
        </w:rPr>
        <w:t xml:space="preserve">any adjustments to the final Amendment Instrument, as the definition for ‘contact’ already provides for Telstra’s reporting to only cover contacts on formal channels </w:t>
      </w:r>
      <w:r w:rsidR="00386BA7">
        <w:rPr>
          <w:rFonts w:ascii="Times New Roman" w:hAnsi="Times New Roman"/>
        </w:rPr>
        <w:t>it uses</w:t>
      </w:r>
      <w:r w:rsidR="00D739D7">
        <w:rPr>
          <w:rFonts w:ascii="Times New Roman" w:hAnsi="Times New Roman"/>
        </w:rPr>
        <w:t xml:space="preserve"> to provide</w:t>
      </w:r>
      <w:r w:rsidR="00913BAB">
        <w:rPr>
          <w:rFonts w:ascii="Times New Roman" w:hAnsi="Times New Roman"/>
        </w:rPr>
        <w:t xml:space="preserve"> support or sales assistance. </w:t>
      </w:r>
    </w:p>
    <w:p w14:paraId="5E38FBF7" w14:textId="36F1E739"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CSG geographic category </w:t>
      </w:r>
      <w:r w:rsidRPr="00C26F6B">
        <w:rPr>
          <w:rFonts w:ascii="Times New Roman" w:hAnsi="Times New Roman"/>
        </w:rPr>
        <w:t xml:space="preserve">is clarified to mean either urban, major rural, minor rural or remote areas. These four categories of geographic areas are defined as set out in the </w:t>
      </w:r>
      <w:r w:rsidRPr="00C26F6B">
        <w:rPr>
          <w:rFonts w:ascii="Times New Roman" w:hAnsi="Times New Roman"/>
          <w:i/>
        </w:rPr>
        <w:t>Telecommunications (Customer Service Guarantee</w:t>
      </w:r>
      <w:r w:rsidR="00097009">
        <w:rPr>
          <w:rFonts w:ascii="Times New Roman" w:hAnsi="Times New Roman"/>
          <w:i/>
        </w:rPr>
        <w:t>—</w:t>
      </w:r>
      <w:r w:rsidRPr="00C26F6B">
        <w:rPr>
          <w:rFonts w:ascii="Times New Roman" w:hAnsi="Times New Roman"/>
          <w:i/>
        </w:rPr>
        <w:t>Retail Performance Benchmarks) Instrument (No. 1) 2011</w:t>
      </w:r>
      <w:r w:rsidRPr="00C26F6B">
        <w:rPr>
          <w:rFonts w:ascii="Times New Roman" w:hAnsi="Times New Roman"/>
        </w:rPr>
        <w:t xml:space="preserve">. </w:t>
      </w:r>
    </w:p>
    <w:p w14:paraId="4B271E67" w14:textId="79403924"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exemption event </w:t>
      </w:r>
      <w:r w:rsidRPr="00C26F6B">
        <w:rPr>
          <w:rFonts w:ascii="Times New Roman" w:hAnsi="Times New Roman"/>
        </w:rPr>
        <w:t xml:space="preserve">is defined to mean a set of circumstances beyond the control of Telstra to which it is exempt under section 21 of the CSG </w:t>
      </w:r>
      <w:r w:rsidR="00097009">
        <w:rPr>
          <w:rFonts w:ascii="Times New Roman" w:hAnsi="Times New Roman"/>
        </w:rPr>
        <w:t>S</w:t>
      </w:r>
      <w:r w:rsidRPr="00C26F6B">
        <w:rPr>
          <w:rFonts w:ascii="Times New Roman" w:hAnsi="Times New Roman"/>
        </w:rPr>
        <w:t xml:space="preserve">tandard. </w:t>
      </w:r>
    </w:p>
    <w:p w14:paraId="36C62FEF" w14:textId="00515F27"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fixed-line footprint </w:t>
      </w:r>
      <w:r w:rsidR="00097009">
        <w:rPr>
          <w:rFonts w:ascii="Times New Roman" w:hAnsi="Times New Roman"/>
        </w:rPr>
        <w:t xml:space="preserve">is </w:t>
      </w:r>
      <w:r w:rsidRPr="00C26F6B">
        <w:rPr>
          <w:rFonts w:ascii="Times New Roman" w:hAnsi="Times New Roman"/>
        </w:rPr>
        <w:t xml:space="preserve">defined as meaning the areas </w:t>
      </w:r>
      <w:r w:rsidR="00511FD0">
        <w:rPr>
          <w:rFonts w:ascii="Times New Roman" w:hAnsi="Times New Roman"/>
        </w:rPr>
        <w:t xml:space="preserve">of Australia </w:t>
      </w:r>
      <w:r w:rsidRPr="00C26F6B">
        <w:rPr>
          <w:rFonts w:ascii="Times New Roman" w:hAnsi="Times New Roman"/>
        </w:rPr>
        <w:t>where fixed-line services are supplied or available, or proposed to be supplied or available</w:t>
      </w:r>
      <w:r w:rsidR="00511FD0">
        <w:rPr>
          <w:rFonts w:ascii="Times New Roman" w:hAnsi="Times New Roman"/>
        </w:rPr>
        <w:t xml:space="preserve">. </w:t>
      </w:r>
    </w:p>
    <w:p w14:paraId="6C29A77B" w14:textId="57007549" w:rsidR="00581B9F"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fixed wireless technology platform </w:t>
      </w:r>
      <w:r w:rsidRPr="00C26F6B">
        <w:rPr>
          <w:rFonts w:ascii="Times New Roman" w:hAnsi="Times New Roman"/>
        </w:rPr>
        <w:t xml:space="preserve">is established as having the meaning that is generally accepted within the telecommunications industry. </w:t>
      </w:r>
    </w:p>
    <w:p w14:paraId="47A068BB" w14:textId="2FDD0633" w:rsidR="00AB1555" w:rsidRPr="00C26F6B" w:rsidRDefault="00AB1555" w:rsidP="00581B9F">
      <w:pPr>
        <w:spacing w:line="276" w:lineRule="auto"/>
        <w:rPr>
          <w:rFonts w:ascii="Times New Roman" w:hAnsi="Times New Roman"/>
        </w:rPr>
      </w:pPr>
      <w:r>
        <w:rPr>
          <w:rFonts w:ascii="Times New Roman" w:hAnsi="Times New Roman"/>
        </w:rPr>
        <w:t xml:space="preserve">The term </w:t>
      </w:r>
      <w:r>
        <w:rPr>
          <w:rFonts w:ascii="Times New Roman" w:hAnsi="Times New Roman"/>
          <w:i/>
        </w:rPr>
        <w:t xml:space="preserve">initial reporting period </w:t>
      </w:r>
      <w:r>
        <w:rPr>
          <w:rFonts w:ascii="Times New Roman" w:hAnsi="Times New Roman"/>
        </w:rPr>
        <w:t xml:space="preserve">is established as meaning the period beginning on 1 January 2019 and ending on 31 December 2021. This specifies the period of time for which Telstra must provide historical data to </w:t>
      </w:r>
      <w:r w:rsidR="00315C82">
        <w:rPr>
          <w:rFonts w:ascii="Times New Roman" w:hAnsi="Times New Roman"/>
        </w:rPr>
        <w:t xml:space="preserve">the </w:t>
      </w:r>
      <w:r>
        <w:rPr>
          <w:rFonts w:ascii="Times New Roman" w:hAnsi="Times New Roman"/>
        </w:rPr>
        <w:t xml:space="preserve">ACMA and the Department under </w:t>
      </w:r>
      <w:r w:rsidR="00315C82">
        <w:rPr>
          <w:rFonts w:ascii="Times New Roman" w:hAnsi="Times New Roman"/>
        </w:rPr>
        <w:t>s</w:t>
      </w:r>
      <w:r>
        <w:rPr>
          <w:rFonts w:ascii="Times New Roman" w:hAnsi="Times New Roman"/>
        </w:rPr>
        <w:t xml:space="preserve">ection 11D of the Amendment Instrument. </w:t>
      </w:r>
    </w:p>
    <w:p w14:paraId="150B1AB7" w14:textId="4D43B090" w:rsidR="00581B9F" w:rsidRDefault="00581B9F" w:rsidP="00581B9F">
      <w:pPr>
        <w:spacing w:line="276" w:lineRule="auto"/>
        <w:rPr>
          <w:rFonts w:ascii="Times New Roman" w:hAnsi="Times New Roman"/>
        </w:rPr>
      </w:pPr>
      <w:r w:rsidRPr="00C26F6B">
        <w:rPr>
          <w:rFonts w:ascii="Times New Roman" w:hAnsi="Times New Roman"/>
        </w:rPr>
        <w:lastRenderedPageBreak/>
        <w:t xml:space="preserve">The term </w:t>
      </w:r>
      <w:r w:rsidRPr="00C26F6B">
        <w:rPr>
          <w:rFonts w:ascii="Times New Roman" w:hAnsi="Times New Roman"/>
          <w:i/>
        </w:rPr>
        <w:t xml:space="preserve">in-place connection </w:t>
      </w:r>
      <w:r w:rsidRPr="00C26F6B">
        <w:rPr>
          <w:rFonts w:ascii="Times New Roman" w:hAnsi="Times New Roman"/>
        </w:rPr>
        <w:t xml:space="preserve">is established as having the same definition as provided by </w:t>
      </w:r>
      <w:r w:rsidR="00315C82">
        <w:rPr>
          <w:rFonts w:ascii="Times New Roman" w:hAnsi="Times New Roman"/>
        </w:rPr>
        <w:t>i</w:t>
      </w:r>
      <w:r w:rsidRPr="00C26F6B">
        <w:rPr>
          <w:rFonts w:ascii="Times New Roman" w:hAnsi="Times New Roman"/>
        </w:rPr>
        <w:t xml:space="preserve">tem 101 of Schedule 1 to the CSG Standard. </w:t>
      </w:r>
    </w:p>
    <w:p w14:paraId="329F240C" w14:textId="38D95C94" w:rsidR="00B6739B" w:rsidRPr="00C26F6B" w:rsidRDefault="00B6739B" w:rsidP="00581B9F">
      <w:pPr>
        <w:spacing w:line="276" w:lineRule="auto"/>
        <w:rPr>
          <w:rFonts w:ascii="Times New Roman" w:hAnsi="Times New Roman"/>
        </w:rPr>
      </w:pPr>
      <w:r w:rsidRPr="00C26F6B">
        <w:rPr>
          <w:rFonts w:ascii="Times New Roman" w:hAnsi="Times New Roman"/>
        </w:rPr>
        <w:t xml:space="preserve">A </w:t>
      </w:r>
      <w:r w:rsidRPr="00C26F6B">
        <w:rPr>
          <w:rFonts w:ascii="Times New Roman" w:hAnsi="Times New Roman"/>
          <w:i/>
        </w:rPr>
        <w:t xml:space="preserve">kept </w:t>
      </w:r>
      <w:r w:rsidRPr="00C26F6B">
        <w:rPr>
          <w:rFonts w:ascii="Times New Roman" w:hAnsi="Times New Roman"/>
        </w:rPr>
        <w:t xml:space="preserve">appointment is clarified to be determined by the criteria set out in </w:t>
      </w:r>
      <w:r w:rsidR="00315C82">
        <w:rPr>
          <w:rFonts w:ascii="Times New Roman" w:hAnsi="Times New Roman"/>
        </w:rPr>
        <w:t>s</w:t>
      </w:r>
      <w:r w:rsidRPr="00C26F6B">
        <w:rPr>
          <w:rFonts w:ascii="Times New Roman" w:hAnsi="Times New Roman"/>
        </w:rPr>
        <w:t xml:space="preserve">ection 17 of the CSG Standard. </w:t>
      </w:r>
    </w:p>
    <w:p w14:paraId="660C89DD" w14:textId="51D7A7DB"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licensee network </w:t>
      </w:r>
      <w:r w:rsidRPr="00C26F6B">
        <w:rPr>
          <w:rFonts w:ascii="Times New Roman" w:hAnsi="Times New Roman"/>
        </w:rPr>
        <w:t xml:space="preserve">is established as meaning either a network owned by Telstra or any other network over </w:t>
      </w:r>
      <w:r w:rsidR="00315C82">
        <w:rPr>
          <w:rFonts w:ascii="Times New Roman" w:hAnsi="Times New Roman"/>
        </w:rPr>
        <w:t xml:space="preserve">which </w:t>
      </w:r>
      <w:r w:rsidRPr="00C26F6B">
        <w:rPr>
          <w:rFonts w:ascii="Times New Roman" w:hAnsi="Times New Roman"/>
        </w:rPr>
        <w:t xml:space="preserve">Telstra is in a position to exercise control (as determined by section 577Q of the Act). </w:t>
      </w:r>
    </w:p>
    <w:p w14:paraId="0A11C3A6" w14:textId="05C1728F" w:rsidR="00581B9F" w:rsidRPr="00C26F6B" w:rsidRDefault="00581B9F" w:rsidP="00581B9F">
      <w:pPr>
        <w:spacing w:line="276" w:lineRule="auto"/>
        <w:rPr>
          <w:rFonts w:ascii="Times New Roman" w:hAnsi="Times New Roman"/>
        </w:rPr>
      </w:pPr>
      <w:r w:rsidRPr="00C26F6B">
        <w:rPr>
          <w:rFonts w:ascii="Times New Roman" w:hAnsi="Times New Roman"/>
        </w:rPr>
        <w:t xml:space="preserve">The definition for </w:t>
      </w:r>
      <w:r w:rsidRPr="00C26F6B">
        <w:rPr>
          <w:rFonts w:ascii="Times New Roman" w:hAnsi="Times New Roman"/>
          <w:i/>
        </w:rPr>
        <w:t xml:space="preserve">local access technology </w:t>
      </w:r>
      <w:r w:rsidRPr="00C26F6B">
        <w:rPr>
          <w:rFonts w:ascii="Times New Roman" w:hAnsi="Times New Roman"/>
        </w:rPr>
        <w:t>sets out the different networks and technological platforms covered under the reporting re</w:t>
      </w:r>
      <w:r w:rsidR="00555836">
        <w:rPr>
          <w:rFonts w:ascii="Times New Roman" w:hAnsi="Times New Roman"/>
        </w:rPr>
        <w:t xml:space="preserve">quirements set out in </w:t>
      </w:r>
      <w:r w:rsidR="00315C82">
        <w:rPr>
          <w:rFonts w:ascii="Times New Roman" w:hAnsi="Times New Roman"/>
        </w:rPr>
        <w:t>s</w:t>
      </w:r>
      <w:r w:rsidR="00555836">
        <w:rPr>
          <w:rFonts w:ascii="Times New Roman" w:hAnsi="Times New Roman"/>
        </w:rPr>
        <w:t>ection 11E</w:t>
      </w:r>
      <w:r w:rsidRPr="00C26F6B">
        <w:rPr>
          <w:rFonts w:ascii="Times New Roman" w:hAnsi="Times New Roman"/>
        </w:rPr>
        <w:t xml:space="preserve"> of the Amendment Instrument. If services are provided over a Telstra network, this includes fibre to the premises (FTTP), high capacity radio concentrators (HCRC), a line to the premises that does not use FTTP or HCRC, a fixed wireless platform, or a satellite. </w:t>
      </w:r>
      <w:r w:rsidR="007D5A91">
        <w:rPr>
          <w:rFonts w:ascii="Times New Roman" w:hAnsi="Times New Roman"/>
        </w:rPr>
        <w:t>Services</w:t>
      </w:r>
      <w:r w:rsidR="007D5A91" w:rsidRPr="00C26F6B">
        <w:rPr>
          <w:rFonts w:ascii="Times New Roman" w:hAnsi="Times New Roman"/>
        </w:rPr>
        <w:t xml:space="preserve"> provided over </w:t>
      </w:r>
      <w:r w:rsidR="007D5A91">
        <w:rPr>
          <w:rFonts w:ascii="Times New Roman" w:hAnsi="Times New Roman"/>
        </w:rPr>
        <w:t xml:space="preserve">the NBN are covered if they are provided over its fixed wireless or satellite </w:t>
      </w:r>
      <w:r w:rsidR="008C0B8B">
        <w:rPr>
          <w:rFonts w:ascii="Times New Roman" w:hAnsi="Times New Roman"/>
        </w:rPr>
        <w:t>networks</w:t>
      </w:r>
      <w:r w:rsidR="007D5A91">
        <w:rPr>
          <w:rFonts w:ascii="Times New Roman" w:hAnsi="Times New Roman"/>
        </w:rPr>
        <w:t>.</w:t>
      </w:r>
      <w:r w:rsidR="007D5A91" w:rsidRPr="00C26F6B">
        <w:rPr>
          <w:rFonts w:ascii="Times New Roman" w:hAnsi="Times New Roman"/>
        </w:rPr>
        <w:t xml:space="preserve"> </w:t>
      </w:r>
      <w:r>
        <w:rPr>
          <w:rFonts w:ascii="Times New Roman" w:hAnsi="Times New Roman"/>
        </w:rPr>
        <w:t>Services</w:t>
      </w:r>
      <w:r w:rsidRPr="00C26F6B">
        <w:rPr>
          <w:rFonts w:ascii="Times New Roman" w:hAnsi="Times New Roman"/>
        </w:rPr>
        <w:t xml:space="preserve"> provided over an alternative network are covered if they are provided through the use of FTTP, a line to the premises without FTTP, a fixed wireless platform, or a satellite. </w:t>
      </w:r>
    </w:p>
    <w:p w14:paraId="0B30A77D" w14:textId="77777777"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mass outage event </w:t>
      </w:r>
      <w:r w:rsidRPr="00C26F6B">
        <w:rPr>
          <w:rFonts w:ascii="Times New Roman" w:hAnsi="Times New Roman"/>
        </w:rPr>
        <w:t xml:space="preserve">is defined as meaning an exemption event covered by paragraphs 21(2)(b-c) of the CSG Standard. This generally means an event in which a natural disaster or extreme weather conditions have restricted Telstra from connecting a service or rectifying a fault or service difficulty. </w:t>
      </w:r>
    </w:p>
    <w:p w14:paraId="64962EDD" w14:textId="695494CA" w:rsidR="00581B9F" w:rsidRPr="00C26F6B" w:rsidRDefault="00581B9F" w:rsidP="00581B9F">
      <w:pPr>
        <w:spacing w:line="276" w:lineRule="auto"/>
        <w:rPr>
          <w:rFonts w:ascii="Times New Roman" w:hAnsi="Times New Roman"/>
        </w:rPr>
      </w:pPr>
      <w:r w:rsidRPr="00C26F6B">
        <w:rPr>
          <w:rFonts w:ascii="Times New Roman" w:hAnsi="Times New Roman"/>
        </w:rPr>
        <w:t xml:space="preserve">A </w:t>
      </w:r>
      <w:r w:rsidRPr="00C26F6B">
        <w:rPr>
          <w:rFonts w:ascii="Times New Roman" w:hAnsi="Times New Roman"/>
          <w:i/>
        </w:rPr>
        <w:t xml:space="preserve">missed </w:t>
      </w:r>
      <w:r w:rsidRPr="00C26F6B">
        <w:rPr>
          <w:rFonts w:ascii="Times New Roman" w:hAnsi="Times New Roman"/>
        </w:rPr>
        <w:t xml:space="preserve">appointment is clarified to be determined by the criteria set out in </w:t>
      </w:r>
      <w:r w:rsidR="00315C82">
        <w:rPr>
          <w:rFonts w:ascii="Times New Roman" w:hAnsi="Times New Roman"/>
        </w:rPr>
        <w:t>s</w:t>
      </w:r>
      <w:r w:rsidRPr="00C26F6B">
        <w:rPr>
          <w:rFonts w:ascii="Times New Roman" w:hAnsi="Times New Roman"/>
        </w:rPr>
        <w:t xml:space="preserve">ection 17 of the CSG Standard. </w:t>
      </w:r>
    </w:p>
    <w:p w14:paraId="7090C6EC" w14:textId="77777777" w:rsidR="00581B9F" w:rsidRPr="00C26F6B" w:rsidRDefault="00581B9F" w:rsidP="00581B9F">
      <w:pPr>
        <w:spacing w:line="276" w:lineRule="auto"/>
        <w:rPr>
          <w:rFonts w:ascii="Times New Roman" w:hAnsi="Times New Roman"/>
          <w:i/>
        </w:rPr>
      </w:pPr>
      <w:r w:rsidRPr="00C26F6B">
        <w:rPr>
          <w:rFonts w:ascii="Times New Roman" w:hAnsi="Times New Roman"/>
        </w:rPr>
        <w:t xml:space="preserve">The term </w:t>
      </w:r>
      <w:r w:rsidRPr="00C26F6B">
        <w:rPr>
          <w:rFonts w:ascii="Times New Roman" w:hAnsi="Times New Roman"/>
          <w:i/>
        </w:rPr>
        <w:t xml:space="preserve">national broadband network </w:t>
      </w:r>
      <w:r w:rsidRPr="00C26F6B">
        <w:rPr>
          <w:rFonts w:ascii="Times New Roman" w:hAnsi="Times New Roman"/>
        </w:rPr>
        <w:t xml:space="preserve">is clarified to have the same meaning as in the </w:t>
      </w:r>
      <w:r w:rsidRPr="00C26F6B">
        <w:rPr>
          <w:rFonts w:ascii="Times New Roman" w:hAnsi="Times New Roman"/>
          <w:i/>
        </w:rPr>
        <w:t>National Broadband Network Companies Act 2011.</w:t>
      </w:r>
    </w:p>
    <w:p w14:paraId="7D2C487D" w14:textId="6CDCF61A" w:rsidR="00581B9F" w:rsidRDefault="00581B9F" w:rsidP="00581B9F">
      <w:pPr>
        <w:spacing w:line="276" w:lineRule="auto"/>
        <w:rPr>
          <w:rFonts w:ascii="Times New Roman" w:hAnsi="Times New Roman"/>
        </w:rPr>
      </w:pPr>
      <w:r w:rsidRPr="00C26F6B">
        <w:rPr>
          <w:rFonts w:ascii="Times New Roman" w:hAnsi="Times New Roman"/>
        </w:rPr>
        <w:t xml:space="preserve">The definition for the term </w:t>
      </w:r>
      <w:r w:rsidRPr="00C26F6B">
        <w:rPr>
          <w:rFonts w:ascii="Times New Roman" w:hAnsi="Times New Roman"/>
          <w:i/>
        </w:rPr>
        <w:t xml:space="preserve">relevant ESA </w:t>
      </w:r>
      <w:r w:rsidRPr="00C26F6B">
        <w:rPr>
          <w:rFonts w:ascii="Times New Roman" w:hAnsi="Times New Roman"/>
        </w:rPr>
        <w:t xml:space="preserve">excludes </w:t>
      </w:r>
      <w:r w:rsidR="00CF70E1">
        <w:rPr>
          <w:rFonts w:ascii="Times New Roman" w:hAnsi="Times New Roman"/>
        </w:rPr>
        <w:t>exchange service areas (ESAs)</w:t>
      </w:r>
      <w:r w:rsidRPr="00C26F6B">
        <w:rPr>
          <w:rFonts w:ascii="Times New Roman" w:hAnsi="Times New Roman"/>
        </w:rPr>
        <w:t xml:space="preserve"> where all premises are located within the NBN fixed-line footprint. This provides for the reporting req</w:t>
      </w:r>
      <w:r w:rsidR="00E34777">
        <w:rPr>
          <w:rFonts w:ascii="Times New Roman" w:hAnsi="Times New Roman"/>
        </w:rPr>
        <w:t xml:space="preserve">uirements set out in </w:t>
      </w:r>
      <w:r w:rsidR="001206FE">
        <w:rPr>
          <w:rFonts w:ascii="Times New Roman" w:hAnsi="Times New Roman"/>
        </w:rPr>
        <w:t>s</w:t>
      </w:r>
      <w:r w:rsidR="00E34777">
        <w:rPr>
          <w:rFonts w:ascii="Times New Roman" w:hAnsi="Times New Roman"/>
        </w:rPr>
        <w:t>ections 11B-F</w:t>
      </w:r>
      <w:r w:rsidRPr="00C26F6B">
        <w:rPr>
          <w:rFonts w:ascii="Times New Roman" w:hAnsi="Times New Roman"/>
        </w:rPr>
        <w:t xml:space="preserve"> of the Amendment Instrument to </w:t>
      </w:r>
      <w:r w:rsidR="008C0B8B">
        <w:rPr>
          <w:rFonts w:ascii="Times New Roman" w:hAnsi="Times New Roman"/>
        </w:rPr>
        <w:t>focus on</w:t>
      </w:r>
      <w:r w:rsidRPr="00C26F6B">
        <w:rPr>
          <w:rFonts w:ascii="Times New Roman" w:hAnsi="Times New Roman"/>
        </w:rPr>
        <w:t xml:space="preserve"> services in </w:t>
      </w:r>
      <w:r w:rsidR="008C0B8B">
        <w:rPr>
          <w:rFonts w:ascii="Times New Roman" w:hAnsi="Times New Roman"/>
        </w:rPr>
        <w:t>rural</w:t>
      </w:r>
      <w:r w:rsidR="008C0B8B" w:rsidRPr="00C26F6B">
        <w:rPr>
          <w:rFonts w:ascii="Times New Roman" w:hAnsi="Times New Roman"/>
        </w:rPr>
        <w:t xml:space="preserve"> </w:t>
      </w:r>
      <w:r w:rsidRPr="00C26F6B">
        <w:rPr>
          <w:rFonts w:ascii="Times New Roman" w:hAnsi="Times New Roman"/>
        </w:rPr>
        <w:t>and remote areas beyon</w:t>
      </w:r>
      <w:r w:rsidR="00CF70E1">
        <w:rPr>
          <w:rFonts w:ascii="Times New Roman" w:hAnsi="Times New Roman"/>
        </w:rPr>
        <w:t>d the NBN fixed-line footprint.</w:t>
      </w:r>
    </w:p>
    <w:p w14:paraId="26D33800" w14:textId="73DA32C9" w:rsidR="00BE2D85" w:rsidRDefault="00BE2D85" w:rsidP="00581B9F">
      <w:pPr>
        <w:spacing w:line="276" w:lineRule="auto"/>
        <w:rPr>
          <w:rFonts w:ascii="Times New Roman" w:hAnsi="Times New Roman"/>
        </w:rPr>
      </w:pPr>
      <w:r w:rsidRPr="00A2212A">
        <w:rPr>
          <w:rFonts w:ascii="Times New Roman" w:hAnsi="Times New Roman"/>
        </w:rPr>
        <w:t xml:space="preserve">The term </w:t>
      </w:r>
      <w:r w:rsidRPr="00A2212A">
        <w:rPr>
          <w:rFonts w:ascii="Times New Roman" w:hAnsi="Times New Roman"/>
          <w:i/>
        </w:rPr>
        <w:t xml:space="preserve">relevant exemption </w:t>
      </w:r>
      <w:r w:rsidRPr="00A2212A">
        <w:rPr>
          <w:rFonts w:ascii="Times New Roman" w:hAnsi="Times New Roman"/>
        </w:rPr>
        <w:t xml:space="preserve">is defined to mean a provision of Part 3 </w:t>
      </w:r>
      <w:r w:rsidR="00E70E94">
        <w:rPr>
          <w:rFonts w:ascii="Times New Roman" w:hAnsi="Times New Roman"/>
        </w:rPr>
        <w:t xml:space="preserve">(excluding </w:t>
      </w:r>
      <w:r w:rsidR="00915DE6">
        <w:rPr>
          <w:rFonts w:ascii="Times New Roman" w:hAnsi="Times New Roman"/>
        </w:rPr>
        <w:t>s</w:t>
      </w:r>
      <w:r w:rsidR="00E70E94">
        <w:rPr>
          <w:rFonts w:ascii="Times New Roman" w:hAnsi="Times New Roman"/>
        </w:rPr>
        <w:t xml:space="preserve">ection 18) </w:t>
      </w:r>
      <w:r w:rsidRPr="00A2212A">
        <w:rPr>
          <w:rFonts w:ascii="Times New Roman" w:hAnsi="Times New Roman"/>
        </w:rPr>
        <w:t>of the CSG Standard under which Telstra is exempt from complianc</w:t>
      </w:r>
      <w:r w:rsidR="00E70E94">
        <w:rPr>
          <w:rFonts w:ascii="Times New Roman" w:hAnsi="Times New Roman"/>
        </w:rPr>
        <w:t>e with a performance standard established in</w:t>
      </w:r>
      <w:r w:rsidRPr="00A2212A">
        <w:rPr>
          <w:rFonts w:ascii="Times New Roman" w:hAnsi="Times New Roman"/>
        </w:rPr>
        <w:t xml:space="preserve"> Part 2 of that standard. </w:t>
      </w:r>
    </w:p>
    <w:p w14:paraId="1FA3B113" w14:textId="14DB463A" w:rsidR="00BE2D85" w:rsidRPr="00C26F6B" w:rsidRDefault="00BE2D85" w:rsidP="00581B9F">
      <w:pPr>
        <w:spacing w:line="276" w:lineRule="auto"/>
        <w:rPr>
          <w:rFonts w:ascii="Times New Roman" w:hAnsi="Times New Roman"/>
        </w:rPr>
      </w:pPr>
      <w:r>
        <w:rPr>
          <w:rFonts w:ascii="Times New Roman" w:hAnsi="Times New Roman"/>
        </w:rPr>
        <w:t xml:space="preserve">The term </w:t>
      </w:r>
      <w:r>
        <w:rPr>
          <w:rFonts w:ascii="Times New Roman" w:hAnsi="Times New Roman"/>
          <w:i/>
        </w:rPr>
        <w:t xml:space="preserve">reportable service </w:t>
      </w:r>
      <w:r>
        <w:rPr>
          <w:rFonts w:ascii="Times New Roman" w:hAnsi="Times New Roman"/>
        </w:rPr>
        <w:t>is defined to mean a CSG service that is supplied, or has been requested to be supplied, within a relevant ESA. This excludes fixed-line carriage services supplied using the NBN</w:t>
      </w:r>
      <w:r w:rsidR="008C0B8B">
        <w:rPr>
          <w:rFonts w:ascii="Times New Roman" w:hAnsi="Times New Roman"/>
        </w:rPr>
        <w:t xml:space="preserve"> as the focus of the CLCs is Telstra’s delivery outside the NBN fixed</w:t>
      </w:r>
      <w:r w:rsidR="008C0B8B">
        <w:rPr>
          <w:rFonts w:ascii="Times New Roman" w:hAnsi="Times New Roman"/>
        </w:rPr>
        <w:noBreakHyphen/>
        <w:t xml:space="preserve">line footprint, including </w:t>
      </w:r>
      <w:r w:rsidR="001206FE">
        <w:rPr>
          <w:rFonts w:ascii="Times New Roman" w:hAnsi="Times New Roman"/>
        </w:rPr>
        <w:t>where</w:t>
      </w:r>
      <w:r w:rsidR="008C0B8B">
        <w:rPr>
          <w:rFonts w:ascii="Times New Roman" w:hAnsi="Times New Roman"/>
        </w:rPr>
        <w:t xml:space="preserve"> NBN fixed wireless or satellite is used</w:t>
      </w:r>
      <w:r>
        <w:rPr>
          <w:rFonts w:ascii="Times New Roman" w:hAnsi="Times New Roman"/>
        </w:rPr>
        <w:t xml:space="preserve">. </w:t>
      </w:r>
    </w:p>
    <w:p w14:paraId="26E5CDE3" w14:textId="73F2FAEE" w:rsidR="00581B9F" w:rsidRPr="00C26F6B" w:rsidRDefault="00581B9F" w:rsidP="00581B9F">
      <w:pPr>
        <w:spacing w:line="276" w:lineRule="auto"/>
        <w:rPr>
          <w:rFonts w:ascii="Times New Roman" w:hAnsi="Times New Roman"/>
        </w:rPr>
      </w:pPr>
      <w:r w:rsidRPr="00683E14">
        <w:rPr>
          <w:rFonts w:ascii="Times New Roman" w:hAnsi="Times New Roman"/>
        </w:rPr>
        <w:t xml:space="preserve">The term </w:t>
      </w:r>
      <w:r w:rsidRPr="00683E14">
        <w:rPr>
          <w:rFonts w:ascii="Times New Roman" w:hAnsi="Times New Roman"/>
          <w:i/>
        </w:rPr>
        <w:t>required information</w:t>
      </w:r>
      <w:r w:rsidRPr="00683E14">
        <w:rPr>
          <w:rFonts w:ascii="Times New Roman" w:hAnsi="Times New Roman"/>
        </w:rPr>
        <w:t xml:space="preserve"> is defined to mean the information </w:t>
      </w:r>
      <w:r w:rsidR="003E7B8F">
        <w:rPr>
          <w:rFonts w:ascii="Times New Roman" w:hAnsi="Times New Roman"/>
        </w:rPr>
        <w:t xml:space="preserve">set out in subsections 11D(2) and 11E(2), which in turn provide </w:t>
      </w:r>
      <w:r w:rsidRPr="00683E14">
        <w:rPr>
          <w:rFonts w:ascii="Times New Roman" w:hAnsi="Times New Roman"/>
        </w:rPr>
        <w:t xml:space="preserve">that Telstra is required to provide to the ACMA </w:t>
      </w:r>
      <w:r w:rsidRPr="00683E14">
        <w:rPr>
          <w:rFonts w:ascii="Times New Roman" w:hAnsi="Times New Roman"/>
        </w:rPr>
        <w:lastRenderedPageBreak/>
        <w:t>and the Department</w:t>
      </w:r>
      <w:r w:rsidR="00E34777">
        <w:rPr>
          <w:rFonts w:ascii="Times New Roman" w:hAnsi="Times New Roman"/>
        </w:rPr>
        <w:t xml:space="preserve"> </w:t>
      </w:r>
      <w:r w:rsidRPr="00683E14">
        <w:rPr>
          <w:rFonts w:ascii="Times New Roman" w:hAnsi="Times New Roman"/>
        </w:rPr>
        <w:t xml:space="preserve">under </w:t>
      </w:r>
      <w:r w:rsidR="00EE01A5">
        <w:rPr>
          <w:rFonts w:ascii="Times New Roman" w:hAnsi="Times New Roman"/>
        </w:rPr>
        <w:t>either s</w:t>
      </w:r>
      <w:r w:rsidR="00E34777">
        <w:rPr>
          <w:rFonts w:ascii="Times New Roman" w:hAnsi="Times New Roman"/>
        </w:rPr>
        <w:t>ubsections 11D</w:t>
      </w:r>
      <w:r w:rsidRPr="00683E14">
        <w:rPr>
          <w:rFonts w:ascii="Times New Roman" w:hAnsi="Times New Roman"/>
        </w:rPr>
        <w:t>(</w:t>
      </w:r>
      <w:r w:rsidR="008E0CB8" w:rsidRPr="00683E14">
        <w:rPr>
          <w:rFonts w:ascii="Times New Roman" w:hAnsi="Times New Roman"/>
        </w:rPr>
        <w:t>3-7</w:t>
      </w:r>
      <w:r w:rsidRPr="00683E14">
        <w:rPr>
          <w:rFonts w:ascii="Times New Roman" w:hAnsi="Times New Roman"/>
        </w:rPr>
        <w:t>)</w:t>
      </w:r>
      <w:r w:rsidR="008E0CB8" w:rsidRPr="00683E14">
        <w:rPr>
          <w:rFonts w:ascii="Times New Roman" w:hAnsi="Times New Roman"/>
        </w:rPr>
        <w:t xml:space="preserve"> </w:t>
      </w:r>
      <w:r w:rsidR="00EE01A5">
        <w:rPr>
          <w:rFonts w:ascii="Times New Roman" w:hAnsi="Times New Roman"/>
        </w:rPr>
        <w:t>or</w:t>
      </w:r>
      <w:r w:rsidR="00E34777">
        <w:rPr>
          <w:rFonts w:ascii="Times New Roman" w:hAnsi="Times New Roman"/>
        </w:rPr>
        <w:t xml:space="preserve"> 11</w:t>
      </w:r>
      <w:r w:rsidR="008E0CB8" w:rsidRPr="00683E14">
        <w:rPr>
          <w:rFonts w:ascii="Times New Roman" w:hAnsi="Times New Roman"/>
        </w:rPr>
        <w:t>E(3-12)</w:t>
      </w:r>
      <w:r w:rsidRPr="00683E14">
        <w:rPr>
          <w:rFonts w:ascii="Times New Roman" w:hAnsi="Times New Roman"/>
        </w:rPr>
        <w:t xml:space="preserve"> of the Amendment Instrument. </w:t>
      </w:r>
    </w:p>
    <w:p w14:paraId="59183549" w14:textId="6C84C7C9"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substantively engaged with </w:t>
      </w:r>
      <w:r w:rsidRPr="00C26F6B">
        <w:rPr>
          <w:rFonts w:ascii="Times New Roman" w:hAnsi="Times New Roman"/>
        </w:rPr>
        <w:t>is clarified to describe a contact when an individual operator first engages with a customer or proposed customer regarding the substantive issue raised as part of the contact. It is noted that this excludes a contact where a</w:t>
      </w:r>
      <w:r w:rsidR="006754E4">
        <w:rPr>
          <w:rFonts w:ascii="Times New Roman" w:hAnsi="Times New Roman"/>
        </w:rPr>
        <w:t xml:space="preserve"> huma</w:t>
      </w:r>
      <w:r w:rsidRPr="00C26F6B">
        <w:rPr>
          <w:rFonts w:ascii="Times New Roman" w:hAnsi="Times New Roman"/>
        </w:rPr>
        <w:t xml:space="preserve">n operator </w:t>
      </w:r>
      <w:r w:rsidR="006754E4">
        <w:rPr>
          <w:rFonts w:ascii="Times New Roman" w:hAnsi="Times New Roman"/>
        </w:rPr>
        <w:t xml:space="preserve">or automated customer system </w:t>
      </w:r>
      <w:r w:rsidRPr="00C26F6B">
        <w:rPr>
          <w:rFonts w:ascii="Times New Roman" w:hAnsi="Times New Roman"/>
        </w:rPr>
        <w:t>has simply acknowledged the contact</w:t>
      </w:r>
      <w:r w:rsidR="00D56C11">
        <w:rPr>
          <w:rFonts w:ascii="Times New Roman" w:hAnsi="Times New Roman"/>
        </w:rPr>
        <w:t>,</w:t>
      </w:r>
      <w:r w:rsidRPr="00C26F6B">
        <w:rPr>
          <w:rFonts w:ascii="Times New Roman" w:hAnsi="Times New Roman"/>
        </w:rPr>
        <w:t xml:space="preserve"> such as through </w:t>
      </w:r>
      <w:r w:rsidR="006754E4" w:rsidRPr="00C26F6B">
        <w:rPr>
          <w:rFonts w:ascii="Times New Roman" w:hAnsi="Times New Roman"/>
        </w:rPr>
        <w:t>t</w:t>
      </w:r>
      <w:r w:rsidR="006754E4">
        <w:rPr>
          <w:rFonts w:ascii="Times New Roman" w:hAnsi="Times New Roman"/>
        </w:rPr>
        <w:t xml:space="preserve">elling the </w:t>
      </w:r>
      <w:r w:rsidR="006754E4" w:rsidRPr="00C26F6B">
        <w:rPr>
          <w:rFonts w:ascii="Times New Roman" w:hAnsi="Times New Roman"/>
        </w:rPr>
        <w:t xml:space="preserve">caller they will be placed on hold </w:t>
      </w:r>
      <w:r w:rsidR="006754E4">
        <w:rPr>
          <w:rFonts w:ascii="Times New Roman" w:hAnsi="Times New Roman"/>
        </w:rPr>
        <w:t xml:space="preserve">or </w:t>
      </w:r>
      <w:r w:rsidR="001206FE">
        <w:rPr>
          <w:rFonts w:ascii="Times New Roman" w:hAnsi="Times New Roman"/>
        </w:rPr>
        <w:t xml:space="preserve">via </w:t>
      </w:r>
      <w:r w:rsidR="006754E4">
        <w:rPr>
          <w:rFonts w:ascii="Times New Roman" w:hAnsi="Times New Roman"/>
        </w:rPr>
        <w:t>an automatically generated</w:t>
      </w:r>
      <w:r w:rsidRPr="00C26F6B">
        <w:rPr>
          <w:rFonts w:ascii="Times New Roman" w:hAnsi="Times New Roman"/>
        </w:rPr>
        <w:t xml:space="preserve"> reply email. </w:t>
      </w:r>
    </w:p>
    <w:p w14:paraId="10C117BA" w14:textId="3B21E6A1"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unique exemption event identifier </w:t>
      </w:r>
      <w:r w:rsidRPr="00C26F6B">
        <w:rPr>
          <w:rFonts w:ascii="Times New Roman" w:hAnsi="Times New Roman"/>
        </w:rPr>
        <w:t xml:space="preserve">is defined to mean a unique numeric or alphanumeric identifier that refers to a specific exemption event. If the event is a mass outage, this will be the identifier displayed in the public notice of the event Telstra must publish in accordance with </w:t>
      </w:r>
      <w:r w:rsidR="006B17AC">
        <w:rPr>
          <w:rFonts w:ascii="Times New Roman" w:hAnsi="Times New Roman"/>
        </w:rPr>
        <w:t>s</w:t>
      </w:r>
      <w:r w:rsidRPr="00C26F6B">
        <w:rPr>
          <w:rFonts w:ascii="Times New Roman" w:hAnsi="Times New Roman"/>
        </w:rPr>
        <w:t xml:space="preserve">ection 25 of the CSG Standard. Any other exemption event is to be identified by a numeric or alphanumeric code used by Telstra.  </w:t>
      </w:r>
    </w:p>
    <w:p w14:paraId="5AB7E4C1" w14:textId="1E9973E0" w:rsidR="00581B9F" w:rsidRPr="00C26F6B" w:rsidRDefault="00581B9F" w:rsidP="00581B9F">
      <w:pPr>
        <w:spacing w:line="276" w:lineRule="auto"/>
        <w:rPr>
          <w:rFonts w:ascii="Times New Roman" w:hAnsi="Times New Roman"/>
        </w:rPr>
      </w:pPr>
      <w:r w:rsidRPr="00C26F6B">
        <w:rPr>
          <w:rFonts w:ascii="Times New Roman" w:hAnsi="Times New Roman"/>
        </w:rPr>
        <w:t xml:space="preserve">The term </w:t>
      </w:r>
      <w:r w:rsidRPr="00C26F6B">
        <w:rPr>
          <w:rFonts w:ascii="Times New Roman" w:hAnsi="Times New Roman"/>
          <w:i/>
        </w:rPr>
        <w:t xml:space="preserve">unique service identifier </w:t>
      </w:r>
      <w:r w:rsidRPr="00C26F6B">
        <w:rPr>
          <w:rFonts w:ascii="Times New Roman" w:hAnsi="Times New Roman"/>
        </w:rPr>
        <w:t xml:space="preserve">is clarified to mean an identifier used to distinguish each individual service covered under </w:t>
      </w:r>
      <w:r w:rsidR="006B17AC">
        <w:rPr>
          <w:rFonts w:ascii="Times New Roman" w:hAnsi="Times New Roman"/>
        </w:rPr>
        <w:t xml:space="preserve">the </w:t>
      </w:r>
      <w:r w:rsidRPr="00C26F6B">
        <w:rPr>
          <w:rFonts w:ascii="Times New Roman" w:hAnsi="Times New Roman"/>
        </w:rPr>
        <w:t xml:space="preserve">reporting requirements set out in </w:t>
      </w:r>
      <w:r w:rsidR="006B17AC">
        <w:rPr>
          <w:rFonts w:ascii="Times New Roman" w:hAnsi="Times New Roman"/>
        </w:rPr>
        <w:t>s</w:t>
      </w:r>
      <w:r w:rsidRPr="00C26F6B">
        <w:rPr>
          <w:rFonts w:ascii="Times New Roman" w:hAnsi="Times New Roman"/>
        </w:rPr>
        <w:t xml:space="preserve">ection </w:t>
      </w:r>
      <w:r w:rsidR="00CF70E1">
        <w:rPr>
          <w:rFonts w:ascii="Times New Roman" w:hAnsi="Times New Roman"/>
        </w:rPr>
        <w:t>11E</w:t>
      </w:r>
      <w:r w:rsidRPr="00C26F6B">
        <w:rPr>
          <w:rFonts w:ascii="Times New Roman" w:hAnsi="Times New Roman"/>
        </w:rPr>
        <w:t xml:space="preserve"> of the Amendment Instrument. Services with telephone numbers are to be identified by those numbers. Services without telephone numbers are to be identified by a numeric or alphanumeric identifier that is different to any other telephone number. </w:t>
      </w:r>
    </w:p>
    <w:p w14:paraId="5BCFA411" w14:textId="71A7C92D" w:rsidR="00581B9F" w:rsidRPr="00C26F6B" w:rsidRDefault="00581B9F" w:rsidP="00581B9F">
      <w:pPr>
        <w:spacing w:line="276" w:lineRule="auto"/>
        <w:rPr>
          <w:rFonts w:ascii="Times New Roman" w:hAnsi="Times New Roman"/>
          <w:u w:val="single"/>
        </w:rPr>
      </w:pPr>
      <w:r w:rsidRPr="00C26F6B">
        <w:rPr>
          <w:rFonts w:ascii="Times New Roman" w:hAnsi="Times New Roman"/>
          <w:u w:val="single"/>
        </w:rPr>
        <w:t>Section 1</w:t>
      </w:r>
      <w:r w:rsidR="00683E14">
        <w:rPr>
          <w:rFonts w:ascii="Times New Roman" w:hAnsi="Times New Roman"/>
          <w:u w:val="single"/>
        </w:rPr>
        <w:t>1</w:t>
      </w:r>
      <w:r w:rsidRPr="00C26F6B">
        <w:rPr>
          <w:rFonts w:ascii="Times New Roman" w:hAnsi="Times New Roman"/>
          <w:u w:val="single"/>
        </w:rPr>
        <w:t>B – Public information</w:t>
      </w:r>
      <w:r w:rsidR="009A200D">
        <w:rPr>
          <w:rFonts w:ascii="Times New Roman" w:hAnsi="Times New Roman"/>
          <w:u w:val="single"/>
        </w:rPr>
        <w:t xml:space="preserve"> on names of relevant ESAs</w:t>
      </w:r>
    </w:p>
    <w:p w14:paraId="47D605DA" w14:textId="7FFF137D" w:rsidR="00581B9F" w:rsidRPr="00C26F6B" w:rsidRDefault="00A9646A" w:rsidP="00581B9F">
      <w:pPr>
        <w:spacing w:line="276" w:lineRule="auto"/>
        <w:rPr>
          <w:rFonts w:ascii="Times New Roman" w:hAnsi="Times New Roman"/>
        </w:rPr>
      </w:pPr>
      <w:r>
        <w:rPr>
          <w:rFonts w:ascii="Times New Roman" w:hAnsi="Times New Roman"/>
        </w:rPr>
        <w:t>S</w:t>
      </w:r>
      <w:r w:rsidR="00581B9F" w:rsidRPr="00C26F6B">
        <w:rPr>
          <w:rFonts w:ascii="Times New Roman" w:hAnsi="Times New Roman"/>
        </w:rPr>
        <w:t xml:space="preserve">ection </w:t>
      </w:r>
      <w:r>
        <w:rPr>
          <w:rFonts w:ascii="Times New Roman" w:hAnsi="Times New Roman"/>
        </w:rPr>
        <w:t xml:space="preserve">11B </w:t>
      </w:r>
      <w:r w:rsidR="00581B9F" w:rsidRPr="00C26F6B">
        <w:rPr>
          <w:rFonts w:ascii="Times New Roman" w:hAnsi="Times New Roman"/>
        </w:rPr>
        <w:t>sets out the requirement for Telstra to provide public information on the names of ESAs</w:t>
      </w:r>
      <w:r w:rsidR="00A91C93">
        <w:rPr>
          <w:rFonts w:ascii="Times New Roman" w:hAnsi="Times New Roman"/>
        </w:rPr>
        <w:t>.</w:t>
      </w:r>
      <w:r w:rsidR="00581B9F" w:rsidRPr="00C26F6B">
        <w:rPr>
          <w:rFonts w:ascii="Times New Roman" w:hAnsi="Times New Roman"/>
        </w:rPr>
        <w:t xml:space="preserve"> </w:t>
      </w:r>
      <w:r w:rsidR="00167581">
        <w:rPr>
          <w:rFonts w:ascii="Times New Roman" w:hAnsi="Times New Roman"/>
        </w:rPr>
        <w:t>Under</w:t>
      </w:r>
      <w:r w:rsidR="00683E14">
        <w:rPr>
          <w:rFonts w:ascii="Times New Roman" w:hAnsi="Times New Roman"/>
        </w:rPr>
        <w:t xml:space="preserve"> subsection 11</w:t>
      </w:r>
      <w:r w:rsidR="00581B9F" w:rsidRPr="00C26F6B">
        <w:rPr>
          <w:rFonts w:ascii="Times New Roman" w:hAnsi="Times New Roman"/>
        </w:rPr>
        <w:t>B(1), Telstra is required to provide an online system that will allow a user of its website to identify the ESA for any single premise</w:t>
      </w:r>
      <w:r w:rsidR="00167581">
        <w:rPr>
          <w:rFonts w:ascii="Times New Roman" w:hAnsi="Times New Roman"/>
        </w:rPr>
        <w:t>s</w:t>
      </w:r>
      <w:r w:rsidR="00581B9F" w:rsidRPr="00C26F6B">
        <w:rPr>
          <w:rFonts w:ascii="Times New Roman" w:hAnsi="Times New Roman"/>
        </w:rPr>
        <w:t>. This is designed to create a simple and accessible way for members of the public to identify their relevant ESA. When used in conjunction with the public reports published quart</w:t>
      </w:r>
      <w:r w:rsidR="00683E14">
        <w:rPr>
          <w:rFonts w:ascii="Times New Roman" w:hAnsi="Times New Roman"/>
        </w:rPr>
        <w:t xml:space="preserve">erly by Telstra under </w:t>
      </w:r>
      <w:r w:rsidR="003660F4">
        <w:rPr>
          <w:rFonts w:ascii="Times New Roman" w:hAnsi="Times New Roman"/>
        </w:rPr>
        <w:t>s</w:t>
      </w:r>
      <w:r w:rsidR="00683E14">
        <w:rPr>
          <w:rFonts w:ascii="Times New Roman" w:hAnsi="Times New Roman"/>
        </w:rPr>
        <w:t>ection 11</w:t>
      </w:r>
      <w:r w:rsidR="00581B9F" w:rsidRPr="00C26F6B">
        <w:rPr>
          <w:rFonts w:ascii="Times New Roman" w:hAnsi="Times New Roman"/>
        </w:rPr>
        <w:t xml:space="preserve">C, </w:t>
      </w:r>
      <w:r w:rsidR="00581B9F">
        <w:rPr>
          <w:rFonts w:ascii="Times New Roman" w:hAnsi="Times New Roman"/>
        </w:rPr>
        <w:t>consumers</w:t>
      </w:r>
      <w:r w:rsidR="00581B9F" w:rsidRPr="00C26F6B">
        <w:rPr>
          <w:rFonts w:ascii="Times New Roman" w:hAnsi="Times New Roman"/>
        </w:rPr>
        <w:t xml:space="preserve"> will be able to </w:t>
      </w:r>
      <w:r w:rsidR="00167581">
        <w:rPr>
          <w:rFonts w:ascii="Times New Roman" w:hAnsi="Times New Roman"/>
        </w:rPr>
        <w:t>see</w:t>
      </w:r>
      <w:r w:rsidR="00167581" w:rsidRPr="00C26F6B">
        <w:rPr>
          <w:rFonts w:ascii="Times New Roman" w:hAnsi="Times New Roman"/>
        </w:rPr>
        <w:t xml:space="preserve"> </w:t>
      </w:r>
      <w:r w:rsidR="00581B9F" w:rsidRPr="00C26F6B">
        <w:rPr>
          <w:rFonts w:ascii="Times New Roman" w:hAnsi="Times New Roman"/>
        </w:rPr>
        <w:t>the overall performance of voice services in their area.</w:t>
      </w:r>
    </w:p>
    <w:p w14:paraId="78AB68B0" w14:textId="7B3E60D7" w:rsidR="00581B9F" w:rsidRPr="00C26F6B" w:rsidRDefault="00581B9F" w:rsidP="00581B9F">
      <w:pPr>
        <w:spacing w:line="276" w:lineRule="auto"/>
        <w:rPr>
          <w:rFonts w:ascii="Times New Roman" w:hAnsi="Times New Roman"/>
        </w:rPr>
      </w:pPr>
      <w:r w:rsidRPr="00C26F6B">
        <w:rPr>
          <w:rFonts w:ascii="Times New Roman" w:hAnsi="Times New Roman"/>
        </w:rPr>
        <w:t xml:space="preserve">Subsection </w:t>
      </w:r>
      <w:r w:rsidR="007625DA">
        <w:rPr>
          <w:rFonts w:ascii="Times New Roman" w:hAnsi="Times New Roman"/>
        </w:rPr>
        <w:t>11</w:t>
      </w:r>
      <w:r w:rsidRPr="00C26F6B">
        <w:rPr>
          <w:rFonts w:ascii="Times New Roman" w:hAnsi="Times New Roman"/>
        </w:rPr>
        <w:t xml:space="preserve">B(2) requires the system to be automatic, so that any user who enters an address for a relevant service will be automatically provided with the name of the corresponding ESA. If there is no relevant ESA, the system must provide a statement to that effect which includes the reason. </w:t>
      </w:r>
    </w:p>
    <w:p w14:paraId="62DC28BD" w14:textId="779BAEAC" w:rsidR="00581B9F" w:rsidRPr="00C26F6B" w:rsidRDefault="00581B9F" w:rsidP="00581B9F">
      <w:pPr>
        <w:spacing w:line="276" w:lineRule="auto"/>
        <w:rPr>
          <w:rFonts w:ascii="Times New Roman" w:hAnsi="Times New Roman"/>
        </w:rPr>
      </w:pPr>
      <w:r w:rsidRPr="00C26F6B">
        <w:rPr>
          <w:rFonts w:ascii="Times New Roman" w:hAnsi="Times New Roman"/>
        </w:rPr>
        <w:t xml:space="preserve">Subsection </w:t>
      </w:r>
      <w:r w:rsidR="007625DA">
        <w:rPr>
          <w:rFonts w:ascii="Times New Roman" w:hAnsi="Times New Roman"/>
        </w:rPr>
        <w:t>11</w:t>
      </w:r>
      <w:r w:rsidRPr="00C26F6B">
        <w:rPr>
          <w:rFonts w:ascii="Times New Roman" w:hAnsi="Times New Roman"/>
        </w:rPr>
        <w:t>B(3) provides that Telstra must make the system available by the time the first public report is required under the new reporting ar</w:t>
      </w:r>
      <w:r w:rsidR="00683E14">
        <w:rPr>
          <w:rFonts w:ascii="Times New Roman" w:hAnsi="Times New Roman"/>
        </w:rPr>
        <w:t xml:space="preserve">rangements set out in </w:t>
      </w:r>
      <w:r w:rsidR="003660F4">
        <w:rPr>
          <w:rFonts w:ascii="Times New Roman" w:hAnsi="Times New Roman"/>
        </w:rPr>
        <w:t>s</w:t>
      </w:r>
      <w:r w:rsidR="00683E14">
        <w:rPr>
          <w:rFonts w:ascii="Times New Roman" w:hAnsi="Times New Roman"/>
        </w:rPr>
        <w:t>ection 11</w:t>
      </w:r>
      <w:r w:rsidR="00CF70E1">
        <w:rPr>
          <w:rFonts w:ascii="Times New Roman" w:hAnsi="Times New Roman"/>
        </w:rPr>
        <w:t xml:space="preserve">C. </w:t>
      </w:r>
    </w:p>
    <w:p w14:paraId="3313BDCB" w14:textId="7DD39939" w:rsidR="00581B9F" w:rsidRPr="00C26F6B" w:rsidRDefault="00581B9F" w:rsidP="00581B9F">
      <w:pPr>
        <w:spacing w:line="276" w:lineRule="auto"/>
        <w:rPr>
          <w:rFonts w:ascii="Times New Roman" w:hAnsi="Times New Roman"/>
        </w:rPr>
      </w:pPr>
      <w:r w:rsidRPr="00C26F6B">
        <w:rPr>
          <w:rFonts w:ascii="Times New Roman" w:hAnsi="Times New Roman"/>
        </w:rPr>
        <w:t xml:space="preserve">Subsection </w:t>
      </w:r>
      <w:r w:rsidR="007625DA">
        <w:rPr>
          <w:rFonts w:ascii="Times New Roman" w:hAnsi="Times New Roman"/>
        </w:rPr>
        <w:t>11</w:t>
      </w:r>
      <w:r w:rsidRPr="00C26F6B">
        <w:rPr>
          <w:rFonts w:ascii="Times New Roman" w:hAnsi="Times New Roman"/>
        </w:rPr>
        <w:t>B(4) establishes that the system must not require a user to pay a fee or charge, register, or provide additional information</w:t>
      </w:r>
      <w:r w:rsidR="00683E14">
        <w:rPr>
          <w:rFonts w:ascii="Times New Roman" w:hAnsi="Times New Roman"/>
        </w:rPr>
        <w:t xml:space="preserve"> apart from the relevant address.</w:t>
      </w:r>
      <w:r w:rsidRPr="00C26F6B">
        <w:rPr>
          <w:rFonts w:ascii="Times New Roman" w:hAnsi="Times New Roman"/>
        </w:rPr>
        <w:t xml:space="preserve"> This provision is</w:t>
      </w:r>
      <w:r w:rsidR="00167581">
        <w:rPr>
          <w:rFonts w:ascii="Times New Roman" w:hAnsi="Times New Roman"/>
        </w:rPr>
        <w:t xml:space="preserve"> </w:t>
      </w:r>
      <w:r w:rsidRPr="00C26F6B">
        <w:rPr>
          <w:rFonts w:ascii="Times New Roman" w:hAnsi="Times New Roman"/>
        </w:rPr>
        <w:t xml:space="preserve">designed to ensure the system is accessible for all members of the public </w:t>
      </w:r>
      <w:r>
        <w:rPr>
          <w:rFonts w:ascii="Times New Roman" w:hAnsi="Times New Roman"/>
        </w:rPr>
        <w:t xml:space="preserve">requesting information. </w:t>
      </w:r>
    </w:p>
    <w:p w14:paraId="1764D423" w14:textId="0979E866" w:rsidR="00581B9F" w:rsidRPr="00C26F6B" w:rsidRDefault="00581B9F" w:rsidP="00581B9F">
      <w:pPr>
        <w:spacing w:line="276" w:lineRule="auto"/>
        <w:rPr>
          <w:rFonts w:ascii="Times New Roman" w:hAnsi="Times New Roman"/>
        </w:rPr>
      </w:pPr>
      <w:r w:rsidRPr="00C26F6B">
        <w:rPr>
          <w:rFonts w:ascii="Times New Roman" w:hAnsi="Times New Roman"/>
        </w:rPr>
        <w:t xml:space="preserve">Subsection </w:t>
      </w:r>
      <w:r w:rsidR="007625DA">
        <w:rPr>
          <w:rFonts w:ascii="Times New Roman" w:hAnsi="Times New Roman"/>
        </w:rPr>
        <w:t>11</w:t>
      </w:r>
      <w:r w:rsidRPr="00C26F6B">
        <w:rPr>
          <w:rFonts w:ascii="Times New Roman" w:hAnsi="Times New Roman"/>
        </w:rPr>
        <w:t xml:space="preserve">B(5) provides for the system to be constantly available and provide immediate information to all members of the public. Specifically, Telstra is required to take all </w:t>
      </w:r>
      <w:r w:rsidRPr="00C26F6B">
        <w:rPr>
          <w:rFonts w:ascii="Times New Roman" w:hAnsi="Times New Roman"/>
        </w:rPr>
        <w:lastRenderedPageBreak/>
        <w:t xml:space="preserve">reasonable steps to ensure that a user can access the system at all times and be provided with an immediate response to any request for information.  </w:t>
      </w:r>
    </w:p>
    <w:p w14:paraId="122B0FD2" w14:textId="693BF390" w:rsidR="00581B9F" w:rsidRPr="00C26F6B" w:rsidRDefault="00581B9F" w:rsidP="00581B9F">
      <w:pPr>
        <w:spacing w:line="276" w:lineRule="auto"/>
        <w:rPr>
          <w:rFonts w:ascii="Times New Roman" w:hAnsi="Times New Roman"/>
        </w:rPr>
      </w:pPr>
      <w:r w:rsidRPr="00C26F6B">
        <w:rPr>
          <w:rFonts w:ascii="Times New Roman" w:hAnsi="Times New Roman"/>
          <w:u w:val="single"/>
        </w:rPr>
        <w:t xml:space="preserve">Section </w:t>
      </w:r>
      <w:r w:rsidR="007625DA">
        <w:rPr>
          <w:rFonts w:ascii="Times New Roman" w:hAnsi="Times New Roman"/>
          <w:u w:val="single"/>
        </w:rPr>
        <w:t>11</w:t>
      </w:r>
      <w:r w:rsidRPr="00C26F6B">
        <w:rPr>
          <w:rFonts w:ascii="Times New Roman" w:hAnsi="Times New Roman"/>
          <w:u w:val="single"/>
        </w:rPr>
        <w:t xml:space="preserve">C - Public reporting </w:t>
      </w:r>
      <w:r w:rsidR="009A200D">
        <w:rPr>
          <w:rFonts w:ascii="Times New Roman" w:hAnsi="Times New Roman"/>
          <w:u w:val="single"/>
        </w:rPr>
        <w:t>on certain CSG services in relevant ESAs</w:t>
      </w:r>
    </w:p>
    <w:p w14:paraId="190A9B3F" w14:textId="3F626BA9" w:rsidR="00581B9F" w:rsidRDefault="00581B9F" w:rsidP="00581B9F">
      <w:pPr>
        <w:spacing w:line="276" w:lineRule="auto"/>
        <w:rPr>
          <w:rFonts w:ascii="Times New Roman" w:hAnsi="Times New Roman"/>
        </w:rPr>
      </w:pPr>
      <w:r w:rsidRPr="00C26F6B">
        <w:rPr>
          <w:rFonts w:ascii="Times New Roman" w:hAnsi="Times New Roman"/>
        </w:rPr>
        <w:t>Secti</w:t>
      </w:r>
      <w:r>
        <w:rPr>
          <w:rFonts w:ascii="Times New Roman" w:hAnsi="Times New Roman"/>
        </w:rPr>
        <w:t>on 1</w:t>
      </w:r>
      <w:r w:rsidR="007625DA">
        <w:rPr>
          <w:rFonts w:ascii="Times New Roman" w:hAnsi="Times New Roman"/>
        </w:rPr>
        <w:t>1</w:t>
      </w:r>
      <w:r>
        <w:rPr>
          <w:rFonts w:ascii="Times New Roman" w:hAnsi="Times New Roman"/>
        </w:rPr>
        <w:t>C sets out the requirement</w:t>
      </w:r>
      <w:r w:rsidRPr="00C26F6B">
        <w:rPr>
          <w:rFonts w:ascii="Times New Roman" w:hAnsi="Times New Roman"/>
        </w:rPr>
        <w:t xml:space="preserve"> for Telstra to publish quarterly reports on its delivery of voice services located outside the NBN fixed-line footprint</w:t>
      </w:r>
      <w:r w:rsidR="006B17AC">
        <w:rPr>
          <w:rFonts w:ascii="Times New Roman" w:hAnsi="Times New Roman"/>
        </w:rPr>
        <w:t>,</w:t>
      </w:r>
      <w:r w:rsidR="00167581" w:rsidRPr="00167581">
        <w:rPr>
          <w:rFonts w:ascii="Times New Roman" w:hAnsi="Times New Roman"/>
        </w:rPr>
        <w:t xml:space="preserve"> </w:t>
      </w:r>
      <w:r w:rsidR="00167581">
        <w:rPr>
          <w:rFonts w:ascii="Times New Roman" w:hAnsi="Times New Roman"/>
        </w:rPr>
        <w:t>at</w:t>
      </w:r>
      <w:r w:rsidR="00167581" w:rsidRPr="00C26F6B">
        <w:rPr>
          <w:rFonts w:ascii="Times New Roman" w:hAnsi="Times New Roman"/>
        </w:rPr>
        <w:t xml:space="preserve"> ESA</w:t>
      </w:r>
      <w:r w:rsidR="00167581">
        <w:rPr>
          <w:rFonts w:ascii="Times New Roman" w:hAnsi="Times New Roman"/>
        </w:rPr>
        <w:t xml:space="preserve"> level</w:t>
      </w:r>
      <w:r w:rsidRPr="00C26F6B">
        <w:rPr>
          <w:rFonts w:ascii="Times New Roman" w:hAnsi="Times New Roman"/>
        </w:rPr>
        <w:t xml:space="preserve">. </w:t>
      </w:r>
      <w:r>
        <w:rPr>
          <w:rFonts w:ascii="Times New Roman" w:hAnsi="Times New Roman"/>
        </w:rPr>
        <w:t xml:space="preserve">As set out in </w:t>
      </w:r>
      <w:r w:rsidR="00167581">
        <w:rPr>
          <w:rFonts w:ascii="Times New Roman" w:hAnsi="Times New Roman"/>
        </w:rPr>
        <w:t>s</w:t>
      </w:r>
      <w:r>
        <w:rPr>
          <w:rFonts w:ascii="Times New Roman" w:hAnsi="Times New Roman"/>
        </w:rPr>
        <w:t>ubsection 1</w:t>
      </w:r>
      <w:r w:rsidR="007625DA">
        <w:rPr>
          <w:rFonts w:ascii="Times New Roman" w:hAnsi="Times New Roman"/>
        </w:rPr>
        <w:t>1</w:t>
      </w:r>
      <w:r w:rsidR="00683E14">
        <w:rPr>
          <w:rFonts w:ascii="Times New Roman" w:hAnsi="Times New Roman"/>
        </w:rPr>
        <w:t>C(1)</w:t>
      </w:r>
      <w:r>
        <w:rPr>
          <w:rFonts w:ascii="Times New Roman" w:hAnsi="Times New Roman"/>
        </w:rPr>
        <w:t>, each report will provide information on Telstra’s performance in each ESA against a number of key indicators, including service reliability, service connection, fault rectification, as well as its handli</w:t>
      </w:r>
      <w:r w:rsidR="00057E3C">
        <w:rPr>
          <w:rFonts w:ascii="Times New Roman" w:hAnsi="Times New Roman"/>
        </w:rPr>
        <w:t xml:space="preserve">ng of appointments and </w:t>
      </w:r>
      <w:r>
        <w:rPr>
          <w:rFonts w:ascii="Times New Roman" w:hAnsi="Times New Roman"/>
        </w:rPr>
        <w:t>customer complaints.</w:t>
      </w:r>
      <w:r w:rsidR="00E34777">
        <w:rPr>
          <w:rFonts w:ascii="Times New Roman" w:hAnsi="Times New Roman"/>
        </w:rPr>
        <w:t xml:space="preserve"> </w:t>
      </w:r>
      <w:r w:rsidR="00AB1555">
        <w:rPr>
          <w:rFonts w:ascii="Times New Roman" w:hAnsi="Times New Roman"/>
        </w:rPr>
        <w:t xml:space="preserve">These reports must be provided within 28 days of the end of each quarter, </w:t>
      </w:r>
      <w:r w:rsidR="00F64EAA">
        <w:rPr>
          <w:rFonts w:ascii="Times New Roman" w:hAnsi="Times New Roman"/>
        </w:rPr>
        <w:t xml:space="preserve">beginning with the first quarter of 2022 </w:t>
      </w:r>
      <w:r w:rsidR="00A53D89">
        <w:rPr>
          <w:rFonts w:ascii="Times New Roman" w:hAnsi="Times New Roman"/>
        </w:rPr>
        <w:t xml:space="preserve">(i.e. the quarter </w:t>
      </w:r>
      <w:r w:rsidR="006B4A3B">
        <w:rPr>
          <w:rFonts w:ascii="Times New Roman" w:hAnsi="Times New Roman"/>
        </w:rPr>
        <w:t>spanning 1 January-</w:t>
      </w:r>
      <w:r w:rsidR="00A53D89">
        <w:rPr>
          <w:rFonts w:ascii="Times New Roman" w:hAnsi="Times New Roman"/>
        </w:rPr>
        <w:t>31 March</w:t>
      </w:r>
      <w:r w:rsidR="006B4A3B">
        <w:rPr>
          <w:rFonts w:ascii="Times New Roman" w:hAnsi="Times New Roman"/>
        </w:rPr>
        <w:t xml:space="preserve"> 2022</w:t>
      </w:r>
      <w:r w:rsidR="00A53D89">
        <w:rPr>
          <w:rFonts w:ascii="Times New Roman" w:hAnsi="Times New Roman"/>
        </w:rPr>
        <w:t xml:space="preserve">). </w:t>
      </w:r>
      <w:r w:rsidR="006B4A3B">
        <w:rPr>
          <w:rFonts w:ascii="Times New Roman" w:hAnsi="Times New Roman"/>
        </w:rPr>
        <w:t xml:space="preserve">Accordingly, Telstra will be required to  make public its first quarterly report </w:t>
      </w:r>
      <w:r w:rsidR="002205AD">
        <w:rPr>
          <w:rFonts w:ascii="Times New Roman" w:hAnsi="Times New Roman"/>
        </w:rPr>
        <w:t>in</w:t>
      </w:r>
      <w:r w:rsidR="006B4A3B">
        <w:rPr>
          <w:rFonts w:ascii="Times New Roman" w:hAnsi="Times New Roman"/>
        </w:rPr>
        <w:t xml:space="preserve"> April 2022.  </w:t>
      </w:r>
    </w:p>
    <w:p w14:paraId="46F27CF4" w14:textId="2A88FDE3" w:rsidR="00581B9F" w:rsidRPr="00C26F6B" w:rsidRDefault="00581B9F" w:rsidP="00581B9F">
      <w:pPr>
        <w:spacing w:line="276" w:lineRule="auto"/>
        <w:rPr>
          <w:rFonts w:ascii="Times New Roman" w:hAnsi="Times New Roman"/>
        </w:rPr>
      </w:pPr>
      <w:r w:rsidRPr="00C26F6B">
        <w:rPr>
          <w:rFonts w:ascii="Times New Roman" w:hAnsi="Times New Roman"/>
        </w:rPr>
        <w:t>Paragraphs 1</w:t>
      </w:r>
      <w:r w:rsidR="007625DA">
        <w:rPr>
          <w:rFonts w:ascii="Times New Roman" w:hAnsi="Times New Roman"/>
        </w:rPr>
        <w:t>1</w:t>
      </w:r>
      <w:r w:rsidRPr="00C26F6B">
        <w:rPr>
          <w:rFonts w:ascii="Times New Roman" w:hAnsi="Times New Roman"/>
        </w:rPr>
        <w:t xml:space="preserve">C(1)(a-c) set out the preliminary information Telstra is required to include in each report, including the name of the relevant ESA, the number of services supplied during the quarter, as well as the number of addresses of premises to which these services were supplied. </w:t>
      </w:r>
      <w:r w:rsidR="006B17AC">
        <w:rPr>
          <w:rFonts w:ascii="Times New Roman" w:hAnsi="Times New Roman"/>
        </w:rPr>
        <w:t xml:space="preserve">Reporting of </w:t>
      </w:r>
      <w:r w:rsidR="002205AD">
        <w:rPr>
          <w:rFonts w:ascii="Times New Roman" w:hAnsi="Times New Roman"/>
        </w:rPr>
        <w:t>the number of services and the number of premises will enable the average number of services per premises to be calculated.</w:t>
      </w:r>
    </w:p>
    <w:p w14:paraId="5FB077E7" w14:textId="3AE5B25E" w:rsidR="00581B9F" w:rsidRPr="00C26F6B" w:rsidRDefault="00581B9F" w:rsidP="00581B9F">
      <w:pPr>
        <w:spacing w:line="276" w:lineRule="auto"/>
        <w:rPr>
          <w:rFonts w:ascii="Times New Roman" w:hAnsi="Times New Roman"/>
        </w:rPr>
      </w:pPr>
      <w:r w:rsidRPr="00C26F6B">
        <w:rPr>
          <w:rFonts w:ascii="Times New Roman" w:hAnsi="Times New Roman"/>
        </w:rPr>
        <w:t>Paragraph 1</w:t>
      </w:r>
      <w:r w:rsidR="007625DA">
        <w:rPr>
          <w:rFonts w:ascii="Times New Roman" w:hAnsi="Times New Roman"/>
        </w:rPr>
        <w:t>1</w:t>
      </w:r>
      <w:r w:rsidRPr="00C26F6B">
        <w:rPr>
          <w:rFonts w:ascii="Times New Roman" w:hAnsi="Times New Roman"/>
        </w:rPr>
        <w:t xml:space="preserve">C(1)(d) provides that Telstra must report the average percentage of time for which services were not affected by a fault or service difficulty during the relevant quarter. </w:t>
      </w:r>
      <w:r w:rsidR="002205AD">
        <w:rPr>
          <w:rFonts w:ascii="Times New Roman" w:hAnsi="Times New Roman"/>
        </w:rPr>
        <w:t>This will indicate the average availability of the reportable services.</w:t>
      </w:r>
    </w:p>
    <w:p w14:paraId="0FF4BBE7" w14:textId="2A43D7E2" w:rsidR="00581B9F" w:rsidRPr="00C26F6B" w:rsidRDefault="00581B9F" w:rsidP="00581B9F">
      <w:pPr>
        <w:spacing w:line="276" w:lineRule="auto"/>
        <w:rPr>
          <w:rFonts w:ascii="Times New Roman" w:hAnsi="Times New Roman"/>
        </w:rPr>
      </w:pPr>
      <w:r w:rsidRPr="00C26F6B">
        <w:rPr>
          <w:rFonts w:ascii="Times New Roman" w:hAnsi="Times New Roman"/>
        </w:rPr>
        <w:t>Paragraphs 1</w:t>
      </w:r>
      <w:r w:rsidR="007625DA">
        <w:rPr>
          <w:rFonts w:ascii="Times New Roman" w:hAnsi="Times New Roman"/>
        </w:rPr>
        <w:t>1</w:t>
      </w:r>
      <w:r w:rsidRPr="00C26F6B">
        <w:rPr>
          <w:rFonts w:ascii="Times New Roman" w:hAnsi="Times New Roman"/>
        </w:rPr>
        <w:t xml:space="preserve">C(1)(e-h) provide for Telstra to publish information relating to the connection of services in each relevant ESA. Telstra is required to report the numbers of services that were connected in which there was, and was not, an existing in-place connection at the premises. Telstra must also report the percentage of these totals that were connected within the timeframes set out in the CSG Standard. </w:t>
      </w:r>
    </w:p>
    <w:p w14:paraId="3AD93E5F" w14:textId="3C3E3000" w:rsidR="00581B9F" w:rsidRPr="00C26F6B" w:rsidRDefault="00581B9F" w:rsidP="00581B9F">
      <w:pPr>
        <w:spacing w:line="276" w:lineRule="auto"/>
        <w:rPr>
          <w:rFonts w:ascii="Times New Roman" w:hAnsi="Times New Roman"/>
        </w:rPr>
      </w:pPr>
      <w:r w:rsidRPr="00C26F6B">
        <w:rPr>
          <w:rFonts w:ascii="Times New Roman" w:hAnsi="Times New Roman"/>
        </w:rPr>
        <w:t>Paragraphs 1</w:t>
      </w:r>
      <w:r w:rsidR="007625DA">
        <w:rPr>
          <w:rFonts w:ascii="Times New Roman" w:hAnsi="Times New Roman"/>
        </w:rPr>
        <w:t>1</w:t>
      </w:r>
      <w:r w:rsidRPr="00C26F6B">
        <w:rPr>
          <w:rFonts w:ascii="Times New Roman" w:hAnsi="Times New Roman"/>
        </w:rPr>
        <w:t xml:space="preserve">C(1)(i-l) require Telstra to </w:t>
      </w:r>
      <w:r w:rsidRPr="00C26F6B">
        <w:rPr>
          <w:rFonts w:ascii="Times New Roman" w:hAnsi="Times New Roman"/>
          <w:color w:val="000000" w:themeColor="text1"/>
        </w:rPr>
        <w:t xml:space="preserve">provide information on faults and service difficulties that affect services at any time during each quarter. This includes reporting the </w:t>
      </w:r>
      <w:r w:rsidR="002205AD">
        <w:rPr>
          <w:rFonts w:ascii="Times New Roman" w:hAnsi="Times New Roman"/>
          <w:color w:val="000000" w:themeColor="text1"/>
        </w:rPr>
        <w:t>number</w:t>
      </w:r>
      <w:r w:rsidR="002205AD" w:rsidRPr="00C26F6B">
        <w:rPr>
          <w:rFonts w:ascii="Times New Roman" w:hAnsi="Times New Roman"/>
          <w:color w:val="000000" w:themeColor="text1"/>
        </w:rPr>
        <w:t xml:space="preserve"> </w:t>
      </w:r>
      <w:r w:rsidRPr="00C26F6B">
        <w:rPr>
          <w:rFonts w:ascii="Times New Roman" w:hAnsi="Times New Roman"/>
          <w:color w:val="000000" w:themeColor="text1"/>
        </w:rPr>
        <w:t>of faults and service difficulties, as both a total number and as a proportion of the number of all reportable services. Telstra must also provide information on the rectification of faults and service difficulties, including the total number that were rectified and the percentage that were rectified to meet timelines set out in the CSG Standard.</w:t>
      </w:r>
    </w:p>
    <w:p w14:paraId="3B3A97DB" w14:textId="6480BB9D" w:rsidR="00581B9F" w:rsidRDefault="00581B9F" w:rsidP="00581B9F">
      <w:pPr>
        <w:spacing w:line="276" w:lineRule="auto"/>
        <w:rPr>
          <w:rFonts w:ascii="Times New Roman" w:hAnsi="Times New Roman"/>
        </w:rPr>
      </w:pPr>
      <w:r w:rsidRPr="00C26F6B">
        <w:rPr>
          <w:rFonts w:ascii="Times New Roman" w:hAnsi="Times New Roman"/>
        </w:rPr>
        <w:t>Paragraphs 1</w:t>
      </w:r>
      <w:r w:rsidR="007625DA">
        <w:rPr>
          <w:rFonts w:ascii="Times New Roman" w:hAnsi="Times New Roman"/>
        </w:rPr>
        <w:t>1</w:t>
      </w:r>
      <w:r w:rsidRPr="00C26F6B">
        <w:rPr>
          <w:rFonts w:ascii="Times New Roman" w:hAnsi="Times New Roman"/>
        </w:rPr>
        <w:t>C(1)(m-n) require Telstra’s reports to include information about appointments.</w:t>
      </w:r>
      <w:r w:rsidR="00A2212A">
        <w:rPr>
          <w:rFonts w:ascii="Times New Roman" w:hAnsi="Times New Roman"/>
        </w:rPr>
        <w:t xml:space="preserve"> As </w:t>
      </w:r>
      <w:r w:rsidR="00F4613C">
        <w:rPr>
          <w:rFonts w:ascii="Times New Roman" w:hAnsi="Times New Roman"/>
        </w:rPr>
        <w:t>set out</w:t>
      </w:r>
      <w:r w:rsidR="00A2212A">
        <w:rPr>
          <w:rFonts w:ascii="Times New Roman" w:hAnsi="Times New Roman"/>
        </w:rPr>
        <w:t xml:space="preserve"> in</w:t>
      </w:r>
      <w:r w:rsidR="00F4613C">
        <w:rPr>
          <w:rFonts w:ascii="Times New Roman" w:hAnsi="Times New Roman"/>
        </w:rPr>
        <w:t xml:space="preserve"> the definition of </w:t>
      </w:r>
      <w:r w:rsidR="00F4613C">
        <w:rPr>
          <w:rFonts w:ascii="Times New Roman" w:hAnsi="Times New Roman"/>
          <w:i/>
        </w:rPr>
        <w:t xml:space="preserve">appointment </w:t>
      </w:r>
      <w:r w:rsidR="00F4613C">
        <w:rPr>
          <w:rFonts w:ascii="Times New Roman" w:hAnsi="Times New Roman"/>
        </w:rPr>
        <w:t>in</w:t>
      </w:r>
      <w:r w:rsidR="00A2212A">
        <w:rPr>
          <w:rFonts w:ascii="Times New Roman" w:hAnsi="Times New Roman"/>
        </w:rPr>
        <w:t xml:space="preserve"> </w:t>
      </w:r>
      <w:r w:rsidR="00712DFF">
        <w:rPr>
          <w:rFonts w:ascii="Times New Roman" w:hAnsi="Times New Roman"/>
        </w:rPr>
        <w:t>s</w:t>
      </w:r>
      <w:r w:rsidR="003532FD">
        <w:rPr>
          <w:rFonts w:ascii="Times New Roman" w:hAnsi="Times New Roman"/>
        </w:rPr>
        <w:t>ubs</w:t>
      </w:r>
      <w:r w:rsidR="00712DFF">
        <w:rPr>
          <w:rFonts w:ascii="Times New Roman" w:hAnsi="Times New Roman"/>
        </w:rPr>
        <w:t xml:space="preserve">ection </w:t>
      </w:r>
      <w:r w:rsidR="00A2212A">
        <w:rPr>
          <w:rFonts w:ascii="Times New Roman" w:hAnsi="Times New Roman"/>
        </w:rPr>
        <w:t>11</w:t>
      </w:r>
      <w:r w:rsidRPr="00C26F6B">
        <w:rPr>
          <w:rFonts w:ascii="Times New Roman" w:hAnsi="Times New Roman"/>
        </w:rPr>
        <w:t xml:space="preserve">A(1), this includes appointments for both service connections as well as fault or service difficulties. Telstra is required to report the total number of appointments that were scheduled to take place during the quarter and were not cancelled or rescheduled in accordance with section 16 of the CSG Standard. Reports must also include the percentage of these appointments that were kept by Telstra in accordance with section 17 of the CSG Standard. </w:t>
      </w:r>
    </w:p>
    <w:p w14:paraId="414F0B82" w14:textId="4F7F4664" w:rsidR="00BF2454" w:rsidRDefault="00BF2454" w:rsidP="00BF2454">
      <w:pPr>
        <w:spacing w:line="276" w:lineRule="auto"/>
        <w:rPr>
          <w:rFonts w:ascii="Times New Roman" w:hAnsi="Times New Roman"/>
        </w:rPr>
      </w:pPr>
      <w:r w:rsidRPr="00C26F6B">
        <w:rPr>
          <w:rFonts w:ascii="Times New Roman" w:hAnsi="Times New Roman"/>
        </w:rPr>
        <w:lastRenderedPageBreak/>
        <w:t>Paragraph 1</w:t>
      </w:r>
      <w:r>
        <w:rPr>
          <w:rFonts w:ascii="Times New Roman" w:hAnsi="Times New Roman"/>
        </w:rPr>
        <w:t>1C(1)(o</w:t>
      </w:r>
      <w:r w:rsidRPr="00C26F6B">
        <w:rPr>
          <w:rFonts w:ascii="Times New Roman" w:hAnsi="Times New Roman"/>
        </w:rPr>
        <w:t xml:space="preserve">) requires Telstra to publish the number of complaints made by customers in relation to any services that were supplied or proposed to be supplied in the relevant quarter. </w:t>
      </w:r>
    </w:p>
    <w:p w14:paraId="2C8B82A3" w14:textId="19A4FE22" w:rsidR="00AB5FC0" w:rsidRDefault="00E14105" w:rsidP="00BF2454">
      <w:pPr>
        <w:spacing w:line="276" w:lineRule="auto"/>
        <w:rPr>
          <w:rFonts w:ascii="Times New Roman" w:hAnsi="Times New Roman"/>
        </w:rPr>
      </w:pPr>
      <w:r>
        <w:rPr>
          <w:rFonts w:ascii="Times New Roman" w:hAnsi="Times New Roman"/>
        </w:rPr>
        <w:t xml:space="preserve">Subsection 11C(2) provides that Telstra must also publish </w:t>
      </w:r>
      <w:r w:rsidR="00A53D89">
        <w:rPr>
          <w:rFonts w:ascii="Times New Roman" w:hAnsi="Times New Roman"/>
        </w:rPr>
        <w:t xml:space="preserve">a separate report each quarter containing information </w:t>
      </w:r>
      <w:r>
        <w:rPr>
          <w:rFonts w:ascii="Times New Roman" w:hAnsi="Times New Roman"/>
        </w:rPr>
        <w:t xml:space="preserve">about contacts it receives in relation to services supplied, or proposed to be supplied. </w:t>
      </w:r>
      <w:r w:rsidR="00A53D89">
        <w:rPr>
          <w:rFonts w:ascii="Times New Roman" w:hAnsi="Times New Roman"/>
        </w:rPr>
        <w:t>These reports are required to contain</w:t>
      </w:r>
      <w:r>
        <w:rPr>
          <w:rFonts w:ascii="Times New Roman" w:hAnsi="Times New Roman"/>
        </w:rPr>
        <w:t xml:space="preserve"> </w:t>
      </w:r>
      <w:r w:rsidR="0094371D">
        <w:rPr>
          <w:rFonts w:ascii="Times New Roman" w:hAnsi="Times New Roman"/>
        </w:rPr>
        <w:t>aggregate information on</w:t>
      </w:r>
      <w:r>
        <w:rPr>
          <w:rFonts w:ascii="Times New Roman" w:hAnsi="Times New Roman"/>
        </w:rPr>
        <w:t xml:space="preserve"> contacts </w:t>
      </w:r>
      <w:r w:rsidR="00712DFF">
        <w:rPr>
          <w:rFonts w:ascii="Times New Roman" w:hAnsi="Times New Roman"/>
        </w:rPr>
        <w:t xml:space="preserve">for all reportable services, but not broken down by </w:t>
      </w:r>
      <w:r w:rsidR="00F4613C">
        <w:rPr>
          <w:rFonts w:ascii="Times New Roman" w:hAnsi="Times New Roman"/>
        </w:rPr>
        <w:t xml:space="preserve">each </w:t>
      </w:r>
      <w:r w:rsidR="00712DFF">
        <w:rPr>
          <w:rFonts w:ascii="Times New Roman" w:hAnsi="Times New Roman"/>
        </w:rPr>
        <w:t xml:space="preserve">individual relevant </w:t>
      </w:r>
      <w:r w:rsidR="000D6579">
        <w:rPr>
          <w:rFonts w:ascii="Times New Roman" w:hAnsi="Times New Roman"/>
        </w:rPr>
        <w:t xml:space="preserve">ESA. </w:t>
      </w:r>
      <w:r w:rsidR="0094371D">
        <w:rPr>
          <w:rFonts w:ascii="Times New Roman" w:hAnsi="Times New Roman"/>
        </w:rPr>
        <w:t xml:space="preserve">This reflects feedback from Telstra, provided during consultation, that it handles customer enquiries through national channels and </w:t>
      </w:r>
      <w:r w:rsidR="00712DFF">
        <w:rPr>
          <w:rFonts w:ascii="Times New Roman" w:hAnsi="Times New Roman"/>
        </w:rPr>
        <w:t>more granular reporting would require additional time and cost for systems development.</w:t>
      </w:r>
      <w:r w:rsidR="0094371D">
        <w:rPr>
          <w:rFonts w:ascii="Times New Roman" w:hAnsi="Times New Roman"/>
        </w:rPr>
        <w:t xml:space="preserve"> </w:t>
      </w:r>
      <w:r w:rsidR="00AB5FC0">
        <w:rPr>
          <w:rFonts w:ascii="Times New Roman" w:hAnsi="Times New Roman"/>
        </w:rPr>
        <w:t>Reports must be provided within 28 days of the end of each quarter, beginning with the first quarter of 2022 (i.e. the quarter ending on 31 March)</w:t>
      </w:r>
      <w:r w:rsidR="00712DFF">
        <w:rPr>
          <w:rFonts w:ascii="Times New Roman" w:hAnsi="Times New Roman"/>
        </w:rPr>
        <w:t>, with the first report being available in April 2022</w:t>
      </w:r>
      <w:r w:rsidR="00AB5FC0">
        <w:rPr>
          <w:rFonts w:ascii="Times New Roman" w:hAnsi="Times New Roman"/>
        </w:rPr>
        <w:t>.</w:t>
      </w:r>
    </w:p>
    <w:p w14:paraId="5BA5C598" w14:textId="69B61F03" w:rsidR="00E14105" w:rsidRDefault="00E14105" w:rsidP="00581B9F">
      <w:pPr>
        <w:spacing w:line="276" w:lineRule="auto"/>
        <w:rPr>
          <w:rFonts w:ascii="Times New Roman" w:hAnsi="Times New Roman"/>
        </w:rPr>
      </w:pPr>
      <w:r>
        <w:rPr>
          <w:rFonts w:ascii="Times New Roman" w:hAnsi="Times New Roman"/>
        </w:rPr>
        <w:t xml:space="preserve">Under </w:t>
      </w:r>
      <w:r w:rsidR="00F4613C">
        <w:rPr>
          <w:rFonts w:ascii="Times New Roman" w:hAnsi="Times New Roman"/>
        </w:rPr>
        <w:t>p</w:t>
      </w:r>
      <w:r>
        <w:rPr>
          <w:rFonts w:ascii="Times New Roman" w:hAnsi="Times New Roman"/>
        </w:rPr>
        <w:t xml:space="preserve">aragraph 11C(2)(a), </w:t>
      </w:r>
      <w:r w:rsidR="00581B9F" w:rsidRPr="00C26F6B">
        <w:rPr>
          <w:rFonts w:ascii="Times New Roman" w:hAnsi="Times New Roman"/>
        </w:rPr>
        <w:t xml:space="preserve">Telstra must report the total number of contacts it receives </w:t>
      </w:r>
      <w:r>
        <w:rPr>
          <w:rFonts w:ascii="Times New Roman" w:hAnsi="Times New Roman"/>
        </w:rPr>
        <w:t xml:space="preserve">across all reportable </w:t>
      </w:r>
      <w:r w:rsidR="00712DFF">
        <w:rPr>
          <w:rFonts w:ascii="Times New Roman" w:hAnsi="Times New Roman"/>
        </w:rPr>
        <w:t xml:space="preserve">services </w:t>
      </w:r>
      <w:r w:rsidR="00581B9F" w:rsidRPr="00C26F6B">
        <w:rPr>
          <w:rFonts w:ascii="Times New Roman" w:hAnsi="Times New Roman"/>
        </w:rPr>
        <w:t>during the quarter, incl</w:t>
      </w:r>
      <w:r>
        <w:rPr>
          <w:rFonts w:ascii="Times New Roman" w:hAnsi="Times New Roman"/>
        </w:rPr>
        <w:t xml:space="preserve">uding any calls, chat sessions, individual emails or </w:t>
      </w:r>
      <w:r w:rsidR="00F4613C">
        <w:rPr>
          <w:rFonts w:ascii="Times New Roman" w:hAnsi="Times New Roman"/>
        </w:rPr>
        <w:t xml:space="preserve">individual </w:t>
      </w:r>
      <w:r>
        <w:rPr>
          <w:rFonts w:ascii="Times New Roman" w:hAnsi="Times New Roman"/>
        </w:rPr>
        <w:t>messages,</w:t>
      </w:r>
      <w:r w:rsidR="00581B9F" w:rsidRPr="00C26F6B">
        <w:rPr>
          <w:rFonts w:ascii="Times New Roman" w:hAnsi="Times New Roman"/>
        </w:rPr>
        <w:t xml:space="preserve"> as well as any series of emails </w:t>
      </w:r>
      <w:r>
        <w:rPr>
          <w:rFonts w:ascii="Times New Roman" w:hAnsi="Times New Roman"/>
        </w:rPr>
        <w:t xml:space="preserve">or messages </w:t>
      </w:r>
      <w:r w:rsidR="00581B9F" w:rsidRPr="00C26F6B">
        <w:rPr>
          <w:rFonts w:ascii="Times New Roman" w:hAnsi="Times New Roman"/>
        </w:rPr>
        <w:t xml:space="preserve">in a chain of correspondence that were not closed by the end of the quarter. </w:t>
      </w:r>
    </w:p>
    <w:p w14:paraId="51E08220" w14:textId="47D58250" w:rsidR="00581B9F" w:rsidRPr="00C26F6B" w:rsidRDefault="00E14105" w:rsidP="00581B9F">
      <w:pPr>
        <w:spacing w:line="276" w:lineRule="auto"/>
        <w:rPr>
          <w:rFonts w:ascii="Times New Roman" w:hAnsi="Times New Roman"/>
        </w:rPr>
      </w:pPr>
      <w:r>
        <w:rPr>
          <w:rFonts w:ascii="Times New Roman" w:hAnsi="Times New Roman"/>
        </w:rPr>
        <w:t xml:space="preserve">Paragraph 11C(2)(b) provides that </w:t>
      </w:r>
      <w:r w:rsidR="00581B9F" w:rsidRPr="00C26F6B">
        <w:rPr>
          <w:rFonts w:ascii="Times New Roman" w:hAnsi="Times New Roman"/>
        </w:rPr>
        <w:t xml:space="preserve">Telstra must also report the proportion of these contacts that it substantively engages </w:t>
      </w:r>
      <w:r>
        <w:rPr>
          <w:rFonts w:ascii="Times New Roman" w:hAnsi="Times New Roman"/>
        </w:rPr>
        <w:t xml:space="preserve">with </w:t>
      </w:r>
      <w:r w:rsidR="00581B9F" w:rsidRPr="00C26F6B">
        <w:rPr>
          <w:rFonts w:ascii="Times New Roman" w:hAnsi="Times New Roman"/>
        </w:rPr>
        <w:t xml:space="preserve">within specified timeframes. For a call or online chat session, </w:t>
      </w:r>
      <w:r w:rsidR="00D2105B">
        <w:rPr>
          <w:rFonts w:ascii="Times New Roman" w:hAnsi="Times New Roman"/>
        </w:rPr>
        <w:t>the timeframe for substantive engagement</w:t>
      </w:r>
      <w:r w:rsidR="00581B9F" w:rsidRPr="00C26F6B">
        <w:rPr>
          <w:rFonts w:ascii="Times New Roman" w:hAnsi="Times New Roman"/>
        </w:rPr>
        <w:t xml:space="preserve"> </w:t>
      </w:r>
      <w:r w:rsidR="00D2105B">
        <w:rPr>
          <w:rFonts w:ascii="Times New Roman" w:hAnsi="Times New Roman"/>
        </w:rPr>
        <w:t xml:space="preserve">with </w:t>
      </w:r>
      <w:r w:rsidR="00581B9F" w:rsidRPr="00C26F6B">
        <w:rPr>
          <w:rFonts w:ascii="Times New Roman" w:hAnsi="Times New Roman"/>
        </w:rPr>
        <w:t xml:space="preserve">the relevant customer </w:t>
      </w:r>
      <w:r w:rsidR="00D2105B">
        <w:rPr>
          <w:rFonts w:ascii="Times New Roman" w:hAnsi="Times New Roman"/>
        </w:rPr>
        <w:t xml:space="preserve">is </w:t>
      </w:r>
      <w:r w:rsidR="00581B9F" w:rsidRPr="00C26F6B">
        <w:rPr>
          <w:rFonts w:ascii="Times New Roman" w:hAnsi="Times New Roman"/>
        </w:rPr>
        <w:t xml:space="preserve">within 3 minutes of the start of contact. For an email or </w:t>
      </w:r>
      <w:r>
        <w:rPr>
          <w:rFonts w:ascii="Times New Roman" w:hAnsi="Times New Roman"/>
        </w:rPr>
        <w:t xml:space="preserve">message or </w:t>
      </w:r>
      <w:r w:rsidR="00581B9F" w:rsidRPr="00C26F6B">
        <w:rPr>
          <w:rFonts w:ascii="Times New Roman" w:hAnsi="Times New Roman"/>
        </w:rPr>
        <w:t>a series of emails</w:t>
      </w:r>
      <w:r>
        <w:rPr>
          <w:rFonts w:ascii="Times New Roman" w:hAnsi="Times New Roman"/>
        </w:rPr>
        <w:t xml:space="preserve"> or messages</w:t>
      </w:r>
      <w:r w:rsidR="00581B9F" w:rsidRPr="00C26F6B">
        <w:rPr>
          <w:rFonts w:ascii="Times New Roman" w:hAnsi="Times New Roman"/>
        </w:rPr>
        <w:t>, the maximu</w:t>
      </w:r>
      <w:r w:rsidR="0057129D">
        <w:rPr>
          <w:rFonts w:ascii="Times New Roman" w:hAnsi="Times New Roman"/>
        </w:rPr>
        <w:t>m timeframe is 2 working days from</w:t>
      </w:r>
      <w:r w:rsidR="00581B9F" w:rsidRPr="00C26F6B">
        <w:rPr>
          <w:rFonts w:ascii="Times New Roman" w:hAnsi="Times New Roman"/>
        </w:rPr>
        <w:t xml:space="preserve"> receipt. </w:t>
      </w:r>
    </w:p>
    <w:p w14:paraId="18C3CD32" w14:textId="749F9B20" w:rsidR="00581B9F" w:rsidRPr="00C26F6B" w:rsidRDefault="00581B9F" w:rsidP="00581B9F">
      <w:pPr>
        <w:spacing w:line="276" w:lineRule="auto"/>
        <w:rPr>
          <w:rFonts w:ascii="Times New Roman" w:hAnsi="Times New Roman"/>
        </w:rPr>
      </w:pPr>
      <w:r w:rsidRPr="00C26F6B">
        <w:rPr>
          <w:rFonts w:ascii="Times New Roman" w:hAnsi="Times New Roman"/>
        </w:rPr>
        <w:t>Subsection 1</w:t>
      </w:r>
      <w:r w:rsidR="007625DA">
        <w:rPr>
          <w:rFonts w:ascii="Times New Roman" w:hAnsi="Times New Roman"/>
        </w:rPr>
        <w:t>1</w:t>
      </w:r>
      <w:r w:rsidRPr="00C26F6B">
        <w:rPr>
          <w:rFonts w:ascii="Times New Roman" w:hAnsi="Times New Roman"/>
        </w:rPr>
        <w:t>C(</w:t>
      </w:r>
      <w:r w:rsidR="00E14105">
        <w:rPr>
          <w:rFonts w:ascii="Times New Roman" w:hAnsi="Times New Roman"/>
        </w:rPr>
        <w:t>3</w:t>
      </w:r>
      <w:r w:rsidRPr="00C26F6B">
        <w:rPr>
          <w:rFonts w:ascii="Times New Roman" w:hAnsi="Times New Roman"/>
        </w:rPr>
        <w:t xml:space="preserve">) provides that Telstra must take all reasonable steps to ensure </w:t>
      </w:r>
      <w:r w:rsidR="00F4613C">
        <w:rPr>
          <w:rFonts w:ascii="Times New Roman" w:hAnsi="Times New Roman"/>
        </w:rPr>
        <w:t xml:space="preserve">that </w:t>
      </w:r>
      <w:r w:rsidRPr="00C26F6B">
        <w:rPr>
          <w:rFonts w:ascii="Times New Roman" w:hAnsi="Times New Roman"/>
        </w:rPr>
        <w:t>each quarterly report is</w:t>
      </w:r>
      <w:r w:rsidR="00E14105">
        <w:rPr>
          <w:rFonts w:ascii="Times New Roman" w:hAnsi="Times New Roman"/>
        </w:rPr>
        <w:t xml:space="preserve"> publicly</w:t>
      </w:r>
      <w:r w:rsidRPr="00C26F6B">
        <w:rPr>
          <w:rFonts w:ascii="Times New Roman" w:hAnsi="Times New Roman"/>
        </w:rPr>
        <w:t xml:space="preserve"> available on its website for at least 5 years after it is published. </w:t>
      </w:r>
      <w:r w:rsidR="00066FA1">
        <w:rPr>
          <w:rFonts w:ascii="Times New Roman" w:hAnsi="Times New Roman"/>
        </w:rPr>
        <w:t>This is so members of the public can see trends in the data (and performance) over time.</w:t>
      </w:r>
    </w:p>
    <w:p w14:paraId="0619D25E" w14:textId="21E913B0" w:rsidR="000C5C74" w:rsidRPr="00C26F6B" w:rsidRDefault="00581B9F" w:rsidP="00581B9F">
      <w:pPr>
        <w:spacing w:line="276" w:lineRule="auto"/>
        <w:rPr>
          <w:rFonts w:ascii="Times New Roman" w:hAnsi="Times New Roman"/>
          <w:u w:val="single"/>
        </w:rPr>
      </w:pPr>
      <w:r w:rsidRPr="00C26F6B">
        <w:rPr>
          <w:rFonts w:ascii="Times New Roman" w:hAnsi="Times New Roman"/>
          <w:u w:val="single"/>
        </w:rPr>
        <w:t>Section 1</w:t>
      </w:r>
      <w:r w:rsidR="007625DA">
        <w:rPr>
          <w:rFonts w:ascii="Times New Roman" w:hAnsi="Times New Roman"/>
          <w:u w:val="single"/>
        </w:rPr>
        <w:t>1</w:t>
      </w:r>
      <w:r w:rsidRPr="00C26F6B">
        <w:rPr>
          <w:rFonts w:ascii="Times New Roman" w:hAnsi="Times New Roman"/>
          <w:u w:val="single"/>
        </w:rPr>
        <w:t xml:space="preserve">D </w:t>
      </w:r>
      <w:r w:rsidR="00F64EAA">
        <w:rPr>
          <w:rFonts w:ascii="Times New Roman" w:hAnsi="Times New Roman"/>
          <w:u w:val="single"/>
        </w:rPr>
        <w:t>–</w:t>
      </w:r>
      <w:r w:rsidRPr="00C26F6B">
        <w:rPr>
          <w:rFonts w:ascii="Times New Roman" w:hAnsi="Times New Roman"/>
          <w:u w:val="single"/>
        </w:rPr>
        <w:t xml:space="preserve"> </w:t>
      </w:r>
      <w:r w:rsidR="008A6900">
        <w:rPr>
          <w:rFonts w:ascii="Times New Roman" w:hAnsi="Times New Roman"/>
          <w:u w:val="single"/>
        </w:rPr>
        <w:t>Reporting to</w:t>
      </w:r>
      <w:r w:rsidR="008A6900" w:rsidRPr="00C26F6B">
        <w:rPr>
          <w:rFonts w:ascii="Times New Roman" w:hAnsi="Times New Roman"/>
          <w:u w:val="single"/>
        </w:rPr>
        <w:t xml:space="preserve"> the ACMA and the </w:t>
      </w:r>
      <w:r w:rsidR="008A6900">
        <w:rPr>
          <w:rFonts w:ascii="Times New Roman" w:hAnsi="Times New Roman"/>
          <w:u w:val="single"/>
        </w:rPr>
        <w:t>Secretary</w:t>
      </w:r>
      <w:r w:rsidR="008A6900" w:rsidRPr="00C26F6B">
        <w:rPr>
          <w:rFonts w:ascii="Times New Roman" w:hAnsi="Times New Roman"/>
          <w:u w:val="single"/>
        </w:rPr>
        <w:t xml:space="preserve"> </w:t>
      </w:r>
      <w:r w:rsidR="008A6900">
        <w:rPr>
          <w:rFonts w:ascii="Times New Roman" w:hAnsi="Times New Roman"/>
          <w:u w:val="single"/>
        </w:rPr>
        <w:t>on certain CSG services in relevant ESAs for the initial reporting period</w:t>
      </w:r>
    </w:p>
    <w:p w14:paraId="2B0EEA5E" w14:textId="155BABE7" w:rsidR="00AB282B" w:rsidRDefault="00A9646A" w:rsidP="00581B9F">
      <w:pPr>
        <w:spacing w:line="276" w:lineRule="auto"/>
        <w:rPr>
          <w:rFonts w:ascii="Times New Roman" w:hAnsi="Times New Roman"/>
        </w:rPr>
      </w:pPr>
      <w:r>
        <w:rPr>
          <w:rFonts w:ascii="Times New Roman" w:hAnsi="Times New Roman"/>
        </w:rPr>
        <w:t>S</w:t>
      </w:r>
      <w:r w:rsidR="00581B9F" w:rsidRPr="00C26F6B">
        <w:rPr>
          <w:rFonts w:ascii="Times New Roman" w:hAnsi="Times New Roman"/>
        </w:rPr>
        <w:t xml:space="preserve">ection </w:t>
      </w:r>
      <w:r>
        <w:rPr>
          <w:rFonts w:ascii="Times New Roman" w:hAnsi="Times New Roman"/>
        </w:rPr>
        <w:t xml:space="preserve">11D </w:t>
      </w:r>
      <w:r w:rsidR="00581B9F" w:rsidRPr="00C26F6B">
        <w:rPr>
          <w:rFonts w:ascii="Times New Roman" w:hAnsi="Times New Roman"/>
        </w:rPr>
        <w:t xml:space="preserve">sets out requirements for Telstra to provide </w:t>
      </w:r>
      <w:r w:rsidR="00F64EAA">
        <w:rPr>
          <w:rFonts w:ascii="Times New Roman" w:hAnsi="Times New Roman"/>
        </w:rPr>
        <w:t xml:space="preserve">historical </w:t>
      </w:r>
      <w:r w:rsidR="00581B9F" w:rsidRPr="00C26F6B">
        <w:rPr>
          <w:rFonts w:ascii="Times New Roman" w:hAnsi="Times New Roman"/>
        </w:rPr>
        <w:t xml:space="preserve">information to the ACMA and the </w:t>
      </w:r>
      <w:r w:rsidR="00497CBB">
        <w:rPr>
          <w:rFonts w:ascii="Times New Roman" w:hAnsi="Times New Roman"/>
        </w:rPr>
        <w:t>Secretary (or authorised officer) of the Department</w:t>
      </w:r>
      <w:r w:rsidR="00581B9F" w:rsidRPr="00C26F6B">
        <w:rPr>
          <w:rFonts w:ascii="Times New Roman" w:hAnsi="Times New Roman"/>
        </w:rPr>
        <w:t xml:space="preserve"> on its </w:t>
      </w:r>
      <w:r w:rsidR="00F64EAA">
        <w:rPr>
          <w:rFonts w:ascii="Times New Roman" w:hAnsi="Times New Roman"/>
        </w:rPr>
        <w:t xml:space="preserve">past </w:t>
      </w:r>
      <w:r w:rsidR="00581B9F" w:rsidRPr="00C26F6B">
        <w:rPr>
          <w:rFonts w:ascii="Times New Roman" w:hAnsi="Times New Roman"/>
        </w:rPr>
        <w:t>delivery of voice services in ESAs located outsid</w:t>
      </w:r>
      <w:r w:rsidR="00F64EAA">
        <w:rPr>
          <w:rFonts w:ascii="Times New Roman" w:hAnsi="Times New Roman"/>
        </w:rPr>
        <w:t>e the NBN fixed-line footprint.</w:t>
      </w:r>
      <w:r w:rsidR="005E2EC7">
        <w:rPr>
          <w:rFonts w:ascii="Times New Roman" w:hAnsi="Times New Roman"/>
        </w:rPr>
        <w:t xml:space="preserve"> </w:t>
      </w:r>
      <w:r w:rsidR="00D32F24">
        <w:rPr>
          <w:rFonts w:ascii="Times New Roman" w:hAnsi="Times New Roman"/>
        </w:rPr>
        <w:t xml:space="preserve">The intention is for this historical data to be used for comparing present performance with past performance, noting Telstra has indicated, and the Department accepts, there are limitations to the historical data </w:t>
      </w:r>
      <w:r w:rsidR="00315675">
        <w:rPr>
          <w:rFonts w:ascii="Times New Roman" w:hAnsi="Times New Roman"/>
        </w:rPr>
        <w:t>Telstra</w:t>
      </w:r>
      <w:r w:rsidR="00D32F24">
        <w:rPr>
          <w:rFonts w:ascii="Times New Roman" w:hAnsi="Times New Roman"/>
        </w:rPr>
        <w:t xml:space="preserve"> holds</w:t>
      </w:r>
      <w:r w:rsidR="00D902F1">
        <w:rPr>
          <w:rFonts w:ascii="Times New Roman" w:hAnsi="Times New Roman"/>
        </w:rPr>
        <w:t xml:space="preserve">, both in terms of </w:t>
      </w:r>
      <w:r w:rsidR="00315675">
        <w:rPr>
          <w:rFonts w:ascii="Times New Roman" w:hAnsi="Times New Roman"/>
        </w:rPr>
        <w:t xml:space="preserve">its </w:t>
      </w:r>
      <w:r w:rsidR="00D902F1">
        <w:rPr>
          <w:rFonts w:ascii="Times New Roman" w:hAnsi="Times New Roman"/>
        </w:rPr>
        <w:t>scope and ESA boundaries</w:t>
      </w:r>
      <w:r w:rsidR="00315675">
        <w:rPr>
          <w:rFonts w:ascii="Times New Roman" w:hAnsi="Times New Roman"/>
        </w:rPr>
        <w:t xml:space="preserve"> (see below)</w:t>
      </w:r>
      <w:r w:rsidR="00D32F24">
        <w:rPr>
          <w:rFonts w:ascii="Times New Roman" w:hAnsi="Times New Roman"/>
        </w:rPr>
        <w:t>.</w:t>
      </w:r>
    </w:p>
    <w:p w14:paraId="6A4932E7" w14:textId="7F850858" w:rsidR="00036044" w:rsidRDefault="00FA6407" w:rsidP="00581B9F">
      <w:pPr>
        <w:spacing w:line="276" w:lineRule="auto"/>
        <w:rPr>
          <w:rFonts w:ascii="Times New Roman" w:hAnsi="Times New Roman"/>
        </w:rPr>
      </w:pPr>
      <w:r>
        <w:rPr>
          <w:rFonts w:ascii="Times New Roman" w:hAnsi="Times New Roman"/>
        </w:rPr>
        <w:t xml:space="preserve">As set out in </w:t>
      </w:r>
      <w:r w:rsidR="00D32F24">
        <w:rPr>
          <w:rFonts w:ascii="Times New Roman" w:hAnsi="Times New Roman"/>
        </w:rPr>
        <w:t>s</w:t>
      </w:r>
      <w:r>
        <w:rPr>
          <w:rFonts w:ascii="Times New Roman" w:hAnsi="Times New Roman"/>
        </w:rPr>
        <w:t xml:space="preserve">ubsection 11D(1), Telstra must provide a report within 3 months of the end of the initial reporting period containing information related to the performance of voice services in each calendar month within this period. </w:t>
      </w:r>
      <w:r w:rsidR="00D32F24">
        <w:rPr>
          <w:rFonts w:ascii="Times New Roman" w:hAnsi="Times New Roman"/>
        </w:rPr>
        <w:t>T</w:t>
      </w:r>
      <w:r w:rsidR="006B4A3B">
        <w:rPr>
          <w:rFonts w:ascii="Times New Roman" w:hAnsi="Times New Roman"/>
        </w:rPr>
        <w:t xml:space="preserve">he initial reporting period </w:t>
      </w:r>
      <w:r w:rsidR="00D32F24">
        <w:rPr>
          <w:rFonts w:ascii="Times New Roman" w:hAnsi="Times New Roman"/>
        </w:rPr>
        <w:t xml:space="preserve">begins on 1 January 2019 and </w:t>
      </w:r>
      <w:r w:rsidR="006B4A3B">
        <w:rPr>
          <w:rFonts w:ascii="Times New Roman" w:hAnsi="Times New Roman"/>
        </w:rPr>
        <w:t>ends on 31 December 2021</w:t>
      </w:r>
      <w:r w:rsidR="00D32F24">
        <w:rPr>
          <w:rFonts w:ascii="Times New Roman" w:hAnsi="Times New Roman"/>
        </w:rPr>
        <w:t>.</w:t>
      </w:r>
      <w:r w:rsidR="006B4A3B">
        <w:rPr>
          <w:rFonts w:ascii="Times New Roman" w:hAnsi="Times New Roman"/>
        </w:rPr>
        <w:t xml:space="preserve"> </w:t>
      </w:r>
      <w:r w:rsidR="00D32F24">
        <w:rPr>
          <w:rFonts w:ascii="Times New Roman" w:hAnsi="Times New Roman"/>
        </w:rPr>
        <w:t xml:space="preserve">As such, </w:t>
      </w:r>
      <w:r w:rsidR="006B4A3B">
        <w:rPr>
          <w:rFonts w:ascii="Times New Roman" w:hAnsi="Times New Roman"/>
        </w:rPr>
        <w:t xml:space="preserve">Telstra will be required to provide this report by 31 March 2022. </w:t>
      </w:r>
    </w:p>
    <w:p w14:paraId="63710851" w14:textId="27832B06" w:rsidR="005E2EC7" w:rsidRDefault="004830C2" w:rsidP="00581B9F">
      <w:pPr>
        <w:spacing w:line="276" w:lineRule="auto"/>
        <w:rPr>
          <w:rFonts w:ascii="Times New Roman" w:hAnsi="Times New Roman"/>
        </w:rPr>
      </w:pPr>
      <w:r>
        <w:rPr>
          <w:rFonts w:ascii="Times New Roman" w:hAnsi="Times New Roman"/>
        </w:rPr>
        <w:lastRenderedPageBreak/>
        <w:t xml:space="preserve">Historical reporting </w:t>
      </w:r>
      <w:r w:rsidR="00B31DD7">
        <w:rPr>
          <w:rFonts w:ascii="Times New Roman" w:hAnsi="Times New Roman"/>
        </w:rPr>
        <w:t xml:space="preserve">obligations have been amended </w:t>
      </w:r>
      <w:r w:rsidR="005E2EC7">
        <w:rPr>
          <w:rFonts w:ascii="Times New Roman" w:hAnsi="Times New Roman"/>
        </w:rPr>
        <w:t>following feedback submitted by Telstra to</w:t>
      </w:r>
      <w:r>
        <w:rPr>
          <w:rFonts w:ascii="Times New Roman" w:hAnsi="Times New Roman"/>
        </w:rPr>
        <w:t xml:space="preserve"> consultation </w:t>
      </w:r>
      <w:r w:rsidR="00F4613C">
        <w:rPr>
          <w:rFonts w:ascii="Times New Roman" w:hAnsi="Times New Roman"/>
        </w:rPr>
        <w:t xml:space="preserve">on a </w:t>
      </w:r>
      <w:r>
        <w:rPr>
          <w:rFonts w:ascii="Times New Roman" w:hAnsi="Times New Roman"/>
        </w:rPr>
        <w:t>draft of</w:t>
      </w:r>
      <w:r w:rsidR="005E2EC7">
        <w:rPr>
          <w:rFonts w:ascii="Times New Roman" w:hAnsi="Times New Roman"/>
        </w:rPr>
        <w:t xml:space="preserve"> the Amendment Instrument. As originally proposed, Telstra was required to provide </w:t>
      </w:r>
      <w:r w:rsidR="00B31DD7">
        <w:rPr>
          <w:rFonts w:ascii="Times New Roman" w:hAnsi="Times New Roman"/>
        </w:rPr>
        <w:t xml:space="preserve">the same </w:t>
      </w:r>
      <w:r w:rsidR="005E2EC7">
        <w:rPr>
          <w:rFonts w:ascii="Times New Roman" w:hAnsi="Times New Roman"/>
        </w:rPr>
        <w:t xml:space="preserve">information </w:t>
      </w:r>
      <w:r w:rsidR="00FA6407">
        <w:rPr>
          <w:rFonts w:ascii="Times New Roman" w:hAnsi="Times New Roman"/>
        </w:rPr>
        <w:t>in historical reports as for forward reporting</w:t>
      </w:r>
      <w:r w:rsidR="00D7454F">
        <w:rPr>
          <w:rFonts w:ascii="Times New Roman" w:hAnsi="Times New Roman"/>
        </w:rPr>
        <w:t>,</w:t>
      </w:r>
      <w:r w:rsidR="005E2EC7">
        <w:rPr>
          <w:rFonts w:ascii="Times New Roman" w:hAnsi="Times New Roman"/>
        </w:rPr>
        <w:t xml:space="preserve"> including data </w:t>
      </w:r>
      <w:r w:rsidR="00B31DD7">
        <w:rPr>
          <w:rFonts w:ascii="Times New Roman" w:hAnsi="Times New Roman"/>
        </w:rPr>
        <w:t xml:space="preserve">relating to service connection, fault or service difficulties, </w:t>
      </w:r>
      <w:r w:rsidR="00D7454F">
        <w:rPr>
          <w:rFonts w:ascii="Times New Roman" w:hAnsi="Times New Roman"/>
        </w:rPr>
        <w:t xml:space="preserve">fault rectification, </w:t>
      </w:r>
      <w:r w:rsidR="00B31DD7">
        <w:rPr>
          <w:rFonts w:ascii="Times New Roman" w:hAnsi="Times New Roman"/>
        </w:rPr>
        <w:t xml:space="preserve">appointments, exemption events, the types of technology used to supply services, </w:t>
      </w:r>
      <w:r w:rsidR="00D7454F">
        <w:rPr>
          <w:rFonts w:ascii="Times New Roman" w:hAnsi="Times New Roman"/>
        </w:rPr>
        <w:t xml:space="preserve">contacts and complaints. </w:t>
      </w:r>
      <w:r w:rsidR="00FA6407">
        <w:rPr>
          <w:rFonts w:ascii="Times New Roman" w:hAnsi="Times New Roman"/>
        </w:rPr>
        <w:t xml:space="preserve">However, </w:t>
      </w:r>
      <w:r w:rsidR="00D7454F">
        <w:rPr>
          <w:rFonts w:ascii="Times New Roman" w:hAnsi="Times New Roman"/>
        </w:rPr>
        <w:t xml:space="preserve">Telstra raised </w:t>
      </w:r>
      <w:r w:rsidR="005E2EC7">
        <w:rPr>
          <w:rFonts w:ascii="Times New Roman" w:hAnsi="Times New Roman"/>
        </w:rPr>
        <w:t xml:space="preserve">practical concerns </w:t>
      </w:r>
      <w:r w:rsidR="00FA6407">
        <w:rPr>
          <w:rFonts w:ascii="Times New Roman" w:hAnsi="Times New Roman"/>
        </w:rPr>
        <w:t xml:space="preserve">during consultation </w:t>
      </w:r>
      <w:r w:rsidR="005E2EC7">
        <w:rPr>
          <w:rFonts w:ascii="Times New Roman" w:hAnsi="Times New Roman"/>
        </w:rPr>
        <w:t>abou</w:t>
      </w:r>
      <w:r w:rsidR="00FA6407">
        <w:rPr>
          <w:rFonts w:ascii="Times New Roman" w:hAnsi="Times New Roman"/>
        </w:rPr>
        <w:t>t its inability to provide</w:t>
      </w:r>
      <w:r w:rsidR="005E2EC7">
        <w:rPr>
          <w:rFonts w:ascii="Times New Roman" w:hAnsi="Times New Roman"/>
        </w:rPr>
        <w:t xml:space="preserve"> some </w:t>
      </w:r>
      <w:r w:rsidR="00D7454F">
        <w:rPr>
          <w:rFonts w:ascii="Times New Roman" w:hAnsi="Times New Roman"/>
        </w:rPr>
        <w:t>of thi</w:t>
      </w:r>
      <w:r w:rsidR="00FA6407">
        <w:rPr>
          <w:rFonts w:ascii="Times New Roman" w:hAnsi="Times New Roman"/>
        </w:rPr>
        <w:t>s informatio</w:t>
      </w:r>
      <w:r w:rsidR="00AB282B">
        <w:rPr>
          <w:rFonts w:ascii="Times New Roman" w:hAnsi="Times New Roman"/>
        </w:rPr>
        <w:t xml:space="preserve">n </w:t>
      </w:r>
      <w:r w:rsidR="00C70017">
        <w:rPr>
          <w:rFonts w:ascii="Times New Roman" w:hAnsi="Times New Roman"/>
        </w:rPr>
        <w:t xml:space="preserve">on a </w:t>
      </w:r>
      <w:r w:rsidR="00AB282B">
        <w:rPr>
          <w:rFonts w:ascii="Times New Roman" w:hAnsi="Times New Roman"/>
        </w:rPr>
        <w:t xml:space="preserve">historical </w:t>
      </w:r>
      <w:r w:rsidR="00C70017">
        <w:rPr>
          <w:rFonts w:ascii="Times New Roman" w:hAnsi="Times New Roman"/>
        </w:rPr>
        <w:t>basis</w:t>
      </w:r>
      <w:r w:rsidR="00FA6407">
        <w:rPr>
          <w:rFonts w:ascii="Times New Roman" w:hAnsi="Times New Roman"/>
        </w:rPr>
        <w:t xml:space="preserve">, due to </w:t>
      </w:r>
      <w:r w:rsidR="00C70017">
        <w:rPr>
          <w:rFonts w:ascii="Times New Roman" w:hAnsi="Times New Roman"/>
        </w:rPr>
        <w:t>a range of factors</w:t>
      </w:r>
      <w:r w:rsidR="00FA6407">
        <w:rPr>
          <w:rFonts w:ascii="Times New Roman" w:hAnsi="Times New Roman"/>
        </w:rPr>
        <w:t xml:space="preserve">. </w:t>
      </w:r>
      <w:r w:rsidR="00C70017">
        <w:rPr>
          <w:rFonts w:ascii="Times New Roman" w:hAnsi="Times New Roman"/>
        </w:rPr>
        <w:t xml:space="preserve">As a result, </w:t>
      </w:r>
      <w:r w:rsidR="00FA6407">
        <w:rPr>
          <w:rFonts w:ascii="Times New Roman" w:hAnsi="Times New Roman"/>
        </w:rPr>
        <w:t xml:space="preserve">a narrower set of data </w:t>
      </w:r>
      <w:r w:rsidR="00717F30">
        <w:rPr>
          <w:rFonts w:ascii="Times New Roman" w:hAnsi="Times New Roman"/>
        </w:rPr>
        <w:t>based on existing NRF</w:t>
      </w:r>
      <w:r w:rsidR="00FA6407">
        <w:rPr>
          <w:rFonts w:ascii="Times New Roman" w:hAnsi="Times New Roman"/>
        </w:rPr>
        <w:t xml:space="preserve"> Level 1 requirements</w:t>
      </w:r>
      <w:r w:rsidR="00C70017">
        <w:rPr>
          <w:rFonts w:ascii="Times New Roman" w:hAnsi="Times New Roman"/>
        </w:rPr>
        <w:t xml:space="preserve"> has been adopted</w:t>
      </w:r>
      <w:r w:rsidR="00FA6407">
        <w:rPr>
          <w:rFonts w:ascii="Times New Roman" w:hAnsi="Times New Roman"/>
        </w:rPr>
        <w:t xml:space="preserve">. </w:t>
      </w:r>
      <w:r w:rsidR="00C70017">
        <w:rPr>
          <w:rFonts w:ascii="Times New Roman" w:hAnsi="Times New Roman"/>
        </w:rPr>
        <w:t>Accordingly,</w:t>
      </w:r>
      <w:r w:rsidR="00FA6407">
        <w:rPr>
          <w:rFonts w:ascii="Times New Roman" w:hAnsi="Times New Roman"/>
        </w:rPr>
        <w:t xml:space="preserve"> Telstra will provide </w:t>
      </w:r>
      <w:r w:rsidR="00C70017">
        <w:rPr>
          <w:rFonts w:ascii="Times New Roman" w:hAnsi="Times New Roman"/>
        </w:rPr>
        <w:t xml:space="preserve">the ACMA and Department </w:t>
      </w:r>
      <w:r w:rsidR="00FA6407">
        <w:rPr>
          <w:rFonts w:ascii="Times New Roman" w:hAnsi="Times New Roman"/>
        </w:rPr>
        <w:t xml:space="preserve">with monthly percentage figures showing </w:t>
      </w:r>
      <w:r w:rsidR="008C140C">
        <w:rPr>
          <w:rFonts w:ascii="Times New Roman" w:hAnsi="Times New Roman"/>
        </w:rPr>
        <w:t>service availability and the number of</w:t>
      </w:r>
      <w:r w:rsidR="00FA6407">
        <w:rPr>
          <w:rFonts w:ascii="Times New Roman" w:hAnsi="Times New Roman"/>
        </w:rPr>
        <w:t xml:space="preserve"> voice </w:t>
      </w:r>
      <w:r w:rsidR="00DB625B">
        <w:rPr>
          <w:rFonts w:ascii="Times New Roman" w:hAnsi="Times New Roman"/>
        </w:rPr>
        <w:t xml:space="preserve">services without faults, by </w:t>
      </w:r>
      <w:r w:rsidR="00C70017">
        <w:rPr>
          <w:rFonts w:ascii="Times New Roman" w:hAnsi="Times New Roman"/>
        </w:rPr>
        <w:t xml:space="preserve">relevant </w:t>
      </w:r>
      <w:r w:rsidR="00DB625B">
        <w:rPr>
          <w:rFonts w:ascii="Times New Roman" w:hAnsi="Times New Roman"/>
        </w:rPr>
        <w:t xml:space="preserve">ESA. </w:t>
      </w:r>
    </w:p>
    <w:p w14:paraId="14DEF945" w14:textId="613923B6" w:rsidR="00F64EAA" w:rsidRDefault="00497CBB" w:rsidP="00581B9F">
      <w:pPr>
        <w:spacing w:line="276" w:lineRule="auto"/>
        <w:rPr>
          <w:rFonts w:ascii="Times New Roman" w:hAnsi="Times New Roman"/>
          <w:color w:val="000000" w:themeColor="text1"/>
        </w:rPr>
      </w:pPr>
      <w:r>
        <w:rPr>
          <w:rFonts w:ascii="Times New Roman" w:hAnsi="Times New Roman"/>
          <w:color w:val="000000" w:themeColor="text1"/>
        </w:rPr>
        <w:t>Subsection 11D</w:t>
      </w:r>
      <w:r w:rsidR="006A2320">
        <w:rPr>
          <w:rFonts w:ascii="Times New Roman" w:hAnsi="Times New Roman"/>
          <w:color w:val="000000" w:themeColor="text1"/>
        </w:rPr>
        <w:t xml:space="preserve">(2) sets out that the </w:t>
      </w:r>
      <w:r w:rsidR="006A2320" w:rsidRPr="00AB282B">
        <w:rPr>
          <w:rFonts w:ascii="Times New Roman" w:hAnsi="Times New Roman"/>
          <w:i/>
          <w:color w:val="000000" w:themeColor="text1"/>
        </w:rPr>
        <w:t>required information</w:t>
      </w:r>
      <w:r w:rsidR="006A2320">
        <w:rPr>
          <w:rFonts w:ascii="Times New Roman" w:hAnsi="Times New Roman"/>
          <w:color w:val="000000" w:themeColor="text1"/>
        </w:rPr>
        <w:t xml:space="preserve"> Telstra must provide in historical reports is the information specified in subsections 11D(3-7). </w:t>
      </w:r>
    </w:p>
    <w:p w14:paraId="761168F7" w14:textId="3CE3170C" w:rsidR="00F64EAA" w:rsidRDefault="006A2320" w:rsidP="00581B9F">
      <w:pPr>
        <w:spacing w:line="276" w:lineRule="auto"/>
        <w:rPr>
          <w:rFonts w:ascii="Times New Roman" w:hAnsi="Times New Roman"/>
          <w:color w:val="000000" w:themeColor="text1"/>
        </w:rPr>
      </w:pPr>
      <w:r>
        <w:rPr>
          <w:rFonts w:ascii="Times New Roman" w:hAnsi="Times New Roman"/>
          <w:color w:val="000000" w:themeColor="text1"/>
        </w:rPr>
        <w:t xml:space="preserve">Subsections 11D(3-4) provide that the first table in each report must contain information relating to the geographical boundaries of relevant ESAs. </w:t>
      </w:r>
      <w:r w:rsidRPr="00C26F6B">
        <w:rPr>
          <w:rFonts w:ascii="Times New Roman" w:hAnsi="Times New Roman"/>
          <w:color w:val="000000" w:themeColor="text1"/>
        </w:rPr>
        <w:t>Subsection 1</w:t>
      </w:r>
      <w:r>
        <w:rPr>
          <w:rFonts w:ascii="Times New Roman" w:hAnsi="Times New Roman"/>
          <w:color w:val="000000" w:themeColor="text1"/>
        </w:rPr>
        <w:t>1</w:t>
      </w:r>
      <w:r w:rsidR="00B01583">
        <w:rPr>
          <w:rFonts w:ascii="Times New Roman" w:hAnsi="Times New Roman"/>
          <w:color w:val="000000" w:themeColor="text1"/>
        </w:rPr>
        <w:t>D(3</w:t>
      </w:r>
      <w:r w:rsidRPr="00C26F6B">
        <w:rPr>
          <w:rFonts w:ascii="Times New Roman" w:hAnsi="Times New Roman"/>
          <w:color w:val="000000" w:themeColor="text1"/>
        </w:rPr>
        <w:t xml:space="preserve">) establishes that, </w:t>
      </w:r>
      <w:r>
        <w:rPr>
          <w:rFonts w:ascii="Times New Roman" w:hAnsi="Times New Roman"/>
          <w:color w:val="000000" w:themeColor="text1"/>
        </w:rPr>
        <w:t xml:space="preserve">in relation to the month of </w:t>
      </w:r>
      <w:r w:rsidRPr="00C26F6B">
        <w:rPr>
          <w:rFonts w:ascii="Times New Roman" w:hAnsi="Times New Roman"/>
          <w:color w:val="000000" w:themeColor="text1"/>
        </w:rPr>
        <w:t>January 2019</w:t>
      </w:r>
      <w:r>
        <w:rPr>
          <w:rFonts w:ascii="Times New Roman" w:hAnsi="Times New Roman"/>
          <w:color w:val="000000" w:themeColor="text1"/>
        </w:rPr>
        <w:t xml:space="preserve"> (the first month of the initial reporting period), the first table</w:t>
      </w:r>
      <w:r w:rsidRPr="00C26F6B">
        <w:rPr>
          <w:rFonts w:ascii="Times New Roman" w:hAnsi="Times New Roman"/>
          <w:color w:val="000000" w:themeColor="text1"/>
        </w:rPr>
        <w:t xml:space="preserve"> must include geographic coordinates that identify the boundaries of each ESA as at the end of that month.</w:t>
      </w:r>
      <w:r w:rsidR="00B01583">
        <w:rPr>
          <w:rFonts w:ascii="Times New Roman" w:hAnsi="Times New Roman"/>
          <w:color w:val="000000" w:themeColor="text1"/>
        </w:rPr>
        <w:t xml:space="preserve"> </w:t>
      </w:r>
      <w:r w:rsidR="00B01583" w:rsidRPr="00C26F6B">
        <w:rPr>
          <w:rFonts w:ascii="Times New Roman" w:hAnsi="Times New Roman"/>
          <w:color w:val="000000" w:themeColor="text1"/>
        </w:rPr>
        <w:t>Under subsection 1</w:t>
      </w:r>
      <w:r w:rsidR="00B01583">
        <w:rPr>
          <w:rFonts w:ascii="Times New Roman" w:hAnsi="Times New Roman"/>
          <w:color w:val="000000" w:themeColor="text1"/>
        </w:rPr>
        <w:t>1D(4</w:t>
      </w:r>
      <w:r w:rsidR="00B01583" w:rsidRPr="00C26F6B">
        <w:rPr>
          <w:rFonts w:ascii="Times New Roman" w:hAnsi="Times New Roman"/>
          <w:color w:val="000000" w:themeColor="text1"/>
        </w:rPr>
        <w:t xml:space="preserve">), the first table for all following months must specify whether the boundaries of the ESA were established or changed during the previous month. If there are new or revised boundaries, the report must include new geographic coordinates to identify these boundaries. If the boundaries of the ESA remain unchanged from the previous month, Telstra must provide a statement to that effect. </w:t>
      </w:r>
    </w:p>
    <w:p w14:paraId="038703EC" w14:textId="75449C7F" w:rsidR="00B01583" w:rsidRDefault="00B01583" w:rsidP="00581B9F">
      <w:pPr>
        <w:spacing w:line="276" w:lineRule="auto"/>
        <w:rPr>
          <w:rFonts w:ascii="Times New Roman" w:hAnsi="Times New Roman"/>
          <w:color w:val="000000" w:themeColor="text1"/>
        </w:rPr>
      </w:pPr>
      <w:r>
        <w:rPr>
          <w:rFonts w:ascii="Times New Roman" w:hAnsi="Times New Roman"/>
          <w:color w:val="000000" w:themeColor="text1"/>
        </w:rPr>
        <w:t xml:space="preserve">Subsection 11D(5) requires the second table </w:t>
      </w:r>
      <w:r w:rsidR="00973908">
        <w:rPr>
          <w:rFonts w:ascii="Times New Roman" w:hAnsi="Times New Roman"/>
          <w:color w:val="000000" w:themeColor="text1"/>
        </w:rPr>
        <w:t xml:space="preserve">in each report </w:t>
      </w:r>
      <w:r>
        <w:rPr>
          <w:rFonts w:ascii="Times New Roman" w:hAnsi="Times New Roman"/>
          <w:color w:val="000000" w:themeColor="text1"/>
        </w:rPr>
        <w:t xml:space="preserve">to contain </w:t>
      </w:r>
      <w:r w:rsidR="00973908">
        <w:rPr>
          <w:rFonts w:ascii="Times New Roman" w:hAnsi="Times New Roman"/>
          <w:color w:val="000000" w:themeColor="text1"/>
        </w:rPr>
        <w:t xml:space="preserve">the total number of reportable services supplied during the month for each relevant ESA. </w:t>
      </w:r>
    </w:p>
    <w:p w14:paraId="25D896E0" w14:textId="77777777" w:rsidR="00973908" w:rsidRDefault="00973908" w:rsidP="00581B9F">
      <w:pPr>
        <w:spacing w:line="276" w:lineRule="auto"/>
        <w:rPr>
          <w:rFonts w:ascii="Times New Roman" w:hAnsi="Times New Roman"/>
          <w:color w:val="000000" w:themeColor="text1"/>
        </w:rPr>
      </w:pPr>
      <w:r>
        <w:rPr>
          <w:rFonts w:ascii="Times New Roman" w:hAnsi="Times New Roman"/>
          <w:color w:val="000000" w:themeColor="text1"/>
        </w:rPr>
        <w:t xml:space="preserve">Subsection 11D(6) requires the third table in each report to contain, for each relevant ESA, the percentage of reportable services supplied during the month that did not have any fault or service difficulty. </w:t>
      </w:r>
    </w:p>
    <w:p w14:paraId="0DB1FBAD" w14:textId="5BF90EB0" w:rsidR="00B01583" w:rsidRDefault="00973908" w:rsidP="00581B9F">
      <w:pPr>
        <w:spacing w:line="276" w:lineRule="auto"/>
        <w:rPr>
          <w:rFonts w:ascii="Times New Roman" w:hAnsi="Times New Roman"/>
          <w:color w:val="000000" w:themeColor="text1"/>
        </w:rPr>
      </w:pPr>
      <w:r>
        <w:rPr>
          <w:rFonts w:ascii="Times New Roman" w:hAnsi="Times New Roman"/>
          <w:color w:val="000000" w:themeColor="text1"/>
        </w:rPr>
        <w:t xml:space="preserve">Subsection 11D(7) requires the fourth table in each report to contain the average availability of reportable services in each relevant ESA, as a percentage of the total possible available time in the applicable month.   </w:t>
      </w:r>
    </w:p>
    <w:p w14:paraId="649AA273" w14:textId="290A10F7" w:rsidR="00B01583" w:rsidRPr="00B01583" w:rsidRDefault="00B01583" w:rsidP="00D26F2F">
      <w:pPr>
        <w:spacing w:line="276" w:lineRule="auto"/>
        <w:rPr>
          <w:rFonts w:ascii="Times New Roman" w:hAnsi="Times New Roman"/>
          <w:u w:val="single"/>
        </w:rPr>
      </w:pPr>
      <w:r w:rsidRPr="00C26F6B">
        <w:rPr>
          <w:rFonts w:ascii="Times New Roman" w:hAnsi="Times New Roman"/>
          <w:u w:val="single"/>
        </w:rPr>
        <w:t>Section 1</w:t>
      </w:r>
      <w:r>
        <w:rPr>
          <w:rFonts w:ascii="Times New Roman" w:hAnsi="Times New Roman"/>
          <w:u w:val="single"/>
        </w:rPr>
        <w:t>1E</w:t>
      </w:r>
      <w:r w:rsidRPr="00C26F6B">
        <w:rPr>
          <w:rFonts w:ascii="Times New Roman" w:hAnsi="Times New Roman"/>
          <w:u w:val="single"/>
        </w:rPr>
        <w:t xml:space="preserve"> </w:t>
      </w:r>
      <w:r>
        <w:rPr>
          <w:rFonts w:ascii="Times New Roman" w:hAnsi="Times New Roman"/>
          <w:u w:val="single"/>
        </w:rPr>
        <w:t>–</w:t>
      </w:r>
      <w:r w:rsidR="009A200D">
        <w:rPr>
          <w:rFonts w:ascii="Times New Roman" w:hAnsi="Times New Roman"/>
          <w:u w:val="single"/>
        </w:rPr>
        <w:t>R</w:t>
      </w:r>
      <w:r>
        <w:rPr>
          <w:rFonts w:ascii="Times New Roman" w:hAnsi="Times New Roman"/>
          <w:u w:val="single"/>
        </w:rPr>
        <w:t>eporting to</w:t>
      </w:r>
      <w:r w:rsidRPr="00C26F6B">
        <w:rPr>
          <w:rFonts w:ascii="Times New Roman" w:hAnsi="Times New Roman"/>
          <w:u w:val="single"/>
        </w:rPr>
        <w:t xml:space="preserve"> the ACMA and the </w:t>
      </w:r>
      <w:r w:rsidR="008A6900">
        <w:rPr>
          <w:rFonts w:ascii="Times New Roman" w:hAnsi="Times New Roman"/>
          <w:u w:val="single"/>
        </w:rPr>
        <w:t>Secretary</w:t>
      </w:r>
      <w:r w:rsidR="008A6900" w:rsidRPr="00C26F6B">
        <w:rPr>
          <w:rFonts w:ascii="Times New Roman" w:hAnsi="Times New Roman"/>
          <w:u w:val="single"/>
        </w:rPr>
        <w:t xml:space="preserve"> </w:t>
      </w:r>
      <w:r w:rsidR="009A200D">
        <w:rPr>
          <w:rFonts w:ascii="Times New Roman" w:hAnsi="Times New Roman"/>
          <w:u w:val="single"/>
        </w:rPr>
        <w:t>on certain CSG services in relevant ESAs for the subsequent report period</w:t>
      </w:r>
    </w:p>
    <w:p w14:paraId="7A4D7C09" w14:textId="2E9CCDBA" w:rsidR="0079067F" w:rsidRPr="0079067F" w:rsidRDefault="00315675" w:rsidP="00581B9F">
      <w:pPr>
        <w:spacing w:line="276" w:lineRule="auto"/>
        <w:rPr>
          <w:rFonts w:ascii="Times New Roman" w:hAnsi="Times New Roman"/>
        </w:rPr>
      </w:pPr>
      <w:r>
        <w:rPr>
          <w:rFonts w:ascii="Times New Roman" w:hAnsi="Times New Roman"/>
          <w:color w:val="000000" w:themeColor="text1"/>
        </w:rPr>
        <w:t>Section 11E</w:t>
      </w:r>
      <w:r w:rsidR="00DB625B">
        <w:rPr>
          <w:rFonts w:ascii="Times New Roman" w:hAnsi="Times New Roman"/>
          <w:color w:val="000000" w:themeColor="text1"/>
        </w:rPr>
        <w:t xml:space="preserve"> sets out the requirements for Telstra to provide information to the ACMA and the Department </w:t>
      </w:r>
      <w:r w:rsidR="003B5C02">
        <w:rPr>
          <w:rFonts w:ascii="Times New Roman" w:hAnsi="Times New Roman"/>
          <w:color w:val="000000" w:themeColor="text1"/>
        </w:rPr>
        <w:t xml:space="preserve">after </w:t>
      </w:r>
      <w:r w:rsidR="00DB625B">
        <w:rPr>
          <w:rFonts w:ascii="Times New Roman" w:hAnsi="Times New Roman"/>
          <w:color w:val="000000" w:themeColor="text1"/>
        </w:rPr>
        <w:t xml:space="preserve">the initial reporting period. </w:t>
      </w:r>
      <w:r w:rsidR="00AB282B">
        <w:rPr>
          <w:rFonts w:ascii="Times New Roman" w:hAnsi="Times New Roman"/>
          <w:color w:val="000000" w:themeColor="text1"/>
        </w:rPr>
        <w:t xml:space="preserve">As provided by </w:t>
      </w:r>
      <w:r w:rsidR="003B5C02">
        <w:rPr>
          <w:rFonts w:ascii="Times New Roman" w:hAnsi="Times New Roman"/>
          <w:color w:val="000000" w:themeColor="text1"/>
        </w:rPr>
        <w:t>s</w:t>
      </w:r>
      <w:r w:rsidR="00AB282B">
        <w:rPr>
          <w:rFonts w:ascii="Times New Roman" w:hAnsi="Times New Roman"/>
          <w:color w:val="000000" w:themeColor="text1"/>
        </w:rPr>
        <w:t xml:space="preserve">ubsection 11E(1), </w:t>
      </w:r>
      <w:r w:rsidR="00DB625B">
        <w:rPr>
          <w:rFonts w:ascii="Times New Roman" w:hAnsi="Times New Roman"/>
          <w:color w:val="000000" w:themeColor="text1"/>
        </w:rPr>
        <w:t xml:space="preserve">Telstra must on a quarterly basis provide the ACMA and the Secretary (or authorised officer) of the Department with information relating to the performance </w:t>
      </w:r>
      <w:r w:rsidR="0050057C">
        <w:rPr>
          <w:rFonts w:ascii="Times New Roman" w:hAnsi="Times New Roman"/>
          <w:color w:val="000000" w:themeColor="text1"/>
        </w:rPr>
        <w:t>of voice services by ESA in</w:t>
      </w:r>
      <w:r w:rsidR="00DB625B">
        <w:rPr>
          <w:rFonts w:ascii="Times New Roman" w:hAnsi="Times New Roman"/>
          <w:color w:val="000000" w:themeColor="text1"/>
        </w:rPr>
        <w:t xml:space="preserve"> each calendar month within the relevant quarter. </w:t>
      </w:r>
      <w:r w:rsidR="00AB282B">
        <w:rPr>
          <w:rFonts w:ascii="Times New Roman" w:hAnsi="Times New Roman"/>
          <w:color w:val="000000" w:themeColor="text1"/>
        </w:rPr>
        <w:t>These reports must be provided within 28 days of the end of each quarter</w:t>
      </w:r>
      <w:r w:rsidR="00AB5FC0">
        <w:rPr>
          <w:rFonts w:ascii="Times New Roman" w:hAnsi="Times New Roman"/>
          <w:color w:val="000000" w:themeColor="text1"/>
        </w:rPr>
        <w:t>, beginning with the first quarter of 2022 (</w:t>
      </w:r>
      <w:r w:rsidR="00AB5FC0">
        <w:rPr>
          <w:rFonts w:ascii="Times New Roman" w:hAnsi="Times New Roman"/>
        </w:rPr>
        <w:t xml:space="preserve">i.e. the quarter ending on 31 </w:t>
      </w:r>
      <w:r w:rsidR="00AB5FC0">
        <w:rPr>
          <w:rFonts w:ascii="Times New Roman" w:hAnsi="Times New Roman"/>
        </w:rPr>
        <w:lastRenderedPageBreak/>
        <w:t>March).</w:t>
      </w:r>
      <w:r w:rsidR="0079067F">
        <w:rPr>
          <w:rFonts w:ascii="Times New Roman" w:hAnsi="Times New Roman"/>
        </w:rPr>
        <w:t xml:space="preserve"> Accordingly, Telstra will be required to provide its first quarterly report by 28 April 2022. </w:t>
      </w:r>
    </w:p>
    <w:p w14:paraId="5563770C" w14:textId="508D2466" w:rsidR="00AB282B" w:rsidRDefault="00AB282B" w:rsidP="00581B9F">
      <w:pPr>
        <w:spacing w:line="276" w:lineRule="auto"/>
        <w:rPr>
          <w:rFonts w:ascii="Times New Roman" w:hAnsi="Times New Roman"/>
        </w:rPr>
      </w:pPr>
      <w:r>
        <w:rPr>
          <w:rFonts w:ascii="Times New Roman" w:hAnsi="Times New Roman"/>
          <w:color w:val="000000" w:themeColor="text1"/>
        </w:rPr>
        <w:t xml:space="preserve">Subsection 11E(2) establishes that the </w:t>
      </w:r>
      <w:r w:rsidRPr="00AB282B">
        <w:rPr>
          <w:rFonts w:ascii="Times New Roman" w:hAnsi="Times New Roman"/>
          <w:i/>
          <w:color w:val="000000" w:themeColor="text1"/>
        </w:rPr>
        <w:t>required information</w:t>
      </w:r>
      <w:r>
        <w:rPr>
          <w:rFonts w:ascii="Times New Roman" w:hAnsi="Times New Roman"/>
          <w:color w:val="000000" w:themeColor="text1"/>
        </w:rPr>
        <w:t xml:space="preserve"> Telstra must provide for reporting </w:t>
      </w:r>
      <w:r w:rsidR="003B5C02">
        <w:rPr>
          <w:rFonts w:ascii="Times New Roman" w:hAnsi="Times New Roman"/>
          <w:color w:val="000000" w:themeColor="text1"/>
        </w:rPr>
        <w:t xml:space="preserve">going forward </w:t>
      </w:r>
      <w:r>
        <w:rPr>
          <w:rFonts w:ascii="Times New Roman" w:hAnsi="Times New Roman"/>
          <w:color w:val="000000" w:themeColor="text1"/>
        </w:rPr>
        <w:t xml:space="preserve">is the information specified in subsections 11E(3-12). This includes data relating to service connection, </w:t>
      </w:r>
      <w:r>
        <w:rPr>
          <w:rFonts w:ascii="Times New Roman" w:hAnsi="Times New Roman"/>
        </w:rPr>
        <w:t>fault or service difficulties, fault rectification, appointments, exemption events, the types of technology used to supply services, contacts and complaints.</w:t>
      </w:r>
    </w:p>
    <w:p w14:paraId="457DFD62" w14:textId="0239A81B" w:rsidR="00581B9F" w:rsidRPr="00C26F6B" w:rsidRDefault="0050057C" w:rsidP="00581B9F">
      <w:pPr>
        <w:spacing w:line="276" w:lineRule="auto"/>
        <w:rPr>
          <w:rFonts w:ascii="Times New Roman" w:hAnsi="Times New Roman"/>
          <w:color w:val="000000" w:themeColor="text1"/>
        </w:rPr>
      </w:pPr>
      <w:r>
        <w:rPr>
          <w:rFonts w:ascii="Times New Roman" w:hAnsi="Times New Roman"/>
        </w:rPr>
        <w:t xml:space="preserve">Subsection 11E(3) provides that the first table in each report must contain information relating to the geographical boundaries of relevant ESAs. Telstra must specify whether </w:t>
      </w:r>
      <w:r w:rsidR="00581B9F" w:rsidRPr="00C26F6B">
        <w:rPr>
          <w:rFonts w:ascii="Times New Roman" w:hAnsi="Times New Roman"/>
          <w:color w:val="000000" w:themeColor="text1"/>
        </w:rPr>
        <w:t xml:space="preserve">the boundaries of </w:t>
      </w:r>
      <w:r w:rsidR="00F4613C">
        <w:rPr>
          <w:rFonts w:ascii="Times New Roman" w:hAnsi="Times New Roman"/>
          <w:color w:val="000000" w:themeColor="text1"/>
        </w:rPr>
        <w:t>each</w:t>
      </w:r>
      <w:r w:rsidR="00581B9F" w:rsidRPr="00C26F6B">
        <w:rPr>
          <w:rFonts w:ascii="Times New Roman" w:hAnsi="Times New Roman"/>
          <w:color w:val="000000" w:themeColor="text1"/>
        </w:rPr>
        <w:t xml:space="preserve"> ESA were established or changed during the previous month. If there are new or revised boundaries, the report must include new geographic coordinates to identify these boundaries. If the boundaries of the ESA remain unchanged from the previous month, Telstra must provide a statement to that effect. </w:t>
      </w:r>
    </w:p>
    <w:p w14:paraId="0D6E6B53" w14:textId="51BA3000" w:rsidR="00581B9F" w:rsidRPr="00C26F6B" w:rsidRDefault="00581B9F" w:rsidP="00581B9F">
      <w:pPr>
        <w:spacing w:line="276" w:lineRule="auto"/>
        <w:rPr>
          <w:rFonts w:ascii="Times New Roman" w:hAnsi="Times New Roman"/>
          <w:color w:val="000000" w:themeColor="text1"/>
        </w:rPr>
      </w:pPr>
      <w:r w:rsidRPr="00C26F6B">
        <w:rPr>
          <w:rFonts w:ascii="Times New Roman" w:hAnsi="Times New Roman"/>
          <w:color w:val="000000" w:themeColor="text1"/>
        </w:rPr>
        <w:t>Subsection 1</w:t>
      </w:r>
      <w:r w:rsidR="00EF0125">
        <w:rPr>
          <w:rFonts w:ascii="Times New Roman" w:hAnsi="Times New Roman"/>
          <w:color w:val="000000" w:themeColor="text1"/>
        </w:rPr>
        <w:t>1</w:t>
      </w:r>
      <w:r w:rsidR="0050057C">
        <w:rPr>
          <w:rFonts w:ascii="Times New Roman" w:hAnsi="Times New Roman"/>
          <w:color w:val="000000" w:themeColor="text1"/>
        </w:rPr>
        <w:t>E(4</w:t>
      </w:r>
      <w:r w:rsidRPr="00C26F6B">
        <w:rPr>
          <w:rFonts w:ascii="Times New Roman" w:hAnsi="Times New Roman"/>
          <w:color w:val="000000" w:themeColor="text1"/>
        </w:rPr>
        <w:t>) provides that the second table must include specific information about each individual service supplied by Telstra during the month. For each service, Telstra must provide the unique service identifier, the name of the relevant ESA, the local access technology used, as well as the CSG geographic category for the area in which the service is</w:t>
      </w:r>
      <w:r w:rsidR="003B5C02">
        <w:rPr>
          <w:rFonts w:ascii="Times New Roman" w:hAnsi="Times New Roman"/>
          <w:color w:val="000000" w:themeColor="text1"/>
        </w:rPr>
        <w:t xml:space="preserve"> </w:t>
      </w:r>
      <w:r w:rsidRPr="00C26F6B">
        <w:rPr>
          <w:rFonts w:ascii="Times New Roman" w:hAnsi="Times New Roman"/>
          <w:color w:val="000000" w:themeColor="text1"/>
        </w:rPr>
        <w:t xml:space="preserve">supplied. </w:t>
      </w:r>
    </w:p>
    <w:p w14:paraId="60181702" w14:textId="0DF6087E" w:rsidR="00581B9F" w:rsidRPr="00C26F6B" w:rsidRDefault="00581B9F" w:rsidP="00581B9F">
      <w:pPr>
        <w:spacing w:line="276" w:lineRule="auto"/>
        <w:rPr>
          <w:rFonts w:ascii="Times New Roman" w:hAnsi="Times New Roman"/>
          <w:color w:val="000000" w:themeColor="text1"/>
        </w:rPr>
      </w:pPr>
      <w:r w:rsidRPr="00C26F6B">
        <w:rPr>
          <w:rFonts w:ascii="Times New Roman" w:hAnsi="Times New Roman"/>
          <w:color w:val="000000" w:themeColor="text1"/>
        </w:rPr>
        <w:t>Subsection 1</w:t>
      </w:r>
      <w:r w:rsidR="00EF0125">
        <w:rPr>
          <w:rFonts w:ascii="Times New Roman" w:hAnsi="Times New Roman"/>
          <w:color w:val="000000" w:themeColor="text1"/>
        </w:rPr>
        <w:t>1</w:t>
      </w:r>
      <w:r w:rsidR="0050057C">
        <w:rPr>
          <w:rFonts w:ascii="Times New Roman" w:hAnsi="Times New Roman"/>
          <w:color w:val="000000" w:themeColor="text1"/>
        </w:rPr>
        <w:t>E(5</w:t>
      </w:r>
      <w:r w:rsidRPr="00C26F6B">
        <w:rPr>
          <w:rFonts w:ascii="Times New Roman" w:hAnsi="Times New Roman"/>
          <w:color w:val="000000" w:themeColor="text1"/>
        </w:rPr>
        <w:t xml:space="preserve">) requires the third table to contain information related to the number of services supplied in each ESA for each CSG geographic category (i.e. urban areas, major rural areas, minor rural areas, or remote areas). </w:t>
      </w:r>
      <w:r w:rsidR="0050057C">
        <w:rPr>
          <w:rFonts w:ascii="Times New Roman" w:hAnsi="Times New Roman"/>
          <w:color w:val="000000" w:themeColor="text1"/>
        </w:rPr>
        <w:t xml:space="preserve">For each category, Telstra must provide the </w:t>
      </w:r>
      <w:r w:rsidRPr="00C26F6B">
        <w:rPr>
          <w:rFonts w:ascii="Times New Roman" w:hAnsi="Times New Roman"/>
          <w:color w:val="000000" w:themeColor="text1"/>
        </w:rPr>
        <w:t xml:space="preserve">number of reportable services </w:t>
      </w:r>
      <w:r w:rsidR="0050057C">
        <w:rPr>
          <w:rFonts w:ascii="Times New Roman" w:hAnsi="Times New Roman"/>
          <w:color w:val="000000" w:themeColor="text1"/>
        </w:rPr>
        <w:t>as well as the</w:t>
      </w:r>
      <w:r w:rsidRPr="00C26F6B">
        <w:rPr>
          <w:rFonts w:ascii="Times New Roman" w:hAnsi="Times New Roman"/>
          <w:color w:val="000000" w:themeColor="text1"/>
        </w:rPr>
        <w:t xml:space="preserve"> number of addresses of premises to whic</w:t>
      </w:r>
      <w:r w:rsidR="0050057C">
        <w:rPr>
          <w:rFonts w:ascii="Times New Roman" w:hAnsi="Times New Roman"/>
          <w:color w:val="000000" w:themeColor="text1"/>
        </w:rPr>
        <w:t xml:space="preserve">h those services were supplied. </w:t>
      </w:r>
    </w:p>
    <w:p w14:paraId="173788FC" w14:textId="492B88E2" w:rsidR="00581B9F" w:rsidRPr="00C26F6B" w:rsidRDefault="00581B9F" w:rsidP="00581B9F">
      <w:pPr>
        <w:spacing w:line="276" w:lineRule="auto"/>
        <w:rPr>
          <w:rFonts w:ascii="Times New Roman" w:hAnsi="Times New Roman"/>
          <w:color w:val="000000" w:themeColor="text1"/>
        </w:rPr>
      </w:pPr>
      <w:r w:rsidRPr="00C26F6B">
        <w:rPr>
          <w:rFonts w:ascii="Times New Roman" w:hAnsi="Times New Roman"/>
          <w:color w:val="000000" w:themeColor="text1"/>
        </w:rPr>
        <w:t>Subsection 1</w:t>
      </w:r>
      <w:r w:rsidR="00EF0125">
        <w:rPr>
          <w:rFonts w:ascii="Times New Roman" w:hAnsi="Times New Roman"/>
          <w:color w:val="000000" w:themeColor="text1"/>
        </w:rPr>
        <w:t>1</w:t>
      </w:r>
      <w:r w:rsidR="0050057C">
        <w:rPr>
          <w:rFonts w:ascii="Times New Roman" w:hAnsi="Times New Roman"/>
          <w:color w:val="000000" w:themeColor="text1"/>
        </w:rPr>
        <w:t>E(6</w:t>
      </w:r>
      <w:r w:rsidRPr="00C26F6B">
        <w:rPr>
          <w:rFonts w:ascii="Times New Roman" w:hAnsi="Times New Roman"/>
          <w:color w:val="000000" w:themeColor="text1"/>
        </w:rPr>
        <w:t xml:space="preserve">) provides that the fourth table must contain information related to </w:t>
      </w:r>
      <w:r w:rsidR="0050057C">
        <w:rPr>
          <w:rFonts w:ascii="Times New Roman" w:hAnsi="Times New Roman"/>
          <w:color w:val="000000" w:themeColor="text1"/>
        </w:rPr>
        <w:t xml:space="preserve">the type of </w:t>
      </w:r>
      <w:r w:rsidRPr="00C26F6B">
        <w:rPr>
          <w:rFonts w:ascii="Times New Roman" w:hAnsi="Times New Roman"/>
          <w:color w:val="000000" w:themeColor="text1"/>
        </w:rPr>
        <w:t>local access technology</w:t>
      </w:r>
      <w:r w:rsidR="0050057C">
        <w:rPr>
          <w:rFonts w:ascii="Times New Roman" w:hAnsi="Times New Roman"/>
          <w:color w:val="000000" w:themeColor="text1"/>
        </w:rPr>
        <w:t xml:space="preserve"> used to supply reportable services. </w:t>
      </w:r>
      <w:r w:rsidRPr="00C26F6B">
        <w:rPr>
          <w:rFonts w:ascii="Times New Roman" w:hAnsi="Times New Roman"/>
          <w:color w:val="000000" w:themeColor="text1"/>
        </w:rPr>
        <w:t xml:space="preserve">For each relevant ESA, Telstra must report the number of services it supplied using each kind of technology (set out in the definition of </w:t>
      </w:r>
      <w:r w:rsidRPr="00C26F6B">
        <w:rPr>
          <w:rFonts w:ascii="Times New Roman" w:hAnsi="Times New Roman"/>
          <w:i/>
          <w:color w:val="000000" w:themeColor="text1"/>
        </w:rPr>
        <w:t>local access technology</w:t>
      </w:r>
      <w:r w:rsidRPr="00C26F6B">
        <w:rPr>
          <w:rFonts w:ascii="Times New Roman" w:hAnsi="Times New Roman"/>
          <w:color w:val="000000" w:themeColor="text1"/>
        </w:rPr>
        <w:t xml:space="preserve"> in </w:t>
      </w:r>
      <w:r w:rsidR="003B5C02">
        <w:rPr>
          <w:rFonts w:ascii="Times New Roman" w:hAnsi="Times New Roman"/>
          <w:color w:val="000000" w:themeColor="text1"/>
        </w:rPr>
        <w:t>s</w:t>
      </w:r>
      <w:r w:rsidRPr="00C26F6B">
        <w:rPr>
          <w:rFonts w:ascii="Times New Roman" w:hAnsi="Times New Roman"/>
          <w:color w:val="000000" w:themeColor="text1"/>
        </w:rPr>
        <w:t>ection 1</w:t>
      </w:r>
      <w:r w:rsidR="00EF0125">
        <w:rPr>
          <w:rFonts w:ascii="Times New Roman" w:hAnsi="Times New Roman"/>
          <w:color w:val="000000" w:themeColor="text1"/>
        </w:rPr>
        <w:t>1</w:t>
      </w:r>
      <w:r w:rsidRPr="00C26F6B">
        <w:rPr>
          <w:rFonts w:ascii="Times New Roman" w:hAnsi="Times New Roman"/>
          <w:color w:val="000000" w:themeColor="text1"/>
        </w:rPr>
        <w:t xml:space="preserve">A), as well as the number of addresses of premises to which those services were supplied. </w:t>
      </w:r>
    </w:p>
    <w:p w14:paraId="488EFC8B" w14:textId="6E48A944" w:rsidR="00581B9F" w:rsidRPr="00C26F6B" w:rsidRDefault="00581B9F" w:rsidP="00581B9F">
      <w:pPr>
        <w:spacing w:line="276" w:lineRule="auto"/>
        <w:rPr>
          <w:rFonts w:ascii="Times New Roman" w:hAnsi="Times New Roman"/>
          <w:color w:val="000000" w:themeColor="text1"/>
        </w:rPr>
      </w:pPr>
      <w:r w:rsidRPr="00C26F6B">
        <w:rPr>
          <w:rFonts w:ascii="Times New Roman" w:hAnsi="Times New Roman"/>
          <w:color w:val="000000" w:themeColor="text1"/>
        </w:rPr>
        <w:t>Subsection 1</w:t>
      </w:r>
      <w:r w:rsidR="00EF0125">
        <w:rPr>
          <w:rFonts w:ascii="Times New Roman" w:hAnsi="Times New Roman"/>
          <w:color w:val="000000" w:themeColor="text1"/>
        </w:rPr>
        <w:t>1</w:t>
      </w:r>
      <w:r w:rsidR="0050057C">
        <w:rPr>
          <w:rFonts w:ascii="Times New Roman" w:hAnsi="Times New Roman"/>
          <w:color w:val="000000" w:themeColor="text1"/>
        </w:rPr>
        <w:t>E(7</w:t>
      </w:r>
      <w:r w:rsidRPr="00C26F6B">
        <w:rPr>
          <w:rFonts w:ascii="Times New Roman" w:hAnsi="Times New Roman"/>
          <w:color w:val="000000" w:themeColor="text1"/>
        </w:rPr>
        <w:t>) provi</w:t>
      </w:r>
      <w:r w:rsidR="0050057C">
        <w:rPr>
          <w:rFonts w:ascii="Times New Roman" w:hAnsi="Times New Roman"/>
          <w:color w:val="000000" w:themeColor="text1"/>
        </w:rPr>
        <w:t>des that the fifth table must include</w:t>
      </w:r>
      <w:r w:rsidRPr="00C26F6B">
        <w:rPr>
          <w:rFonts w:ascii="Times New Roman" w:hAnsi="Times New Roman"/>
          <w:color w:val="000000" w:themeColor="text1"/>
        </w:rPr>
        <w:t xml:space="preserve"> information related to the connection of services. This provision covers all requests made to Telstra for the connection of a service, including those that were completed or cancelled during the month, or incomplete at the end of the month. For each request, Telstra must provide:</w:t>
      </w:r>
    </w:p>
    <w:p w14:paraId="307B47E6" w14:textId="6E108802" w:rsidR="00581B9F" w:rsidRDefault="00581B9F" w:rsidP="00581B9F">
      <w:pPr>
        <w:pStyle w:val="ListParagraph"/>
        <w:numPr>
          <w:ilvl w:val="0"/>
          <w:numId w:val="39"/>
        </w:numPr>
        <w:spacing w:line="276" w:lineRule="auto"/>
        <w:rPr>
          <w:color w:val="000000" w:themeColor="text1"/>
        </w:rPr>
      </w:pPr>
      <w:r>
        <w:rPr>
          <w:color w:val="000000" w:themeColor="text1"/>
        </w:rPr>
        <w:t>t</w:t>
      </w:r>
      <w:r w:rsidRPr="00C26F6B">
        <w:rPr>
          <w:color w:val="000000" w:themeColor="text1"/>
        </w:rPr>
        <w:t>he unique service identifier</w:t>
      </w:r>
      <w:r>
        <w:rPr>
          <w:color w:val="000000" w:themeColor="text1"/>
        </w:rPr>
        <w:t>;</w:t>
      </w:r>
    </w:p>
    <w:p w14:paraId="0B3EA6D9" w14:textId="78F2B526" w:rsidR="00C4110C" w:rsidRDefault="00C4110C" w:rsidP="00581B9F">
      <w:pPr>
        <w:pStyle w:val="ListParagraph"/>
        <w:numPr>
          <w:ilvl w:val="0"/>
          <w:numId w:val="39"/>
        </w:numPr>
        <w:spacing w:line="276" w:lineRule="auto"/>
        <w:rPr>
          <w:color w:val="000000" w:themeColor="text1"/>
        </w:rPr>
      </w:pPr>
      <w:r w:rsidRPr="00E970EC">
        <w:rPr>
          <w:color w:val="000000" w:themeColor="text1"/>
        </w:rPr>
        <w:t>a statement of whether there was an existing in-place connection at the premise</w:t>
      </w:r>
      <w:r>
        <w:rPr>
          <w:color w:val="000000" w:themeColor="text1"/>
        </w:rPr>
        <w:t xml:space="preserve"> or a new connection </w:t>
      </w:r>
      <w:r w:rsidR="00F4613C">
        <w:rPr>
          <w:color w:val="000000" w:themeColor="text1"/>
        </w:rPr>
        <w:t>was</w:t>
      </w:r>
      <w:r>
        <w:rPr>
          <w:color w:val="000000" w:themeColor="text1"/>
        </w:rPr>
        <w:t xml:space="preserve"> required for a service to be provided</w:t>
      </w:r>
      <w:r w:rsidRPr="00E970EC">
        <w:rPr>
          <w:color w:val="000000" w:themeColor="text1"/>
        </w:rPr>
        <w:t>;</w:t>
      </w:r>
    </w:p>
    <w:p w14:paraId="12025678" w14:textId="481DA9BC" w:rsidR="00C4110C" w:rsidRDefault="00C4110C" w:rsidP="00581B9F">
      <w:pPr>
        <w:pStyle w:val="ListParagraph"/>
        <w:numPr>
          <w:ilvl w:val="0"/>
          <w:numId w:val="39"/>
        </w:numPr>
        <w:spacing w:line="276" w:lineRule="auto"/>
        <w:rPr>
          <w:color w:val="000000" w:themeColor="text1"/>
        </w:rPr>
      </w:pPr>
      <w:r>
        <w:rPr>
          <w:color w:val="000000" w:themeColor="text1"/>
        </w:rPr>
        <w:t xml:space="preserve">the CSG geographical category </w:t>
      </w:r>
      <w:r w:rsidR="0079067F">
        <w:rPr>
          <w:color w:val="000000" w:themeColor="text1"/>
        </w:rPr>
        <w:t>which applies to the premises as relevant to</w:t>
      </w:r>
      <w:r>
        <w:rPr>
          <w:color w:val="000000" w:themeColor="text1"/>
        </w:rPr>
        <w:t xml:space="preserve"> connection</w:t>
      </w:r>
      <w:r w:rsidR="0079067F">
        <w:rPr>
          <w:color w:val="000000" w:themeColor="text1"/>
        </w:rPr>
        <w:t xml:space="preserve"> requirements under the CSG Standard (Division 2 of Part 2)</w:t>
      </w:r>
      <w:r>
        <w:rPr>
          <w:color w:val="000000" w:themeColor="text1"/>
        </w:rPr>
        <w:t>;</w:t>
      </w:r>
    </w:p>
    <w:p w14:paraId="74E35432" w14:textId="48338B4E" w:rsidR="00C4110C" w:rsidRPr="00786BF7" w:rsidRDefault="00C4110C" w:rsidP="00C2517C">
      <w:pPr>
        <w:pStyle w:val="ListParagraph"/>
        <w:numPr>
          <w:ilvl w:val="0"/>
          <w:numId w:val="39"/>
        </w:numPr>
        <w:spacing w:line="276" w:lineRule="auto"/>
        <w:rPr>
          <w:color w:val="000000" w:themeColor="text1"/>
        </w:rPr>
      </w:pPr>
      <w:r w:rsidRPr="00E970EC">
        <w:rPr>
          <w:color w:val="000000" w:themeColor="text1"/>
        </w:rPr>
        <w:t xml:space="preserve">the date on which connection was first requested; </w:t>
      </w:r>
    </w:p>
    <w:p w14:paraId="0F6A673C" w14:textId="7C73FDB5" w:rsidR="00C4110C" w:rsidRDefault="00581B9F" w:rsidP="00581B9F">
      <w:pPr>
        <w:pStyle w:val="ListParagraph"/>
        <w:numPr>
          <w:ilvl w:val="0"/>
          <w:numId w:val="39"/>
        </w:numPr>
        <w:spacing w:line="276" w:lineRule="auto"/>
        <w:rPr>
          <w:color w:val="000000" w:themeColor="text1"/>
        </w:rPr>
      </w:pPr>
      <w:r w:rsidRPr="00E970EC">
        <w:rPr>
          <w:color w:val="000000" w:themeColor="text1"/>
        </w:rPr>
        <w:lastRenderedPageBreak/>
        <w:t>the date by which connection is, was or would have been required</w:t>
      </w:r>
      <w:r w:rsidR="00C4110C">
        <w:rPr>
          <w:color w:val="000000" w:themeColor="text1"/>
        </w:rPr>
        <w:t xml:space="preserve"> under </w:t>
      </w:r>
      <w:r w:rsidRPr="00E970EC">
        <w:rPr>
          <w:color w:val="000000" w:themeColor="text1"/>
        </w:rPr>
        <w:t>Division 2 of Part 2 of the CSG Standard</w:t>
      </w:r>
      <w:r w:rsidR="00C4110C">
        <w:rPr>
          <w:color w:val="000000" w:themeColor="text1"/>
        </w:rPr>
        <w:t xml:space="preserve"> (disregarding any relevant exemption);</w:t>
      </w:r>
    </w:p>
    <w:p w14:paraId="04820F83" w14:textId="5B032F52" w:rsidR="00581B9F" w:rsidRPr="00E970EC" w:rsidRDefault="003C573A" w:rsidP="00581B9F">
      <w:pPr>
        <w:pStyle w:val="ListParagraph"/>
        <w:numPr>
          <w:ilvl w:val="0"/>
          <w:numId w:val="39"/>
        </w:numPr>
        <w:spacing w:line="276" w:lineRule="auto"/>
        <w:rPr>
          <w:color w:val="000000" w:themeColor="text1"/>
        </w:rPr>
      </w:pPr>
      <w:r>
        <w:rPr>
          <w:color w:val="000000" w:themeColor="text1"/>
        </w:rPr>
        <w:t xml:space="preserve">a statement as </w:t>
      </w:r>
      <w:r w:rsidR="00D94705">
        <w:rPr>
          <w:color w:val="000000" w:themeColor="text1"/>
        </w:rPr>
        <w:t xml:space="preserve">to </w:t>
      </w:r>
      <w:r w:rsidR="008836FE">
        <w:rPr>
          <w:color w:val="000000" w:themeColor="text1"/>
        </w:rPr>
        <w:t>w</w:t>
      </w:r>
      <w:r w:rsidR="00C4110C">
        <w:rPr>
          <w:color w:val="000000" w:themeColor="text1"/>
        </w:rPr>
        <w:t xml:space="preserve">hether </w:t>
      </w:r>
      <w:r w:rsidR="00D94705">
        <w:rPr>
          <w:color w:val="000000" w:themeColor="text1"/>
        </w:rPr>
        <w:t xml:space="preserve">Telstra </w:t>
      </w:r>
      <w:r w:rsidR="003B5C02">
        <w:rPr>
          <w:color w:val="000000" w:themeColor="text1"/>
        </w:rPr>
        <w:t xml:space="preserve">complied </w:t>
      </w:r>
      <w:r>
        <w:rPr>
          <w:color w:val="000000" w:themeColor="text1"/>
        </w:rPr>
        <w:t>with</w:t>
      </w:r>
      <w:r w:rsidR="00C4110C">
        <w:rPr>
          <w:color w:val="000000" w:themeColor="text1"/>
        </w:rPr>
        <w:t xml:space="preserve"> the </w:t>
      </w:r>
      <w:r>
        <w:rPr>
          <w:color w:val="000000" w:themeColor="text1"/>
        </w:rPr>
        <w:t xml:space="preserve">connection requirements under the CSG Standard (Division 2 of Part 2) and, if it </w:t>
      </w:r>
      <w:r w:rsidR="00D94705">
        <w:rPr>
          <w:color w:val="000000" w:themeColor="text1"/>
        </w:rPr>
        <w:t>did</w:t>
      </w:r>
      <w:r>
        <w:rPr>
          <w:color w:val="000000" w:themeColor="text1"/>
        </w:rPr>
        <w:t xml:space="preserve"> not, the reason</w:t>
      </w:r>
      <w:r w:rsidR="003B5C02">
        <w:rPr>
          <w:color w:val="000000" w:themeColor="text1"/>
        </w:rPr>
        <w:t>(s)</w:t>
      </w:r>
      <w:r>
        <w:rPr>
          <w:color w:val="000000" w:themeColor="text1"/>
        </w:rPr>
        <w:t>;</w:t>
      </w:r>
    </w:p>
    <w:p w14:paraId="4EF8852E" w14:textId="5934CD25" w:rsidR="003B5C02" w:rsidRDefault="00C4110C" w:rsidP="00C2517C">
      <w:pPr>
        <w:pStyle w:val="ListParagraph"/>
        <w:numPr>
          <w:ilvl w:val="0"/>
          <w:numId w:val="39"/>
        </w:numPr>
        <w:spacing w:line="276" w:lineRule="auto"/>
        <w:rPr>
          <w:color w:val="000000" w:themeColor="text1"/>
        </w:rPr>
      </w:pPr>
      <w:r>
        <w:rPr>
          <w:color w:val="000000" w:themeColor="text1"/>
        </w:rPr>
        <w:t xml:space="preserve">what relevant </w:t>
      </w:r>
      <w:r w:rsidR="00581B9F" w:rsidRPr="00786BF7">
        <w:rPr>
          <w:color w:val="000000" w:themeColor="text1"/>
        </w:rPr>
        <w:t>exemption</w:t>
      </w:r>
      <w:r w:rsidR="00492DC3" w:rsidRPr="00786BF7">
        <w:rPr>
          <w:color w:val="000000" w:themeColor="text1"/>
        </w:rPr>
        <w:t xml:space="preserve"> (if any) </w:t>
      </w:r>
      <w:r w:rsidR="00581B9F" w:rsidRPr="00786BF7">
        <w:rPr>
          <w:color w:val="000000" w:themeColor="text1"/>
        </w:rPr>
        <w:t xml:space="preserve">applies to the connection </w:t>
      </w:r>
      <w:r w:rsidR="00492DC3" w:rsidRPr="00786BF7">
        <w:rPr>
          <w:color w:val="000000" w:themeColor="text1"/>
        </w:rPr>
        <w:t>timeframe, as well as the relevant unique exemption event identifier</w:t>
      </w:r>
      <w:r w:rsidR="003B5C02">
        <w:rPr>
          <w:color w:val="000000" w:themeColor="text1"/>
        </w:rPr>
        <w:t>;</w:t>
      </w:r>
      <w:r w:rsidR="003B5C02" w:rsidRPr="003B5C02">
        <w:rPr>
          <w:color w:val="000000" w:themeColor="text1"/>
        </w:rPr>
        <w:t xml:space="preserve"> </w:t>
      </w:r>
      <w:r w:rsidR="003B5C02">
        <w:rPr>
          <w:color w:val="000000" w:themeColor="text1"/>
        </w:rPr>
        <w:t>and</w:t>
      </w:r>
    </w:p>
    <w:p w14:paraId="7EDFCEB2" w14:textId="12492685" w:rsidR="00581B9F" w:rsidRPr="00786BF7" w:rsidRDefault="003B5C02" w:rsidP="00C2517C">
      <w:pPr>
        <w:pStyle w:val="ListParagraph"/>
        <w:numPr>
          <w:ilvl w:val="0"/>
          <w:numId w:val="39"/>
        </w:numPr>
        <w:spacing w:line="276" w:lineRule="auto"/>
        <w:rPr>
          <w:color w:val="000000" w:themeColor="text1"/>
        </w:rPr>
      </w:pPr>
      <w:r>
        <w:rPr>
          <w:color w:val="000000" w:themeColor="text1"/>
        </w:rPr>
        <w:t xml:space="preserve">the reason if a request for connection </w:t>
      </w:r>
      <w:r w:rsidR="0043020C">
        <w:rPr>
          <w:color w:val="000000" w:themeColor="text1"/>
        </w:rPr>
        <w:t>was</w:t>
      </w:r>
      <w:r>
        <w:rPr>
          <w:color w:val="000000" w:themeColor="text1"/>
        </w:rPr>
        <w:t xml:space="preserve"> cancelled</w:t>
      </w:r>
      <w:r w:rsidR="00A371A3" w:rsidRPr="00786BF7">
        <w:rPr>
          <w:color w:val="000000" w:themeColor="text1"/>
        </w:rPr>
        <w:t xml:space="preserve">. </w:t>
      </w:r>
    </w:p>
    <w:p w14:paraId="3AF645D6" w14:textId="4F01E0A0" w:rsidR="00E970EC" w:rsidRPr="00E970EC" w:rsidRDefault="00E970EC" w:rsidP="00E970EC">
      <w:pPr>
        <w:spacing w:line="276" w:lineRule="auto"/>
        <w:rPr>
          <w:rFonts w:ascii="Times New Roman" w:hAnsi="Times New Roman"/>
        </w:rPr>
      </w:pPr>
      <w:r w:rsidRPr="00E970EC">
        <w:rPr>
          <w:rFonts w:ascii="Times New Roman" w:hAnsi="Times New Roman"/>
        </w:rPr>
        <w:t>For service connections that we</w:t>
      </w:r>
      <w:r w:rsidR="00D67471">
        <w:rPr>
          <w:rFonts w:ascii="Times New Roman" w:hAnsi="Times New Roman"/>
        </w:rPr>
        <w:t xml:space="preserve">re completed, Telstra must </w:t>
      </w:r>
      <w:r w:rsidRPr="00E970EC">
        <w:rPr>
          <w:rFonts w:ascii="Times New Roman" w:hAnsi="Times New Roman"/>
        </w:rPr>
        <w:t>provide the date of connection</w:t>
      </w:r>
      <w:r w:rsidR="008836FE">
        <w:rPr>
          <w:rFonts w:ascii="Times New Roman" w:hAnsi="Times New Roman"/>
        </w:rPr>
        <w:t xml:space="preserve">, the number of working days (if any) taken to complete the connection, as well as </w:t>
      </w:r>
      <w:r w:rsidRPr="00E970EC">
        <w:rPr>
          <w:rFonts w:ascii="Times New Roman" w:hAnsi="Times New Roman"/>
        </w:rPr>
        <w:t xml:space="preserve"> the number of </w:t>
      </w:r>
      <w:r w:rsidRPr="00E970EC">
        <w:rPr>
          <w:rFonts w:ascii="Times New Roman" w:hAnsi="Times New Roman"/>
          <w:color w:val="000000" w:themeColor="text1"/>
        </w:rPr>
        <w:t xml:space="preserve">working days (if any) the connection exceeded the connection timeframe </w:t>
      </w:r>
      <w:r>
        <w:rPr>
          <w:rFonts w:ascii="Times New Roman" w:hAnsi="Times New Roman"/>
          <w:color w:val="000000" w:themeColor="text1"/>
        </w:rPr>
        <w:t xml:space="preserve">under </w:t>
      </w:r>
      <w:r w:rsidRPr="00E970EC">
        <w:rPr>
          <w:rFonts w:ascii="Times New Roman" w:hAnsi="Times New Roman"/>
          <w:color w:val="000000" w:themeColor="text1"/>
        </w:rPr>
        <w:t>Division 2</w:t>
      </w:r>
      <w:r>
        <w:rPr>
          <w:rFonts w:ascii="Times New Roman" w:hAnsi="Times New Roman"/>
          <w:color w:val="000000" w:themeColor="text1"/>
        </w:rPr>
        <w:t xml:space="preserve"> of Part 2 of the CSG Standard. If </w:t>
      </w:r>
      <w:r w:rsidR="00322757">
        <w:rPr>
          <w:rFonts w:ascii="Times New Roman" w:hAnsi="Times New Roman"/>
          <w:color w:val="000000" w:themeColor="text1"/>
        </w:rPr>
        <w:t>connection request</w:t>
      </w:r>
      <w:r>
        <w:rPr>
          <w:rFonts w:ascii="Times New Roman" w:hAnsi="Times New Roman"/>
          <w:color w:val="000000" w:themeColor="text1"/>
        </w:rPr>
        <w:t xml:space="preserve">s were </w:t>
      </w:r>
      <w:r w:rsidR="00492DC3">
        <w:rPr>
          <w:rFonts w:ascii="Times New Roman" w:hAnsi="Times New Roman"/>
          <w:color w:val="000000" w:themeColor="text1"/>
        </w:rPr>
        <w:t>cancelled during the month or incomplete at the end of the month, Telstra must provide a statement to that effect.</w:t>
      </w:r>
      <w:r w:rsidR="00D67471">
        <w:rPr>
          <w:rFonts w:ascii="Times New Roman" w:hAnsi="Times New Roman"/>
          <w:color w:val="000000" w:themeColor="text1"/>
        </w:rPr>
        <w:t xml:space="preserve"> For service connections that were cancelled,</w:t>
      </w:r>
      <w:r w:rsidR="00492DC3">
        <w:rPr>
          <w:rFonts w:ascii="Times New Roman" w:hAnsi="Times New Roman"/>
          <w:color w:val="000000" w:themeColor="text1"/>
        </w:rPr>
        <w:t xml:space="preserve"> Telstra must also provide a reason </w:t>
      </w:r>
      <w:r w:rsidR="00D67471">
        <w:rPr>
          <w:rFonts w:ascii="Times New Roman" w:hAnsi="Times New Roman"/>
          <w:color w:val="000000" w:themeColor="text1"/>
        </w:rPr>
        <w:t xml:space="preserve">as to why. </w:t>
      </w:r>
    </w:p>
    <w:p w14:paraId="5E24A37C" w14:textId="727EF364" w:rsidR="00581B9F" w:rsidRPr="00C26F6B" w:rsidRDefault="00581B9F" w:rsidP="00581B9F">
      <w:pPr>
        <w:spacing w:line="276" w:lineRule="auto"/>
        <w:rPr>
          <w:rFonts w:ascii="Times New Roman" w:hAnsi="Times New Roman"/>
          <w:color w:val="000000" w:themeColor="text1"/>
        </w:rPr>
      </w:pPr>
      <w:r w:rsidRPr="00E970EC">
        <w:rPr>
          <w:rFonts w:ascii="Times New Roman" w:hAnsi="Times New Roman"/>
          <w:color w:val="000000" w:themeColor="text1"/>
        </w:rPr>
        <w:t>Subsection 1</w:t>
      </w:r>
      <w:r w:rsidR="00EF0125" w:rsidRPr="00E970EC">
        <w:rPr>
          <w:rFonts w:ascii="Times New Roman" w:hAnsi="Times New Roman"/>
          <w:color w:val="000000" w:themeColor="text1"/>
        </w:rPr>
        <w:t>1</w:t>
      </w:r>
      <w:r w:rsidR="00492DC3">
        <w:rPr>
          <w:rFonts w:ascii="Times New Roman" w:hAnsi="Times New Roman"/>
          <w:color w:val="000000" w:themeColor="text1"/>
        </w:rPr>
        <w:t>E(8</w:t>
      </w:r>
      <w:r w:rsidRPr="00E970EC">
        <w:rPr>
          <w:rFonts w:ascii="Times New Roman" w:hAnsi="Times New Roman"/>
          <w:color w:val="000000" w:themeColor="text1"/>
        </w:rPr>
        <w:t>) requires the sixth table to provide information related to faults and service difficulties. This provision covers all faults or service difficulties, including those that were rectified, not rectified, or closed</w:t>
      </w:r>
      <w:r w:rsidRPr="00C26F6B">
        <w:rPr>
          <w:rFonts w:ascii="Times New Roman" w:hAnsi="Times New Roman"/>
          <w:color w:val="000000" w:themeColor="text1"/>
        </w:rPr>
        <w:t xml:space="preserve"> by Telstra without being rectified. For each fault or service difficulty, Telstra must provide: </w:t>
      </w:r>
    </w:p>
    <w:p w14:paraId="3EA0C7AE" w14:textId="78D629C3" w:rsidR="00581B9F" w:rsidRDefault="00581B9F" w:rsidP="00581B9F">
      <w:pPr>
        <w:pStyle w:val="ListParagraph"/>
        <w:numPr>
          <w:ilvl w:val="0"/>
          <w:numId w:val="39"/>
        </w:numPr>
        <w:spacing w:line="276" w:lineRule="auto"/>
        <w:rPr>
          <w:color w:val="000000" w:themeColor="text1"/>
        </w:rPr>
      </w:pPr>
      <w:r>
        <w:rPr>
          <w:color w:val="000000" w:themeColor="text1"/>
        </w:rPr>
        <w:t>t</w:t>
      </w:r>
      <w:r w:rsidRPr="00C26F6B">
        <w:rPr>
          <w:color w:val="000000" w:themeColor="text1"/>
        </w:rPr>
        <w:t>he unique service identifier</w:t>
      </w:r>
      <w:r>
        <w:rPr>
          <w:color w:val="000000" w:themeColor="text1"/>
        </w:rPr>
        <w:t>;</w:t>
      </w:r>
    </w:p>
    <w:p w14:paraId="4B0D21A3" w14:textId="7B7AE85A" w:rsidR="008836FE" w:rsidRPr="00C26F6B" w:rsidRDefault="008836FE" w:rsidP="00581B9F">
      <w:pPr>
        <w:pStyle w:val="ListParagraph"/>
        <w:numPr>
          <w:ilvl w:val="0"/>
          <w:numId w:val="39"/>
        </w:numPr>
        <w:spacing w:line="276" w:lineRule="auto"/>
        <w:rPr>
          <w:color w:val="000000" w:themeColor="text1"/>
        </w:rPr>
      </w:pPr>
      <w:r>
        <w:rPr>
          <w:color w:val="000000" w:themeColor="text1"/>
        </w:rPr>
        <w:t>the CSG geographical category</w:t>
      </w:r>
      <w:r w:rsidR="003C573A">
        <w:rPr>
          <w:color w:val="000000" w:themeColor="text1"/>
        </w:rPr>
        <w:t xml:space="preserve"> which applies to the premises under the CSG Standard (Division 3 of Part 2);</w:t>
      </w:r>
      <w:r>
        <w:rPr>
          <w:color w:val="000000" w:themeColor="text1"/>
        </w:rPr>
        <w:t xml:space="preserve"> </w:t>
      </w:r>
    </w:p>
    <w:p w14:paraId="52973C18" w14:textId="633E1676" w:rsidR="00492DC3" w:rsidRPr="00492DC3" w:rsidRDefault="00492DC3" w:rsidP="00581B9F">
      <w:pPr>
        <w:pStyle w:val="ListParagraph"/>
        <w:numPr>
          <w:ilvl w:val="0"/>
          <w:numId w:val="39"/>
        </w:numPr>
        <w:spacing w:line="276" w:lineRule="auto"/>
        <w:rPr>
          <w:color w:val="000000" w:themeColor="text1"/>
        </w:rPr>
      </w:pPr>
      <w:r w:rsidRPr="00492DC3">
        <w:rPr>
          <w:color w:val="000000" w:themeColor="text1"/>
        </w:rPr>
        <w:t xml:space="preserve">the date on which the fault or service difficulty was reported; </w:t>
      </w:r>
    </w:p>
    <w:p w14:paraId="0973C3D0" w14:textId="77777777" w:rsidR="008836FE" w:rsidRDefault="00581B9F" w:rsidP="00581B9F">
      <w:pPr>
        <w:pStyle w:val="ListParagraph"/>
        <w:numPr>
          <w:ilvl w:val="0"/>
          <w:numId w:val="39"/>
        </w:numPr>
        <w:spacing w:line="276" w:lineRule="auto"/>
        <w:rPr>
          <w:color w:val="000000" w:themeColor="text1"/>
        </w:rPr>
      </w:pPr>
      <w:r w:rsidRPr="00492DC3">
        <w:rPr>
          <w:color w:val="000000" w:themeColor="text1"/>
        </w:rPr>
        <w:t xml:space="preserve">the </w:t>
      </w:r>
      <w:r w:rsidR="008836FE">
        <w:rPr>
          <w:color w:val="000000" w:themeColor="text1"/>
        </w:rPr>
        <w:t xml:space="preserve">nature and </w:t>
      </w:r>
      <w:r w:rsidRPr="00492DC3">
        <w:rPr>
          <w:color w:val="000000" w:themeColor="text1"/>
        </w:rPr>
        <w:t>cause of the fault;</w:t>
      </w:r>
      <w:r w:rsidR="00A371A3">
        <w:rPr>
          <w:color w:val="000000" w:themeColor="text1"/>
        </w:rPr>
        <w:t xml:space="preserve"> </w:t>
      </w:r>
    </w:p>
    <w:p w14:paraId="6772CD5B" w14:textId="5FF0A86C" w:rsidR="008836FE" w:rsidRPr="00492DC3" w:rsidRDefault="008836FE" w:rsidP="008836FE">
      <w:pPr>
        <w:pStyle w:val="ListParagraph"/>
        <w:numPr>
          <w:ilvl w:val="0"/>
          <w:numId w:val="39"/>
        </w:numPr>
        <w:spacing w:line="276" w:lineRule="auto"/>
        <w:rPr>
          <w:color w:val="000000" w:themeColor="text1"/>
        </w:rPr>
      </w:pPr>
      <w:r w:rsidRPr="00492DC3">
        <w:rPr>
          <w:color w:val="000000" w:themeColor="text1"/>
        </w:rPr>
        <w:t>the date by which rectification is, was or would have been required (in accordance with Division 3 of Part 2 of the CSG Standard);</w:t>
      </w:r>
      <w:r>
        <w:rPr>
          <w:color w:val="000000" w:themeColor="text1"/>
        </w:rPr>
        <w:t xml:space="preserve"> </w:t>
      </w:r>
    </w:p>
    <w:p w14:paraId="15D8EFCC" w14:textId="06B2F60A" w:rsidR="00581B9F" w:rsidRPr="00786BF7" w:rsidRDefault="008836FE" w:rsidP="00C2517C">
      <w:pPr>
        <w:pStyle w:val="ListParagraph"/>
        <w:numPr>
          <w:ilvl w:val="0"/>
          <w:numId w:val="39"/>
        </w:numPr>
        <w:spacing w:line="276" w:lineRule="auto"/>
        <w:rPr>
          <w:color w:val="000000" w:themeColor="text1"/>
        </w:rPr>
      </w:pPr>
      <w:r>
        <w:rPr>
          <w:color w:val="000000" w:themeColor="text1"/>
        </w:rPr>
        <w:t xml:space="preserve">a statement as to whether </w:t>
      </w:r>
      <w:r w:rsidR="0043020C">
        <w:rPr>
          <w:color w:val="000000" w:themeColor="text1"/>
        </w:rPr>
        <w:t>Telstra</w:t>
      </w:r>
      <w:r w:rsidR="00FC4191">
        <w:rPr>
          <w:color w:val="000000" w:themeColor="text1"/>
        </w:rPr>
        <w:t xml:space="preserve"> </w:t>
      </w:r>
      <w:r w:rsidR="003C573A">
        <w:rPr>
          <w:color w:val="000000" w:themeColor="text1"/>
        </w:rPr>
        <w:t xml:space="preserve">complied with </w:t>
      </w:r>
      <w:r w:rsidR="00FC4191">
        <w:rPr>
          <w:color w:val="000000" w:themeColor="text1"/>
        </w:rPr>
        <w:t xml:space="preserve">the </w:t>
      </w:r>
      <w:r w:rsidR="003C573A">
        <w:rPr>
          <w:color w:val="000000" w:themeColor="text1"/>
        </w:rPr>
        <w:t>rectification requirements under</w:t>
      </w:r>
      <w:r>
        <w:rPr>
          <w:color w:val="000000" w:themeColor="text1"/>
        </w:rPr>
        <w:t xml:space="preserve"> the CSG </w:t>
      </w:r>
      <w:r w:rsidR="003C573A">
        <w:rPr>
          <w:color w:val="000000" w:themeColor="text1"/>
        </w:rPr>
        <w:t>standard (Division 3 of Part 2), and if it did not, the reason</w:t>
      </w:r>
      <w:r w:rsidR="00FC4191">
        <w:rPr>
          <w:color w:val="000000" w:themeColor="text1"/>
        </w:rPr>
        <w:t>(s)</w:t>
      </w:r>
      <w:r>
        <w:rPr>
          <w:color w:val="000000" w:themeColor="text1"/>
        </w:rPr>
        <w:t xml:space="preserve">; </w:t>
      </w:r>
    </w:p>
    <w:p w14:paraId="38C93113" w14:textId="1A9593F5" w:rsidR="00581B9F" w:rsidRDefault="008836FE" w:rsidP="00D67471">
      <w:pPr>
        <w:pStyle w:val="ListParagraph"/>
        <w:numPr>
          <w:ilvl w:val="0"/>
          <w:numId w:val="39"/>
        </w:numPr>
        <w:spacing w:line="276" w:lineRule="auto"/>
        <w:rPr>
          <w:color w:val="000000" w:themeColor="text1"/>
        </w:rPr>
      </w:pPr>
      <w:r>
        <w:rPr>
          <w:color w:val="000000" w:themeColor="text1"/>
        </w:rPr>
        <w:t>what relevant</w:t>
      </w:r>
      <w:r w:rsidR="00581B9F" w:rsidRPr="00492DC3">
        <w:rPr>
          <w:color w:val="000000" w:themeColor="text1"/>
        </w:rPr>
        <w:t xml:space="preserve"> exemption</w:t>
      </w:r>
      <w:r w:rsidR="00D67471">
        <w:rPr>
          <w:color w:val="000000" w:themeColor="text1"/>
        </w:rPr>
        <w:t xml:space="preserve"> (if any)</w:t>
      </w:r>
      <w:r w:rsidR="00581B9F" w:rsidRPr="00492DC3">
        <w:rPr>
          <w:color w:val="000000" w:themeColor="text1"/>
        </w:rPr>
        <w:t xml:space="preserve"> applies to the rectification timeframe</w:t>
      </w:r>
      <w:r w:rsidR="00492DC3" w:rsidRPr="00492DC3">
        <w:rPr>
          <w:color w:val="000000" w:themeColor="text1"/>
        </w:rPr>
        <w:t>, as well as the relevant un</w:t>
      </w:r>
      <w:r w:rsidR="00A371A3">
        <w:rPr>
          <w:color w:val="000000" w:themeColor="text1"/>
        </w:rPr>
        <w:t>ique exemption event identifier</w:t>
      </w:r>
      <w:r w:rsidR="00FC4191">
        <w:rPr>
          <w:color w:val="000000" w:themeColor="text1"/>
        </w:rPr>
        <w:t>;</w:t>
      </w:r>
      <w:r w:rsidR="00A371A3">
        <w:rPr>
          <w:color w:val="000000" w:themeColor="text1"/>
        </w:rPr>
        <w:t xml:space="preserve"> </w:t>
      </w:r>
      <w:r w:rsidR="00FC4191">
        <w:rPr>
          <w:color w:val="000000" w:themeColor="text1"/>
        </w:rPr>
        <w:t>and</w:t>
      </w:r>
    </w:p>
    <w:p w14:paraId="6EF9AC33" w14:textId="7759EBED" w:rsidR="00FC4191" w:rsidRPr="00D67471" w:rsidRDefault="0043020C" w:rsidP="00D67471">
      <w:pPr>
        <w:pStyle w:val="ListParagraph"/>
        <w:numPr>
          <w:ilvl w:val="0"/>
          <w:numId w:val="39"/>
        </w:numPr>
        <w:spacing w:line="276" w:lineRule="auto"/>
        <w:rPr>
          <w:color w:val="000000" w:themeColor="text1"/>
        </w:rPr>
      </w:pPr>
      <w:r>
        <w:rPr>
          <w:color w:val="000000" w:themeColor="text1"/>
        </w:rPr>
        <w:t>i</w:t>
      </w:r>
      <w:r w:rsidR="00FC4191">
        <w:rPr>
          <w:color w:val="000000" w:themeColor="text1"/>
        </w:rPr>
        <w:t>f a fault or service difficulty was closed, the reason(s).</w:t>
      </w:r>
    </w:p>
    <w:p w14:paraId="6BF9BD36" w14:textId="3BFFBFB9" w:rsidR="00492DC3" w:rsidRPr="00D67471" w:rsidRDefault="00492DC3" w:rsidP="00492DC3">
      <w:pPr>
        <w:spacing w:line="276" w:lineRule="auto"/>
        <w:rPr>
          <w:rFonts w:ascii="Times New Roman" w:hAnsi="Times New Roman"/>
          <w:color w:val="000000" w:themeColor="text1"/>
        </w:rPr>
      </w:pPr>
      <w:r>
        <w:rPr>
          <w:rFonts w:ascii="Times New Roman" w:hAnsi="Times New Roman"/>
          <w:color w:val="000000" w:themeColor="text1"/>
        </w:rPr>
        <w:t>For faults or service difficulties that w</w:t>
      </w:r>
      <w:r w:rsidR="00D67471">
        <w:rPr>
          <w:rFonts w:ascii="Times New Roman" w:hAnsi="Times New Roman"/>
          <w:color w:val="000000" w:themeColor="text1"/>
        </w:rPr>
        <w:t>ere rectified, Telstra must</w:t>
      </w:r>
      <w:r>
        <w:rPr>
          <w:rFonts w:ascii="Times New Roman" w:hAnsi="Times New Roman"/>
          <w:color w:val="000000" w:themeColor="text1"/>
        </w:rPr>
        <w:t xml:space="preserve"> provide the date of rectification</w:t>
      </w:r>
      <w:r w:rsidR="008836FE">
        <w:rPr>
          <w:rFonts w:ascii="Times New Roman" w:hAnsi="Times New Roman"/>
          <w:color w:val="000000" w:themeColor="text1"/>
        </w:rPr>
        <w:t xml:space="preserve">, </w:t>
      </w:r>
      <w:r>
        <w:rPr>
          <w:rFonts w:ascii="Times New Roman" w:hAnsi="Times New Roman"/>
          <w:color w:val="000000" w:themeColor="text1"/>
        </w:rPr>
        <w:t xml:space="preserve">the number of working days (if any) </w:t>
      </w:r>
      <w:r w:rsidR="008836FE">
        <w:rPr>
          <w:rFonts w:ascii="Times New Roman" w:hAnsi="Times New Roman"/>
          <w:color w:val="000000" w:themeColor="text1"/>
        </w:rPr>
        <w:t xml:space="preserve">taken to rectify the fault or service difficulty, and the number of working days (if any) the </w:t>
      </w:r>
      <w:r>
        <w:rPr>
          <w:rFonts w:ascii="Times New Roman" w:hAnsi="Times New Roman"/>
          <w:color w:val="000000" w:themeColor="text1"/>
        </w:rPr>
        <w:t>rectification exceeded the timeframe required under Division 3 of Part 2 of the CSG Standard. If a fault or service difficult</w:t>
      </w:r>
      <w:r w:rsidR="00FC4191">
        <w:rPr>
          <w:rFonts w:ascii="Times New Roman" w:hAnsi="Times New Roman"/>
          <w:color w:val="000000" w:themeColor="text1"/>
        </w:rPr>
        <w:t>y</w:t>
      </w:r>
      <w:r>
        <w:rPr>
          <w:rFonts w:ascii="Times New Roman" w:hAnsi="Times New Roman"/>
          <w:color w:val="000000" w:themeColor="text1"/>
        </w:rPr>
        <w:t xml:space="preserve"> w</w:t>
      </w:r>
      <w:r w:rsidR="00FC4191">
        <w:rPr>
          <w:rFonts w:ascii="Times New Roman" w:hAnsi="Times New Roman"/>
          <w:color w:val="000000" w:themeColor="text1"/>
        </w:rPr>
        <w:t>as</w:t>
      </w:r>
      <w:r>
        <w:rPr>
          <w:rFonts w:ascii="Times New Roman" w:hAnsi="Times New Roman"/>
          <w:color w:val="000000" w:themeColor="text1"/>
        </w:rPr>
        <w:t xml:space="preserve"> </w:t>
      </w:r>
      <w:r w:rsidR="00D67471">
        <w:rPr>
          <w:rFonts w:ascii="Times New Roman" w:hAnsi="Times New Roman"/>
          <w:color w:val="000000" w:themeColor="text1"/>
        </w:rPr>
        <w:t xml:space="preserve">not rectified or closed by the licensee during the month, Telstra must provide a statement to that effect. For faults or service difficulties that were closed, Telstra must also provide a reason as to why.  </w:t>
      </w:r>
    </w:p>
    <w:p w14:paraId="196C7A59" w14:textId="0AC70387" w:rsidR="00581B9F" w:rsidRPr="00C26F6B" w:rsidRDefault="00581B9F" w:rsidP="00581B9F">
      <w:pPr>
        <w:spacing w:line="276" w:lineRule="auto"/>
        <w:rPr>
          <w:rFonts w:ascii="Times New Roman" w:hAnsi="Times New Roman"/>
          <w:color w:val="000000" w:themeColor="text1"/>
        </w:rPr>
      </w:pPr>
      <w:r w:rsidRPr="00C26F6B">
        <w:rPr>
          <w:rFonts w:ascii="Times New Roman" w:hAnsi="Times New Roman"/>
          <w:color w:val="000000" w:themeColor="text1"/>
        </w:rPr>
        <w:t>Subsection 1</w:t>
      </w:r>
      <w:r w:rsidR="00EF0125">
        <w:rPr>
          <w:rFonts w:ascii="Times New Roman" w:hAnsi="Times New Roman"/>
          <w:color w:val="000000" w:themeColor="text1"/>
        </w:rPr>
        <w:t>1</w:t>
      </w:r>
      <w:r w:rsidR="00D67471">
        <w:rPr>
          <w:rFonts w:ascii="Times New Roman" w:hAnsi="Times New Roman"/>
          <w:color w:val="000000" w:themeColor="text1"/>
        </w:rPr>
        <w:t>E(9</w:t>
      </w:r>
      <w:r w:rsidRPr="00C26F6B">
        <w:rPr>
          <w:rFonts w:ascii="Times New Roman" w:hAnsi="Times New Roman"/>
          <w:color w:val="000000" w:themeColor="text1"/>
        </w:rPr>
        <w:t xml:space="preserve">) requires the seventh table to contain information related to appointments. This includes all appointments that were scheduled to take place during the month and were </w:t>
      </w:r>
      <w:r w:rsidRPr="00C26F6B">
        <w:rPr>
          <w:rFonts w:ascii="Times New Roman" w:hAnsi="Times New Roman"/>
          <w:color w:val="000000" w:themeColor="text1"/>
        </w:rPr>
        <w:lastRenderedPageBreak/>
        <w:t>not cancelled or rescheduled to</w:t>
      </w:r>
      <w:r w:rsidR="00622ECD">
        <w:rPr>
          <w:rFonts w:ascii="Times New Roman" w:hAnsi="Times New Roman"/>
          <w:color w:val="000000" w:themeColor="text1"/>
        </w:rPr>
        <w:t xml:space="preserve"> take place</w:t>
      </w:r>
      <w:r w:rsidRPr="00C26F6B">
        <w:rPr>
          <w:rFonts w:ascii="Times New Roman" w:hAnsi="Times New Roman"/>
          <w:color w:val="000000" w:themeColor="text1"/>
        </w:rPr>
        <w:t xml:space="preserve"> after the month (in accordance with Division 4 o</w:t>
      </w:r>
      <w:r w:rsidR="00622ECD">
        <w:rPr>
          <w:rFonts w:ascii="Times New Roman" w:hAnsi="Times New Roman"/>
          <w:color w:val="000000" w:themeColor="text1"/>
        </w:rPr>
        <w:t xml:space="preserve">f Part 2 of the CSG Standard). </w:t>
      </w:r>
      <w:r w:rsidRPr="00C26F6B">
        <w:rPr>
          <w:rFonts w:ascii="Times New Roman" w:hAnsi="Times New Roman"/>
          <w:color w:val="000000" w:themeColor="text1"/>
        </w:rPr>
        <w:t xml:space="preserve">For each appointment, Telstra must provide: </w:t>
      </w:r>
    </w:p>
    <w:p w14:paraId="719E7701" w14:textId="0A0FFDE3" w:rsidR="00581B9F" w:rsidRDefault="00581B9F" w:rsidP="00581B9F">
      <w:pPr>
        <w:pStyle w:val="ListParagraph"/>
        <w:numPr>
          <w:ilvl w:val="0"/>
          <w:numId w:val="39"/>
        </w:numPr>
        <w:spacing w:line="276" w:lineRule="auto"/>
        <w:rPr>
          <w:color w:val="000000" w:themeColor="text1"/>
        </w:rPr>
      </w:pPr>
      <w:r>
        <w:rPr>
          <w:color w:val="000000" w:themeColor="text1"/>
        </w:rPr>
        <w:t>t</w:t>
      </w:r>
      <w:r w:rsidRPr="00C26F6B">
        <w:rPr>
          <w:color w:val="000000" w:themeColor="text1"/>
        </w:rPr>
        <w:t>he unique service identifier of the relevant service</w:t>
      </w:r>
      <w:r>
        <w:rPr>
          <w:color w:val="000000" w:themeColor="text1"/>
        </w:rPr>
        <w:t>;</w:t>
      </w:r>
    </w:p>
    <w:p w14:paraId="228B9567" w14:textId="30643F3D" w:rsidR="008836FE" w:rsidRPr="00C26F6B" w:rsidRDefault="008836FE" w:rsidP="00581B9F">
      <w:pPr>
        <w:pStyle w:val="ListParagraph"/>
        <w:numPr>
          <w:ilvl w:val="0"/>
          <w:numId w:val="39"/>
        </w:numPr>
        <w:spacing w:line="276" w:lineRule="auto"/>
        <w:rPr>
          <w:color w:val="000000" w:themeColor="text1"/>
        </w:rPr>
      </w:pPr>
      <w:r>
        <w:rPr>
          <w:color w:val="000000" w:themeColor="text1"/>
        </w:rPr>
        <w:t xml:space="preserve">the CSG geographical category </w:t>
      </w:r>
      <w:r w:rsidR="00DB7403">
        <w:rPr>
          <w:color w:val="000000" w:themeColor="text1"/>
        </w:rPr>
        <w:t xml:space="preserve">that applies </w:t>
      </w:r>
      <w:r w:rsidR="0043020C">
        <w:rPr>
          <w:color w:val="000000" w:themeColor="text1"/>
        </w:rPr>
        <w:t xml:space="preserve">to </w:t>
      </w:r>
      <w:r w:rsidR="00DB7403">
        <w:rPr>
          <w:color w:val="000000" w:themeColor="text1"/>
        </w:rPr>
        <w:t>the premises under</w:t>
      </w:r>
      <w:r>
        <w:rPr>
          <w:color w:val="000000" w:themeColor="text1"/>
        </w:rPr>
        <w:t xml:space="preserve"> appointment</w:t>
      </w:r>
      <w:r w:rsidR="00DB7403">
        <w:rPr>
          <w:color w:val="000000" w:themeColor="text1"/>
        </w:rPr>
        <w:t xml:space="preserve"> requirements in the CSG Standard (Division 4 of Part 2)</w:t>
      </w:r>
      <w:r>
        <w:rPr>
          <w:color w:val="000000" w:themeColor="text1"/>
        </w:rPr>
        <w:t xml:space="preserve">; </w:t>
      </w:r>
    </w:p>
    <w:p w14:paraId="674856EC" w14:textId="77777777" w:rsidR="00581B9F" w:rsidRPr="00C26F6B" w:rsidRDefault="00581B9F" w:rsidP="00581B9F">
      <w:pPr>
        <w:pStyle w:val="ListParagraph"/>
        <w:numPr>
          <w:ilvl w:val="0"/>
          <w:numId w:val="39"/>
        </w:numPr>
        <w:spacing w:line="276" w:lineRule="auto"/>
        <w:rPr>
          <w:color w:val="000000" w:themeColor="text1"/>
        </w:rPr>
      </w:pPr>
      <w:r>
        <w:rPr>
          <w:color w:val="000000" w:themeColor="text1"/>
        </w:rPr>
        <w:t>t</w:t>
      </w:r>
      <w:r w:rsidRPr="00C26F6B">
        <w:rPr>
          <w:color w:val="000000" w:themeColor="text1"/>
        </w:rPr>
        <w:t>he appointment date</w:t>
      </w:r>
      <w:r>
        <w:rPr>
          <w:color w:val="000000" w:themeColor="text1"/>
        </w:rPr>
        <w:t>;</w:t>
      </w:r>
    </w:p>
    <w:p w14:paraId="5D3B9BC9" w14:textId="0ECCC036" w:rsidR="00581B9F" w:rsidRPr="00EF25EF" w:rsidRDefault="00581B9F" w:rsidP="00581B9F">
      <w:pPr>
        <w:pStyle w:val="ListParagraph"/>
        <w:numPr>
          <w:ilvl w:val="0"/>
          <w:numId w:val="39"/>
        </w:numPr>
        <w:spacing w:line="276" w:lineRule="auto"/>
        <w:rPr>
          <w:color w:val="000000" w:themeColor="text1"/>
        </w:rPr>
      </w:pPr>
      <w:r w:rsidRPr="00C2517C">
        <w:rPr>
          <w:color w:val="000000" w:themeColor="text1"/>
        </w:rPr>
        <w:t>a</w:t>
      </w:r>
      <w:r w:rsidR="00622ECD" w:rsidRPr="00C2517C">
        <w:rPr>
          <w:color w:val="000000" w:themeColor="text1"/>
        </w:rPr>
        <w:t xml:space="preserve"> statement as to</w:t>
      </w:r>
      <w:r w:rsidRPr="00C2517C">
        <w:rPr>
          <w:color w:val="000000" w:themeColor="text1"/>
        </w:rPr>
        <w:t xml:space="preserve"> whether the appointment was </w:t>
      </w:r>
      <w:r w:rsidR="00622ECD" w:rsidRPr="0070581F">
        <w:rPr>
          <w:color w:val="000000" w:themeColor="text1"/>
        </w:rPr>
        <w:t>for a service connection</w:t>
      </w:r>
      <w:r w:rsidRPr="0070581F">
        <w:rPr>
          <w:color w:val="000000" w:themeColor="text1"/>
        </w:rPr>
        <w:t xml:space="preserve"> or the rectification of a fault or service difficulty</w:t>
      </w:r>
      <w:r w:rsidRPr="00EF25EF">
        <w:rPr>
          <w:color w:val="000000" w:themeColor="text1"/>
        </w:rPr>
        <w:t>;</w:t>
      </w:r>
    </w:p>
    <w:p w14:paraId="52D4581E" w14:textId="277F58E9" w:rsidR="00581B9F" w:rsidRPr="00920E72" w:rsidRDefault="00581B9F" w:rsidP="00581B9F">
      <w:pPr>
        <w:pStyle w:val="ListParagraph"/>
        <w:numPr>
          <w:ilvl w:val="0"/>
          <w:numId w:val="39"/>
        </w:numPr>
        <w:spacing w:line="276" w:lineRule="auto"/>
        <w:rPr>
          <w:color w:val="000000" w:themeColor="text1"/>
        </w:rPr>
      </w:pPr>
      <w:r w:rsidRPr="00EF25EF">
        <w:rPr>
          <w:color w:val="000000" w:themeColor="text1"/>
        </w:rPr>
        <w:t>the appointment time, or the start and end of the scheduled period of time;</w:t>
      </w:r>
    </w:p>
    <w:p w14:paraId="40C7A285" w14:textId="69E14DE0" w:rsidR="00C2517C" w:rsidRDefault="00581B9F" w:rsidP="00581B9F">
      <w:pPr>
        <w:pStyle w:val="ListParagraph"/>
        <w:numPr>
          <w:ilvl w:val="0"/>
          <w:numId w:val="39"/>
        </w:numPr>
        <w:spacing w:line="276" w:lineRule="auto"/>
        <w:rPr>
          <w:color w:val="000000" w:themeColor="text1"/>
        </w:rPr>
      </w:pPr>
      <w:r w:rsidRPr="00C2517C">
        <w:rPr>
          <w:color w:val="000000" w:themeColor="text1"/>
        </w:rPr>
        <w:t>a</w:t>
      </w:r>
      <w:r w:rsidR="00622ECD" w:rsidRPr="00C2517C">
        <w:rPr>
          <w:color w:val="000000" w:themeColor="text1"/>
        </w:rPr>
        <w:t xml:space="preserve"> statement as to </w:t>
      </w:r>
      <w:r w:rsidRPr="00C2517C">
        <w:rPr>
          <w:color w:val="000000" w:themeColor="text1"/>
        </w:rPr>
        <w:t>w</w:t>
      </w:r>
      <w:r w:rsidRPr="0070581F">
        <w:rPr>
          <w:color w:val="000000" w:themeColor="text1"/>
        </w:rPr>
        <w:t>hether Telstra kept or missed the appointment</w:t>
      </w:r>
      <w:r w:rsidRPr="00EF25EF">
        <w:rPr>
          <w:color w:val="000000" w:themeColor="text1"/>
        </w:rPr>
        <w:t>;</w:t>
      </w:r>
      <w:r w:rsidR="00A371A3" w:rsidRPr="00EF25EF">
        <w:rPr>
          <w:color w:val="000000" w:themeColor="text1"/>
        </w:rPr>
        <w:t xml:space="preserve"> </w:t>
      </w:r>
    </w:p>
    <w:p w14:paraId="37455888" w14:textId="1BDED8EE" w:rsidR="00581B9F" w:rsidRPr="00C2517C" w:rsidRDefault="00C2517C" w:rsidP="00581B9F">
      <w:pPr>
        <w:pStyle w:val="ListParagraph"/>
        <w:numPr>
          <w:ilvl w:val="0"/>
          <w:numId w:val="39"/>
        </w:numPr>
        <w:spacing w:line="276" w:lineRule="auto"/>
        <w:rPr>
          <w:color w:val="000000" w:themeColor="text1"/>
        </w:rPr>
      </w:pPr>
      <w:r>
        <w:rPr>
          <w:color w:val="000000" w:themeColor="text1"/>
        </w:rPr>
        <w:t xml:space="preserve">a statement as to whether </w:t>
      </w:r>
      <w:r w:rsidR="0043020C">
        <w:rPr>
          <w:color w:val="000000" w:themeColor="text1"/>
        </w:rPr>
        <w:t>Telstra</w:t>
      </w:r>
      <w:r w:rsidR="001F4340">
        <w:rPr>
          <w:color w:val="000000" w:themeColor="text1"/>
        </w:rPr>
        <w:t xml:space="preserve"> </w:t>
      </w:r>
      <w:r w:rsidR="00DB7403">
        <w:rPr>
          <w:color w:val="000000" w:themeColor="text1"/>
        </w:rPr>
        <w:t>complied with</w:t>
      </w:r>
      <w:r w:rsidR="001F4340">
        <w:rPr>
          <w:color w:val="000000" w:themeColor="text1"/>
        </w:rPr>
        <w:t xml:space="preserve"> the</w:t>
      </w:r>
      <w:r>
        <w:rPr>
          <w:color w:val="000000" w:themeColor="text1"/>
        </w:rPr>
        <w:t xml:space="preserve"> </w:t>
      </w:r>
      <w:r w:rsidR="00DB7403">
        <w:rPr>
          <w:color w:val="000000" w:themeColor="text1"/>
        </w:rPr>
        <w:t>appointment requirements under the</w:t>
      </w:r>
      <w:r>
        <w:rPr>
          <w:color w:val="000000" w:themeColor="text1"/>
        </w:rPr>
        <w:t xml:space="preserve"> CSG </w:t>
      </w:r>
      <w:r w:rsidR="00DB7403">
        <w:rPr>
          <w:color w:val="000000" w:themeColor="text1"/>
        </w:rPr>
        <w:t>Standard (Division 4 of Part 2), and if it did not, the reason</w:t>
      </w:r>
      <w:r w:rsidR="001F4340">
        <w:rPr>
          <w:color w:val="000000" w:themeColor="text1"/>
        </w:rPr>
        <w:t>(s)</w:t>
      </w:r>
      <w:r>
        <w:rPr>
          <w:color w:val="000000" w:themeColor="text1"/>
        </w:rPr>
        <w:t>; and</w:t>
      </w:r>
    </w:p>
    <w:p w14:paraId="7A6226E1" w14:textId="7F8D195F" w:rsidR="00581B9F" w:rsidRPr="0070581F" w:rsidRDefault="00581B9F" w:rsidP="00581B9F">
      <w:pPr>
        <w:pStyle w:val="ListParagraph"/>
        <w:numPr>
          <w:ilvl w:val="0"/>
          <w:numId w:val="39"/>
        </w:numPr>
        <w:spacing w:line="276" w:lineRule="auto"/>
        <w:rPr>
          <w:color w:val="000000" w:themeColor="text1"/>
        </w:rPr>
      </w:pPr>
      <w:r w:rsidRPr="00C2517C">
        <w:rPr>
          <w:color w:val="000000" w:themeColor="text1"/>
        </w:rPr>
        <w:t>the time Telstra attended the appointment (or, if applicable, a statement of no attendance).</w:t>
      </w:r>
    </w:p>
    <w:p w14:paraId="631356A8" w14:textId="23178639" w:rsidR="008836FE" w:rsidRPr="0070581F" w:rsidRDefault="00536FE9" w:rsidP="00543216">
      <w:pPr>
        <w:spacing w:line="276" w:lineRule="auto"/>
      </w:pPr>
      <w:r>
        <w:rPr>
          <w:rFonts w:ascii="Times New Roman" w:hAnsi="Times New Roman"/>
        </w:rPr>
        <w:t>T</w:t>
      </w:r>
      <w:r w:rsidR="008836FE">
        <w:rPr>
          <w:rFonts w:ascii="Times New Roman" w:hAnsi="Times New Roman"/>
        </w:rPr>
        <w:t xml:space="preserve">he seventh table must </w:t>
      </w:r>
      <w:r>
        <w:rPr>
          <w:rFonts w:ascii="Times New Roman" w:hAnsi="Times New Roman"/>
        </w:rPr>
        <w:t xml:space="preserve">also </w:t>
      </w:r>
      <w:r w:rsidR="008836FE">
        <w:rPr>
          <w:rFonts w:ascii="Times New Roman" w:hAnsi="Times New Roman"/>
        </w:rPr>
        <w:t>contain a statement that details whether an appointment was rescheduled and, if applicable, how many times as well as the reason</w:t>
      </w:r>
      <w:r>
        <w:rPr>
          <w:rFonts w:ascii="Times New Roman" w:hAnsi="Times New Roman"/>
        </w:rPr>
        <w:t>(s)</w:t>
      </w:r>
      <w:r w:rsidR="008836FE">
        <w:rPr>
          <w:rFonts w:ascii="Times New Roman" w:hAnsi="Times New Roman"/>
        </w:rPr>
        <w:t xml:space="preserve"> why. </w:t>
      </w:r>
      <w:r w:rsidR="00C2517C">
        <w:rPr>
          <w:rFonts w:ascii="Times New Roman" w:hAnsi="Times New Roman"/>
        </w:rPr>
        <w:t xml:space="preserve">This specific provision has been drafted following feedback from the ICPA that </w:t>
      </w:r>
      <w:r w:rsidR="009667C2">
        <w:rPr>
          <w:rFonts w:ascii="Times New Roman" w:hAnsi="Times New Roman"/>
        </w:rPr>
        <w:t>proposed</w:t>
      </w:r>
      <w:r w:rsidR="00C2517C">
        <w:rPr>
          <w:rFonts w:ascii="Times New Roman" w:hAnsi="Times New Roman"/>
        </w:rPr>
        <w:t xml:space="preserve"> data related to rescheduled appointments should be captured in the new reporting arrangements. ICPA </w:t>
      </w:r>
      <w:r w:rsidR="0070581F">
        <w:rPr>
          <w:rFonts w:ascii="Times New Roman" w:hAnsi="Times New Roman"/>
        </w:rPr>
        <w:t xml:space="preserve">referred to community feedback it has received about delayed fault rectification in isolated areas due to Telstra rescheduling appointments. </w:t>
      </w:r>
    </w:p>
    <w:p w14:paraId="227A7EE6" w14:textId="6FBFB394" w:rsidR="00581B9F" w:rsidRPr="00C26F6B" w:rsidRDefault="00581B9F" w:rsidP="00581B9F">
      <w:pPr>
        <w:spacing w:line="276" w:lineRule="auto"/>
        <w:rPr>
          <w:rFonts w:ascii="Times New Roman" w:hAnsi="Times New Roman"/>
          <w:color w:val="000000" w:themeColor="text1"/>
        </w:rPr>
      </w:pPr>
      <w:r w:rsidRPr="00C2517C">
        <w:rPr>
          <w:rFonts w:ascii="Times New Roman" w:hAnsi="Times New Roman"/>
          <w:color w:val="000000" w:themeColor="text1"/>
        </w:rPr>
        <w:t>Subsection 1</w:t>
      </w:r>
      <w:r w:rsidR="00EF0125" w:rsidRPr="00C2517C">
        <w:rPr>
          <w:rFonts w:ascii="Times New Roman" w:hAnsi="Times New Roman"/>
          <w:color w:val="000000" w:themeColor="text1"/>
        </w:rPr>
        <w:t>1</w:t>
      </w:r>
      <w:r w:rsidR="00622ECD" w:rsidRPr="0070581F">
        <w:rPr>
          <w:rFonts w:ascii="Times New Roman" w:hAnsi="Times New Roman"/>
          <w:color w:val="000000" w:themeColor="text1"/>
        </w:rPr>
        <w:t>E</w:t>
      </w:r>
      <w:r w:rsidRPr="0070581F">
        <w:rPr>
          <w:rFonts w:ascii="Times New Roman" w:hAnsi="Times New Roman"/>
          <w:color w:val="000000" w:themeColor="text1"/>
        </w:rPr>
        <w:t>(</w:t>
      </w:r>
      <w:r w:rsidR="00622ECD" w:rsidRPr="0070581F">
        <w:rPr>
          <w:rFonts w:ascii="Times New Roman" w:hAnsi="Times New Roman"/>
          <w:color w:val="000000" w:themeColor="text1"/>
        </w:rPr>
        <w:t>10</w:t>
      </w:r>
      <w:r w:rsidRPr="00EF25EF">
        <w:rPr>
          <w:rFonts w:ascii="Times New Roman" w:hAnsi="Times New Roman"/>
          <w:color w:val="000000" w:themeColor="text1"/>
        </w:rPr>
        <w:t>) provides that the eighth table contain information related to exemption events. For each</w:t>
      </w:r>
      <w:r w:rsidRPr="00C26F6B">
        <w:rPr>
          <w:rFonts w:ascii="Times New Roman" w:hAnsi="Times New Roman"/>
          <w:color w:val="000000" w:themeColor="text1"/>
        </w:rPr>
        <w:t xml:space="preserve"> exemption event which affected any reportable services during the month, Telstra must provide: </w:t>
      </w:r>
    </w:p>
    <w:p w14:paraId="50630C74" w14:textId="77777777" w:rsidR="00581B9F" w:rsidRPr="00C26F6B" w:rsidRDefault="00581B9F" w:rsidP="00581B9F">
      <w:pPr>
        <w:pStyle w:val="ListParagraph"/>
        <w:numPr>
          <w:ilvl w:val="0"/>
          <w:numId w:val="40"/>
        </w:numPr>
        <w:spacing w:line="276" w:lineRule="auto"/>
        <w:rPr>
          <w:color w:val="000000" w:themeColor="text1"/>
        </w:rPr>
      </w:pPr>
      <w:r>
        <w:rPr>
          <w:color w:val="000000" w:themeColor="text1"/>
        </w:rPr>
        <w:t>a</w:t>
      </w:r>
      <w:r w:rsidRPr="00C26F6B">
        <w:rPr>
          <w:color w:val="000000" w:themeColor="text1"/>
        </w:rPr>
        <w:t xml:space="preserve"> statement of whether the event was a mass outage</w:t>
      </w:r>
      <w:r>
        <w:rPr>
          <w:color w:val="000000" w:themeColor="text1"/>
        </w:rPr>
        <w:t>;</w:t>
      </w:r>
    </w:p>
    <w:p w14:paraId="02E1A240" w14:textId="77777777" w:rsidR="00581B9F" w:rsidRPr="00C26F6B" w:rsidRDefault="00581B9F" w:rsidP="00581B9F">
      <w:pPr>
        <w:pStyle w:val="ListParagraph"/>
        <w:numPr>
          <w:ilvl w:val="0"/>
          <w:numId w:val="40"/>
        </w:numPr>
        <w:spacing w:line="276" w:lineRule="auto"/>
        <w:rPr>
          <w:color w:val="000000" w:themeColor="text1"/>
        </w:rPr>
      </w:pPr>
      <w:r>
        <w:rPr>
          <w:color w:val="000000" w:themeColor="text1"/>
        </w:rPr>
        <w:t>t</w:t>
      </w:r>
      <w:r w:rsidRPr="00C26F6B">
        <w:rPr>
          <w:color w:val="000000" w:themeColor="text1"/>
        </w:rPr>
        <w:t>he unique exemption event identifier</w:t>
      </w:r>
      <w:r>
        <w:rPr>
          <w:color w:val="000000" w:themeColor="text1"/>
        </w:rPr>
        <w:t>;</w:t>
      </w:r>
    </w:p>
    <w:p w14:paraId="251A1824" w14:textId="77777777" w:rsidR="00581B9F" w:rsidRPr="00C26F6B" w:rsidRDefault="00581B9F" w:rsidP="00581B9F">
      <w:pPr>
        <w:pStyle w:val="ListParagraph"/>
        <w:numPr>
          <w:ilvl w:val="0"/>
          <w:numId w:val="40"/>
        </w:numPr>
        <w:spacing w:line="276" w:lineRule="auto"/>
        <w:rPr>
          <w:color w:val="000000" w:themeColor="text1"/>
        </w:rPr>
      </w:pPr>
      <w:r>
        <w:rPr>
          <w:color w:val="000000" w:themeColor="text1"/>
        </w:rPr>
        <w:t>a</w:t>
      </w:r>
      <w:r w:rsidRPr="00C26F6B">
        <w:rPr>
          <w:color w:val="000000" w:themeColor="text1"/>
        </w:rPr>
        <w:t xml:space="preserve"> brief description of the nature of the event</w:t>
      </w:r>
      <w:r>
        <w:rPr>
          <w:color w:val="000000" w:themeColor="text1"/>
        </w:rPr>
        <w:t>;</w:t>
      </w:r>
    </w:p>
    <w:p w14:paraId="751CDAF8" w14:textId="63E3F1F0" w:rsidR="00581B9F" w:rsidRPr="00C26F6B" w:rsidRDefault="00581B9F" w:rsidP="00581B9F">
      <w:pPr>
        <w:pStyle w:val="ListParagraph"/>
        <w:numPr>
          <w:ilvl w:val="0"/>
          <w:numId w:val="40"/>
        </w:numPr>
        <w:spacing w:line="276" w:lineRule="auto"/>
        <w:rPr>
          <w:color w:val="000000" w:themeColor="text1"/>
        </w:rPr>
      </w:pPr>
      <w:r>
        <w:rPr>
          <w:color w:val="000000" w:themeColor="text1"/>
        </w:rPr>
        <w:t>t</w:t>
      </w:r>
      <w:r w:rsidRPr="00C26F6B">
        <w:rPr>
          <w:color w:val="000000" w:themeColor="text1"/>
        </w:rPr>
        <w:t>he date on which the event first affected any</w:t>
      </w:r>
      <w:r w:rsidR="00622ECD">
        <w:rPr>
          <w:color w:val="000000" w:themeColor="text1"/>
        </w:rPr>
        <w:t xml:space="preserve"> reportable</w:t>
      </w:r>
      <w:r w:rsidRPr="00C26F6B">
        <w:rPr>
          <w:color w:val="000000" w:themeColor="text1"/>
        </w:rPr>
        <w:t xml:space="preserve"> service</w:t>
      </w:r>
      <w:r>
        <w:rPr>
          <w:color w:val="000000" w:themeColor="text1"/>
        </w:rPr>
        <w:t>;</w:t>
      </w:r>
    </w:p>
    <w:p w14:paraId="6F094E48" w14:textId="158E22D6" w:rsidR="00581B9F" w:rsidRPr="00C26F6B" w:rsidRDefault="00581B9F" w:rsidP="00581B9F">
      <w:pPr>
        <w:pStyle w:val="ListParagraph"/>
        <w:numPr>
          <w:ilvl w:val="0"/>
          <w:numId w:val="40"/>
        </w:numPr>
        <w:spacing w:line="276" w:lineRule="auto"/>
        <w:rPr>
          <w:color w:val="000000" w:themeColor="text1"/>
        </w:rPr>
      </w:pPr>
      <w:r>
        <w:rPr>
          <w:color w:val="000000" w:themeColor="text1"/>
        </w:rPr>
        <w:t>t</w:t>
      </w:r>
      <w:r w:rsidRPr="00C26F6B">
        <w:rPr>
          <w:color w:val="000000" w:themeColor="text1"/>
        </w:rPr>
        <w:t>he dat</w:t>
      </w:r>
      <w:r w:rsidR="00622ECD">
        <w:rPr>
          <w:color w:val="000000" w:themeColor="text1"/>
        </w:rPr>
        <w:t>e on which the event ended (if it has ended at the time of reporting</w:t>
      </w:r>
      <w:r w:rsidRPr="00C26F6B">
        <w:rPr>
          <w:color w:val="000000" w:themeColor="text1"/>
        </w:rPr>
        <w:t>)</w:t>
      </w:r>
      <w:r>
        <w:rPr>
          <w:color w:val="000000" w:themeColor="text1"/>
        </w:rPr>
        <w:t>;</w:t>
      </w:r>
    </w:p>
    <w:p w14:paraId="530D1977" w14:textId="00917CF2" w:rsidR="00581B9F" w:rsidRPr="00C26F6B" w:rsidRDefault="00581B9F" w:rsidP="008726AD">
      <w:pPr>
        <w:pStyle w:val="ListParagraph"/>
        <w:numPr>
          <w:ilvl w:val="0"/>
          <w:numId w:val="40"/>
        </w:numPr>
        <w:spacing w:line="276" w:lineRule="auto"/>
        <w:ind w:right="-569"/>
      </w:pPr>
      <w:r>
        <w:t>g</w:t>
      </w:r>
      <w:r w:rsidRPr="00C26F6B">
        <w:t>eographic coordinates identif</w:t>
      </w:r>
      <w:r w:rsidR="00622ECD">
        <w:t xml:space="preserve">ying the boundaries of the area in which </w:t>
      </w:r>
      <w:r w:rsidRPr="00C26F6B">
        <w:t>the event took place</w:t>
      </w:r>
      <w:r w:rsidR="00622ECD">
        <w:t>;</w:t>
      </w:r>
    </w:p>
    <w:p w14:paraId="3896C711" w14:textId="7A2304AD" w:rsidR="00581B9F" w:rsidRPr="00C26F6B" w:rsidRDefault="00581B9F" w:rsidP="00581B9F">
      <w:pPr>
        <w:pStyle w:val="ListParagraph"/>
        <w:numPr>
          <w:ilvl w:val="0"/>
          <w:numId w:val="40"/>
        </w:numPr>
        <w:spacing w:line="276" w:lineRule="auto"/>
        <w:rPr>
          <w:color w:val="000000" w:themeColor="text1"/>
        </w:rPr>
      </w:pPr>
      <w:r>
        <w:t>t</w:t>
      </w:r>
      <w:r w:rsidRPr="00C26F6B">
        <w:t xml:space="preserve">he </w:t>
      </w:r>
      <w:r w:rsidRPr="00C26F6B">
        <w:rPr>
          <w:color w:val="000000" w:themeColor="text1"/>
        </w:rPr>
        <w:t xml:space="preserve">number of </w:t>
      </w:r>
      <w:r w:rsidR="00622ECD">
        <w:rPr>
          <w:color w:val="000000" w:themeColor="text1"/>
        </w:rPr>
        <w:t xml:space="preserve">reportable </w:t>
      </w:r>
      <w:r w:rsidRPr="00C26F6B">
        <w:rPr>
          <w:color w:val="000000" w:themeColor="text1"/>
        </w:rPr>
        <w:t>services</w:t>
      </w:r>
      <w:r w:rsidR="00622ECD">
        <w:rPr>
          <w:color w:val="000000" w:themeColor="text1"/>
        </w:rPr>
        <w:t xml:space="preserve"> affected</w:t>
      </w:r>
      <w:r>
        <w:rPr>
          <w:color w:val="000000" w:themeColor="text1"/>
        </w:rPr>
        <w:t>;</w:t>
      </w:r>
    </w:p>
    <w:p w14:paraId="0B5FB30B" w14:textId="3FF6BE02" w:rsidR="00581B9F" w:rsidRPr="00C26F6B" w:rsidRDefault="00581B9F" w:rsidP="00581B9F">
      <w:pPr>
        <w:pStyle w:val="ListParagraph"/>
        <w:numPr>
          <w:ilvl w:val="0"/>
          <w:numId w:val="40"/>
        </w:numPr>
        <w:spacing w:line="276" w:lineRule="auto"/>
        <w:rPr>
          <w:color w:val="000000" w:themeColor="text1"/>
        </w:rPr>
      </w:pPr>
      <w:r>
        <w:rPr>
          <w:color w:val="000000" w:themeColor="text1"/>
        </w:rPr>
        <w:t>t</w:t>
      </w:r>
      <w:r w:rsidRPr="00C26F6B">
        <w:rPr>
          <w:color w:val="000000" w:themeColor="text1"/>
        </w:rPr>
        <w:t xml:space="preserve">he </w:t>
      </w:r>
      <w:r w:rsidR="00622ECD">
        <w:rPr>
          <w:color w:val="000000" w:themeColor="text1"/>
        </w:rPr>
        <w:t>number of</w:t>
      </w:r>
      <w:r w:rsidRPr="00C26F6B">
        <w:rPr>
          <w:color w:val="000000" w:themeColor="text1"/>
        </w:rPr>
        <w:t xml:space="preserve"> faults and service difficulties</w:t>
      </w:r>
      <w:r w:rsidR="00622ECD">
        <w:rPr>
          <w:color w:val="000000" w:themeColor="text1"/>
        </w:rPr>
        <w:t xml:space="preserve"> affecting such services </w:t>
      </w:r>
      <w:r>
        <w:rPr>
          <w:color w:val="000000" w:themeColor="text1"/>
        </w:rPr>
        <w:t>;</w:t>
      </w:r>
    </w:p>
    <w:p w14:paraId="716454A1" w14:textId="152C2722" w:rsidR="00581B9F" w:rsidRPr="00C26F6B" w:rsidRDefault="00581B9F" w:rsidP="00581B9F">
      <w:pPr>
        <w:pStyle w:val="ListParagraph"/>
        <w:numPr>
          <w:ilvl w:val="0"/>
          <w:numId w:val="40"/>
        </w:numPr>
        <w:spacing w:line="276" w:lineRule="auto"/>
        <w:rPr>
          <w:color w:val="000000" w:themeColor="text1"/>
        </w:rPr>
      </w:pPr>
      <w:r>
        <w:rPr>
          <w:color w:val="000000" w:themeColor="text1"/>
        </w:rPr>
        <w:t>t</w:t>
      </w:r>
      <w:r w:rsidRPr="00C26F6B">
        <w:rPr>
          <w:color w:val="000000" w:themeColor="text1"/>
        </w:rPr>
        <w:t>he number of</w:t>
      </w:r>
      <w:r w:rsidR="00622ECD">
        <w:rPr>
          <w:color w:val="000000" w:themeColor="text1"/>
        </w:rPr>
        <w:t xml:space="preserve"> such faults and service difficulties that were</w:t>
      </w:r>
      <w:r w:rsidRPr="00C26F6B">
        <w:rPr>
          <w:color w:val="000000" w:themeColor="text1"/>
        </w:rPr>
        <w:t xml:space="preserve"> rectified</w:t>
      </w:r>
      <w:r>
        <w:rPr>
          <w:color w:val="000000" w:themeColor="text1"/>
        </w:rPr>
        <w:t>;</w:t>
      </w:r>
    </w:p>
    <w:p w14:paraId="310FA810" w14:textId="358BCEB8" w:rsidR="00581B9F" w:rsidRPr="00C26F6B" w:rsidRDefault="00581B9F" w:rsidP="00581B9F">
      <w:pPr>
        <w:pStyle w:val="ListParagraph"/>
        <w:numPr>
          <w:ilvl w:val="0"/>
          <w:numId w:val="40"/>
        </w:numPr>
        <w:spacing w:line="276" w:lineRule="auto"/>
        <w:rPr>
          <w:color w:val="000000" w:themeColor="text1"/>
        </w:rPr>
      </w:pPr>
      <w:r>
        <w:rPr>
          <w:color w:val="000000" w:themeColor="text1"/>
        </w:rPr>
        <w:t>t</w:t>
      </w:r>
      <w:r w:rsidRPr="00C26F6B">
        <w:rPr>
          <w:color w:val="000000" w:themeColor="text1"/>
        </w:rPr>
        <w:t xml:space="preserve">he percentage of faults and service difficulties rectified within the relevant timeframe set out in the </w:t>
      </w:r>
      <w:r w:rsidRPr="00C6485D">
        <w:rPr>
          <w:color w:val="000000" w:themeColor="text1"/>
        </w:rPr>
        <w:t>CSG Standard (disregarding the exemption)</w:t>
      </w:r>
      <w:r>
        <w:rPr>
          <w:color w:val="000000" w:themeColor="text1"/>
        </w:rPr>
        <w:t>;</w:t>
      </w:r>
      <w:r w:rsidR="00A371A3">
        <w:rPr>
          <w:color w:val="000000" w:themeColor="text1"/>
        </w:rPr>
        <w:t xml:space="preserve"> and </w:t>
      </w:r>
    </w:p>
    <w:p w14:paraId="40AF4627" w14:textId="4F34E273" w:rsidR="00581B9F" w:rsidRPr="0043020C" w:rsidRDefault="00581B9F" w:rsidP="00581B9F">
      <w:pPr>
        <w:pStyle w:val="ListParagraph"/>
        <w:numPr>
          <w:ilvl w:val="0"/>
          <w:numId w:val="40"/>
        </w:numPr>
        <w:spacing w:line="276" w:lineRule="auto"/>
        <w:rPr>
          <w:color w:val="000000" w:themeColor="text1"/>
        </w:rPr>
      </w:pPr>
      <w:r w:rsidRPr="0043020C">
        <w:rPr>
          <w:color w:val="000000" w:themeColor="text1"/>
        </w:rPr>
        <w:t>information about connection requests within the affected area</w:t>
      </w:r>
      <w:r w:rsidR="00C95DBC" w:rsidRPr="0043020C">
        <w:rPr>
          <w:color w:val="000000" w:themeColor="text1"/>
        </w:rPr>
        <w:t xml:space="preserve">, namely </w:t>
      </w:r>
      <w:r w:rsidRPr="0043020C">
        <w:rPr>
          <w:color w:val="000000" w:themeColor="text1"/>
        </w:rPr>
        <w:t xml:space="preserve">the total number of requests, the number of </w:t>
      </w:r>
      <w:r w:rsidR="00622ECD" w:rsidRPr="0043020C">
        <w:rPr>
          <w:color w:val="000000" w:themeColor="text1"/>
        </w:rPr>
        <w:t>such requests</w:t>
      </w:r>
      <w:r w:rsidRPr="0043020C">
        <w:rPr>
          <w:color w:val="000000" w:themeColor="text1"/>
        </w:rPr>
        <w:t xml:space="preserve"> connected during the month, the percentage of </w:t>
      </w:r>
      <w:r w:rsidR="00622ECD" w:rsidRPr="0043020C">
        <w:rPr>
          <w:color w:val="000000" w:themeColor="text1"/>
        </w:rPr>
        <w:t>those requests</w:t>
      </w:r>
      <w:r w:rsidRPr="0043020C">
        <w:rPr>
          <w:color w:val="000000" w:themeColor="text1"/>
        </w:rPr>
        <w:t xml:space="preserve"> that were connected within the relevant timeframe set out in the CSG standard (disregarding the exemption)</w:t>
      </w:r>
      <w:r w:rsidR="0043020C">
        <w:rPr>
          <w:color w:val="000000" w:themeColor="text1"/>
        </w:rPr>
        <w:t>,</w:t>
      </w:r>
      <w:r w:rsidR="00CB392D" w:rsidRPr="0043020C">
        <w:rPr>
          <w:color w:val="000000" w:themeColor="text1"/>
        </w:rPr>
        <w:t xml:space="preserve"> and the number not connected</w:t>
      </w:r>
      <w:r w:rsidRPr="0043020C">
        <w:rPr>
          <w:color w:val="000000" w:themeColor="text1"/>
        </w:rPr>
        <w:t xml:space="preserve">. </w:t>
      </w:r>
    </w:p>
    <w:p w14:paraId="1655E954" w14:textId="48DBD915" w:rsidR="0070581F" w:rsidRPr="0043020C" w:rsidRDefault="00581B9F" w:rsidP="00581B9F">
      <w:pPr>
        <w:spacing w:line="276" w:lineRule="auto"/>
        <w:rPr>
          <w:rFonts w:ascii="Times New Roman" w:hAnsi="Times New Roman"/>
        </w:rPr>
      </w:pPr>
      <w:r w:rsidRPr="0043020C">
        <w:rPr>
          <w:rFonts w:ascii="Times New Roman" w:hAnsi="Times New Roman"/>
          <w:color w:val="000000" w:themeColor="text1"/>
        </w:rPr>
        <w:lastRenderedPageBreak/>
        <w:t>Subsection 1</w:t>
      </w:r>
      <w:r w:rsidR="00EF0125" w:rsidRPr="0043020C">
        <w:rPr>
          <w:rFonts w:ascii="Times New Roman" w:hAnsi="Times New Roman"/>
          <w:color w:val="000000" w:themeColor="text1"/>
        </w:rPr>
        <w:t>1</w:t>
      </w:r>
      <w:r w:rsidR="00DC2F79" w:rsidRPr="0043020C">
        <w:rPr>
          <w:rFonts w:ascii="Times New Roman" w:hAnsi="Times New Roman"/>
          <w:color w:val="000000" w:themeColor="text1"/>
        </w:rPr>
        <w:t>E(11</w:t>
      </w:r>
      <w:r w:rsidRPr="0043020C">
        <w:rPr>
          <w:rFonts w:ascii="Times New Roman" w:hAnsi="Times New Roman"/>
          <w:color w:val="000000" w:themeColor="text1"/>
        </w:rPr>
        <w:t xml:space="preserve">) provides that the ninth table contain information related to contacts Telstra receives from customers in relation to reportable services. This provision </w:t>
      </w:r>
      <w:r w:rsidR="00DC2F79" w:rsidRPr="0043020C">
        <w:rPr>
          <w:rFonts w:ascii="Times New Roman" w:hAnsi="Times New Roman"/>
          <w:color w:val="000000" w:themeColor="text1"/>
        </w:rPr>
        <w:t xml:space="preserve">covers all calls, chat sessions, emails and messages </w:t>
      </w:r>
      <w:r w:rsidRPr="0043020C">
        <w:rPr>
          <w:rFonts w:ascii="Times New Roman" w:hAnsi="Times New Roman"/>
          <w:color w:val="000000" w:themeColor="text1"/>
        </w:rPr>
        <w:t xml:space="preserve">initiated during the month, as well as any </w:t>
      </w:r>
      <w:r w:rsidRPr="0043020C">
        <w:rPr>
          <w:rFonts w:ascii="Times New Roman" w:hAnsi="Times New Roman"/>
        </w:rPr>
        <w:t>chains of correspondence</w:t>
      </w:r>
      <w:r w:rsidR="00DC2F79" w:rsidRPr="0043020C">
        <w:rPr>
          <w:rFonts w:ascii="Times New Roman" w:hAnsi="Times New Roman"/>
        </w:rPr>
        <w:t xml:space="preserve"> by email or message</w:t>
      </w:r>
      <w:r w:rsidRPr="0043020C">
        <w:rPr>
          <w:rFonts w:ascii="Times New Roman" w:hAnsi="Times New Roman"/>
        </w:rPr>
        <w:t xml:space="preserve">. </w:t>
      </w:r>
    </w:p>
    <w:p w14:paraId="3A7E461E" w14:textId="0608467B" w:rsidR="00BF7264" w:rsidRPr="0043020C" w:rsidRDefault="00581B9F" w:rsidP="00581B9F">
      <w:pPr>
        <w:spacing w:line="276" w:lineRule="auto"/>
        <w:rPr>
          <w:rFonts w:ascii="Times New Roman" w:hAnsi="Times New Roman"/>
        </w:rPr>
      </w:pPr>
      <w:r w:rsidRPr="0043020C">
        <w:rPr>
          <w:rFonts w:ascii="Times New Roman" w:hAnsi="Times New Roman"/>
        </w:rPr>
        <w:t>Telstra must report the total numbe</w:t>
      </w:r>
      <w:r w:rsidR="00DC2F79" w:rsidRPr="0043020C">
        <w:rPr>
          <w:rFonts w:ascii="Times New Roman" w:hAnsi="Times New Roman"/>
        </w:rPr>
        <w:t>r of contacts</w:t>
      </w:r>
      <w:r w:rsidR="00A62AD1" w:rsidRPr="0043020C">
        <w:rPr>
          <w:rFonts w:ascii="Times New Roman" w:hAnsi="Times New Roman"/>
        </w:rPr>
        <w:t xml:space="preserve"> </w:t>
      </w:r>
      <w:r w:rsidR="00E4375C" w:rsidRPr="0043020C">
        <w:rPr>
          <w:rFonts w:ascii="Times New Roman" w:hAnsi="Times New Roman"/>
        </w:rPr>
        <w:t>received</w:t>
      </w:r>
      <w:r w:rsidR="00DC2F79" w:rsidRPr="0043020C">
        <w:rPr>
          <w:rFonts w:ascii="Times New Roman" w:hAnsi="Times New Roman"/>
        </w:rPr>
        <w:t xml:space="preserve">, as well as </w:t>
      </w:r>
      <w:r w:rsidR="0043020C">
        <w:rPr>
          <w:rFonts w:ascii="Times New Roman" w:hAnsi="Times New Roman"/>
        </w:rPr>
        <w:t xml:space="preserve">the </w:t>
      </w:r>
      <w:r w:rsidR="00DC2F79" w:rsidRPr="0043020C">
        <w:rPr>
          <w:rFonts w:ascii="Times New Roman" w:hAnsi="Times New Roman"/>
        </w:rPr>
        <w:t xml:space="preserve">number of </w:t>
      </w:r>
      <w:r w:rsidRPr="0043020C">
        <w:rPr>
          <w:rFonts w:ascii="Times New Roman" w:hAnsi="Times New Roman"/>
        </w:rPr>
        <w:t>contacts that it did, and did not, substantively engage with</w:t>
      </w:r>
      <w:r w:rsidR="00DC2F79" w:rsidRPr="0043020C">
        <w:rPr>
          <w:rFonts w:ascii="Times New Roman" w:hAnsi="Times New Roman"/>
        </w:rPr>
        <w:t xml:space="preserve"> within specified timeframes. For a call or online chat</w:t>
      </w:r>
      <w:r w:rsidR="00D2105B" w:rsidRPr="0043020C">
        <w:rPr>
          <w:rFonts w:ascii="Times New Roman" w:hAnsi="Times New Roman"/>
        </w:rPr>
        <w:t xml:space="preserve"> session, the timeframe for substantive engagement with the relevant customer is</w:t>
      </w:r>
      <w:r w:rsidR="00DC2F79" w:rsidRPr="0043020C">
        <w:rPr>
          <w:rFonts w:ascii="Times New Roman" w:hAnsi="Times New Roman"/>
        </w:rPr>
        <w:t xml:space="preserve"> </w:t>
      </w:r>
      <w:r w:rsidR="00C77077">
        <w:rPr>
          <w:rFonts w:ascii="Times New Roman" w:hAnsi="Times New Roman"/>
        </w:rPr>
        <w:t>3</w:t>
      </w:r>
      <w:r w:rsidR="00C77077" w:rsidRPr="0043020C">
        <w:rPr>
          <w:rFonts w:ascii="Times New Roman" w:hAnsi="Times New Roman"/>
        </w:rPr>
        <w:t xml:space="preserve"> </w:t>
      </w:r>
      <w:r w:rsidR="00E4375C" w:rsidRPr="0043020C">
        <w:rPr>
          <w:rFonts w:ascii="Times New Roman" w:hAnsi="Times New Roman"/>
        </w:rPr>
        <w:t>minutes</w:t>
      </w:r>
      <w:r w:rsidR="00D2105B" w:rsidRPr="0043020C">
        <w:rPr>
          <w:rFonts w:ascii="Times New Roman" w:hAnsi="Times New Roman"/>
        </w:rPr>
        <w:t xml:space="preserve">. </w:t>
      </w:r>
      <w:r w:rsidR="00DC2F79" w:rsidRPr="0043020C">
        <w:rPr>
          <w:rFonts w:ascii="Times New Roman" w:hAnsi="Times New Roman"/>
        </w:rPr>
        <w:t xml:space="preserve">For an email or </w:t>
      </w:r>
      <w:r w:rsidR="00D2105B" w:rsidRPr="0043020C">
        <w:rPr>
          <w:rFonts w:ascii="Times New Roman" w:hAnsi="Times New Roman"/>
        </w:rPr>
        <w:t xml:space="preserve">other </w:t>
      </w:r>
      <w:r w:rsidR="00DC2F79" w:rsidRPr="0043020C">
        <w:rPr>
          <w:rFonts w:ascii="Times New Roman" w:hAnsi="Times New Roman"/>
        </w:rPr>
        <w:t xml:space="preserve">message or a series of emails or </w:t>
      </w:r>
      <w:r w:rsidR="00D2105B" w:rsidRPr="0043020C">
        <w:rPr>
          <w:rFonts w:ascii="Times New Roman" w:hAnsi="Times New Roman"/>
        </w:rPr>
        <w:t xml:space="preserve">other </w:t>
      </w:r>
      <w:r w:rsidR="00DC2F79" w:rsidRPr="0043020C">
        <w:rPr>
          <w:rFonts w:ascii="Times New Roman" w:hAnsi="Times New Roman"/>
        </w:rPr>
        <w:t>messages, the maximu</w:t>
      </w:r>
      <w:r w:rsidR="00D2105B" w:rsidRPr="0043020C">
        <w:rPr>
          <w:rFonts w:ascii="Times New Roman" w:hAnsi="Times New Roman"/>
        </w:rPr>
        <w:t>m timeframe is 2 working days from</w:t>
      </w:r>
      <w:r w:rsidR="00DC2F79" w:rsidRPr="0043020C">
        <w:rPr>
          <w:rFonts w:ascii="Times New Roman" w:hAnsi="Times New Roman"/>
        </w:rPr>
        <w:t xml:space="preserve"> receipt.</w:t>
      </w:r>
      <w:r w:rsidR="00E4375C" w:rsidRPr="0043020C">
        <w:rPr>
          <w:rFonts w:ascii="Times New Roman" w:hAnsi="Times New Roman"/>
        </w:rPr>
        <w:t xml:space="preserve"> Information is also required on the number of contacts substantively engaged with after these timeframes and where contacts are abandoned by the customer or disconnected by the licensee before any substantive engagement or, in the case of email or other messages, not substantively engaged with </w:t>
      </w:r>
      <w:r w:rsidR="00C77077">
        <w:rPr>
          <w:rFonts w:ascii="Times New Roman" w:hAnsi="Times New Roman"/>
        </w:rPr>
        <w:t>in any way</w:t>
      </w:r>
      <w:r w:rsidR="00E4375C" w:rsidRPr="0043020C">
        <w:rPr>
          <w:rFonts w:ascii="Times New Roman" w:hAnsi="Times New Roman"/>
        </w:rPr>
        <w:t xml:space="preserve">. </w:t>
      </w:r>
      <w:r w:rsidR="000435AF" w:rsidRPr="0043020C">
        <w:rPr>
          <w:rFonts w:ascii="Times New Roman" w:hAnsi="Times New Roman"/>
        </w:rPr>
        <w:t xml:space="preserve">Contacts not closed at the end of the month must also be reported. </w:t>
      </w:r>
      <w:r w:rsidR="00E4375C" w:rsidRPr="0043020C">
        <w:rPr>
          <w:rFonts w:ascii="Times New Roman" w:hAnsi="Times New Roman"/>
        </w:rPr>
        <w:t xml:space="preserve">Where </w:t>
      </w:r>
      <w:r w:rsidR="0043020C">
        <w:rPr>
          <w:rFonts w:ascii="Times New Roman" w:hAnsi="Times New Roman"/>
        </w:rPr>
        <w:t>Telstra</w:t>
      </w:r>
      <w:r w:rsidR="00E4375C" w:rsidRPr="0043020C">
        <w:rPr>
          <w:rFonts w:ascii="Times New Roman" w:hAnsi="Times New Roman"/>
        </w:rPr>
        <w:t xml:space="preserve"> does not use </w:t>
      </w:r>
      <w:r w:rsidR="000435AF" w:rsidRPr="0043020C">
        <w:rPr>
          <w:rFonts w:ascii="Times New Roman" w:hAnsi="Times New Roman"/>
        </w:rPr>
        <w:t>a</w:t>
      </w:r>
      <w:r w:rsidR="00E4375C" w:rsidRPr="0043020C">
        <w:rPr>
          <w:rFonts w:ascii="Times New Roman" w:hAnsi="Times New Roman"/>
        </w:rPr>
        <w:t xml:space="preserve"> </w:t>
      </w:r>
      <w:r w:rsidR="000435AF" w:rsidRPr="0043020C">
        <w:rPr>
          <w:rFonts w:ascii="Times New Roman" w:hAnsi="Times New Roman"/>
        </w:rPr>
        <w:t xml:space="preserve">contact </w:t>
      </w:r>
      <w:r w:rsidR="00E4375C" w:rsidRPr="0043020C">
        <w:rPr>
          <w:rFonts w:ascii="Times New Roman" w:hAnsi="Times New Roman"/>
        </w:rPr>
        <w:t xml:space="preserve">channel </w:t>
      </w:r>
      <w:r w:rsidR="0043020C">
        <w:rPr>
          <w:rFonts w:ascii="Times New Roman" w:hAnsi="Times New Roman"/>
        </w:rPr>
        <w:t>specified</w:t>
      </w:r>
      <w:r w:rsidR="00E4375C" w:rsidRPr="0043020C">
        <w:rPr>
          <w:rFonts w:ascii="Times New Roman" w:hAnsi="Times New Roman"/>
        </w:rPr>
        <w:t xml:space="preserve"> in </w:t>
      </w:r>
      <w:r w:rsidR="000435AF" w:rsidRPr="0043020C">
        <w:rPr>
          <w:rFonts w:ascii="Times New Roman" w:hAnsi="Times New Roman"/>
        </w:rPr>
        <w:t>sub</w:t>
      </w:r>
      <w:r w:rsidR="00E4375C" w:rsidRPr="0043020C">
        <w:rPr>
          <w:rFonts w:ascii="Times New Roman" w:hAnsi="Times New Roman"/>
        </w:rPr>
        <w:t>section</w:t>
      </w:r>
      <w:r w:rsidR="000435AF" w:rsidRPr="0043020C">
        <w:rPr>
          <w:rFonts w:ascii="Times New Roman" w:hAnsi="Times New Roman"/>
        </w:rPr>
        <w:t xml:space="preserve"> 11E(11)</w:t>
      </w:r>
      <w:r w:rsidR="00E4375C" w:rsidRPr="0043020C">
        <w:rPr>
          <w:rFonts w:ascii="Times New Roman" w:hAnsi="Times New Roman"/>
        </w:rPr>
        <w:t>, it can report the metric is not applicable.</w:t>
      </w:r>
    </w:p>
    <w:p w14:paraId="1F2325EE" w14:textId="33811D97" w:rsidR="00581B9F" w:rsidRPr="0043020C" w:rsidRDefault="00581B9F" w:rsidP="00581B9F">
      <w:pPr>
        <w:spacing w:line="276" w:lineRule="auto"/>
        <w:rPr>
          <w:rFonts w:ascii="Times New Roman" w:hAnsi="Times New Roman"/>
        </w:rPr>
      </w:pPr>
      <w:r w:rsidRPr="0043020C">
        <w:rPr>
          <w:rFonts w:ascii="Times New Roman" w:hAnsi="Times New Roman"/>
        </w:rPr>
        <w:t>For contacts that were substanti</w:t>
      </w:r>
      <w:r w:rsidR="00DC2F79" w:rsidRPr="0043020C">
        <w:rPr>
          <w:rFonts w:ascii="Times New Roman" w:hAnsi="Times New Roman"/>
        </w:rPr>
        <w:t xml:space="preserve">vely engaged with, Telstra must </w:t>
      </w:r>
      <w:r w:rsidR="000435AF" w:rsidRPr="0043020C">
        <w:rPr>
          <w:rFonts w:ascii="Times New Roman" w:hAnsi="Times New Roman"/>
        </w:rPr>
        <w:t>report</w:t>
      </w:r>
      <w:r w:rsidR="00076467" w:rsidRPr="0043020C">
        <w:rPr>
          <w:rFonts w:ascii="Times New Roman" w:hAnsi="Times New Roman"/>
        </w:rPr>
        <w:t>, as appropriate to the type of contact</w:t>
      </w:r>
      <w:r w:rsidRPr="0043020C">
        <w:rPr>
          <w:rFonts w:ascii="Times New Roman" w:hAnsi="Times New Roman"/>
        </w:rPr>
        <w:t xml:space="preserve">: </w:t>
      </w:r>
    </w:p>
    <w:p w14:paraId="4BA36A79" w14:textId="77167326" w:rsidR="000435AF" w:rsidRPr="0043020C" w:rsidRDefault="000435AF" w:rsidP="00581B9F">
      <w:pPr>
        <w:pStyle w:val="ListParagraph"/>
        <w:numPr>
          <w:ilvl w:val="0"/>
          <w:numId w:val="42"/>
        </w:numPr>
        <w:spacing w:line="276" w:lineRule="auto"/>
      </w:pPr>
      <w:r w:rsidRPr="0043020C">
        <w:t>the number substantively engaged within the specified timeframes;</w:t>
      </w:r>
    </w:p>
    <w:p w14:paraId="61112BA8" w14:textId="32657C61" w:rsidR="00581B9F" w:rsidRPr="0043020C" w:rsidRDefault="00581B9F" w:rsidP="00581B9F">
      <w:pPr>
        <w:pStyle w:val="ListParagraph"/>
        <w:numPr>
          <w:ilvl w:val="0"/>
          <w:numId w:val="42"/>
        </w:numPr>
        <w:spacing w:line="276" w:lineRule="auto"/>
      </w:pPr>
      <w:r w:rsidRPr="0043020C">
        <w:t>the average duration</w:t>
      </w:r>
      <w:r w:rsidR="00DC2F79" w:rsidRPr="0043020C">
        <w:t xml:space="preserve"> of the contact</w:t>
      </w:r>
      <w:r w:rsidRPr="0043020C">
        <w:t xml:space="preserve"> (from substantive engag</w:t>
      </w:r>
      <w:r w:rsidR="00DC2F79" w:rsidRPr="0043020C">
        <w:t xml:space="preserve">ement to conclusion of contact); </w:t>
      </w:r>
    </w:p>
    <w:p w14:paraId="2B341398" w14:textId="77777777" w:rsidR="00076467" w:rsidRPr="0043020C" w:rsidRDefault="00581B9F" w:rsidP="00BF7264">
      <w:pPr>
        <w:pStyle w:val="ListParagraph"/>
        <w:numPr>
          <w:ilvl w:val="0"/>
          <w:numId w:val="42"/>
        </w:numPr>
        <w:spacing w:line="276" w:lineRule="auto"/>
      </w:pPr>
      <w:r w:rsidRPr="0043020C">
        <w:t>the percentage for which the relevant query or issue was resol</w:t>
      </w:r>
      <w:r w:rsidR="0057129D" w:rsidRPr="0043020C">
        <w:t>ved during the initial contact (f</w:t>
      </w:r>
      <w:r w:rsidRPr="0043020C">
        <w:t xml:space="preserve">or an email or series of email, initial contact is clarified as </w:t>
      </w:r>
      <w:r w:rsidR="00D2105B" w:rsidRPr="0043020C">
        <w:t>meaning</w:t>
      </w:r>
      <w:r w:rsidRPr="0043020C">
        <w:t xml:space="preserve"> Telstra’s first sub</w:t>
      </w:r>
      <w:r w:rsidR="0057129D" w:rsidRPr="0043020C">
        <w:t>stantive reply to the customer)</w:t>
      </w:r>
      <w:r w:rsidR="00076467" w:rsidRPr="0043020C">
        <w:t>; and</w:t>
      </w:r>
    </w:p>
    <w:p w14:paraId="051F5F21" w14:textId="23E53868" w:rsidR="00BF7264" w:rsidRPr="0043020C" w:rsidRDefault="00076467" w:rsidP="00BF7264">
      <w:pPr>
        <w:pStyle w:val="ListParagraph"/>
        <w:numPr>
          <w:ilvl w:val="0"/>
          <w:numId w:val="42"/>
        </w:numPr>
        <w:spacing w:line="276" w:lineRule="auto"/>
      </w:pPr>
      <w:r w:rsidRPr="0043020C">
        <w:t>the number of contacts not yet substantively engaged with and carried forward to the following month</w:t>
      </w:r>
      <w:r w:rsidR="0057129D" w:rsidRPr="0043020C">
        <w:t xml:space="preserve">. </w:t>
      </w:r>
    </w:p>
    <w:p w14:paraId="602429BB" w14:textId="06849841" w:rsidR="00DC2F79" w:rsidRPr="00DC2F79" w:rsidRDefault="00D2105B" w:rsidP="00DC2F79">
      <w:pPr>
        <w:spacing w:line="276" w:lineRule="auto"/>
        <w:rPr>
          <w:rFonts w:ascii="Times New Roman" w:hAnsi="Times New Roman"/>
        </w:rPr>
      </w:pPr>
      <w:r w:rsidRPr="0043020C">
        <w:rPr>
          <w:rFonts w:ascii="Times New Roman" w:hAnsi="Times New Roman"/>
        </w:rPr>
        <w:t>Additionally, for calls and online chat sessions</w:t>
      </w:r>
      <w:r w:rsidR="00DC2F79" w:rsidRPr="0043020C">
        <w:rPr>
          <w:rFonts w:ascii="Times New Roman" w:hAnsi="Times New Roman"/>
        </w:rPr>
        <w:t xml:space="preserve"> that </w:t>
      </w:r>
      <w:r w:rsidRPr="0043020C">
        <w:rPr>
          <w:rFonts w:ascii="Times New Roman" w:hAnsi="Times New Roman"/>
        </w:rPr>
        <w:t>Telstra did not</w:t>
      </w:r>
      <w:r w:rsidR="00DC2F79" w:rsidRPr="0043020C">
        <w:rPr>
          <w:rFonts w:ascii="Times New Roman" w:hAnsi="Times New Roman"/>
        </w:rPr>
        <w:t xml:space="preserve"> substantivel</w:t>
      </w:r>
      <w:r w:rsidRPr="0043020C">
        <w:rPr>
          <w:rFonts w:ascii="Times New Roman" w:hAnsi="Times New Roman"/>
        </w:rPr>
        <w:t>y engage</w:t>
      </w:r>
      <w:r w:rsidR="00DC2F79" w:rsidRPr="0043020C">
        <w:rPr>
          <w:rFonts w:ascii="Times New Roman" w:hAnsi="Times New Roman"/>
        </w:rPr>
        <w:t xml:space="preserve"> with</w:t>
      </w:r>
      <w:r w:rsidR="0057129D" w:rsidRPr="0043020C">
        <w:rPr>
          <w:rFonts w:ascii="Times New Roman" w:hAnsi="Times New Roman"/>
        </w:rPr>
        <w:t>in the specified timeframe</w:t>
      </w:r>
      <w:r w:rsidR="00DC2F79" w:rsidRPr="0043020C">
        <w:rPr>
          <w:rFonts w:ascii="Times New Roman" w:hAnsi="Times New Roman"/>
        </w:rPr>
        <w:t>,</w:t>
      </w:r>
      <w:r w:rsidR="00392C49" w:rsidRPr="0043020C">
        <w:rPr>
          <w:rFonts w:ascii="Times New Roman" w:hAnsi="Times New Roman"/>
        </w:rPr>
        <w:t xml:space="preserve"> Telstra is required to </w:t>
      </w:r>
      <w:r w:rsidRPr="0043020C">
        <w:rPr>
          <w:rFonts w:ascii="Times New Roman" w:hAnsi="Times New Roman"/>
        </w:rPr>
        <w:t xml:space="preserve">provide the </w:t>
      </w:r>
      <w:r w:rsidR="00D34DCF" w:rsidRPr="0043020C">
        <w:rPr>
          <w:rFonts w:ascii="Times New Roman" w:hAnsi="Times New Roman"/>
        </w:rPr>
        <w:t xml:space="preserve">number </w:t>
      </w:r>
      <w:r w:rsidR="00C77077">
        <w:rPr>
          <w:rFonts w:ascii="Times New Roman" w:hAnsi="Times New Roman"/>
        </w:rPr>
        <w:t xml:space="preserve">of such contacts </w:t>
      </w:r>
      <w:r w:rsidR="00D34DCF" w:rsidRPr="0043020C">
        <w:rPr>
          <w:rFonts w:ascii="Times New Roman" w:hAnsi="Times New Roman"/>
        </w:rPr>
        <w:t xml:space="preserve">and </w:t>
      </w:r>
      <w:r w:rsidR="00C77077">
        <w:rPr>
          <w:rFonts w:ascii="Times New Roman" w:hAnsi="Times New Roman"/>
        </w:rPr>
        <w:t xml:space="preserve">the </w:t>
      </w:r>
      <w:r w:rsidRPr="0043020C">
        <w:rPr>
          <w:rFonts w:ascii="Times New Roman" w:hAnsi="Times New Roman"/>
        </w:rPr>
        <w:t xml:space="preserve">average time between when the contacts </w:t>
      </w:r>
      <w:r w:rsidR="00C77077">
        <w:rPr>
          <w:rFonts w:ascii="Times New Roman" w:hAnsi="Times New Roman"/>
        </w:rPr>
        <w:t>were</w:t>
      </w:r>
      <w:r w:rsidR="00C77077" w:rsidRPr="0043020C">
        <w:rPr>
          <w:rFonts w:ascii="Times New Roman" w:hAnsi="Times New Roman"/>
        </w:rPr>
        <w:t xml:space="preserve"> </w:t>
      </w:r>
      <w:r w:rsidRPr="0043020C">
        <w:rPr>
          <w:rFonts w:ascii="Times New Roman" w:hAnsi="Times New Roman"/>
        </w:rPr>
        <w:t xml:space="preserve">first received and when </w:t>
      </w:r>
      <w:r w:rsidR="0057129D" w:rsidRPr="0043020C">
        <w:rPr>
          <w:rFonts w:ascii="Times New Roman" w:hAnsi="Times New Roman"/>
        </w:rPr>
        <w:t>they</w:t>
      </w:r>
      <w:r w:rsidRPr="0043020C">
        <w:rPr>
          <w:rFonts w:ascii="Times New Roman" w:hAnsi="Times New Roman"/>
        </w:rPr>
        <w:t xml:space="preserve"> are disconnected or closed. </w:t>
      </w:r>
      <w:r w:rsidR="00C77077">
        <w:rPr>
          <w:rFonts w:ascii="Times New Roman" w:hAnsi="Times New Roman"/>
        </w:rPr>
        <w:t xml:space="preserve">This is to understand the number of unanswered contacts of this kind abandoned by customers, or discontinued by Telstra, and the amount of time spent by customers trying to make these contacts. </w:t>
      </w:r>
      <w:r w:rsidR="00D34DCF" w:rsidRPr="0043020C">
        <w:rPr>
          <w:rFonts w:ascii="Times New Roman" w:hAnsi="Times New Roman"/>
        </w:rPr>
        <w:t>For emails and other messages, Telstra must report the number where it did not substantively engage</w:t>
      </w:r>
      <w:r w:rsidRPr="0043020C">
        <w:rPr>
          <w:rFonts w:ascii="Times New Roman" w:hAnsi="Times New Roman"/>
        </w:rPr>
        <w:t xml:space="preserve"> </w:t>
      </w:r>
      <w:r w:rsidR="00D34DCF" w:rsidRPr="0043020C">
        <w:rPr>
          <w:rFonts w:ascii="Times New Roman" w:hAnsi="Times New Roman"/>
        </w:rPr>
        <w:t xml:space="preserve">with the contact within two days or did not do so </w:t>
      </w:r>
      <w:r w:rsidR="00C77077">
        <w:rPr>
          <w:rFonts w:ascii="Times New Roman" w:hAnsi="Times New Roman"/>
        </w:rPr>
        <w:t xml:space="preserve">in any way </w:t>
      </w:r>
      <w:r w:rsidR="00D34DCF" w:rsidRPr="0043020C">
        <w:rPr>
          <w:rFonts w:ascii="Times New Roman" w:hAnsi="Times New Roman"/>
        </w:rPr>
        <w:t>at all (i.e the contact was not actioned). Telstra must also report on contacts not closed at the end of each month</w:t>
      </w:r>
      <w:r w:rsidR="00C77077">
        <w:rPr>
          <w:rFonts w:ascii="Times New Roman" w:hAnsi="Times New Roman"/>
        </w:rPr>
        <w:t>, with the assumption being they will be carried forward for action in the following month.</w:t>
      </w:r>
      <w:r w:rsidR="00D34DCF" w:rsidRPr="0043020C">
        <w:rPr>
          <w:rFonts w:ascii="Times New Roman" w:hAnsi="Times New Roman"/>
        </w:rPr>
        <w:t>.</w:t>
      </w:r>
    </w:p>
    <w:p w14:paraId="74B414B7" w14:textId="55109D9E" w:rsidR="00581B9F" w:rsidRDefault="00581B9F" w:rsidP="00581B9F">
      <w:pPr>
        <w:spacing w:line="276" w:lineRule="auto"/>
        <w:rPr>
          <w:rFonts w:ascii="Times New Roman" w:hAnsi="Times New Roman"/>
          <w:color w:val="000000" w:themeColor="text1"/>
        </w:rPr>
      </w:pPr>
      <w:r w:rsidRPr="0096395A">
        <w:rPr>
          <w:rFonts w:ascii="Times New Roman" w:hAnsi="Times New Roman"/>
          <w:color w:val="000000" w:themeColor="text1"/>
        </w:rPr>
        <w:t>Subsection 1</w:t>
      </w:r>
      <w:r w:rsidR="00EF0125">
        <w:rPr>
          <w:rFonts w:ascii="Times New Roman" w:hAnsi="Times New Roman"/>
          <w:color w:val="000000" w:themeColor="text1"/>
        </w:rPr>
        <w:t>1</w:t>
      </w:r>
      <w:r w:rsidR="0057129D">
        <w:rPr>
          <w:rFonts w:ascii="Times New Roman" w:hAnsi="Times New Roman"/>
          <w:color w:val="000000" w:themeColor="text1"/>
        </w:rPr>
        <w:t>E(12</w:t>
      </w:r>
      <w:r w:rsidRPr="0096395A">
        <w:rPr>
          <w:rFonts w:ascii="Times New Roman" w:hAnsi="Times New Roman"/>
          <w:color w:val="000000" w:themeColor="text1"/>
        </w:rPr>
        <w:t>) requires the tenth table to contain information</w:t>
      </w:r>
      <w:r>
        <w:rPr>
          <w:rFonts w:ascii="Times New Roman" w:hAnsi="Times New Roman"/>
          <w:color w:val="000000" w:themeColor="text1"/>
        </w:rPr>
        <w:t xml:space="preserve"> related to complaints made by customers in relation to reportable services. This provision covers any complaint that was either resolved or closed during the month, or unresolved at the end of the month. For each complaint, Telstra must provide: </w:t>
      </w:r>
    </w:p>
    <w:p w14:paraId="3B8BA85E" w14:textId="014BE509" w:rsidR="00581B9F" w:rsidRPr="00C26F6B" w:rsidRDefault="00581B9F" w:rsidP="00581B9F">
      <w:pPr>
        <w:pStyle w:val="ListParagraph"/>
        <w:numPr>
          <w:ilvl w:val="0"/>
          <w:numId w:val="39"/>
        </w:numPr>
        <w:spacing w:line="276" w:lineRule="auto"/>
        <w:rPr>
          <w:color w:val="000000" w:themeColor="text1"/>
        </w:rPr>
      </w:pPr>
      <w:r>
        <w:rPr>
          <w:color w:val="000000" w:themeColor="text1"/>
        </w:rPr>
        <w:t>t</w:t>
      </w:r>
      <w:r w:rsidR="0057129D">
        <w:rPr>
          <w:color w:val="000000" w:themeColor="text1"/>
        </w:rPr>
        <w:t>he unique service identifier;</w:t>
      </w:r>
    </w:p>
    <w:p w14:paraId="77C6E999" w14:textId="21D8725D" w:rsidR="00581B9F" w:rsidRPr="00C26F6B" w:rsidRDefault="00581B9F" w:rsidP="00581B9F">
      <w:pPr>
        <w:pStyle w:val="ListParagraph"/>
        <w:numPr>
          <w:ilvl w:val="0"/>
          <w:numId w:val="39"/>
        </w:numPr>
        <w:spacing w:line="276" w:lineRule="auto"/>
        <w:rPr>
          <w:color w:val="000000" w:themeColor="text1"/>
        </w:rPr>
      </w:pPr>
      <w:r>
        <w:rPr>
          <w:color w:val="000000" w:themeColor="text1"/>
        </w:rPr>
        <w:t>t</w:t>
      </w:r>
      <w:r w:rsidRPr="00C26F6B">
        <w:rPr>
          <w:color w:val="000000" w:themeColor="text1"/>
        </w:rPr>
        <w:t xml:space="preserve">he </w:t>
      </w:r>
      <w:r>
        <w:rPr>
          <w:color w:val="000000" w:themeColor="text1"/>
        </w:rPr>
        <w:t>date the complaint was made</w:t>
      </w:r>
      <w:r w:rsidR="0057129D">
        <w:rPr>
          <w:color w:val="000000" w:themeColor="text1"/>
        </w:rPr>
        <w:t>;</w:t>
      </w:r>
    </w:p>
    <w:p w14:paraId="24FC8F6A" w14:textId="368F11EF" w:rsidR="00581B9F" w:rsidRPr="0050057C" w:rsidRDefault="00581B9F" w:rsidP="00581B9F">
      <w:pPr>
        <w:pStyle w:val="ListParagraph"/>
        <w:numPr>
          <w:ilvl w:val="0"/>
          <w:numId w:val="39"/>
        </w:numPr>
        <w:spacing w:line="276" w:lineRule="auto"/>
        <w:rPr>
          <w:color w:val="000000" w:themeColor="text1"/>
        </w:rPr>
      </w:pPr>
      <w:r>
        <w:rPr>
          <w:color w:val="000000" w:themeColor="text1"/>
        </w:rPr>
        <w:t xml:space="preserve">the date the complaint was resolved (if applicable), or otherwise a statement that the </w:t>
      </w:r>
      <w:r w:rsidRPr="0050057C">
        <w:rPr>
          <w:color w:val="000000" w:themeColor="text1"/>
        </w:rPr>
        <w:t>complaint was unresolved or closed</w:t>
      </w:r>
      <w:r w:rsidR="008C2DE6">
        <w:rPr>
          <w:color w:val="000000" w:themeColor="text1"/>
        </w:rPr>
        <w:t xml:space="preserve"> (without resolution)</w:t>
      </w:r>
      <w:r w:rsidR="0057129D">
        <w:rPr>
          <w:color w:val="000000" w:themeColor="text1"/>
        </w:rPr>
        <w:t>;</w:t>
      </w:r>
    </w:p>
    <w:p w14:paraId="0816A0AA" w14:textId="27D1B89A" w:rsidR="00581B9F" w:rsidRPr="0050057C" w:rsidRDefault="00581B9F" w:rsidP="00581B9F">
      <w:pPr>
        <w:pStyle w:val="ListParagraph"/>
        <w:numPr>
          <w:ilvl w:val="0"/>
          <w:numId w:val="39"/>
        </w:numPr>
        <w:spacing w:line="276" w:lineRule="auto"/>
        <w:rPr>
          <w:color w:val="000000" w:themeColor="text1"/>
        </w:rPr>
      </w:pPr>
      <w:r w:rsidRPr="0050057C">
        <w:rPr>
          <w:color w:val="000000" w:themeColor="text1"/>
        </w:rPr>
        <w:t xml:space="preserve">the complaint category </w:t>
      </w:r>
      <w:r w:rsidR="0057129D">
        <w:rPr>
          <w:color w:val="000000" w:themeColor="text1"/>
        </w:rPr>
        <w:t>(</w:t>
      </w:r>
      <w:r w:rsidR="00555836">
        <w:rPr>
          <w:color w:val="000000" w:themeColor="text1"/>
        </w:rPr>
        <w:t xml:space="preserve">as set out in </w:t>
      </w:r>
      <w:r w:rsidR="0038546B">
        <w:rPr>
          <w:color w:val="000000" w:themeColor="text1"/>
        </w:rPr>
        <w:t>s</w:t>
      </w:r>
      <w:r w:rsidR="00555836">
        <w:rPr>
          <w:color w:val="000000" w:themeColor="text1"/>
        </w:rPr>
        <w:t>ection 11</w:t>
      </w:r>
      <w:r w:rsidRPr="0050057C">
        <w:rPr>
          <w:color w:val="000000" w:themeColor="text1"/>
        </w:rPr>
        <w:t>A(1)</w:t>
      </w:r>
      <w:r w:rsidR="0057129D">
        <w:rPr>
          <w:color w:val="000000" w:themeColor="text1"/>
        </w:rPr>
        <w:t>);</w:t>
      </w:r>
      <w:r w:rsidR="00A371A3">
        <w:rPr>
          <w:color w:val="000000" w:themeColor="text1"/>
        </w:rPr>
        <w:t xml:space="preserve"> and </w:t>
      </w:r>
    </w:p>
    <w:p w14:paraId="671E545A" w14:textId="7A369559" w:rsidR="00581B9F" w:rsidRPr="0050057C" w:rsidRDefault="00581B9F" w:rsidP="00581B9F">
      <w:pPr>
        <w:pStyle w:val="ListParagraph"/>
        <w:numPr>
          <w:ilvl w:val="0"/>
          <w:numId w:val="39"/>
        </w:numPr>
        <w:spacing w:line="276" w:lineRule="auto"/>
        <w:rPr>
          <w:color w:val="000000" w:themeColor="text1"/>
        </w:rPr>
      </w:pPr>
      <w:r w:rsidRPr="0050057C">
        <w:rPr>
          <w:color w:val="000000" w:themeColor="text1"/>
        </w:rPr>
        <w:t>for closed complaints, the reason</w:t>
      </w:r>
      <w:r w:rsidR="008C2DE6">
        <w:rPr>
          <w:color w:val="000000" w:themeColor="text1"/>
        </w:rPr>
        <w:t>(s)</w:t>
      </w:r>
      <w:r w:rsidRPr="0050057C">
        <w:rPr>
          <w:color w:val="000000" w:themeColor="text1"/>
        </w:rPr>
        <w:t xml:space="preserve"> why the complaint was closed</w:t>
      </w:r>
      <w:r w:rsidR="0057129D">
        <w:rPr>
          <w:color w:val="000000" w:themeColor="text1"/>
        </w:rPr>
        <w:t xml:space="preserve">. </w:t>
      </w:r>
    </w:p>
    <w:p w14:paraId="3F058113" w14:textId="7A617644" w:rsidR="0050057C" w:rsidRPr="0050057C" w:rsidRDefault="0050057C" w:rsidP="0050057C">
      <w:pPr>
        <w:spacing w:line="276" w:lineRule="auto"/>
        <w:rPr>
          <w:rFonts w:ascii="Times New Roman" w:hAnsi="Times New Roman"/>
          <w:u w:val="single"/>
        </w:rPr>
      </w:pPr>
      <w:r w:rsidRPr="0050057C">
        <w:rPr>
          <w:rFonts w:ascii="Times New Roman" w:hAnsi="Times New Roman"/>
          <w:u w:val="single"/>
        </w:rPr>
        <w:t>Section 11</w:t>
      </w:r>
      <w:r>
        <w:rPr>
          <w:rFonts w:ascii="Times New Roman" w:hAnsi="Times New Roman"/>
          <w:u w:val="single"/>
        </w:rPr>
        <w:t>F</w:t>
      </w:r>
      <w:r w:rsidRPr="0050057C">
        <w:rPr>
          <w:rFonts w:ascii="Times New Roman" w:hAnsi="Times New Roman"/>
          <w:u w:val="single"/>
        </w:rPr>
        <w:t xml:space="preserve"> – </w:t>
      </w:r>
      <w:r w:rsidR="00F273A8">
        <w:rPr>
          <w:rFonts w:ascii="Times New Roman" w:hAnsi="Times New Roman"/>
          <w:u w:val="single"/>
        </w:rPr>
        <w:t>Form and manner of</w:t>
      </w:r>
      <w:r w:rsidR="00F273A8" w:rsidRPr="0050057C">
        <w:rPr>
          <w:rFonts w:ascii="Times New Roman" w:hAnsi="Times New Roman"/>
          <w:u w:val="single"/>
        </w:rPr>
        <w:t xml:space="preserve"> </w:t>
      </w:r>
      <w:r w:rsidRPr="0050057C">
        <w:rPr>
          <w:rFonts w:ascii="Times New Roman" w:hAnsi="Times New Roman"/>
          <w:u w:val="single"/>
        </w:rPr>
        <w:t xml:space="preserve">reporting to the ACMA and the Department </w:t>
      </w:r>
    </w:p>
    <w:p w14:paraId="0ADD80DC" w14:textId="06095B07" w:rsidR="0057129D" w:rsidRDefault="007E68AD" w:rsidP="0050057C">
      <w:pPr>
        <w:spacing w:line="276" w:lineRule="auto"/>
        <w:rPr>
          <w:rFonts w:ascii="Times New Roman" w:hAnsi="Times New Roman"/>
          <w:color w:val="000000" w:themeColor="text1"/>
        </w:rPr>
      </w:pPr>
      <w:r>
        <w:rPr>
          <w:rFonts w:ascii="Times New Roman" w:hAnsi="Times New Roman"/>
          <w:color w:val="000000" w:themeColor="text1"/>
        </w:rPr>
        <w:t>Section</w:t>
      </w:r>
      <w:r w:rsidR="0043020C">
        <w:rPr>
          <w:rFonts w:ascii="Times New Roman" w:hAnsi="Times New Roman"/>
          <w:color w:val="000000" w:themeColor="text1"/>
        </w:rPr>
        <w:t xml:space="preserve"> </w:t>
      </w:r>
      <w:r>
        <w:rPr>
          <w:rFonts w:ascii="Times New Roman" w:hAnsi="Times New Roman"/>
          <w:color w:val="000000" w:themeColor="text1"/>
        </w:rPr>
        <w:t>11F</w:t>
      </w:r>
      <w:r w:rsidR="0057129D">
        <w:rPr>
          <w:rFonts w:ascii="Times New Roman" w:hAnsi="Times New Roman"/>
          <w:color w:val="000000" w:themeColor="text1"/>
        </w:rPr>
        <w:t xml:space="preserve"> </w:t>
      </w:r>
      <w:r w:rsidR="00FF5FC2">
        <w:rPr>
          <w:rFonts w:ascii="Times New Roman" w:hAnsi="Times New Roman"/>
          <w:color w:val="000000" w:themeColor="text1"/>
        </w:rPr>
        <w:t xml:space="preserve">sets out </w:t>
      </w:r>
      <w:r w:rsidR="0057129D">
        <w:rPr>
          <w:rFonts w:ascii="Times New Roman" w:hAnsi="Times New Roman"/>
          <w:color w:val="000000" w:themeColor="text1"/>
        </w:rPr>
        <w:t xml:space="preserve">the form and manner in which Telstra is required to provide reports to ACMA and the Department under </w:t>
      </w:r>
      <w:r w:rsidR="0038546B">
        <w:rPr>
          <w:rFonts w:ascii="Times New Roman" w:hAnsi="Times New Roman"/>
          <w:color w:val="000000" w:themeColor="text1"/>
        </w:rPr>
        <w:t>s</w:t>
      </w:r>
      <w:r w:rsidR="0057129D">
        <w:rPr>
          <w:rFonts w:ascii="Times New Roman" w:hAnsi="Times New Roman"/>
          <w:color w:val="000000" w:themeColor="text1"/>
        </w:rPr>
        <w:t xml:space="preserve">ections 11D and 11E. </w:t>
      </w:r>
    </w:p>
    <w:p w14:paraId="7B40B98C" w14:textId="0091B28D" w:rsidR="005455ED" w:rsidRDefault="0057129D" w:rsidP="0050057C">
      <w:pPr>
        <w:spacing w:line="276" w:lineRule="auto"/>
        <w:rPr>
          <w:rFonts w:ascii="Times New Roman" w:hAnsi="Times New Roman"/>
        </w:rPr>
      </w:pPr>
      <w:r>
        <w:rPr>
          <w:rFonts w:ascii="Times New Roman" w:hAnsi="Times New Roman"/>
          <w:color w:val="000000" w:themeColor="text1"/>
        </w:rPr>
        <w:t xml:space="preserve">As set out in </w:t>
      </w:r>
      <w:r w:rsidR="00FF5FC2">
        <w:rPr>
          <w:rFonts w:ascii="Times New Roman" w:hAnsi="Times New Roman"/>
          <w:color w:val="000000" w:themeColor="text1"/>
        </w:rPr>
        <w:t>s</w:t>
      </w:r>
      <w:r>
        <w:rPr>
          <w:rFonts w:ascii="Times New Roman" w:hAnsi="Times New Roman"/>
          <w:color w:val="000000" w:themeColor="text1"/>
        </w:rPr>
        <w:t xml:space="preserve">ubsection 11F(1), Telstra must provide each report in </w:t>
      </w:r>
      <w:r w:rsidR="0050057C" w:rsidRPr="00C26F6B">
        <w:rPr>
          <w:rFonts w:ascii="Times New Roman" w:hAnsi="Times New Roman"/>
          <w:color w:val="000000" w:themeColor="text1"/>
        </w:rPr>
        <w:t xml:space="preserve">Excel spreadsheet format (.xlsx), or </w:t>
      </w:r>
      <w:r w:rsidR="005455ED">
        <w:rPr>
          <w:rFonts w:ascii="Times New Roman" w:hAnsi="Times New Roman"/>
        </w:rPr>
        <w:t xml:space="preserve">another electronic format approved by the Secretary or an authorised officer within the Department. The report must be provided in a single electronic file to the extent possible, </w:t>
      </w:r>
      <w:r w:rsidR="0050057C" w:rsidRPr="00C26F6B">
        <w:rPr>
          <w:rFonts w:ascii="Times New Roman" w:hAnsi="Times New Roman"/>
        </w:rPr>
        <w:t>and use separate tables to provide information related to</w:t>
      </w:r>
      <w:r w:rsidR="005455ED">
        <w:rPr>
          <w:rFonts w:ascii="Times New Roman" w:hAnsi="Times New Roman"/>
        </w:rPr>
        <w:t xml:space="preserve"> each calendar month, as well as each set of required information provided under either </w:t>
      </w:r>
      <w:r w:rsidR="00FF5FC2">
        <w:rPr>
          <w:rFonts w:ascii="Times New Roman" w:hAnsi="Times New Roman"/>
        </w:rPr>
        <w:t>s</w:t>
      </w:r>
      <w:r w:rsidR="005455ED">
        <w:rPr>
          <w:rFonts w:ascii="Times New Roman" w:hAnsi="Times New Roman"/>
        </w:rPr>
        <w:t xml:space="preserve">ubsections 11D(3-7) </w:t>
      </w:r>
      <w:r w:rsidR="00FF5FC2">
        <w:rPr>
          <w:rFonts w:ascii="Times New Roman" w:hAnsi="Times New Roman"/>
        </w:rPr>
        <w:t>and</w:t>
      </w:r>
      <w:r w:rsidR="005455ED">
        <w:rPr>
          <w:rFonts w:ascii="Times New Roman" w:hAnsi="Times New Roman"/>
        </w:rPr>
        <w:t xml:space="preserve"> 11E(3-12). </w:t>
      </w:r>
      <w:r w:rsidR="0050057C" w:rsidRPr="00C26F6B">
        <w:rPr>
          <w:rFonts w:ascii="Times New Roman" w:hAnsi="Times New Roman"/>
        </w:rPr>
        <w:t xml:space="preserve">Accordingly, </w:t>
      </w:r>
      <w:r w:rsidR="00FF5FC2">
        <w:rPr>
          <w:rFonts w:ascii="Times New Roman" w:hAnsi="Times New Roman"/>
        </w:rPr>
        <w:t xml:space="preserve">it is envisaged that </w:t>
      </w:r>
      <w:r w:rsidR="0050057C" w:rsidRPr="00C26F6B">
        <w:rPr>
          <w:rFonts w:ascii="Times New Roman" w:hAnsi="Times New Roman"/>
        </w:rPr>
        <w:t xml:space="preserve">each report provided after the initial reporting period </w:t>
      </w:r>
      <w:r w:rsidR="005455ED">
        <w:rPr>
          <w:rFonts w:ascii="Times New Roman" w:hAnsi="Times New Roman"/>
        </w:rPr>
        <w:t xml:space="preserve">(i.e. under </w:t>
      </w:r>
      <w:r w:rsidR="00FF5FC2">
        <w:rPr>
          <w:rFonts w:ascii="Times New Roman" w:hAnsi="Times New Roman"/>
        </w:rPr>
        <w:t>s</w:t>
      </w:r>
      <w:r w:rsidR="005455ED">
        <w:rPr>
          <w:rFonts w:ascii="Times New Roman" w:hAnsi="Times New Roman"/>
        </w:rPr>
        <w:t xml:space="preserve">ection 11E) will </w:t>
      </w:r>
      <w:r w:rsidR="0050057C" w:rsidRPr="00C26F6B">
        <w:rPr>
          <w:rFonts w:ascii="Times New Roman" w:hAnsi="Times New Roman"/>
        </w:rPr>
        <w:t>provide information using 30 separate tables</w:t>
      </w:r>
      <w:r w:rsidR="00555836">
        <w:rPr>
          <w:rFonts w:ascii="Times New Roman" w:hAnsi="Times New Roman"/>
        </w:rPr>
        <w:t xml:space="preserve"> – 10 tables for each grouping of required data</w:t>
      </w:r>
      <w:r w:rsidR="0050057C" w:rsidRPr="00C26F6B">
        <w:rPr>
          <w:rFonts w:ascii="Times New Roman" w:hAnsi="Times New Roman"/>
        </w:rPr>
        <w:t xml:space="preserve">, for each of the 3 months within the quarter. </w:t>
      </w:r>
    </w:p>
    <w:p w14:paraId="7D0C5ABC" w14:textId="390EAE0F" w:rsidR="005455ED" w:rsidRDefault="005455ED" w:rsidP="0050057C">
      <w:pPr>
        <w:spacing w:line="276" w:lineRule="auto"/>
        <w:rPr>
          <w:rFonts w:ascii="Times New Roman" w:hAnsi="Times New Roman"/>
          <w:color w:val="000000" w:themeColor="text1"/>
        </w:rPr>
      </w:pPr>
      <w:r>
        <w:rPr>
          <w:rFonts w:ascii="Times New Roman" w:hAnsi="Times New Roman"/>
          <w:color w:val="000000" w:themeColor="text1"/>
        </w:rPr>
        <w:t>Reports must be provided in a</w:t>
      </w:r>
      <w:r w:rsidR="0050057C" w:rsidRPr="00C26F6B">
        <w:rPr>
          <w:rFonts w:ascii="Times New Roman" w:hAnsi="Times New Roman"/>
          <w:color w:val="000000" w:themeColor="text1"/>
        </w:rPr>
        <w:t xml:space="preserve"> form that is easily unders</w:t>
      </w:r>
      <w:r>
        <w:rPr>
          <w:rFonts w:ascii="Times New Roman" w:hAnsi="Times New Roman"/>
          <w:color w:val="000000" w:themeColor="text1"/>
        </w:rPr>
        <w:t>tood and readable by a machine.</w:t>
      </w:r>
      <w:r w:rsidR="00555836">
        <w:rPr>
          <w:rFonts w:ascii="Times New Roman" w:hAnsi="Times New Roman"/>
          <w:color w:val="000000" w:themeColor="text1"/>
        </w:rPr>
        <w:t xml:space="preserve"> </w:t>
      </w:r>
      <w:r>
        <w:rPr>
          <w:rFonts w:ascii="Times New Roman" w:hAnsi="Times New Roman"/>
          <w:color w:val="000000" w:themeColor="text1"/>
        </w:rPr>
        <w:t xml:space="preserve">Telstra must also ensure each report uses clearly labelled headings and includes a glossary of any abbreviations or acronyms used in the report. </w:t>
      </w:r>
    </w:p>
    <w:p w14:paraId="51DAC4A0" w14:textId="707B74F5" w:rsidR="0050057C" w:rsidRPr="005455ED" w:rsidRDefault="005455ED" w:rsidP="0050057C">
      <w:pPr>
        <w:spacing w:line="276" w:lineRule="auto"/>
        <w:rPr>
          <w:rFonts w:ascii="Times New Roman" w:hAnsi="Times New Roman"/>
          <w:color w:val="000000" w:themeColor="text1"/>
        </w:rPr>
      </w:pPr>
      <w:r w:rsidRPr="00C26F6B">
        <w:rPr>
          <w:rFonts w:ascii="Times New Roman" w:hAnsi="Times New Roman"/>
          <w:color w:val="000000" w:themeColor="text1"/>
        </w:rPr>
        <w:t xml:space="preserve">Reports </w:t>
      </w:r>
      <w:r>
        <w:rPr>
          <w:rFonts w:ascii="Times New Roman" w:hAnsi="Times New Roman"/>
          <w:color w:val="000000" w:themeColor="text1"/>
        </w:rPr>
        <w:t>are also required to</w:t>
      </w:r>
      <w:r w:rsidRPr="00C26F6B">
        <w:rPr>
          <w:rFonts w:ascii="Times New Roman" w:hAnsi="Times New Roman"/>
          <w:color w:val="000000" w:themeColor="text1"/>
        </w:rPr>
        <w:t xml:space="preserve"> be provided through electroni</w:t>
      </w:r>
      <w:r>
        <w:rPr>
          <w:rFonts w:ascii="Times New Roman" w:hAnsi="Times New Roman"/>
          <w:color w:val="000000" w:themeColor="text1"/>
        </w:rPr>
        <w:t>c communication, such as email</w:t>
      </w:r>
      <w:r w:rsidR="002D07A6">
        <w:rPr>
          <w:rFonts w:ascii="Times New Roman" w:hAnsi="Times New Roman"/>
          <w:color w:val="000000" w:themeColor="text1"/>
        </w:rPr>
        <w:t xml:space="preserve"> or </w:t>
      </w:r>
      <w:r w:rsidR="00AC4689">
        <w:rPr>
          <w:rFonts w:ascii="Times New Roman" w:hAnsi="Times New Roman"/>
          <w:color w:val="000000" w:themeColor="text1"/>
        </w:rPr>
        <w:t>file sharing</w:t>
      </w:r>
      <w:r w:rsidR="002D07A6">
        <w:rPr>
          <w:rFonts w:ascii="Times New Roman" w:hAnsi="Times New Roman"/>
          <w:color w:val="000000" w:themeColor="text1"/>
        </w:rPr>
        <w:t xml:space="preserve"> software</w:t>
      </w:r>
      <w:r>
        <w:rPr>
          <w:rFonts w:ascii="Times New Roman" w:hAnsi="Times New Roman"/>
          <w:color w:val="000000" w:themeColor="text1"/>
        </w:rPr>
        <w:t xml:space="preserve">. Telstra must </w:t>
      </w:r>
      <w:r w:rsidR="0050057C" w:rsidRPr="00C26F6B">
        <w:rPr>
          <w:rFonts w:ascii="Times New Roman" w:hAnsi="Times New Roman"/>
          <w:color w:val="000000" w:themeColor="text1"/>
        </w:rPr>
        <w:t>send reports over a particular form of electronic communication, to a particular address, if notified in writing by the ACMA or the Department.</w:t>
      </w:r>
    </w:p>
    <w:p w14:paraId="1196DC30" w14:textId="77777777" w:rsidR="00581B9F" w:rsidRPr="00C26F6B" w:rsidRDefault="00581B9F" w:rsidP="00581B9F">
      <w:pPr>
        <w:spacing w:line="276" w:lineRule="auto"/>
        <w:rPr>
          <w:rFonts w:ascii="Times New Roman" w:hAnsi="Times New Roman"/>
          <w:b/>
        </w:rPr>
      </w:pPr>
      <w:r w:rsidRPr="0050057C">
        <w:rPr>
          <w:rFonts w:ascii="Times New Roman" w:hAnsi="Times New Roman"/>
          <w:b/>
        </w:rPr>
        <w:t>Clause 3</w:t>
      </w:r>
      <w:r w:rsidRPr="0050057C">
        <w:rPr>
          <w:rFonts w:ascii="Times New Roman" w:hAnsi="Times New Roman"/>
          <w:b/>
        </w:rPr>
        <w:tab/>
        <w:t>Subsection</w:t>
      </w:r>
      <w:r w:rsidRPr="00C26F6B">
        <w:rPr>
          <w:rFonts w:ascii="Times New Roman" w:hAnsi="Times New Roman"/>
          <w:b/>
        </w:rPr>
        <w:t xml:space="preserve"> 14(1)</w:t>
      </w:r>
    </w:p>
    <w:p w14:paraId="6389C898" w14:textId="2FF5C0DC" w:rsidR="00581B9F" w:rsidRPr="00C26F6B" w:rsidRDefault="00581B9F" w:rsidP="00581B9F">
      <w:pPr>
        <w:spacing w:line="276" w:lineRule="auto"/>
        <w:rPr>
          <w:rFonts w:ascii="Times New Roman" w:hAnsi="Times New Roman"/>
        </w:rPr>
      </w:pPr>
      <w:r w:rsidRPr="00C26F6B">
        <w:rPr>
          <w:rFonts w:ascii="Times New Roman" w:hAnsi="Times New Roman"/>
        </w:rPr>
        <w:t xml:space="preserve">Clause 3 repeals the definitions of </w:t>
      </w:r>
      <w:r w:rsidRPr="00C26F6B">
        <w:rPr>
          <w:rFonts w:ascii="Times New Roman" w:hAnsi="Times New Roman"/>
          <w:i/>
        </w:rPr>
        <w:t>CSG service</w:t>
      </w:r>
      <w:r w:rsidRPr="00C26F6B">
        <w:rPr>
          <w:rFonts w:ascii="Times New Roman" w:hAnsi="Times New Roman"/>
        </w:rPr>
        <w:t>,</w:t>
      </w:r>
      <w:r w:rsidRPr="00C26F6B">
        <w:rPr>
          <w:rFonts w:ascii="Times New Roman" w:hAnsi="Times New Roman"/>
          <w:i/>
        </w:rPr>
        <w:t xml:space="preserve"> fault or service difficulty </w:t>
      </w:r>
      <w:r w:rsidRPr="00C26F6B">
        <w:rPr>
          <w:rFonts w:ascii="Times New Roman" w:hAnsi="Times New Roman"/>
        </w:rPr>
        <w:t xml:space="preserve">and </w:t>
      </w:r>
      <w:r w:rsidRPr="00C26F6B">
        <w:rPr>
          <w:rFonts w:ascii="Times New Roman" w:hAnsi="Times New Roman"/>
          <w:i/>
        </w:rPr>
        <w:t xml:space="preserve">quarter </w:t>
      </w:r>
      <w:r w:rsidRPr="00C26F6B">
        <w:rPr>
          <w:rFonts w:ascii="Times New Roman" w:hAnsi="Times New Roman"/>
        </w:rPr>
        <w:t xml:space="preserve">in subsection 14(1) of the Original Instrument. These definitions are instead inserted into </w:t>
      </w:r>
      <w:r w:rsidR="0043020C">
        <w:rPr>
          <w:rFonts w:ascii="Times New Roman" w:hAnsi="Times New Roman"/>
        </w:rPr>
        <w:t>s</w:t>
      </w:r>
      <w:r w:rsidRPr="00C26F6B">
        <w:rPr>
          <w:rFonts w:ascii="Times New Roman" w:hAnsi="Times New Roman"/>
        </w:rPr>
        <w:t xml:space="preserve">ection 4 by clause 1 of the Amending Instrument. </w:t>
      </w:r>
    </w:p>
    <w:p w14:paraId="37E16109" w14:textId="77777777" w:rsidR="00581B9F" w:rsidRPr="00C26F6B" w:rsidRDefault="00581B9F" w:rsidP="00581B9F">
      <w:pPr>
        <w:spacing w:line="276" w:lineRule="auto"/>
        <w:rPr>
          <w:rFonts w:ascii="Times New Roman" w:hAnsi="Times New Roman"/>
          <w:b/>
        </w:rPr>
      </w:pPr>
      <w:r w:rsidRPr="00C26F6B">
        <w:rPr>
          <w:rFonts w:ascii="Times New Roman" w:hAnsi="Times New Roman"/>
          <w:b/>
        </w:rPr>
        <w:t xml:space="preserve">Clause 4 </w:t>
      </w:r>
      <w:r w:rsidRPr="00C26F6B">
        <w:rPr>
          <w:rFonts w:ascii="Times New Roman" w:hAnsi="Times New Roman"/>
          <w:b/>
        </w:rPr>
        <w:tab/>
        <w:t>Item (1A) of Schedule 1</w:t>
      </w:r>
    </w:p>
    <w:p w14:paraId="5C546CBC" w14:textId="1B699B78" w:rsidR="00581B9F" w:rsidRPr="00C26F6B" w:rsidRDefault="00581B9F" w:rsidP="00581B9F">
      <w:pPr>
        <w:spacing w:line="276" w:lineRule="auto"/>
        <w:rPr>
          <w:rFonts w:ascii="Times New Roman" w:hAnsi="Times New Roman"/>
        </w:rPr>
      </w:pPr>
      <w:r w:rsidRPr="00C26F6B">
        <w:rPr>
          <w:rFonts w:ascii="Times New Roman" w:hAnsi="Times New Roman"/>
        </w:rPr>
        <w:t xml:space="preserve">Clause 4 repeals </w:t>
      </w:r>
      <w:r w:rsidR="003660F4">
        <w:rPr>
          <w:rFonts w:ascii="Times New Roman" w:hAnsi="Times New Roman"/>
        </w:rPr>
        <w:t>i</w:t>
      </w:r>
      <w:r w:rsidRPr="00C26F6B">
        <w:rPr>
          <w:rFonts w:ascii="Times New Roman" w:hAnsi="Times New Roman"/>
        </w:rPr>
        <w:t xml:space="preserve">tem (1A) of Schedule 1 within the Original Instrument. This item provides a definition for </w:t>
      </w:r>
      <w:r w:rsidRPr="00C26F6B">
        <w:rPr>
          <w:rFonts w:ascii="Times New Roman" w:hAnsi="Times New Roman"/>
          <w:i/>
        </w:rPr>
        <w:t>CSG Standard.</w:t>
      </w:r>
      <w:r w:rsidRPr="00C26F6B">
        <w:rPr>
          <w:rFonts w:ascii="Times New Roman" w:hAnsi="Times New Roman"/>
        </w:rPr>
        <w:t xml:space="preserve"> The definition for </w:t>
      </w:r>
      <w:r w:rsidRPr="00C26F6B">
        <w:rPr>
          <w:rFonts w:ascii="Times New Roman" w:hAnsi="Times New Roman"/>
          <w:i/>
        </w:rPr>
        <w:t xml:space="preserve">CSG Standard </w:t>
      </w:r>
      <w:r w:rsidRPr="00C26F6B">
        <w:rPr>
          <w:rFonts w:ascii="Times New Roman" w:hAnsi="Times New Roman"/>
        </w:rPr>
        <w:t xml:space="preserve">is instead inserted into </w:t>
      </w:r>
      <w:r w:rsidR="0043020C">
        <w:rPr>
          <w:rFonts w:ascii="Times New Roman" w:hAnsi="Times New Roman"/>
        </w:rPr>
        <w:t>s</w:t>
      </w:r>
      <w:r w:rsidRPr="00C26F6B">
        <w:rPr>
          <w:rFonts w:ascii="Times New Roman" w:hAnsi="Times New Roman"/>
        </w:rPr>
        <w:t xml:space="preserve">ection 4 by clause 1 of the Amending Instrument. </w:t>
      </w:r>
    </w:p>
    <w:p w14:paraId="2DDC59AA" w14:textId="77777777" w:rsidR="00581B9F" w:rsidRPr="00C26F6B" w:rsidRDefault="00581B9F" w:rsidP="00581B9F">
      <w:pPr>
        <w:spacing w:after="160" w:line="259" w:lineRule="auto"/>
        <w:rPr>
          <w:rFonts w:ascii="Times New Roman" w:hAnsi="Times New Roman"/>
          <w:b/>
          <w:sz w:val="28"/>
          <w:szCs w:val="28"/>
        </w:rPr>
      </w:pPr>
      <w:r w:rsidRPr="00C26F6B">
        <w:rPr>
          <w:rFonts w:ascii="Times New Roman" w:hAnsi="Times New Roman"/>
          <w:b/>
          <w:sz w:val="28"/>
          <w:szCs w:val="28"/>
        </w:rPr>
        <w:br w:type="page"/>
      </w:r>
    </w:p>
    <w:p w14:paraId="7968A1C6" w14:textId="77777777" w:rsidR="00581B9F" w:rsidRPr="00C26F6B" w:rsidRDefault="00581B9F" w:rsidP="00581B9F">
      <w:pPr>
        <w:spacing w:after="160" w:line="259" w:lineRule="auto"/>
        <w:ind w:left="6480" w:firstLine="720"/>
        <w:rPr>
          <w:rFonts w:ascii="Times New Roman" w:hAnsi="Times New Roman"/>
          <w:b/>
          <w:sz w:val="28"/>
          <w:szCs w:val="28"/>
        </w:rPr>
      </w:pPr>
      <w:r w:rsidRPr="00C26F6B">
        <w:rPr>
          <w:rFonts w:ascii="Times New Roman" w:hAnsi="Times New Roman"/>
          <w:b/>
          <w:sz w:val="28"/>
          <w:szCs w:val="28"/>
        </w:rPr>
        <w:t>Attachment B</w:t>
      </w:r>
    </w:p>
    <w:p w14:paraId="3E133306" w14:textId="77777777" w:rsidR="00581B9F" w:rsidRPr="00C26F6B" w:rsidRDefault="00581B9F" w:rsidP="00581B9F">
      <w:pPr>
        <w:pStyle w:val="Heading2"/>
        <w:rPr>
          <w:rFonts w:eastAsiaTheme="minorHAnsi" w:cs="Times New Roman"/>
          <w:sz w:val="24"/>
          <w:szCs w:val="24"/>
        </w:rPr>
      </w:pPr>
      <w:r w:rsidRPr="00C26F6B">
        <w:rPr>
          <w:rFonts w:eastAsiaTheme="minorHAnsi" w:cs="Times New Roman"/>
          <w:sz w:val="24"/>
          <w:szCs w:val="24"/>
        </w:rPr>
        <w:t>Statement of Compatibility with Human Rights</w:t>
      </w:r>
    </w:p>
    <w:p w14:paraId="01993E08" w14:textId="77777777" w:rsidR="00581B9F" w:rsidRPr="00C26F6B" w:rsidRDefault="00581B9F" w:rsidP="00581B9F">
      <w:pPr>
        <w:shd w:val="clear" w:color="auto" w:fill="FFFFFF"/>
        <w:ind w:right="91"/>
        <w:jc w:val="center"/>
        <w:rPr>
          <w:rFonts w:ascii="Times New Roman" w:hAnsi="Times New Roman"/>
          <w:i/>
          <w:iCs/>
          <w:lang w:val="en-GB"/>
        </w:rPr>
      </w:pPr>
      <w:r w:rsidRPr="00C26F6B">
        <w:rPr>
          <w:rFonts w:ascii="Times New Roman" w:hAnsi="Times New Roman"/>
          <w:iCs/>
          <w:lang w:val="en-GB"/>
        </w:rPr>
        <w:t>Prepared in accordance with Part 3 of the</w:t>
      </w:r>
      <w:r w:rsidRPr="00C26F6B">
        <w:rPr>
          <w:rFonts w:ascii="Times New Roman" w:hAnsi="Times New Roman"/>
          <w:iCs/>
          <w:lang w:val="en-GB"/>
        </w:rPr>
        <w:br/>
      </w:r>
      <w:r w:rsidRPr="00C26F6B">
        <w:rPr>
          <w:rFonts w:ascii="Times New Roman" w:hAnsi="Times New Roman"/>
          <w:i/>
          <w:iCs/>
          <w:lang w:val="en-GB"/>
        </w:rPr>
        <w:t>Human Rights (Parliamentary Scrutiny) Act 2011</w:t>
      </w:r>
    </w:p>
    <w:p w14:paraId="1DB3F0F6" w14:textId="7DE73A72" w:rsidR="004625E5" w:rsidRDefault="00581B9F" w:rsidP="004625E5">
      <w:pPr>
        <w:spacing w:before="100" w:beforeAutospacing="1" w:after="100" w:afterAutospacing="1" w:line="300" w:lineRule="atLeast"/>
        <w:jc w:val="center"/>
        <w:rPr>
          <w:rFonts w:ascii="Times New Roman" w:hAnsi="Times New Roman"/>
          <w:b/>
          <w:i/>
        </w:rPr>
      </w:pPr>
      <w:r w:rsidRPr="00C26F6B">
        <w:rPr>
          <w:rFonts w:ascii="Times New Roman" w:hAnsi="Times New Roman"/>
          <w:b/>
          <w:i/>
        </w:rPr>
        <w:t>Telecommunications (Carrier Licence Conditions—Telstra Corporation Limited) Amendment (Regional Service Information) Instrument 2021</w:t>
      </w:r>
    </w:p>
    <w:p w14:paraId="2ABA133D" w14:textId="12548D56" w:rsidR="004625E5" w:rsidRDefault="004625E5" w:rsidP="004625E5">
      <w:pPr>
        <w:spacing w:before="100" w:beforeAutospacing="1" w:after="100" w:afterAutospacing="1" w:line="300" w:lineRule="atLeast"/>
        <w:rPr>
          <w:rFonts w:ascii="Times New Roman" w:hAnsi="Times New Roman"/>
        </w:rPr>
      </w:pPr>
      <w:r>
        <w:rPr>
          <w:rFonts w:ascii="Times New Roman" w:hAnsi="Times New Roman"/>
        </w:rPr>
        <w:t xml:space="preserve">The </w:t>
      </w:r>
      <w:r>
        <w:rPr>
          <w:rFonts w:ascii="Times New Roman" w:hAnsi="Times New Roman"/>
          <w:i/>
        </w:rPr>
        <w:t xml:space="preserve">Telecommunications (Carrier Licence Conditions—Telstra Corporation Limited) Amendment (Regional Service Information) Instrument 2021 </w:t>
      </w:r>
      <w:r>
        <w:rPr>
          <w:rFonts w:ascii="Times New Roman" w:hAnsi="Times New Roman"/>
        </w:rPr>
        <w:t xml:space="preserve">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p>
    <w:p w14:paraId="055BBA35" w14:textId="48AE2685" w:rsidR="004625E5" w:rsidRDefault="004625E5" w:rsidP="004625E5">
      <w:pPr>
        <w:spacing w:before="100" w:beforeAutospacing="1" w:after="100" w:afterAutospacing="1" w:line="300" w:lineRule="atLeast"/>
        <w:rPr>
          <w:rFonts w:ascii="Times New Roman" w:hAnsi="Times New Roman"/>
          <w:b/>
        </w:rPr>
      </w:pPr>
      <w:r>
        <w:rPr>
          <w:rFonts w:ascii="Times New Roman" w:hAnsi="Times New Roman"/>
          <w:b/>
        </w:rPr>
        <w:t>Overview of the Instrument</w:t>
      </w:r>
    </w:p>
    <w:p w14:paraId="5C08A630" w14:textId="4AB7FB1A" w:rsidR="004625E5" w:rsidRDefault="004625E5" w:rsidP="00AC4689">
      <w:pPr>
        <w:spacing w:before="100" w:beforeAutospacing="1" w:after="100" w:afterAutospacing="1" w:line="300" w:lineRule="atLeast"/>
        <w:ind w:right="-144"/>
        <w:rPr>
          <w:rFonts w:ascii="Times New Roman" w:hAnsi="Times New Roman"/>
        </w:rPr>
      </w:pPr>
      <w:r>
        <w:rPr>
          <w:rFonts w:ascii="Times New Roman" w:hAnsi="Times New Roman"/>
        </w:rPr>
        <w:t xml:space="preserve">The Amendment Instrument has been made by the </w:t>
      </w:r>
      <w:r w:rsidRPr="00C26F6B">
        <w:rPr>
          <w:rFonts w:ascii="Times New Roman" w:hAnsi="Times New Roman"/>
        </w:rPr>
        <w:t>Minister for Communications, Urban Infrastructure, Cities and the Arts</w:t>
      </w:r>
      <w:r>
        <w:rPr>
          <w:rFonts w:ascii="Times New Roman" w:hAnsi="Times New Roman"/>
        </w:rPr>
        <w:t xml:space="preserve"> under subsection 63(5) of the </w:t>
      </w:r>
      <w:r>
        <w:rPr>
          <w:rFonts w:ascii="Times New Roman" w:hAnsi="Times New Roman"/>
          <w:i/>
        </w:rPr>
        <w:t>Telecommunications Act 1997</w:t>
      </w:r>
      <w:r w:rsidRPr="00543216">
        <w:rPr>
          <w:rFonts w:ascii="Times New Roman" w:hAnsi="Times New Roman"/>
        </w:rPr>
        <w:t>.</w:t>
      </w:r>
      <w:r>
        <w:rPr>
          <w:rFonts w:ascii="Times New Roman" w:hAnsi="Times New Roman"/>
          <w:i/>
        </w:rPr>
        <w:t xml:space="preserve"> </w:t>
      </w:r>
    </w:p>
    <w:p w14:paraId="0F88AF46" w14:textId="4B42BB83" w:rsidR="002C0D54" w:rsidRDefault="004625E5" w:rsidP="002C0D54">
      <w:pPr>
        <w:spacing w:before="100" w:beforeAutospacing="1" w:after="100" w:afterAutospacing="1" w:line="300" w:lineRule="atLeast"/>
        <w:rPr>
          <w:rFonts w:ascii="Times New Roman" w:hAnsi="Times New Roman"/>
        </w:rPr>
      </w:pPr>
      <w:r>
        <w:rPr>
          <w:rFonts w:ascii="Times New Roman" w:hAnsi="Times New Roman"/>
        </w:rPr>
        <w:t xml:space="preserve">The Amendment Instrument varies the </w:t>
      </w:r>
      <w:r w:rsidRPr="00C26F6B">
        <w:rPr>
          <w:rFonts w:ascii="Times New Roman" w:hAnsi="Times New Roman"/>
          <w:i/>
        </w:rPr>
        <w:t>Telecommunications (Carrier Licence Conditions—Telstra Corporation Limited) Declaration 2019</w:t>
      </w:r>
      <w:r>
        <w:rPr>
          <w:rFonts w:ascii="Times New Roman" w:hAnsi="Times New Roman"/>
          <w:i/>
        </w:rPr>
        <w:t xml:space="preserve"> </w:t>
      </w:r>
      <w:r>
        <w:rPr>
          <w:rFonts w:ascii="Times New Roman" w:hAnsi="Times New Roman"/>
        </w:rPr>
        <w:t xml:space="preserve">to include new </w:t>
      </w:r>
      <w:r w:rsidR="002C0D54">
        <w:rPr>
          <w:rFonts w:ascii="Times New Roman" w:hAnsi="Times New Roman"/>
        </w:rPr>
        <w:t xml:space="preserve">reporting requirements </w:t>
      </w:r>
      <w:r>
        <w:rPr>
          <w:rFonts w:ascii="Times New Roman" w:hAnsi="Times New Roman"/>
        </w:rPr>
        <w:t>within Telstra’</w:t>
      </w:r>
      <w:r w:rsidR="002C0D54">
        <w:rPr>
          <w:rFonts w:ascii="Times New Roman" w:hAnsi="Times New Roman"/>
        </w:rPr>
        <w:t xml:space="preserve">s carrier licence conditions. </w:t>
      </w:r>
    </w:p>
    <w:p w14:paraId="573EAAB6" w14:textId="24AE6B0B" w:rsidR="002C0D54" w:rsidRDefault="003964BC" w:rsidP="002C0D54">
      <w:pPr>
        <w:spacing w:before="100" w:beforeAutospacing="1" w:after="100" w:afterAutospacing="1" w:line="300" w:lineRule="atLeast"/>
        <w:rPr>
          <w:rFonts w:ascii="Times New Roman" w:hAnsi="Times New Roman"/>
        </w:rPr>
      </w:pPr>
      <w:r>
        <w:rPr>
          <w:rFonts w:ascii="Times New Roman" w:hAnsi="Times New Roman"/>
        </w:rPr>
        <w:t>Access to reliable</w:t>
      </w:r>
      <w:r w:rsidR="007623DA">
        <w:rPr>
          <w:rFonts w:ascii="Times New Roman" w:hAnsi="Times New Roman"/>
        </w:rPr>
        <w:t>,</w:t>
      </w:r>
      <w:r>
        <w:rPr>
          <w:rFonts w:ascii="Times New Roman" w:hAnsi="Times New Roman"/>
        </w:rPr>
        <w:t xml:space="preserve"> </w:t>
      </w:r>
      <w:r w:rsidR="007623DA">
        <w:rPr>
          <w:rFonts w:ascii="Times New Roman" w:hAnsi="Times New Roman"/>
        </w:rPr>
        <w:t xml:space="preserve">quality </w:t>
      </w:r>
      <w:r>
        <w:rPr>
          <w:rFonts w:ascii="Times New Roman" w:hAnsi="Times New Roman"/>
        </w:rPr>
        <w:t xml:space="preserve">telecommunications is important to most facets of modern life, including social, economic, cultural and political activities. </w:t>
      </w:r>
      <w:r w:rsidR="004625E5">
        <w:rPr>
          <w:rFonts w:ascii="Times New Roman" w:hAnsi="Times New Roman"/>
        </w:rPr>
        <w:t xml:space="preserve">The new obligations require Telstra to improve its reporting on its delivery of voice services in </w:t>
      </w:r>
      <w:r>
        <w:rPr>
          <w:rFonts w:ascii="Times New Roman" w:hAnsi="Times New Roman"/>
        </w:rPr>
        <w:t xml:space="preserve">rural </w:t>
      </w:r>
      <w:r w:rsidR="004625E5">
        <w:rPr>
          <w:rFonts w:ascii="Times New Roman" w:hAnsi="Times New Roman"/>
        </w:rPr>
        <w:t>and remote areas under the Universal Service Guara</w:t>
      </w:r>
      <w:r w:rsidR="002C0D54">
        <w:rPr>
          <w:rFonts w:ascii="Times New Roman" w:hAnsi="Times New Roman"/>
        </w:rPr>
        <w:t xml:space="preserve">ntee (USG). This will provide the community with more </w:t>
      </w:r>
      <w:r w:rsidR="00AC4689">
        <w:rPr>
          <w:rFonts w:ascii="Times New Roman" w:hAnsi="Times New Roman"/>
        </w:rPr>
        <w:t>frequent, localised and detailed</w:t>
      </w:r>
      <w:r w:rsidR="002C0D54">
        <w:rPr>
          <w:rFonts w:ascii="Times New Roman" w:hAnsi="Times New Roman"/>
        </w:rPr>
        <w:t xml:space="preserve"> data</w:t>
      </w:r>
      <w:r w:rsidR="007623DA">
        <w:rPr>
          <w:rFonts w:ascii="Times New Roman" w:hAnsi="Times New Roman"/>
        </w:rPr>
        <w:t>,</w:t>
      </w:r>
      <w:r w:rsidR="002C0D54">
        <w:rPr>
          <w:rFonts w:ascii="Times New Roman" w:hAnsi="Times New Roman"/>
        </w:rPr>
        <w:t xml:space="preserve"> </w:t>
      </w:r>
      <w:r>
        <w:rPr>
          <w:rFonts w:ascii="Times New Roman" w:hAnsi="Times New Roman"/>
        </w:rPr>
        <w:t>allowing</w:t>
      </w:r>
      <w:r w:rsidR="00AC4689">
        <w:rPr>
          <w:rFonts w:ascii="Times New Roman" w:hAnsi="Times New Roman"/>
        </w:rPr>
        <w:t xml:space="preserve"> a more comprehensive understanding of</w:t>
      </w:r>
      <w:r w:rsidR="002C0D54">
        <w:rPr>
          <w:rFonts w:ascii="Times New Roman" w:hAnsi="Times New Roman"/>
        </w:rPr>
        <w:t xml:space="preserve"> Telstra’s performance </w:t>
      </w:r>
      <w:r w:rsidR="00AC4689">
        <w:rPr>
          <w:rFonts w:ascii="Times New Roman" w:hAnsi="Times New Roman"/>
        </w:rPr>
        <w:t xml:space="preserve">in </w:t>
      </w:r>
      <w:r w:rsidR="007623C6">
        <w:rPr>
          <w:rFonts w:ascii="Times New Roman" w:hAnsi="Times New Roman"/>
        </w:rPr>
        <w:t>delivering</w:t>
      </w:r>
      <w:r>
        <w:rPr>
          <w:rFonts w:ascii="Times New Roman" w:hAnsi="Times New Roman"/>
        </w:rPr>
        <w:t xml:space="preserve"> </w:t>
      </w:r>
      <w:r w:rsidR="00AC4689">
        <w:rPr>
          <w:rFonts w:ascii="Times New Roman" w:hAnsi="Times New Roman"/>
        </w:rPr>
        <w:t xml:space="preserve">telephone services </w:t>
      </w:r>
      <w:r w:rsidR="002C0D54">
        <w:rPr>
          <w:rFonts w:ascii="Times New Roman" w:hAnsi="Times New Roman"/>
        </w:rPr>
        <w:t xml:space="preserve">outside the NBN fixed-line footprint, </w:t>
      </w:r>
      <w:r w:rsidR="00AC4689">
        <w:rPr>
          <w:rFonts w:ascii="Times New Roman" w:hAnsi="Times New Roman"/>
        </w:rPr>
        <w:t xml:space="preserve">particularly </w:t>
      </w:r>
      <w:r w:rsidR="002C0D54">
        <w:rPr>
          <w:rFonts w:ascii="Times New Roman" w:hAnsi="Times New Roman"/>
        </w:rPr>
        <w:t xml:space="preserve">where it continues to operate its own infrastructure. </w:t>
      </w:r>
    </w:p>
    <w:p w14:paraId="4AC83FFB" w14:textId="6A31760B" w:rsidR="006A151F" w:rsidRDefault="002C0D54" w:rsidP="002C0D54">
      <w:pPr>
        <w:spacing w:before="100" w:beforeAutospacing="1" w:after="100" w:afterAutospacing="1" w:line="300" w:lineRule="atLeast"/>
        <w:rPr>
          <w:rFonts w:ascii="Times New Roman" w:hAnsi="Times New Roman"/>
        </w:rPr>
      </w:pPr>
      <w:r>
        <w:rPr>
          <w:rFonts w:ascii="Times New Roman" w:hAnsi="Times New Roman"/>
        </w:rPr>
        <w:t xml:space="preserve">During consultation on an earlier draft of the Amendment Instrument, stakeholder feedback raised concerns </w:t>
      </w:r>
      <w:r w:rsidR="00AC4689">
        <w:rPr>
          <w:rFonts w:ascii="Times New Roman" w:hAnsi="Times New Roman"/>
        </w:rPr>
        <w:t xml:space="preserve">that </w:t>
      </w:r>
      <w:r w:rsidR="00383D40">
        <w:rPr>
          <w:rFonts w:ascii="Times New Roman" w:hAnsi="Times New Roman"/>
        </w:rPr>
        <w:t xml:space="preserve">requiring </w:t>
      </w:r>
      <w:r>
        <w:rPr>
          <w:rFonts w:ascii="Times New Roman" w:hAnsi="Times New Roman"/>
        </w:rPr>
        <w:t xml:space="preserve">Telstra to </w:t>
      </w:r>
      <w:r w:rsidR="00AC4689">
        <w:rPr>
          <w:rFonts w:ascii="Times New Roman" w:hAnsi="Times New Roman"/>
        </w:rPr>
        <w:t xml:space="preserve">enable the public to match phone numbers with </w:t>
      </w:r>
      <w:r w:rsidR="00EE682A">
        <w:rPr>
          <w:rFonts w:ascii="Times New Roman" w:hAnsi="Times New Roman"/>
        </w:rPr>
        <w:t>exchange service area (ESA)</w:t>
      </w:r>
      <w:r w:rsidR="00AA3099">
        <w:rPr>
          <w:rFonts w:ascii="Times New Roman" w:hAnsi="Times New Roman"/>
        </w:rPr>
        <w:t xml:space="preserve">, albeit large geographical areas, </w:t>
      </w:r>
      <w:r w:rsidR="003964BC">
        <w:rPr>
          <w:rFonts w:ascii="Times New Roman" w:hAnsi="Times New Roman"/>
        </w:rPr>
        <w:t xml:space="preserve">could raise privacy and </w:t>
      </w:r>
      <w:r w:rsidR="006A151F">
        <w:rPr>
          <w:rFonts w:ascii="Times New Roman" w:hAnsi="Times New Roman"/>
        </w:rPr>
        <w:t>safety</w:t>
      </w:r>
      <w:r w:rsidR="003964BC">
        <w:rPr>
          <w:rFonts w:ascii="Times New Roman" w:hAnsi="Times New Roman"/>
        </w:rPr>
        <w:t xml:space="preserve"> issues. The Amendment Instrument has been changed to </w:t>
      </w:r>
      <w:r w:rsidR="00AA3099">
        <w:rPr>
          <w:rFonts w:ascii="Times New Roman" w:hAnsi="Times New Roman"/>
        </w:rPr>
        <w:t>prevent</w:t>
      </w:r>
      <w:r w:rsidR="003964BC">
        <w:rPr>
          <w:rFonts w:ascii="Times New Roman" w:hAnsi="Times New Roman"/>
        </w:rPr>
        <w:t xml:space="preserve"> this. No other human rights issues have been identified. </w:t>
      </w:r>
      <w:r w:rsidR="006A151F">
        <w:rPr>
          <w:rFonts w:ascii="Times New Roman" w:hAnsi="Times New Roman"/>
        </w:rPr>
        <w:t xml:space="preserve"> </w:t>
      </w:r>
    </w:p>
    <w:p w14:paraId="5B82E474" w14:textId="77777777" w:rsidR="00581B9F" w:rsidRPr="00C26F6B" w:rsidRDefault="00581B9F" w:rsidP="00581B9F">
      <w:pPr>
        <w:spacing w:before="100" w:beforeAutospacing="1" w:after="100" w:afterAutospacing="1" w:line="276" w:lineRule="auto"/>
        <w:rPr>
          <w:rFonts w:ascii="Times New Roman" w:hAnsi="Times New Roman"/>
          <w:b/>
          <w:i/>
        </w:rPr>
      </w:pPr>
      <w:r w:rsidRPr="00C26F6B">
        <w:rPr>
          <w:rFonts w:ascii="Times New Roman" w:hAnsi="Times New Roman"/>
          <w:b/>
          <w:i/>
        </w:rPr>
        <w:t xml:space="preserve">Human rights implications </w:t>
      </w:r>
    </w:p>
    <w:p w14:paraId="478320EA" w14:textId="77777777" w:rsidR="00581B9F" w:rsidRPr="00C26F6B" w:rsidRDefault="00581B9F" w:rsidP="00581B9F">
      <w:pPr>
        <w:spacing w:line="276" w:lineRule="auto"/>
        <w:rPr>
          <w:rFonts w:ascii="Times New Roman" w:hAnsi="Times New Roman"/>
        </w:rPr>
      </w:pPr>
      <w:r w:rsidRPr="00C26F6B">
        <w:rPr>
          <w:rFonts w:ascii="Times New Roman" w:hAnsi="Times New Roman"/>
        </w:rPr>
        <w:t xml:space="preserve">The Amendment Instrument does not engage any of the applicable rights or freedoms. </w:t>
      </w:r>
    </w:p>
    <w:p w14:paraId="0C9284A2" w14:textId="77777777" w:rsidR="00581B9F" w:rsidRPr="00C26F6B" w:rsidRDefault="00581B9F" w:rsidP="00581B9F">
      <w:pPr>
        <w:spacing w:line="276" w:lineRule="auto"/>
        <w:rPr>
          <w:rFonts w:ascii="Times New Roman" w:hAnsi="Times New Roman"/>
          <w:b/>
          <w:i/>
        </w:rPr>
      </w:pPr>
      <w:r w:rsidRPr="00C26F6B">
        <w:rPr>
          <w:rFonts w:ascii="Times New Roman" w:hAnsi="Times New Roman"/>
          <w:b/>
          <w:i/>
        </w:rPr>
        <w:t>Conclusion</w:t>
      </w:r>
    </w:p>
    <w:p w14:paraId="6BF6E33C" w14:textId="01263A40" w:rsidR="00581B9F" w:rsidRPr="00C26F6B" w:rsidRDefault="00581B9F" w:rsidP="00581B9F">
      <w:pPr>
        <w:spacing w:line="276" w:lineRule="auto"/>
        <w:rPr>
          <w:rFonts w:ascii="Times New Roman" w:hAnsi="Times New Roman"/>
        </w:rPr>
      </w:pPr>
      <w:r w:rsidRPr="00C26F6B">
        <w:rPr>
          <w:rFonts w:ascii="Times New Roman" w:hAnsi="Times New Roman"/>
        </w:rPr>
        <w:t xml:space="preserve">The </w:t>
      </w:r>
      <w:r w:rsidR="00920E72">
        <w:rPr>
          <w:rFonts w:ascii="Times New Roman" w:hAnsi="Times New Roman"/>
        </w:rPr>
        <w:t xml:space="preserve">Amendment </w:t>
      </w:r>
      <w:r w:rsidRPr="00C26F6B">
        <w:rPr>
          <w:rFonts w:ascii="Times New Roman" w:hAnsi="Times New Roman"/>
        </w:rPr>
        <w:t xml:space="preserve">Instrument is compatible with human rights as it does not raise any human rights issues.  </w:t>
      </w:r>
    </w:p>
    <w:p w14:paraId="61F959BB" w14:textId="53D5D1D8" w:rsidR="00EA46BC" w:rsidRPr="00581B9F" w:rsidRDefault="00EA46BC" w:rsidP="00581B9F"/>
    <w:sectPr w:rsidR="00EA46BC" w:rsidRPr="00581B9F" w:rsidSect="00B96FEE">
      <w:headerReference w:type="default" r:id="rId15"/>
      <w:footerReference w:type="default" r:id="rId16"/>
      <w:headerReference w:type="first" r:id="rId17"/>
      <w:footerReference w:type="first" r:id="rId18"/>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57CC" w14:textId="77777777" w:rsidR="0083569C" w:rsidRDefault="0083569C">
      <w:pPr>
        <w:spacing w:after="0"/>
      </w:pPr>
      <w:r>
        <w:separator/>
      </w:r>
    </w:p>
  </w:endnote>
  <w:endnote w:type="continuationSeparator" w:id="0">
    <w:p w14:paraId="2481CE6C" w14:textId="77777777" w:rsidR="0083569C" w:rsidRDefault="0083569C">
      <w:pPr>
        <w:spacing w:after="0"/>
      </w:pPr>
      <w:r>
        <w:continuationSeparator/>
      </w:r>
    </w:p>
  </w:endnote>
  <w:endnote w:type="continuationNotice" w:id="1">
    <w:p w14:paraId="70D0DD2A" w14:textId="77777777" w:rsidR="0083569C" w:rsidRDefault="008356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2023515571"/>
      <w:docPartObj>
        <w:docPartGallery w:val="Page Numbers (Bottom of Page)"/>
        <w:docPartUnique/>
      </w:docPartObj>
    </w:sdtPr>
    <w:sdtEndPr>
      <w:rPr>
        <w:noProof/>
        <w:sz w:val="24"/>
        <w:szCs w:val="24"/>
      </w:rPr>
    </w:sdtEndPr>
    <w:sdtContent>
      <w:p w14:paraId="263F8727" w14:textId="5C7E5E7E" w:rsidR="00690CF0" w:rsidRPr="00E90BCB" w:rsidRDefault="00690CF0">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sidR="00843F25">
          <w:rPr>
            <w:rFonts w:ascii="Times New Roman" w:hAnsi="Times New Roman"/>
            <w:noProof/>
            <w:sz w:val="24"/>
          </w:rPr>
          <w:t>1</w:t>
        </w:r>
        <w:r w:rsidRPr="00E90BCB">
          <w:rPr>
            <w:rFonts w:ascii="Times New Roman" w:hAnsi="Times New Roman"/>
            <w:noProof/>
            <w:sz w:val="24"/>
          </w:rPr>
          <w:fldChar w:fldCharType="end"/>
        </w:r>
      </w:p>
    </w:sdtContent>
  </w:sdt>
  <w:p w14:paraId="6E30B18A" w14:textId="77777777" w:rsidR="00690CF0" w:rsidRDefault="00690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1DC3" w14:textId="77777777" w:rsidR="00690CF0" w:rsidRPr="00767979" w:rsidRDefault="00690CF0"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Pr>
        <w:rStyle w:val="PageNumber"/>
        <w:rFonts w:ascii="Times New Roman" w:hAnsi="Times New Roman"/>
        <w:noProof/>
      </w:rPr>
      <w:t>4</w:t>
    </w:r>
    <w:r w:rsidRPr="009027D6">
      <w:rPr>
        <w:rStyle w:val="PageNumber"/>
        <w:rFonts w:ascii="Times New Roman" w:hAnsi="Times New Roman"/>
      </w:rPr>
      <w:fldChar w:fldCharType="end"/>
    </w:r>
  </w:p>
  <w:p w14:paraId="62D2BB72" w14:textId="77777777" w:rsidR="00690CF0" w:rsidRDefault="00690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699624166"/>
      <w:docPartObj>
        <w:docPartGallery w:val="Page Numbers (Bottom of Page)"/>
        <w:docPartUnique/>
      </w:docPartObj>
    </w:sdtPr>
    <w:sdtEndPr>
      <w:rPr>
        <w:noProof/>
        <w:sz w:val="24"/>
        <w:szCs w:val="24"/>
      </w:rPr>
    </w:sdtEndPr>
    <w:sdtContent>
      <w:p w14:paraId="376D3A7C" w14:textId="38E12079" w:rsidR="00690CF0" w:rsidRPr="00E90BCB" w:rsidRDefault="00690CF0">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sidR="00843F25">
          <w:rPr>
            <w:rFonts w:ascii="Times New Roman" w:hAnsi="Times New Roman"/>
            <w:noProof/>
            <w:sz w:val="24"/>
          </w:rPr>
          <w:t>14</w:t>
        </w:r>
        <w:r w:rsidRPr="00E90BCB">
          <w:rPr>
            <w:rFonts w:ascii="Times New Roman" w:hAnsi="Times New Roman"/>
            <w:noProof/>
            <w:sz w:val="24"/>
          </w:rPr>
          <w:fldChar w:fldCharType="end"/>
        </w:r>
      </w:p>
    </w:sdtContent>
  </w:sdt>
  <w:p w14:paraId="7CF761DA" w14:textId="77777777" w:rsidR="00690CF0" w:rsidRDefault="00690C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11DB" w14:textId="62D8C417" w:rsidR="00690CF0" w:rsidRPr="00767979" w:rsidRDefault="00690CF0"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843F25">
      <w:rPr>
        <w:rStyle w:val="PageNumber"/>
        <w:rFonts w:ascii="Times New Roman" w:hAnsi="Times New Roman"/>
        <w:noProof/>
      </w:rPr>
      <w:t>4</w:t>
    </w:r>
    <w:r w:rsidRPr="009027D6">
      <w:rPr>
        <w:rStyle w:val="PageNumber"/>
        <w:rFonts w:ascii="Times New Roman" w:hAnsi="Times New Roman"/>
      </w:rPr>
      <w:fldChar w:fldCharType="end"/>
    </w:r>
  </w:p>
  <w:p w14:paraId="79BC001D" w14:textId="77777777" w:rsidR="00690CF0" w:rsidRDefault="0069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5C5B" w14:textId="77777777" w:rsidR="0083569C" w:rsidRDefault="0083569C">
      <w:pPr>
        <w:spacing w:after="0"/>
      </w:pPr>
      <w:r>
        <w:separator/>
      </w:r>
    </w:p>
  </w:footnote>
  <w:footnote w:type="continuationSeparator" w:id="0">
    <w:p w14:paraId="35DC85E7" w14:textId="77777777" w:rsidR="0083569C" w:rsidRDefault="0083569C">
      <w:pPr>
        <w:spacing w:after="0"/>
      </w:pPr>
      <w:r>
        <w:continuationSeparator/>
      </w:r>
    </w:p>
  </w:footnote>
  <w:footnote w:type="continuationNotice" w:id="1">
    <w:p w14:paraId="5A6D4BE3" w14:textId="77777777" w:rsidR="0083569C" w:rsidRDefault="0083569C">
      <w:pPr>
        <w:spacing w:after="0"/>
      </w:pPr>
    </w:p>
  </w:footnote>
  <w:footnote w:id="2">
    <w:p w14:paraId="778872FA" w14:textId="0C787557" w:rsidR="00690CF0" w:rsidRPr="00BE5FD8" w:rsidRDefault="00690CF0">
      <w:pPr>
        <w:pStyle w:val="FootnoteText"/>
        <w:rPr>
          <w:rFonts w:ascii="Times New Roman" w:hAnsi="Times New Roman"/>
        </w:rPr>
      </w:pPr>
      <w:r w:rsidRPr="00BE5FD8">
        <w:rPr>
          <w:rStyle w:val="FootnoteReference"/>
          <w:rFonts w:ascii="Times New Roman" w:hAnsi="Times New Roman"/>
        </w:rPr>
        <w:footnoteRef/>
      </w:r>
      <w:r w:rsidRPr="00BE5FD8">
        <w:rPr>
          <w:rFonts w:ascii="Times New Roman" w:hAnsi="Times New Roman"/>
        </w:rPr>
        <w:t xml:space="preserve"> See: </w:t>
      </w:r>
      <w:hyperlink r:id="rId1" w:history="1">
        <w:r w:rsidRPr="00BE5FD8">
          <w:rPr>
            <w:rStyle w:val="Hyperlink"/>
            <w:rFonts w:ascii="Times New Roman" w:hAnsi="Times New Roman"/>
          </w:rPr>
          <w:t>www.infrastructure.gov.au/have-your-say/2021-regional-telecommunications-review</w:t>
        </w:r>
      </w:hyperlink>
      <w:r w:rsidRPr="00BE5FD8">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DA7B" w14:textId="77777777" w:rsidR="00690CF0" w:rsidRPr="000A2F7D" w:rsidRDefault="00690CF0" w:rsidP="000A2F7D">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243F" w14:textId="77777777" w:rsidR="00690CF0" w:rsidRPr="00767979" w:rsidRDefault="00690CF0" w:rsidP="000A2F7D">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AB0C" w14:textId="7DDBC377" w:rsidR="00690CF0" w:rsidRPr="000A2F7D" w:rsidRDefault="00690CF0" w:rsidP="000A2F7D">
    <w:pPr>
      <w:pStyle w:val="Header"/>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1091" w14:textId="15578BF9" w:rsidR="00690CF0" w:rsidRPr="00767979" w:rsidRDefault="00690CF0" w:rsidP="000A2F7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30"/>
    <w:multiLevelType w:val="hybridMultilevel"/>
    <w:tmpl w:val="DA86EA7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60B78"/>
    <w:multiLevelType w:val="hybridMultilevel"/>
    <w:tmpl w:val="3E74543A"/>
    <w:lvl w:ilvl="0" w:tplc="AF6E88C4">
      <w:start w:val="1"/>
      <w:numFmt w:val="lowerLetter"/>
      <w:lvlText w:val="(%1)"/>
      <w:lvlJc w:val="left"/>
      <w:pPr>
        <w:ind w:left="360" w:hanging="360"/>
      </w:pPr>
      <w:rPr>
        <w:rFonts w:hint="default"/>
      </w:rPr>
    </w:lvl>
    <w:lvl w:ilvl="1" w:tplc="013EFFA6">
      <w:start w:val="1"/>
      <w:numFmt w:val="lowerRoman"/>
      <w:lvlText w:val="(%2)"/>
      <w:lvlJc w:val="left"/>
      <w:pPr>
        <w:ind w:left="1080" w:hanging="360"/>
      </w:pPr>
      <w:rPr>
        <w:rFonts w:ascii="Times New Roman" w:eastAsia="Times New Roman" w:hAnsi="Times New Roman" w:cs="Times New Roman"/>
      </w:rPr>
    </w:lvl>
    <w:lvl w:ilvl="2" w:tplc="96523F02">
      <w:start w:val="1"/>
      <w:numFmt w:val="upperLetter"/>
      <w:lvlText w:val="%3."/>
      <w:lvlJc w:val="right"/>
      <w:pPr>
        <w:ind w:left="1800" w:hanging="180"/>
      </w:pPr>
      <w:rPr>
        <w:rFonts w:ascii="Times New Roman" w:eastAsia="Times New Roman" w:hAnsi="Times New Roman" w:cs="Times New Roman"/>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D35446"/>
    <w:multiLevelType w:val="hybridMultilevel"/>
    <w:tmpl w:val="B22024B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1823CF"/>
    <w:multiLevelType w:val="hybridMultilevel"/>
    <w:tmpl w:val="F780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F4A52"/>
    <w:multiLevelType w:val="hybridMultilevel"/>
    <w:tmpl w:val="9EB65AF6"/>
    <w:lvl w:ilvl="0" w:tplc="3F6A268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561D0"/>
    <w:multiLevelType w:val="hybridMultilevel"/>
    <w:tmpl w:val="7C3C6F7C"/>
    <w:lvl w:ilvl="0" w:tplc="25C8E68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53356"/>
    <w:multiLevelType w:val="hybridMultilevel"/>
    <w:tmpl w:val="33F2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E2CFB"/>
    <w:multiLevelType w:val="hybridMultilevel"/>
    <w:tmpl w:val="92FA2B1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21EC0"/>
    <w:multiLevelType w:val="hybridMultilevel"/>
    <w:tmpl w:val="CF323BFA"/>
    <w:lvl w:ilvl="0" w:tplc="66A0A5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207A9"/>
    <w:multiLevelType w:val="hybridMultilevel"/>
    <w:tmpl w:val="121A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4D54A6"/>
    <w:multiLevelType w:val="hybridMultilevel"/>
    <w:tmpl w:val="700AB20E"/>
    <w:lvl w:ilvl="0" w:tplc="94F871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C606C7"/>
    <w:multiLevelType w:val="hybridMultilevel"/>
    <w:tmpl w:val="465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8C6EF2"/>
    <w:multiLevelType w:val="hybridMultilevel"/>
    <w:tmpl w:val="54CC7B28"/>
    <w:lvl w:ilvl="0" w:tplc="197617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F434E7B"/>
    <w:multiLevelType w:val="hybridMultilevel"/>
    <w:tmpl w:val="48B6BBDC"/>
    <w:lvl w:ilvl="0" w:tplc="6218909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65B6A"/>
    <w:multiLevelType w:val="hybridMultilevel"/>
    <w:tmpl w:val="83A2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F171BA"/>
    <w:multiLevelType w:val="hybridMultilevel"/>
    <w:tmpl w:val="5AEC84D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32103CAD"/>
    <w:multiLevelType w:val="hybridMultilevel"/>
    <w:tmpl w:val="6076FE9E"/>
    <w:lvl w:ilvl="0" w:tplc="8C18F97C">
      <w:start w:val="3"/>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434917"/>
    <w:multiLevelType w:val="hybridMultilevel"/>
    <w:tmpl w:val="5FD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1C4900"/>
    <w:multiLevelType w:val="hybridMultilevel"/>
    <w:tmpl w:val="B004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8332AB"/>
    <w:multiLevelType w:val="hybridMultilevel"/>
    <w:tmpl w:val="0932313E"/>
    <w:lvl w:ilvl="0" w:tplc="59E418A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4D74A0"/>
    <w:multiLevelType w:val="hybridMultilevel"/>
    <w:tmpl w:val="10748536"/>
    <w:lvl w:ilvl="0" w:tplc="3AD2089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90BF5"/>
    <w:multiLevelType w:val="multilevel"/>
    <w:tmpl w:val="D0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D3BB8"/>
    <w:multiLevelType w:val="hybridMultilevel"/>
    <w:tmpl w:val="DC5C5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235F2A"/>
    <w:multiLevelType w:val="hybridMultilevel"/>
    <w:tmpl w:val="230E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C7382E"/>
    <w:multiLevelType w:val="hybridMultilevel"/>
    <w:tmpl w:val="FEB6199E"/>
    <w:lvl w:ilvl="0" w:tplc="435C8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62667B"/>
    <w:multiLevelType w:val="hybridMultilevel"/>
    <w:tmpl w:val="9ABA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0E78BA"/>
    <w:multiLevelType w:val="hybridMultilevel"/>
    <w:tmpl w:val="89D66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F516EB"/>
    <w:multiLevelType w:val="hybridMultilevel"/>
    <w:tmpl w:val="C8E46B00"/>
    <w:lvl w:ilvl="0" w:tplc="AF6E88C4">
      <w:start w:val="1"/>
      <w:numFmt w:val="lowerLetter"/>
      <w:lvlText w:val="(%1)"/>
      <w:lvlJc w:val="left"/>
      <w:pPr>
        <w:ind w:left="1025" w:hanging="360"/>
      </w:pPr>
      <w:rPr>
        <w:rFonts w:hint="default"/>
      </w:rPr>
    </w:lvl>
    <w:lvl w:ilvl="1" w:tplc="013EFFA6">
      <w:start w:val="1"/>
      <w:numFmt w:val="lowerRoman"/>
      <w:lvlText w:val="(%2)"/>
      <w:lvlJc w:val="left"/>
      <w:pPr>
        <w:ind w:left="1745" w:hanging="360"/>
      </w:pPr>
      <w:rPr>
        <w:rFonts w:ascii="Times New Roman" w:eastAsia="Times New Roman" w:hAnsi="Times New Roman" w:cs="Times New Roman"/>
      </w:rPr>
    </w:lvl>
    <w:lvl w:ilvl="2" w:tplc="96523F02">
      <w:start w:val="1"/>
      <w:numFmt w:val="upperLetter"/>
      <w:lvlText w:val="%3."/>
      <w:lvlJc w:val="right"/>
      <w:pPr>
        <w:ind w:left="2465" w:hanging="180"/>
      </w:pPr>
      <w:rPr>
        <w:rFonts w:ascii="Times New Roman" w:eastAsia="Times New Roman" w:hAnsi="Times New Roman" w:cs="Times New Roman"/>
      </w:r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38"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6E1F6443"/>
    <w:multiLevelType w:val="hybridMultilevel"/>
    <w:tmpl w:val="31B8C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71C7B"/>
    <w:multiLevelType w:val="hybridMultilevel"/>
    <w:tmpl w:val="4FA2774C"/>
    <w:lvl w:ilvl="0" w:tplc="2E54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FE2D41"/>
    <w:multiLevelType w:val="hybridMultilevel"/>
    <w:tmpl w:val="83F4A2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8F3087"/>
    <w:multiLevelType w:val="hybridMultilevel"/>
    <w:tmpl w:val="D71CE496"/>
    <w:lvl w:ilvl="0" w:tplc="09508D7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926BD2"/>
    <w:multiLevelType w:val="hybridMultilevel"/>
    <w:tmpl w:val="E912E93A"/>
    <w:lvl w:ilvl="0" w:tplc="4E3850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6B5454D"/>
    <w:multiLevelType w:val="hybridMultilevel"/>
    <w:tmpl w:val="C332E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6B6EFF"/>
    <w:multiLevelType w:val="hybridMultilevel"/>
    <w:tmpl w:val="0F22D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C56E1E"/>
    <w:multiLevelType w:val="hybridMultilevel"/>
    <w:tmpl w:val="64C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644C24"/>
    <w:multiLevelType w:val="hybridMultilevel"/>
    <w:tmpl w:val="8D0EEA7A"/>
    <w:lvl w:ilvl="0" w:tplc="C616E3B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9"/>
  </w:num>
  <w:num w:numId="4">
    <w:abstractNumId w:val="28"/>
  </w:num>
  <w:num w:numId="5">
    <w:abstractNumId w:val="25"/>
  </w:num>
  <w:num w:numId="6">
    <w:abstractNumId w:val="7"/>
  </w:num>
  <w:num w:numId="7">
    <w:abstractNumId w:val="27"/>
  </w:num>
  <w:num w:numId="8">
    <w:abstractNumId w:val="3"/>
  </w:num>
  <w:num w:numId="9">
    <w:abstractNumId w:val="46"/>
  </w:num>
  <w:num w:numId="10">
    <w:abstractNumId w:val="10"/>
  </w:num>
  <w:num w:numId="11">
    <w:abstractNumId w:val="42"/>
  </w:num>
  <w:num w:numId="12">
    <w:abstractNumId w:val="34"/>
  </w:num>
  <w:num w:numId="13">
    <w:abstractNumId w:val="35"/>
  </w:num>
  <w:num w:numId="14">
    <w:abstractNumId w:val="38"/>
  </w:num>
  <w:num w:numId="15">
    <w:abstractNumId w:val="37"/>
  </w:num>
  <w:num w:numId="16">
    <w:abstractNumId w:val="4"/>
  </w:num>
  <w:num w:numId="17">
    <w:abstractNumId w:val="26"/>
  </w:num>
  <w:num w:numId="18">
    <w:abstractNumId w:val="16"/>
  </w:num>
  <w:num w:numId="19">
    <w:abstractNumId w:val="6"/>
  </w:num>
  <w:num w:numId="20">
    <w:abstractNumId w:val="44"/>
  </w:num>
  <w:num w:numId="21">
    <w:abstractNumId w:val="20"/>
  </w:num>
  <w:num w:numId="22">
    <w:abstractNumId w:val="1"/>
  </w:num>
  <w:num w:numId="23">
    <w:abstractNumId w:val="24"/>
  </w:num>
  <w:num w:numId="24">
    <w:abstractNumId w:val="48"/>
  </w:num>
  <w:num w:numId="25">
    <w:abstractNumId w:val="32"/>
  </w:num>
  <w:num w:numId="26">
    <w:abstractNumId w:val="22"/>
  </w:num>
  <w:num w:numId="27">
    <w:abstractNumId w:val="40"/>
  </w:num>
  <w:num w:numId="28">
    <w:abstractNumId w:val="0"/>
  </w:num>
  <w:num w:numId="29">
    <w:abstractNumId w:val="33"/>
  </w:num>
  <w:num w:numId="30">
    <w:abstractNumId w:val="23"/>
  </w:num>
  <w:num w:numId="31">
    <w:abstractNumId w:val="31"/>
  </w:num>
  <w:num w:numId="32">
    <w:abstractNumId w:val="15"/>
  </w:num>
  <w:num w:numId="33">
    <w:abstractNumId w:val="11"/>
  </w:num>
  <w:num w:numId="34">
    <w:abstractNumId w:val="2"/>
  </w:num>
  <w:num w:numId="35">
    <w:abstractNumId w:val="19"/>
  </w:num>
  <w:num w:numId="36">
    <w:abstractNumId w:val="39"/>
  </w:num>
  <w:num w:numId="37">
    <w:abstractNumId w:val="49"/>
  </w:num>
  <w:num w:numId="38">
    <w:abstractNumId w:val="5"/>
  </w:num>
  <w:num w:numId="39">
    <w:abstractNumId w:val="12"/>
  </w:num>
  <w:num w:numId="40">
    <w:abstractNumId w:val="36"/>
  </w:num>
  <w:num w:numId="41">
    <w:abstractNumId w:val="47"/>
  </w:num>
  <w:num w:numId="42">
    <w:abstractNumId w:val="9"/>
  </w:num>
  <w:num w:numId="43">
    <w:abstractNumId w:val="8"/>
  </w:num>
  <w:num w:numId="44">
    <w:abstractNumId w:val="14"/>
  </w:num>
  <w:num w:numId="45">
    <w:abstractNumId w:val="43"/>
  </w:num>
  <w:num w:numId="46">
    <w:abstractNumId w:val="30"/>
  </w:num>
  <w:num w:numId="47">
    <w:abstractNumId w:val="17"/>
  </w:num>
  <w:num w:numId="48">
    <w:abstractNumId w:val="18"/>
  </w:num>
  <w:num w:numId="49">
    <w:abstractNumId w:val="4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01750"/>
    <w:rsid w:val="00002163"/>
    <w:rsid w:val="0000436C"/>
    <w:rsid w:val="00004635"/>
    <w:rsid w:val="00004CB5"/>
    <w:rsid w:val="000050B9"/>
    <w:rsid w:val="00006D7F"/>
    <w:rsid w:val="00012CC2"/>
    <w:rsid w:val="00014872"/>
    <w:rsid w:val="00017084"/>
    <w:rsid w:val="00020C62"/>
    <w:rsid w:val="00021178"/>
    <w:rsid w:val="0002143C"/>
    <w:rsid w:val="000242B1"/>
    <w:rsid w:val="00024670"/>
    <w:rsid w:val="00025F7F"/>
    <w:rsid w:val="0002761C"/>
    <w:rsid w:val="00033908"/>
    <w:rsid w:val="0003453E"/>
    <w:rsid w:val="00035567"/>
    <w:rsid w:val="00036044"/>
    <w:rsid w:val="0003740F"/>
    <w:rsid w:val="000408CF"/>
    <w:rsid w:val="0004198F"/>
    <w:rsid w:val="00042326"/>
    <w:rsid w:val="000435AF"/>
    <w:rsid w:val="0004396E"/>
    <w:rsid w:val="00043C5D"/>
    <w:rsid w:val="00044297"/>
    <w:rsid w:val="00046B29"/>
    <w:rsid w:val="0004759B"/>
    <w:rsid w:val="0005001E"/>
    <w:rsid w:val="00052FB9"/>
    <w:rsid w:val="0005314F"/>
    <w:rsid w:val="00054462"/>
    <w:rsid w:val="000556EC"/>
    <w:rsid w:val="00055915"/>
    <w:rsid w:val="0005693D"/>
    <w:rsid w:val="00057861"/>
    <w:rsid w:val="00057E3C"/>
    <w:rsid w:val="00062F28"/>
    <w:rsid w:val="000630A6"/>
    <w:rsid w:val="0006375C"/>
    <w:rsid w:val="00065374"/>
    <w:rsid w:val="00065AAA"/>
    <w:rsid w:val="00065B5F"/>
    <w:rsid w:val="00066735"/>
    <w:rsid w:val="00066FA1"/>
    <w:rsid w:val="00067570"/>
    <w:rsid w:val="00067C99"/>
    <w:rsid w:val="00067F33"/>
    <w:rsid w:val="0007195B"/>
    <w:rsid w:val="00071FED"/>
    <w:rsid w:val="00073851"/>
    <w:rsid w:val="0007453D"/>
    <w:rsid w:val="00075910"/>
    <w:rsid w:val="00075CF5"/>
    <w:rsid w:val="00076467"/>
    <w:rsid w:val="00076B91"/>
    <w:rsid w:val="0008296B"/>
    <w:rsid w:val="00082E6F"/>
    <w:rsid w:val="00084C9E"/>
    <w:rsid w:val="000860EF"/>
    <w:rsid w:val="000864BF"/>
    <w:rsid w:val="00086703"/>
    <w:rsid w:val="000906B9"/>
    <w:rsid w:val="000968BF"/>
    <w:rsid w:val="00097009"/>
    <w:rsid w:val="0009770E"/>
    <w:rsid w:val="000A039F"/>
    <w:rsid w:val="000A0950"/>
    <w:rsid w:val="000A1386"/>
    <w:rsid w:val="000A1521"/>
    <w:rsid w:val="000A1EF6"/>
    <w:rsid w:val="000A2F7D"/>
    <w:rsid w:val="000A6E2D"/>
    <w:rsid w:val="000A77EC"/>
    <w:rsid w:val="000B0846"/>
    <w:rsid w:val="000B10B5"/>
    <w:rsid w:val="000B18DE"/>
    <w:rsid w:val="000B2CE2"/>
    <w:rsid w:val="000B31BC"/>
    <w:rsid w:val="000B7CEF"/>
    <w:rsid w:val="000C46C3"/>
    <w:rsid w:val="000C5386"/>
    <w:rsid w:val="000C5C74"/>
    <w:rsid w:val="000C7D6E"/>
    <w:rsid w:val="000D04CB"/>
    <w:rsid w:val="000D061A"/>
    <w:rsid w:val="000D091B"/>
    <w:rsid w:val="000D15DA"/>
    <w:rsid w:val="000D1CC3"/>
    <w:rsid w:val="000D2C48"/>
    <w:rsid w:val="000D2E8D"/>
    <w:rsid w:val="000D6579"/>
    <w:rsid w:val="000E07CC"/>
    <w:rsid w:val="000E0F4A"/>
    <w:rsid w:val="000E2D2A"/>
    <w:rsid w:val="000E388C"/>
    <w:rsid w:val="000E4509"/>
    <w:rsid w:val="000F044D"/>
    <w:rsid w:val="000F163C"/>
    <w:rsid w:val="000F5981"/>
    <w:rsid w:val="000F7EA7"/>
    <w:rsid w:val="001004B5"/>
    <w:rsid w:val="00103BCB"/>
    <w:rsid w:val="00104653"/>
    <w:rsid w:val="0010527B"/>
    <w:rsid w:val="001059DC"/>
    <w:rsid w:val="00105AFE"/>
    <w:rsid w:val="00105DCC"/>
    <w:rsid w:val="00106A13"/>
    <w:rsid w:val="00110AA5"/>
    <w:rsid w:val="00112B82"/>
    <w:rsid w:val="001133B0"/>
    <w:rsid w:val="001135E4"/>
    <w:rsid w:val="00113A31"/>
    <w:rsid w:val="00115A53"/>
    <w:rsid w:val="00115B6B"/>
    <w:rsid w:val="00115CFE"/>
    <w:rsid w:val="001206FE"/>
    <w:rsid w:val="00120CF7"/>
    <w:rsid w:val="00121910"/>
    <w:rsid w:val="0012349C"/>
    <w:rsid w:val="00124034"/>
    <w:rsid w:val="00124826"/>
    <w:rsid w:val="00124B0F"/>
    <w:rsid w:val="00125ABC"/>
    <w:rsid w:val="00126329"/>
    <w:rsid w:val="00127750"/>
    <w:rsid w:val="001307E5"/>
    <w:rsid w:val="001432C9"/>
    <w:rsid w:val="00144278"/>
    <w:rsid w:val="001509C1"/>
    <w:rsid w:val="001510F5"/>
    <w:rsid w:val="001606AF"/>
    <w:rsid w:val="00162101"/>
    <w:rsid w:val="001626C5"/>
    <w:rsid w:val="00163C60"/>
    <w:rsid w:val="00164CE9"/>
    <w:rsid w:val="00165409"/>
    <w:rsid w:val="00165819"/>
    <w:rsid w:val="00166F31"/>
    <w:rsid w:val="00167581"/>
    <w:rsid w:val="00171812"/>
    <w:rsid w:val="0017248D"/>
    <w:rsid w:val="0017360D"/>
    <w:rsid w:val="001738FA"/>
    <w:rsid w:val="00174A72"/>
    <w:rsid w:val="00174B0E"/>
    <w:rsid w:val="00177718"/>
    <w:rsid w:val="00177CD2"/>
    <w:rsid w:val="00180130"/>
    <w:rsid w:val="001806EB"/>
    <w:rsid w:val="00181289"/>
    <w:rsid w:val="001823AB"/>
    <w:rsid w:val="0018322A"/>
    <w:rsid w:val="001841F4"/>
    <w:rsid w:val="00184E13"/>
    <w:rsid w:val="00190116"/>
    <w:rsid w:val="001907CD"/>
    <w:rsid w:val="00191736"/>
    <w:rsid w:val="00191BAA"/>
    <w:rsid w:val="00192BBB"/>
    <w:rsid w:val="0019331D"/>
    <w:rsid w:val="001940F6"/>
    <w:rsid w:val="001A1640"/>
    <w:rsid w:val="001A1874"/>
    <w:rsid w:val="001A1A92"/>
    <w:rsid w:val="001A3476"/>
    <w:rsid w:val="001A36D3"/>
    <w:rsid w:val="001A5AE0"/>
    <w:rsid w:val="001A628D"/>
    <w:rsid w:val="001A71E7"/>
    <w:rsid w:val="001B2FEA"/>
    <w:rsid w:val="001B32C6"/>
    <w:rsid w:val="001B57CB"/>
    <w:rsid w:val="001B590D"/>
    <w:rsid w:val="001B7CAC"/>
    <w:rsid w:val="001B7EB6"/>
    <w:rsid w:val="001C1E0E"/>
    <w:rsid w:val="001C2A7E"/>
    <w:rsid w:val="001C3688"/>
    <w:rsid w:val="001C3C78"/>
    <w:rsid w:val="001C5C32"/>
    <w:rsid w:val="001C73AD"/>
    <w:rsid w:val="001D0379"/>
    <w:rsid w:val="001D2423"/>
    <w:rsid w:val="001D2B0C"/>
    <w:rsid w:val="001D3AE5"/>
    <w:rsid w:val="001D3DF3"/>
    <w:rsid w:val="001D4443"/>
    <w:rsid w:val="001D44F8"/>
    <w:rsid w:val="001E0512"/>
    <w:rsid w:val="001E0AA0"/>
    <w:rsid w:val="001E10ED"/>
    <w:rsid w:val="001E2A87"/>
    <w:rsid w:val="001E37A8"/>
    <w:rsid w:val="001E42D4"/>
    <w:rsid w:val="001E5706"/>
    <w:rsid w:val="001E7AF7"/>
    <w:rsid w:val="001F17AD"/>
    <w:rsid w:val="001F21C8"/>
    <w:rsid w:val="001F23CA"/>
    <w:rsid w:val="001F25A0"/>
    <w:rsid w:val="001F4340"/>
    <w:rsid w:val="001F4580"/>
    <w:rsid w:val="001F4D9A"/>
    <w:rsid w:val="001F72ED"/>
    <w:rsid w:val="001F75C3"/>
    <w:rsid w:val="00200F5F"/>
    <w:rsid w:val="00201223"/>
    <w:rsid w:val="00202F90"/>
    <w:rsid w:val="00203A2E"/>
    <w:rsid w:val="00204E5D"/>
    <w:rsid w:val="00204F36"/>
    <w:rsid w:val="0020767B"/>
    <w:rsid w:val="00207A34"/>
    <w:rsid w:val="0021093D"/>
    <w:rsid w:val="00210AF8"/>
    <w:rsid w:val="00210E88"/>
    <w:rsid w:val="002112E8"/>
    <w:rsid w:val="00211D55"/>
    <w:rsid w:val="002123F3"/>
    <w:rsid w:val="002147DF"/>
    <w:rsid w:val="002164D6"/>
    <w:rsid w:val="002166F3"/>
    <w:rsid w:val="00217C47"/>
    <w:rsid w:val="002205AD"/>
    <w:rsid w:val="002205FC"/>
    <w:rsid w:val="00222843"/>
    <w:rsid w:val="002244D0"/>
    <w:rsid w:val="0022520C"/>
    <w:rsid w:val="00225230"/>
    <w:rsid w:val="002258DD"/>
    <w:rsid w:val="00225C54"/>
    <w:rsid w:val="00225E00"/>
    <w:rsid w:val="00226934"/>
    <w:rsid w:val="00227C70"/>
    <w:rsid w:val="00231869"/>
    <w:rsid w:val="00232AB6"/>
    <w:rsid w:val="00233575"/>
    <w:rsid w:val="002356B8"/>
    <w:rsid w:val="00235ADC"/>
    <w:rsid w:val="00240364"/>
    <w:rsid w:val="00242062"/>
    <w:rsid w:val="00242168"/>
    <w:rsid w:val="00245892"/>
    <w:rsid w:val="002471B3"/>
    <w:rsid w:val="002504E6"/>
    <w:rsid w:val="00250C17"/>
    <w:rsid w:val="0025114C"/>
    <w:rsid w:val="00253F76"/>
    <w:rsid w:val="00254065"/>
    <w:rsid w:val="00255FB3"/>
    <w:rsid w:val="002569B2"/>
    <w:rsid w:val="00256C04"/>
    <w:rsid w:val="00261B4F"/>
    <w:rsid w:val="00263563"/>
    <w:rsid w:val="00263B1E"/>
    <w:rsid w:val="00263DCB"/>
    <w:rsid w:val="00264632"/>
    <w:rsid w:val="00270EAD"/>
    <w:rsid w:val="002716CC"/>
    <w:rsid w:val="002723A6"/>
    <w:rsid w:val="00273A0F"/>
    <w:rsid w:val="00274D76"/>
    <w:rsid w:val="00274E79"/>
    <w:rsid w:val="002763F7"/>
    <w:rsid w:val="00282A56"/>
    <w:rsid w:val="00283F84"/>
    <w:rsid w:val="00284ED6"/>
    <w:rsid w:val="00287092"/>
    <w:rsid w:val="0028738F"/>
    <w:rsid w:val="00291929"/>
    <w:rsid w:val="00297DD5"/>
    <w:rsid w:val="002A017B"/>
    <w:rsid w:val="002A33FD"/>
    <w:rsid w:val="002A44BC"/>
    <w:rsid w:val="002A457B"/>
    <w:rsid w:val="002A605F"/>
    <w:rsid w:val="002A7D24"/>
    <w:rsid w:val="002B0212"/>
    <w:rsid w:val="002B0A5B"/>
    <w:rsid w:val="002B24C4"/>
    <w:rsid w:val="002B2876"/>
    <w:rsid w:val="002B3522"/>
    <w:rsid w:val="002B5618"/>
    <w:rsid w:val="002B772A"/>
    <w:rsid w:val="002C0D54"/>
    <w:rsid w:val="002C22A1"/>
    <w:rsid w:val="002C3347"/>
    <w:rsid w:val="002C381C"/>
    <w:rsid w:val="002C431E"/>
    <w:rsid w:val="002C4505"/>
    <w:rsid w:val="002C46D5"/>
    <w:rsid w:val="002C67DF"/>
    <w:rsid w:val="002C6F30"/>
    <w:rsid w:val="002C6F4E"/>
    <w:rsid w:val="002D039F"/>
    <w:rsid w:val="002D07A6"/>
    <w:rsid w:val="002D344A"/>
    <w:rsid w:val="002D46BC"/>
    <w:rsid w:val="002D6C6E"/>
    <w:rsid w:val="002D706E"/>
    <w:rsid w:val="002D7DA1"/>
    <w:rsid w:val="002E0E09"/>
    <w:rsid w:val="002E1002"/>
    <w:rsid w:val="002E267B"/>
    <w:rsid w:val="002E2AF5"/>
    <w:rsid w:val="002E4102"/>
    <w:rsid w:val="002E462A"/>
    <w:rsid w:val="002E4867"/>
    <w:rsid w:val="002E59FB"/>
    <w:rsid w:val="002E5C21"/>
    <w:rsid w:val="002E5C8D"/>
    <w:rsid w:val="002F2BDA"/>
    <w:rsid w:val="002F2BF6"/>
    <w:rsid w:val="002F50E1"/>
    <w:rsid w:val="002F5EE1"/>
    <w:rsid w:val="002F76AE"/>
    <w:rsid w:val="003001C5"/>
    <w:rsid w:val="00301E96"/>
    <w:rsid w:val="00303BB3"/>
    <w:rsid w:val="003041A2"/>
    <w:rsid w:val="00306CC6"/>
    <w:rsid w:val="00307C56"/>
    <w:rsid w:val="00307F03"/>
    <w:rsid w:val="003115E2"/>
    <w:rsid w:val="00313CCA"/>
    <w:rsid w:val="00313D71"/>
    <w:rsid w:val="003142BD"/>
    <w:rsid w:val="00315048"/>
    <w:rsid w:val="00315675"/>
    <w:rsid w:val="00315C82"/>
    <w:rsid w:val="003172B0"/>
    <w:rsid w:val="0031738F"/>
    <w:rsid w:val="0031795D"/>
    <w:rsid w:val="00320E7B"/>
    <w:rsid w:val="00322362"/>
    <w:rsid w:val="00322757"/>
    <w:rsid w:val="00322899"/>
    <w:rsid w:val="003230D3"/>
    <w:rsid w:val="00323894"/>
    <w:rsid w:val="0032423A"/>
    <w:rsid w:val="0032456F"/>
    <w:rsid w:val="003253AB"/>
    <w:rsid w:val="00326F10"/>
    <w:rsid w:val="00326F96"/>
    <w:rsid w:val="00330163"/>
    <w:rsid w:val="003307CD"/>
    <w:rsid w:val="00333592"/>
    <w:rsid w:val="003355A6"/>
    <w:rsid w:val="00336274"/>
    <w:rsid w:val="0034077B"/>
    <w:rsid w:val="00344978"/>
    <w:rsid w:val="003502FE"/>
    <w:rsid w:val="00350696"/>
    <w:rsid w:val="003514F4"/>
    <w:rsid w:val="00352002"/>
    <w:rsid w:val="003532FD"/>
    <w:rsid w:val="0035337E"/>
    <w:rsid w:val="00356526"/>
    <w:rsid w:val="0035778E"/>
    <w:rsid w:val="00362558"/>
    <w:rsid w:val="00362FE1"/>
    <w:rsid w:val="00363FBC"/>
    <w:rsid w:val="00365D87"/>
    <w:rsid w:val="003660F4"/>
    <w:rsid w:val="00367531"/>
    <w:rsid w:val="00371461"/>
    <w:rsid w:val="0037363D"/>
    <w:rsid w:val="003736EF"/>
    <w:rsid w:val="00374FF7"/>
    <w:rsid w:val="00377D8F"/>
    <w:rsid w:val="0038254F"/>
    <w:rsid w:val="00383D40"/>
    <w:rsid w:val="00383E01"/>
    <w:rsid w:val="00384FA7"/>
    <w:rsid w:val="0038546B"/>
    <w:rsid w:val="00385E0E"/>
    <w:rsid w:val="00386A08"/>
    <w:rsid w:val="00386BA7"/>
    <w:rsid w:val="00386FF7"/>
    <w:rsid w:val="0038793C"/>
    <w:rsid w:val="0038794B"/>
    <w:rsid w:val="00387B12"/>
    <w:rsid w:val="00390A3B"/>
    <w:rsid w:val="003913FF"/>
    <w:rsid w:val="00391733"/>
    <w:rsid w:val="00392C49"/>
    <w:rsid w:val="00393139"/>
    <w:rsid w:val="00393BF8"/>
    <w:rsid w:val="003964BC"/>
    <w:rsid w:val="00397604"/>
    <w:rsid w:val="003A0CFA"/>
    <w:rsid w:val="003A1B52"/>
    <w:rsid w:val="003A2C7C"/>
    <w:rsid w:val="003A396B"/>
    <w:rsid w:val="003A4975"/>
    <w:rsid w:val="003A4E30"/>
    <w:rsid w:val="003A5D5E"/>
    <w:rsid w:val="003A634B"/>
    <w:rsid w:val="003A6C45"/>
    <w:rsid w:val="003A78CC"/>
    <w:rsid w:val="003B02A8"/>
    <w:rsid w:val="003B2874"/>
    <w:rsid w:val="003B5C02"/>
    <w:rsid w:val="003B6FB1"/>
    <w:rsid w:val="003B7184"/>
    <w:rsid w:val="003C1685"/>
    <w:rsid w:val="003C2263"/>
    <w:rsid w:val="003C2DA8"/>
    <w:rsid w:val="003C2EA4"/>
    <w:rsid w:val="003C332C"/>
    <w:rsid w:val="003C4C96"/>
    <w:rsid w:val="003C573A"/>
    <w:rsid w:val="003C7B14"/>
    <w:rsid w:val="003D1A55"/>
    <w:rsid w:val="003D1F43"/>
    <w:rsid w:val="003D23D2"/>
    <w:rsid w:val="003D2EEA"/>
    <w:rsid w:val="003D3FF7"/>
    <w:rsid w:val="003D7998"/>
    <w:rsid w:val="003E02A4"/>
    <w:rsid w:val="003E110C"/>
    <w:rsid w:val="003E1210"/>
    <w:rsid w:val="003E3F31"/>
    <w:rsid w:val="003E41C1"/>
    <w:rsid w:val="003E6A91"/>
    <w:rsid w:val="003E74FE"/>
    <w:rsid w:val="003E7B8F"/>
    <w:rsid w:val="003E7EE1"/>
    <w:rsid w:val="003F2071"/>
    <w:rsid w:val="003F5923"/>
    <w:rsid w:val="003F706E"/>
    <w:rsid w:val="0040010D"/>
    <w:rsid w:val="00401AD7"/>
    <w:rsid w:val="00403320"/>
    <w:rsid w:val="004038FE"/>
    <w:rsid w:val="00403DDC"/>
    <w:rsid w:val="00405556"/>
    <w:rsid w:val="004057EE"/>
    <w:rsid w:val="00406126"/>
    <w:rsid w:val="004105F9"/>
    <w:rsid w:val="00410A4C"/>
    <w:rsid w:val="00410FF2"/>
    <w:rsid w:val="00411DB3"/>
    <w:rsid w:val="00412946"/>
    <w:rsid w:val="00414EB3"/>
    <w:rsid w:val="004176B7"/>
    <w:rsid w:val="004209DE"/>
    <w:rsid w:val="00421FBB"/>
    <w:rsid w:val="00422631"/>
    <w:rsid w:val="004231F8"/>
    <w:rsid w:val="004234D2"/>
    <w:rsid w:val="00425663"/>
    <w:rsid w:val="00425A89"/>
    <w:rsid w:val="004269FE"/>
    <w:rsid w:val="00426EA0"/>
    <w:rsid w:val="0043020C"/>
    <w:rsid w:val="00430759"/>
    <w:rsid w:val="00433572"/>
    <w:rsid w:val="00435470"/>
    <w:rsid w:val="00435CFC"/>
    <w:rsid w:val="0043622D"/>
    <w:rsid w:val="00436F94"/>
    <w:rsid w:val="004400E7"/>
    <w:rsid w:val="004414DC"/>
    <w:rsid w:val="004421B1"/>
    <w:rsid w:val="00442BE6"/>
    <w:rsid w:val="0044404B"/>
    <w:rsid w:val="00444515"/>
    <w:rsid w:val="0044558E"/>
    <w:rsid w:val="0044656D"/>
    <w:rsid w:val="004467FC"/>
    <w:rsid w:val="00447E74"/>
    <w:rsid w:val="004521CD"/>
    <w:rsid w:val="00452BC1"/>
    <w:rsid w:val="0045439F"/>
    <w:rsid w:val="0045500F"/>
    <w:rsid w:val="00460A43"/>
    <w:rsid w:val="00461C52"/>
    <w:rsid w:val="004625E5"/>
    <w:rsid w:val="0046513E"/>
    <w:rsid w:val="00465BB0"/>
    <w:rsid w:val="00466310"/>
    <w:rsid w:val="004671BC"/>
    <w:rsid w:val="00467619"/>
    <w:rsid w:val="00471B0E"/>
    <w:rsid w:val="004735A6"/>
    <w:rsid w:val="0047519F"/>
    <w:rsid w:val="00475C71"/>
    <w:rsid w:val="00476394"/>
    <w:rsid w:val="004819E5"/>
    <w:rsid w:val="004830C2"/>
    <w:rsid w:val="00483BC9"/>
    <w:rsid w:val="0048418F"/>
    <w:rsid w:val="00486222"/>
    <w:rsid w:val="0048710F"/>
    <w:rsid w:val="00487640"/>
    <w:rsid w:val="00487AB1"/>
    <w:rsid w:val="00487F8E"/>
    <w:rsid w:val="00490447"/>
    <w:rsid w:val="004913DE"/>
    <w:rsid w:val="00491B4F"/>
    <w:rsid w:val="00492D8C"/>
    <w:rsid w:val="00492DC3"/>
    <w:rsid w:val="004933DB"/>
    <w:rsid w:val="00497CBB"/>
    <w:rsid w:val="004A15F0"/>
    <w:rsid w:val="004A38F9"/>
    <w:rsid w:val="004A43C8"/>
    <w:rsid w:val="004A4998"/>
    <w:rsid w:val="004A558C"/>
    <w:rsid w:val="004A567C"/>
    <w:rsid w:val="004A69F8"/>
    <w:rsid w:val="004B0103"/>
    <w:rsid w:val="004B622D"/>
    <w:rsid w:val="004B6354"/>
    <w:rsid w:val="004B642A"/>
    <w:rsid w:val="004B68AC"/>
    <w:rsid w:val="004B6F3E"/>
    <w:rsid w:val="004B789F"/>
    <w:rsid w:val="004C16E7"/>
    <w:rsid w:val="004C3063"/>
    <w:rsid w:val="004C4061"/>
    <w:rsid w:val="004C4D76"/>
    <w:rsid w:val="004C60CF"/>
    <w:rsid w:val="004C7F64"/>
    <w:rsid w:val="004D159C"/>
    <w:rsid w:val="004D202F"/>
    <w:rsid w:val="004D2628"/>
    <w:rsid w:val="004D44CF"/>
    <w:rsid w:val="004D7BAF"/>
    <w:rsid w:val="004E0FFA"/>
    <w:rsid w:val="004E1241"/>
    <w:rsid w:val="004E345B"/>
    <w:rsid w:val="004E5A3B"/>
    <w:rsid w:val="004E711A"/>
    <w:rsid w:val="004F1B52"/>
    <w:rsid w:val="004F2551"/>
    <w:rsid w:val="004F3968"/>
    <w:rsid w:val="004F4246"/>
    <w:rsid w:val="004F44E5"/>
    <w:rsid w:val="004F69DF"/>
    <w:rsid w:val="004F70A9"/>
    <w:rsid w:val="004F766F"/>
    <w:rsid w:val="004F78CB"/>
    <w:rsid w:val="004F7BFC"/>
    <w:rsid w:val="0050057C"/>
    <w:rsid w:val="0050079C"/>
    <w:rsid w:val="00501F7B"/>
    <w:rsid w:val="0050224F"/>
    <w:rsid w:val="0050440A"/>
    <w:rsid w:val="005046E5"/>
    <w:rsid w:val="00504B20"/>
    <w:rsid w:val="0050566C"/>
    <w:rsid w:val="00510031"/>
    <w:rsid w:val="00511379"/>
    <w:rsid w:val="00511FD0"/>
    <w:rsid w:val="005138A6"/>
    <w:rsid w:val="005139E6"/>
    <w:rsid w:val="00513A83"/>
    <w:rsid w:val="00513FE7"/>
    <w:rsid w:val="0051498F"/>
    <w:rsid w:val="00515A21"/>
    <w:rsid w:val="00515A81"/>
    <w:rsid w:val="005171FA"/>
    <w:rsid w:val="005226F0"/>
    <w:rsid w:val="0052363C"/>
    <w:rsid w:val="00525EAE"/>
    <w:rsid w:val="005261A2"/>
    <w:rsid w:val="00526C1F"/>
    <w:rsid w:val="00527FF5"/>
    <w:rsid w:val="005311DF"/>
    <w:rsid w:val="0053270C"/>
    <w:rsid w:val="00532C6D"/>
    <w:rsid w:val="00532EC0"/>
    <w:rsid w:val="0053518D"/>
    <w:rsid w:val="00536917"/>
    <w:rsid w:val="00536FE9"/>
    <w:rsid w:val="0054288A"/>
    <w:rsid w:val="00543216"/>
    <w:rsid w:val="00543F61"/>
    <w:rsid w:val="0054469C"/>
    <w:rsid w:val="00544E96"/>
    <w:rsid w:val="005455ED"/>
    <w:rsid w:val="00547150"/>
    <w:rsid w:val="005472B9"/>
    <w:rsid w:val="005505B6"/>
    <w:rsid w:val="00550C19"/>
    <w:rsid w:val="0055107D"/>
    <w:rsid w:val="00552A6F"/>
    <w:rsid w:val="00555836"/>
    <w:rsid w:val="0055789B"/>
    <w:rsid w:val="00557B02"/>
    <w:rsid w:val="005618F1"/>
    <w:rsid w:val="00561E10"/>
    <w:rsid w:val="0056429F"/>
    <w:rsid w:val="0056578D"/>
    <w:rsid w:val="00566D73"/>
    <w:rsid w:val="00567E9D"/>
    <w:rsid w:val="0057129D"/>
    <w:rsid w:val="0057181F"/>
    <w:rsid w:val="00574243"/>
    <w:rsid w:val="005744E8"/>
    <w:rsid w:val="00574600"/>
    <w:rsid w:val="0057508E"/>
    <w:rsid w:val="00575AD1"/>
    <w:rsid w:val="00575F52"/>
    <w:rsid w:val="00581619"/>
    <w:rsid w:val="00581B9F"/>
    <w:rsid w:val="005822AC"/>
    <w:rsid w:val="00582FE7"/>
    <w:rsid w:val="00583898"/>
    <w:rsid w:val="00584C51"/>
    <w:rsid w:val="00585C76"/>
    <w:rsid w:val="00586EAA"/>
    <w:rsid w:val="00586FD4"/>
    <w:rsid w:val="00592BCC"/>
    <w:rsid w:val="00593348"/>
    <w:rsid w:val="005943E5"/>
    <w:rsid w:val="005948CC"/>
    <w:rsid w:val="005955C1"/>
    <w:rsid w:val="00596EFD"/>
    <w:rsid w:val="005A09D3"/>
    <w:rsid w:val="005A0D7E"/>
    <w:rsid w:val="005A1112"/>
    <w:rsid w:val="005A1DB5"/>
    <w:rsid w:val="005A1F48"/>
    <w:rsid w:val="005A36C9"/>
    <w:rsid w:val="005A47DE"/>
    <w:rsid w:val="005A4FA6"/>
    <w:rsid w:val="005A6EBE"/>
    <w:rsid w:val="005B1834"/>
    <w:rsid w:val="005B1A88"/>
    <w:rsid w:val="005B21E6"/>
    <w:rsid w:val="005B2C9F"/>
    <w:rsid w:val="005B321E"/>
    <w:rsid w:val="005B366E"/>
    <w:rsid w:val="005B4DAA"/>
    <w:rsid w:val="005B5F39"/>
    <w:rsid w:val="005C18E4"/>
    <w:rsid w:val="005C1F7F"/>
    <w:rsid w:val="005C2177"/>
    <w:rsid w:val="005C31EB"/>
    <w:rsid w:val="005C3D21"/>
    <w:rsid w:val="005D0295"/>
    <w:rsid w:val="005D1482"/>
    <w:rsid w:val="005D1A0B"/>
    <w:rsid w:val="005D1F44"/>
    <w:rsid w:val="005D1F6A"/>
    <w:rsid w:val="005D2652"/>
    <w:rsid w:val="005D2F8B"/>
    <w:rsid w:val="005D556A"/>
    <w:rsid w:val="005D7720"/>
    <w:rsid w:val="005D7A0E"/>
    <w:rsid w:val="005E04CD"/>
    <w:rsid w:val="005E05F1"/>
    <w:rsid w:val="005E0CC4"/>
    <w:rsid w:val="005E2EC7"/>
    <w:rsid w:val="005E4DCF"/>
    <w:rsid w:val="005F06E6"/>
    <w:rsid w:val="005F20D4"/>
    <w:rsid w:val="005F28C2"/>
    <w:rsid w:val="005F5BFD"/>
    <w:rsid w:val="005F631B"/>
    <w:rsid w:val="005F7EDA"/>
    <w:rsid w:val="00602BFE"/>
    <w:rsid w:val="00603241"/>
    <w:rsid w:val="00603689"/>
    <w:rsid w:val="00603C32"/>
    <w:rsid w:val="00604A3F"/>
    <w:rsid w:val="006103EE"/>
    <w:rsid w:val="00610FA6"/>
    <w:rsid w:val="006114F6"/>
    <w:rsid w:val="00611BD0"/>
    <w:rsid w:val="0061209F"/>
    <w:rsid w:val="00613669"/>
    <w:rsid w:val="00613DDB"/>
    <w:rsid w:val="00614644"/>
    <w:rsid w:val="0061499F"/>
    <w:rsid w:val="006154B6"/>
    <w:rsid w:val="006161B9"/>
    <w:rsid w:val="0061645C"/>
    <w:rsid w:val="00616FB0"/>
    <w:rsid w:val="006175AA"/>
    <w:rsid w:val="006201C7"/>
    <w:rsid w:val="00620B7C"/>
    <w:rsid w:val="00622AA2"/>
    <w:rsid w:val="00622E54"/>
    <w:rsid w:val="00622ECD"/>
    <w:rsid w:val="00623196"/>
    <w:rsid w:val="00623E45"/>
    <w:rsid w:val="0062498D"/>
    <w:rsid w:val="00624CCA"/>
    <w:rsid w:val="00625859"/>
    <w:rsid w:val="00627465"/>
    <w:rsid w:val="0062782D"/>
    <w:rsid w:val="006278E8"/>
    <w:rsid w:val="00627E24"/>
    <w:rsid w:val="00633C2F"/>
    <w:rsid w:val="006340CC"/>
    <w:rsid w:val="00635AB8"/>
    <w:rsid w:val="00635B8F"/>
    <w:rsid w:val="0063620B"/>
    <w:rsid w:val="00636F80"/>
    <w:rsid w:val="00637220"/>
    <w:rsid w:val="00640197"/>
    <w:rsid w:val="006407B9"/>
    <w:rsid w:val="00640BA1"/>
    <w:rsid w:val="0064280F"/>
    <w:rsid w:val="00642F0E"/>
    <w:rsid w:val="00643572"/>
    <w:rsid w:val="006462E6"/>
    <w:rsid w:val="00646384"/>
    <w:rsid w:val="00651207"/>
    <w:rsid w:val="0065128C"/>
    <w:rsid w:val="006516A4"/>
    <w:rsid w:val="00651EED"/>
    <w:rsid w:val="00652786"/>
    <w:rsid w:val="00653D55"/>
    <w:rsid w:val="00654E0D"/>
    <w:rsid w:val="00655CFF"/>
    <w:rsid w:val="00660254"/>
    <w:rsid w:val="00660290"/>
    <w:rsid w:val="00664A18"/>
    <w:rsid w:val="00664C01"/>
    <w:rsid w:val="0066786D"/>
    <w:rsid w:val="00667ED6"/>
    <w:rsid w:val="00670C4F"/>
    <w:rsid w:val="006716FD"/>
    <w:rsid w:val="0067402A"/>
    <w:rsid w:val="006754E4"/>
    <w:rsid w:val="00677AA8"/>
    <w:rsid w:val="0068077E"/>
    <w:rsid w:val="00680B8C"/>
    <w:rsid w:val="0068261C"/>
    <w:rsid w:val="00683B78"/>
    <w:rsid w:val="00683E14"/>
    <w:rsid w:val="00684187"/>
    <w:rsid w:val="006849FF"/>
    <w:rsid w:val="00685003"/>
    <w:rsid w:val="006850C4"/>
    <w:rsid w:val="00685909"/>
    <w:rsid w:val="00690CF0"/>
    <w:rsid w:val="00691AE4"/>
    <w:rsid w:val="00691FAD"/>
    <w:rsid w:val="00692D4C"/>
    <w:rsid w:val="006930A4"/>
    <w:rsid w:val="0069312B"/>
    <w:rsid w:val="006A037F"/>
    <w:rsid w:val="006A076A"/>
    <w:rsid w:val="006A151F"/>
    <w:rsid w:val="006A2320"/>
    <w:rsid w:val="006A2C27"/>
    <w:rsid w:val="006A349F"/>
    <w:rsid w:val="006A5B40"/>
    <w:rsid w:val="006A688A"/>
    <w:rsid w:val="006A7E87"/>
    <w:rsid w:val="006B10E3"/>
    <w:rsid w:val="006B157D"/>
    <w:rsid w:val="006B1763"/>
    <w:rsid w:val="006B17AC"/>
    <w:rsid w:val="006B2FA5"/>
    <w:rsid w:val="006B3F93"/>
    <w:rsid w:val="006B483F"/>
    <w:rsid w:val="006B49AC"/>
    <w:rsid w:val="006B4A3B"/>
    <w:rsid w:val="006B5C8A"/>
    <w:rsid w:val="006B6B79"/>
    <w:rsid w:val="006C319E"/>
    <w:rsid w:val="006C4964"/>
    <w:rsid w:val="006C4C26"/>
    <w:rsid w:val="006C5868"/>
    <w:rsid w:val="006C5C49"/>
    <w:rsid w:val="006C76CA"/>
    <w:rsid w:val="006D1E7D"/>
    <w:rsid w:val="006D2E2A"/>
    <w:rsid w:val="006D31A4"/>
    <w:rsid w:val="006D355D"/>
    <w:rsid w:val="006D3896"/>
    <w:rsid w:val="006D3A20"/>
    <w:rsid w:val="006D3F0B"/>
    <w:rsid w:val="006D4C19"/>
    <w:rsid w:val="006D4F2B"/>
    <w:rsid w:val="006D6312"/>
    <w:rsid w:val="006D6F41"/>
    <w:rsid w:val="006E0B38"/>
    <w:rsid w:val="006E107E"/>
    <w:rsid w:val="006E6C66"/>
    <w:rsid w:val="006F0571"/>
    <w:rsid w:val="006F2AF9"/>
    <w:rsid w:val="006F2C11"/>
    <w:rsid w:val="006F63CD"/>
    <w:rsid w:val="006F6C1E"/>
    <w:rsid w:val="00701BE6"/>
    <w:rsid w:val="007049EF"/>
    <w:rsid w:val="0070581F"/>
    <w:rsid w:val="00705F22"/>
    <w:rsid w:val="0070628E"/>
    <w:rsid w:val="007063F3"/>
    <w:rsid w:val="00710042"/>
    <w:rsid w:val="007112EB"/>
    <w:rsid w:val="0071215C"/>
    <w:rsid w:val="00712DFF"/>
    <w:rsid w:val="007136AD"/>
    <w:rsid w:val="00713ECB"/>
    <w:rsid w:val="00716740"/>
    <w:rsid w:val="00716FF8"/>
    <w:rsid w:val="007179AF"/>
    <w:rsid w:val="00717F30"/>
    <w:rsid w:val="00720150"/>
    <w:rsid w:val="00720B36"/>
    <w:rsid w:val="00722416"/>
    <w:rsid w:val="007242E5"/>
    <w:rsid w:val="00724B0E"/>
    <w:rsid w:val="00724FF5"/>
    <w:rsid w:val="0072522F"/>
    <w:rsid w:val="007305A9"/>
    <w:rsid w:val="00732A2B"/>
    <w:rsid w:val="007339C5"/>
    <w:rsid w:val="00733B8B"/>
    <w:rsid w:val="0073557C"/>
    <w:rsid w:val="00735EDF"/>
    <w:rsid w:val="00736036"/>
    <w:rsid w:val="00736EAE"/>
    <w:rsid w:val="00737A40"/>
    <w:rsid w:val="00740029"/>
    <w:rsid w:val="00740E51"/>
    <w:rsid w:val="00741888"/>
    <w:rsid w:val="00743FEE"/>
    <w:rsid w:val="00745F94"/>
    <w:rsid w:val="00746066"/>
    <w:rsid w:val="00746147"/>
    <w:rsid w:val="00746FD5"/>
    <w:rsid w:val="0075134B"/>
    <w:rsid w:val="00751612"/>
    <w:rsid w:val="0075284B"/>
    <w:rsid w:val="0075336C"/>
    <w:rsid w:val="00753E1C"/>
    <w:rsid w:val="007542A4"/>
    <w:rsid w:val="00754F53"/>
    <w:rsid w:val="00755237"/>
    <w:rsid w:val="007552EB"/>
    <w:rsid w:val="007602B1"/>
    <w:rsid w:val="00761039"/>
    <w:rsid w:val="0076138E"/>
    <w:rsid w:val="00761663"/>
    <w:rsid w:val="00761A56"/>
    <w:rsid w:val="007623C6"/>
    <w:rsid w:val="007623DA"/>
    <w:rsid w:val="007625DA"/>
    <w:rsid w:val="00763BBF"/>
    <w:rsid w:val="00763BF6"/>
    <w:rsid w:val="00763F1B"/>
    <w:rsid w:val="00765D64"/>
    <w:rsid w:val="00766EE0"/>
    <w:rsid w:val="00766F5F"/>
    <w:rsid w:val="0076721B"/>
    <w:rsid w:val="00767775"/>
    <w:rsid w:val="00767979"/>
    <w:rsid w:val="00770F4C"/>
    <w:rsid w:val="0077247C"/>
    <w:rsid w:val="00773171"/>
    <w:rsid w:val="00773AEF"/>
    <w:rsid w:val="00777874"/>
    <w:rsid w:val="00777922"/>
    <w:rsid w:val="007827A7"/>
    <w:rsid w:val="00782DED"/>
    <w:rsid w:val="00784DFD"/>
    <w:rsid w:val="00785835"/>
    <w:rsid w:val="007867E1"/>
    <w:rsid w:val="00786BF7"/>
    <w:rsid w:val="00786E6D"/>
    <w:rsid w:val="0079067F"/>
    <w:rsid w:val="00792D98"/>
    <w:rsid w:val="00793387"/>
    <w:rsid w:val="0079527C"/>
    <w:rsid w:val="007969CE"/>
    <w:rsid w:val="007A1FCC"/>
    <w:rsid w:val="007A357A"/>
    <w:rsid w:val="007A536F"/>
    <w:rsid w:val="007A6DAB"/>
    <w:rsid w:val="007A6EE1"/>
    <w:rsid w:val="007B1F26"/>
    <w:rsid w:val="007B23F8"/>
    <w:rsid w:val="007B3CED"/>
    <w:rsid w:val="007B5AE0"/>
    <w:rsid w:val="007B5B59"/>
    <w:rsid w:val="007B7FB8"/>
    <w:rsid w:val="007C1639"/>
    <w:rsid w:val="007C1DD1"/>
    <w:rsid w:val="007C6432"/>
    <w:rsid w:val="007C7B7A"/>
    <w:rsid w:val="007D0821"/>
    <w:rsid w:val="007D0A6F"/>
    <w:rsid w:val="007D15BD"/>
    <w:rsid w:val="007D2401"/>
    <w:rsid w:val="007D290E"/>
    <w:rsid w:val="007D3176"/>
    <w:rsid w:val="007D4F1A"/>
    <w:rsid w:val="007D534F"/>
    <w:rsid w:val="007D5A91"/>
    <w:rsid w:val="007D5BBF"/>
    <w:rsid w:val="007E081C"/>
    <w:rsid w:val="007E1668"/>
    <w:rsid w:val="007E41F2"/>
    <w:rsid w:val="007E4B5F"/>
    <w:rsid w:val="007E68AD"/>
    <w:rsid w:val="007E6EB5"/>
    <w:rsid w:val="007E6F15"/>
    <w:rsid w:val="007F09B5"/>
    <w:rsid w:val="007F2E2F"/>
    <w:rsid w:val="007F347B"/>
    <w:rsid w:val="007F4AE9"/>
    <w:rsid w:val="007F536F"/>
    <w:rsid w:val="007F59A0"/>
    <w:rsid w:val="007F5E20"/>
    <w:rsid w:val="007F61C5"/>
    <w:rsid w:val="007F74A0"/>
    <w:rsid w:val="008007C4"/>
    <w:rsid w:val="00800E7C"/>
    <w:rsid w:val="00801DB0"/>
    <w:rsid w:val="0080261E"/>
    <w:rsid w:val="00802D37"/>
    <w:rsid w:val="0080363D"/>
    <w:rsid w:val="00803C08"/>
    <w:rsid w:val="00804A6E"/>
    <w:rsid w:val="00805D82"/>
    <w:rsid w:val="00805E54"/>
    <w:rsid w:val="00807174"/>
    <w:rsid w:val="00811F67"/>
    <w:rsid w:val="00812A3B"/>
    <w:rsid w:val="008141FC"/>
    <w:rsid w:val="008146AD"/>
    <w:rsid w:val="00814FED"/>
    <w:rsid w:val="008162A4"/>
    <w:rsid w:val="00817FAC"/>
    <w:rsid w:val="00821179"/>
    <w:rsid w:val="008253F5"/>
    <w:rsid w:val="008279BD"/>
    <w:rsid w:val="00830197"/>
    <w:rsid w:val="00831101"/>
    <w:rsid w:val="0083188C"/>
    <w:rsid w:val="00831C54"/>
    <w:rsid w:val="0083383A"/>
    <w:rsid w:val="00833E5E"/>
    <w:rsid w:val="00833EB7"/>
    <w:rsid w:val="0083402C"/>
    <w:rsid w:val="0083569C"/>
    <w:rsid w:val="008362CA"/>
    <w:rsid w:val="00836E65"/>
    <w:rsid w:val="008377D1"/>
    <w:rsid w:val="00840024"/>
    <w:rsid w:val="0084049C"/>
    <w:rsid w:val="008430F9"/>
    <w:rsid w:val="00843650"/>
    <w:rsid w:val="00843F25"/>
    <w:rsid w:val="00847325"/>
    <w:rsid w:val="00847F94"/>
    <w:rsid w:val="00852102"/>
    <w:rsid w:val="0085436D"/>
    <w:rsid w:val="00854755"/>
    <w:rsid w:val="00854AF3"/>
    <w:rsid w:val="00854B15"/>
    <w:rsid w:val="008558D2"/>
    <w:rsid w:val="008579D6"/>
    <w:rsid w:val="00866F0F"/>
    <w:rsid w:val="00867931"/>
    <w:rsid w:val="0087016E"/>
    <w:rsid w:val="0087042E"/>
    <w:rsid w:val="00871C1E"/>
    <w:rsid w:val="008726AD"/>
    <w:rsid w:val="00873E5A"/>
    <w:rsid w:val="008753C4"/>
    <w:rsid w:val="00875F24"/>
    <w:rsid w:val="00876588"/>
    <w:rsid w:val="008766A6"/>
    <w:rsid w:val="008836FE"/>
    <w:rsid w:val="00885297"/>
    <w:rsid w:val="00885972"/>
    <w:rsid w:val="00890B88"/>
    <w:rsid w:val="00893A8B"/>
    <w:rsid w:val="008947E5"/>
    <w:rsid w:val="00894AA8"/>
    <w:rsid w:val="00894CA6"/>
    <w:rsid w:val="008957D4"/>
    <w:rsid w:val="0089601F"/>
    <w:rsid w:val="00897BC7"/>
    <w:rsid w:val="008A1F3C"/>
    <w:rsid w:val="008A3215"/>
    <w:rsid w:val="008A3CEF"/>
    <w:rsid w:val="008A5FF1"/>
    <w:rsid w:val="008A614D"/>
    <w:rsid w:val="008A62A4"/>
    <w:rsid w:val="008A6900"/>
    <w:rsid w:val="008A73CC"/>
    <w:rsid w:val="008A77A6"/>
    <w:rsid w:val="008B03DD"/>
    <w:rsid w:val="008B0477"/>
    <w:rsid w:val="008B15F5"/>
    <w:rsid w:val="008B17C5"/>
    <w:rsid w:val="008B2448"/>
    <w:rsid w:val="008B3FB3"/>
    <w:rsid w:val="008B4F12"/>
    <w:rsid w:val="008B79D3"/>
    <w:rsid w:val="008C0173"/>
    <w:rsid w:val="008C0B8B"/>
    <w:rsid w:val="008C140C"/>
    <w:rsid w:val="008C23AE"/>
    <w:rsid w:val="008C2DE6"/>
    <w:rsid w:val="008C4A38"/>
    <w:rsid w:val="008C4BB8"/>
    <w:rsid w:val="008C51D2"/>
    <w:rsid w:val="008C6013"/>
    <w:rsid w:val="008C7B34"/>
    <w:rsid w:val="008D0F7F"/>
    <w:rsid w:val="008D2A40"/>
    <w:rsid w:val="008D3F8D"/>
    <w:rsid w:val="008D4FCE"/>
    <w:rsid w:val="008D6F5C"/>
    <w:rsid w:val="008D7957"/>
    <w:rsid w:val="008D7FD2"/>
    <w:rsid w:val="008E07A0"/>
    <w:rsid w:val="008E0B7E"/>
    <w:rsid w:val="008E0CB8"/>
    <w:rsid w:val="008E212B"/>
    <w:rsid w:val="008E34EF"/>
    <w:rsid w:val="008E377E"/>
    <w:rsid w:val="008E74ED"/>
    <w:rsid w:val="008F1E07"/>
    <w:rsid w:val="008F24E8"/>
    <w:rsid w:val="008F6317"/>
    <w:rsid w:val="008F649F"/>
    <w:rsid w:val="008F6FD3"/>
    <w:rsid w:val="009024F7"/>
    <w:rsid w:val="009034E0"/>
    <w:rsid w:val="0090426D"/>
    <w:rsid w:val="00906360"/>
    <w:rsid w:val="009065B3"/>
    <w:rsid w:val="00906DC4"/>
    <w:rsid w:val="00907999"/>
    <w:rsid w:val="00913BAB"/>
    <w:rsid w:val="00915DE6"/>
    <w:rsid w:val="0091740B"/>
    <w:rsid w:val="00920E72"/>
    <w:rsid w:val="00922DBC"/>
    <w:rsid w:val="009255A1"/>
    <w:rsid w:val="00926488"/>
    <w:rsid w:val="00932430"/>
    <w:rsid w:val="00932CBA"/>
    <w:rsid w:val="00933C05"/>
    <w:rsid w:val="009342BA"/>
    <w:rsid w:val="00940E93"/>
    <w:rsid w:val="00941734"/>
    <w:rsid w:val="00941B21"/>
    <w:rsid w:val="009426D1"/>
    <w:rsid w:val="0094371D"/>
    <w:rsid w:val="00943D42"/>
    <w:rsid w:val="00944551"/>
    <w:rsid w:val="00944BBC"/>
    <w:rsid w:val="009457E3"/>
    <w:rsid w:val="009460F1"/>
    <w:rsid w:val="0094689B"/>
    <w:rsid w:val="00946E4F"/>
    <w:rsid w:val="00951950"/>
    <w:rsid w:val="00951A24"/>
    <w:rsid w:val="0095290F"/>
    <w:rsid w:val="00952A3E"/>
    <w:rsid w:val="00953408"/>
    <w:rsid w:val="0095424E"/>
    <w:rsid w:val="00954669"/>
    <w:rsid w:val="009558A4"/>
    <w:rsid w:val="00955E2B"/>
    <w:rsid w:val="00956C87"/>
    <w:rsid w:val="00957241"/>
    <w:rsid w:val="00960DB1"/>
    <w:rsid w:val="0096395A"/>
    <w:rsid w:val="009667C2"/>
    <w:rsid w:val="009672BF"/>
    <w:rsid w:val="00967E8B"/>
    <w:rsid w:val="0097376E"/>
    <w:rsid w:val="00973908"/>
    <w:rsid w:val="009746FE"/>
    <w:rsid w:val="00975974"/>
    <w:rsid w:val="009765D7"/>
    <w:rsid w:val="009816FE"/>
    <w:rsid w:val="00981EE7"/>
    <w:rsid w:val="00982AE6"/>
    <w:rsid w:val="00984AD6"/>
    <w:rsid w:val="00985B61"/>
    <w:rsid w:val="00986757"/>
    <w:rsid w:val="00987634"/>
    <w:rsid w:val="00991DC6"/>
    <w:rsid w:val="009938CC"/>
    <w:rsid w:val="00994DAF"/>
    <w:rsid w:val="0099586F"/>
    <w:rsid w:val="00995E29"/>
    <w:rsid w:val="009A035B"/>
    <w:rsid w:val="009A15E4"/>
    <w:rsid w:val="009A200D"/>
    <w:rsid w:val="009A27D2"/>
    <w:rsid w:val="009A4656"/>
    <w:rsid w:val="009A4714"/>
    <w:rsid w:val="009A7F2A"/>
    <w:rsid w:val="009B2A3F"/>
    <w:rsid w:val="009B5C08"/>
    <w:rsid w:val="009B6400"/>
    <w:rsid w:val="009B6903"/>
    <w:rsid w:val="009C0D38"/>
    <w:rsid w:val="009C0EE0"/>
    <w:rsid w:val="009C1260"/>
    <w:rsid w:val="009C1D23"/>
    <w:rsid w:val="009C1ED6"/>
    <w:rsid w:val="009C2B01"/>
    <w:rsid w:val="009C5A85"/>
    <w:rsid w:val="009C6232"/>
    <w:rsid w:val="009C71A8"/>
    <w:rsid w:val="009C724E"/>
    <w:rsid w:val="009D0717"/>
    <w:rsid w:val="009D0FF9"/>
    <w:rsid w:val="009D1EA7"/>
    <w:rsid w:val="009D3757"/>
    <w:rsid w:val="009D4F7D"/>
    <w:rsid w:val="009D644E"/>
    <w:rsid w:val="009D6775"/>
    <w:rsid w:val="009E0ECA"/>
    <w:rsid w:val="009E2DB4"/>
    <w:rsid w:val="009E2F23"/>
    <w:rsid w:val="009E487C"/>
    <w:rsid w:val="009E4FC1"/>
    <w:rsid w:val="009E672F"/>
    <w:rsid w:val="009E7301"/>
    <w:rsid w:val="009F0B25"/>
    <w:rsid w:val="009F24E7"/>
    <w:rsid w:val="009F31AC"/>
    <w:rsid w:val="009F4DB7"/>
    <w:rsid w:val="009F5A00"/>
    <w:rsid w:val="009F74BF"/>
    <w:rsid w:val="00A00E7B"/>
    <w:rsid w:val="00A04C83"/>
    <w:rsid w:val="00A0736B"/>
    <w:rsid w:val="00A0759B"/>
    <w:rsid w:val="00A10C7A"/>
    <w:rsid w:val="00A10E3D"/>
    <w:rsid w:val="00A11086"/>
    <w:rsid w:val="00A13F84"/>
    <w:rsid w:val="00A14BBD"/>
    <w:rsid w:val="00A17915"/>
    <w:rsid w:val="00A21DB3"/>
    <w:rsid w:val="00A2212A"/>
    <w:rsid w:val="00A22225"/>
    <w:rsid w:val="00A23E8E"/>
    <w:rsid w:val="00A240D1"/>
    <w:rsid w:val="00A24F29"/>
    <w:rsid w:val="00A3071A"/>
    <w:rsid w:val="00A30822"/>
    <w:rsid w:val="00A311CB"/>
    <w:rsid w:val="00A31309"/>
    <w:rsid w:val="00A3189D"/>
    <w:rsid w:val="00A318D2"/>
    <w:rsid w:val="00A33735"/>
    <w:rsid w:val="00A34913"/>
    <w:rsid w:val="00A34A98"/>
    <w:rsid w:val="00A371A3"/>
    <w:rsid w:val="00A413E5"/>
    <w:rsid w:val="00A41667"/>
    <w:rsid w:val="00A4261A"/>
    <w:rsid w:val="00A4334A"/>
    <w:rsid w:val="00A44590"/>
    <w:rsid w:val="00A44FB1"/>
    <w:rsid w:val="00A4515D"/>
    <w:rsid w:val="00A4798E"/>
    <w:rsid w:val="00A50FFA"/>
    <w:rsid w:val="00A5219F"/>
    <w:rsid w:val="00A53D89"/>
    <w:rsid w:val="00A5414E"/>
    <w:rsid w:val="00A62AD1"/>
    <w:rsid w:val="00A64071"/>
    <w:rsid w:val="00A67611"/>
    <w:rsid w:val="00A67A9A"/>
    <w:rsid w:val="00A67BD3"/>
    <w:rsid w:val="00A67FF7"/>
    <w:rsid w:val="00A70198"/>
    <w:rsid w:val="00A70850"/>
    <w:rsid w:val="00A71063"/>
    <w:rsid w:val="00A74311"/>
    <w:rsid w:val="00A75A82"/>
    <w:rsid w:val="00A76733"/>
    <w:rsid w:val="00A7768A"/>
    <w:rsid w:val="00A825C6"/>
    <w:rsid w:val="00A8272B"/>
    <w:rsid w:val="00A82C64"/>
    <w:rsid w:val="00A8382C"/>
    <w:rsid w:val="00A8588A"/>
    <w:rsid w:val="00A87D5A"/>
    <w:rsid w:val="00A90ADD"/>
    <w:rsid w:val="00A91C93"/>
    <w:rsid w:val="00A91F32"/>
    <w:rsid w:val="00A947A7"/>
    <w:rsid w:val="00A955DC"/>
    <w:rsid w:val="00A9646A"/>
    <w:rsid w:val="00A967E9"/>
    <w:rsid w:val="00A973CE"/>
    <w:rsid w:val="00AA0D6F"/>
    <w:rsid w:val="00AA0DC5"/>
    <w:rsid w:val="00AA19FB"/>
    <w:rsid w:val="00AA252B"/>
    <w:rsid w:val="00AA3099"/>
    <w:rsid w:val="00AA41C6"/>
    <w:rsid w:val="00AA4F79"/>
    <w:rsid w:val="00AB074F"/>
    <w:rsid w:val="00AB0877"/>
    <w:rsid w:val="00AB1555"/>
    <w:rsid w:val="00AB190E"/>
    <w:rsid w:val="00AB282B"/>
    <w:rsid w:val="00AB2FE6"/>
    <w:rsid w:val="00AB3246"/>
    <w:rsid w:val="00AB4989"/>
    <w:rsid w:val="00AB5694"/>
    <w:rsid w:val="00AB5FC0"/>
    <w:rsid w:val="00AB6EED"/>
    <w:rsid w:val="00AC067C"/>
    <w:rsid w:val="00AC4689"/>
    <w:rsid w:val="00AC4FBF"/>
    <w:rsid w:val="00AC561C"/>
    <w:rsid w:val="00AD06B4"/>
    <w:rsid w:val="00AD08B2"/>
    <w:rsid w:val="00AD12DD"/>
    <w:rsid w:val="00AD1A19"/>
    <w:rsid w:val="00AD273D"/>
    <w:rsid w:val="00AD5126"/>
    <w:rsid w:val="00AD6358"/>
    <w:rsid w:val="00AD6366"/>
    <w:rsid w:val="00AD64E2"/>
    <w:rsid w:val="00AD6ECF"/>
    <w:rsid w:val="00AD7DBC"/>
    <w:rsid w:val="00AE2256"/>
    <w:rsid w:val="00AE2641"/>
    <w:rsid w:val="00AE28CB"/>
    <w:rsid w:val="00AE2CE3"/>
    <w:rsid w:val="00AE2D48"/>
    <w:rsid w:val="00AE4827"/>
    <w:rsid w:val="00AE515E"/>
    <w:rsid w:val="00AE55BA"/>
    <w:rsid w:val="00AE5F24"/>
    <w:rsid w:val="00AE65CE"/>
    <w:rsid w:val="00AF1285"/>
    <w:rsid w:val="00AF19C5"/>
    <w:rsid w:val="00AF1EBB"/>
    <w:rsid w:val="00AF2F47"/>
    <w:rsid w:val="00AF4154"/>
    <w:rsid w:val="00AF5436"/>
    <w:rsid w:val="00AF5457"/>
    <w:rsid w:val="00AF5C83"/>
    <w:rsid w:val="00AF7C22"/>
    <w:rsid w:val="00AF7DF1"/>
    <w:rsid w:val="00B00977"/>
    <w:rsid w:val="00B00CCE"/>
    <w:rsid w:val="00B00CE0"/>
    <w:rsid w:val="00B0151A"/>
    <w:rsid w:val="00B01583"/>
    <w:rsid w:val="00B0262C"/>
    <w:rsid w:val="00B043B9"/>
    <w:rsid w:val="00B0461D"/>
    <w:rsid w:val="00B04C44"/>
    <w:rsid w:val="00B06681"/>
    <w:rsid w:val="00B10AE2"/>
    <w:rsid w:val="00B122AD"/>
    <w:rsid w:val="00B12653"/>
    <w:rsid w:val="00B12D5D"/>
    <w:rsid w:val="00B133E7"/>
    <w:rsid w:val="00B15391"/>
    <w:rsid w:val="00B1745E"/>
    <w:rsid w:val="00B201AE"/>
    <w:rsid w:val="00B2236E"/>
    <w:rsid w:val="00B24CA1"/>
    <w:rsid w:val="00B262B3"/>
    <w:rsid w:val="00B30226"/>
    <w:rsid w:val="00B30359"/>
    <w:rsid w:val="00B31D7F"/>
    <w:rsid w:val="00B31DD7"/>
    <w:rsid w:val="00B3346E"/>
    <w:rsid w:val="00B33A9E"/>
    <w:rsid w:val="00B340EF"/>
    <w:rsid w:val="00B34FC5"/>
    <w:rsid w:val="00B36C33"/>
    <w:rsid w:val="00B4053C"/>
    <w:rsid w:val="00B40B0E"/>
    <w:rsid w:val="00B421AF"/>
    <w:rsid w:val="00B44E99"/>
    <w:rsid w:val="00B46DE5"/>
    <w:rsid w:val="00B503C2"/>
    <w:rsid w:val="00B513E3"/>
    <w:rsid w:val="00B51E22"/>
    <w:rsid w:val="00B5377F"/>
    <w:rsid w:val="00B54D61"/>
    <w:rsid w:val="00B55323"/>
    <w:rsid w:val="00B6231B"/>
    <w:rsid w:val="00B639AA"/>
    <w:rsid w:val="00B64C67"/>
    <w:rsid w:val="00B66465"/>
    <w:rsid w:val="00B6739B"/>
    <w:rsid w:val="00B70469"/>
    <w:rsid w:val="00B707F4"/>
    <w:rsid w:val="00B7122F"/>
    <w:rsid w:val="00B74796"/>
    <w:rsid w:val="00B7486F"/>
    <w:rsid w:val="00B75BC2"/>
    <w:rsid w:val="00B77456"/>
    <w:rsid w:val="00B80897"/>
    <w:rsid w:val="00B80E50"/>
    <w:rsid w:val="00B81B54"/>
    <w:rsid w:val="00B82C4E"/>
    <w:rsid w:val="00B84090"/>
    <w:rsid w:val="00B858CA"/>
    <w:rsid w:val="00B85FBF"/>
    <w:rsid w:val="00B86C0E"/>
    <w:rsid w:val="00B87185"/>
    <w:rsid w:val="00B87AE2"/>
    <w:rsid w:val="00B90776"/>
    <w:rsid w:val="00B91E72"/>
    <w:rsid w:val="00B93EBB"/>
    <w:rsid w:val="00B93F9F"/>
    <w:rsid w:val="00B96FEE"/>
    <w:rsid w:val="00BA326A"/>
    <w:rsid w:val="00BA54DC"/>
    <w:rsid w:val="00BA6AF9"/>
    <w:rsid w:val="00BA7D71"/>
    <w:rsid w:val="00BB1FB6"/>
    <w:rsid w:val="00BB2ACF"/>
    <w:rsid w:val="00BB3652"/>
    <w:rsid w:val="00BB371B"/>
    <w:rsid w:val="00BB41DD"/>
    <w:rsid w:val="00BB71F6"/>
    <w:rsid w:val="00BB74CC"/>
    <w:rsid w:val="00BB7AF7"/>
    <w:rsid w:val="00BC0197"/>
    <w:rsid w:val="00BC055D"/>
    <w:rsid w:val="00BC0952"/>
    <w:rsid w:val="00BC097C"/>
    <w:rsid w:val="00BC2086"/>
    <w:rsid w:val="00BC285B"/>
    <w:rsid w:val="00BC4D17"/>
    <w:rsid w:val="00BC5406"/>
    <w:rsid w:val="00BC5D70"/>
    <w:rsid w:val="00BC636B"/>
    <w:rsid w:val="00BC6ED1"/>
    <w:rsid w:val="00BD0582"/>
    <w:rsid w:val="00BD12CB"/>
    <w:rsid w:val="00BD1C55"/>
    <w:rsid w:val="00BD2104"/>
    <w:rsid w:val="00BD2BB8"/>
    <w:rsid w:val="00BD3694"/>
    <w:rsid w:val="00BD38BE"/>
    <w:rsid w:val="00BD4C70"/>
    <w:rsid w:val="00BD582C"/>
    <w:rsid w:val="00BD6412"/>
    <w:rsid w:val="00BD6E9D"/>
    <w:rsid w:val="00BD77D5"/>
    <w:rsid w:val="00BD7D59"/>
    <w:rsid w:val="00BE0B60"/>
    <w:rsid w:val="00BE1CB6"/>
    <w:rsid w:val="00BE2A8C"/>
    <w:rsid w:val="00BE2D85"/>
    <w:rsid w:val="00BE5D0D"/>
    <w:rsid w:val="00BE5FD8"/>
    <w:rsid w:val="00BE6AEE"/>
    <w:rsid w:val="00BF0A36"/>
    <w:rsid w:val="00BF144D"/>
    <w:rsid w:val="00BF17FB"/>
    <w:rsid w:val="00BF1D5F"/>
    <w:rsid w:val="00BF2454"/>
    <w:rsid w:val="00BF3F48"/>
    <w:rsid w:val="00BF4FBE"/>
    <w:rsid w:val="00BF6B5B"/>
    <w:rsid w:val="00BF7264"/>
    <w:rsid w:val="00BF7FF3"/>
    <w:rsid w:val="00C003E3"/>
    <w:rsid w:val="00C00E12"/>
    <w:rsid w:val="00C01B23"/>
    <w:rsid w:val="00C0343F"/>
    <w:rsid w:val="00C038E3"/>
    <w:rsid w:val="00C0422D"/>
    <w:rsid w:val="00C061E7"/>
    <w:rsid w:val="00C069F4"/>
    <w:rsid w:val="00C1069C"/>
    <w:rsid w:val="00C11065"/>
    <w:rsid w:val="00C12810"/>
    <w:rsid w:val="00C12839"/>
    <w:rsid w:val="00C12949"/>
    <w:rsid w:val="00C12F88"/>
    <w:rsid w:val="00C12FC8"/>
    <w:rsid w:val="00C142C7"/>
    <w:rsid w:val="00C151F8"/>
    <w:rsid w:val="00C15A58"/>
    <w:rsid w:val="00C1791D"/>
    <w:rsid w:val="00C20A10"/>
    <w:rsid w:val="00C20E6C"/>
    <w:rsid w:val="00C22150"/>
    <w:rsid w:val="00C22247"/>
    <w:rsid w:val="00C23881"/>
    <w:rsid w:val="00C2517C"/>
    <w:rsid w:val="00C25984"/>
    <w:rsid w:val="00C264A5"/>
    <w:rsid w:val="00C26F6B"/>
    <w:rsid w:val="00C3279E"/>
    <w:rsid w:val="00C328E4"/>
    <w:rsid w:val="00C32C8F"/>
    <w:rsid w:val="00C33493"/>
    <w:rsid w:val="00C338D6"/>
    <w:rsid w:val="00C3659A"/>
    <w:rsid w:val="00C4046C"/>
    <w:rsid w:val="00C4110C"/>
    <w:rsid w:val="00C41809"/>
    <w:rsid w:val="00C44E93"/>
    <w:rsid w:val="00C451B2"/>
    <w:rsid w:val="00C4600F"/>
    <w:rsid w:val="00C46968"/>
    <w:rsid w:val="00C46A0D"/>
    <w:rsid w:val="00C4783D"/>
    <w:rsid w:val="00C502B4"/>
    <w:rsid w:val="00C514B3"/>
    <w:rsid w:val="00C538F4"/>
    <w:rsid w:val="00C55B7A"/>
    <w:rsid w:val="00C64370"/>
    <w:rsid w:val="00C6485D"/>
    <w:rsid w:val="00C64F03"/>
    <w:rsid w:val="00C65305"/>
    <w:rsid w:val="00C676B2"/>
    <w:rsid w:val="00C70017"/>
    <w:rsid w:val="00C70313"/>
    <w:rsid w:val="00C72035"/>
    <w:rsid w:val="00C72119"/>
    <w:rsid w:val="00C72F56"/>
    <w:rsid w:val="00C740DD"/>
    <w:rsid w:val="00C74A1F"/>
    <w:rsid w:val="00C759AA"/>
    <w:rsid w:val="00C769EC"/>
    <w:rsid w:val="00C77077"/>
    <w:rsid w:val="00C80AFC"/>
    <w:rsid w:val="00C8141D"/>
    <w:rsid w:val="00C81DAB"/>
    <w:rsid w:val="00C826E4"/>
    <w:rsid w:val="00C84B0D"/>
    <w:rsid w:val="00C84EE4"/>
    <w:rsid w:val="00C85578"/>
    <w:rsid w:val="00C8592C"/>
    <w:rsid w:val="00C85E12"/>
    <w:rsid w:val="00C87E77"/>
    <w:rsid w:val="00C90AA7"/>
    <w:rsid w:val="00C937C9"/>
    <w:rsid w:val="00C94E0A"/>
    <w:rsid w:val="00C9554D"/>
    <w:rsid w:val="00C95DBC"/>
    <w:rsid w:val="00CA1AB6"/>
    <w:rsid w:val="00CA4FC5"/>
    <w:rsid w:val="00CA53F1"/>
    <w:rsid w:val="00CA5A75"/>
    <w:rsid w:val="00CA5AB2"/>
    <w:rsid w:val="00CA74AD"/>
    <w:rsid w:val="00CA7BB2"/>
    <w:rsid w:val="00CB045B"/>
    <w:rsid w:val="00CB16F1"/>
    <w:rsid w:val="00CB28EC"/>
    <w:rsid w:val="00CB2E36"/>
    <w:rsid w:val="00CB3110"/>
    <w:rsid w:val="00CB3209"/>
    <w:rsid w:val="00CB392D"/>
    <w:rsid w:val="00CB4814"/>
    <w:rsid w:val="00CB568B"/>
    <w:rsid w:val="00CB5AF3"/>
    <w:rsid w:val="00CB6843"/>
    <w:rsid w:val="00CC1E0A"/>
    <w:rsid w:val="00CC4E93"/>
    <w:rsid w:val="00CC657E"/>
    <w:rsid w:val="00CC6D4A"/>
    <w:rsid w:val="00CC6D7D"/>
    <w:rsid w:val="00CC71E1"/>
    <w:rsid w:val="00CD0403"/>
    <w:rsid w:val="00CD0676"/>
    <w:rsid w:val="00CD27B1"/>
    <w:rsid w:val="00CD3270"/>
    <w:rsid w:val="00CD5DA2"/>
    <w:rsid w:val="00CD5F76"/>
    <w:rsid w:val="00CE1C5C"/>
    <w:rsid w:val="00CE24E6"/>
    <w:rsid w:val="00CE2DA6"/>
    <w:rsid w:val="00CE4388"/>
    <w:rsid w:val="00CE595B"/>
    <w:rsid w:val="00CE64A0"/>
    <w:rsid w:val="00CE67E2"/>
    <w:rsid w:val="00CE6ED8"/>
    <w:rsid w:val="00CE7159"/>
    <w:rsid w:val="00CE7E89"/>
    <w:rsid w:val="00CF19E3"/>
    <w:rsid w:val="00CF25EC"/>
    <w:rsid w:val="00CF30CE"/>
    <w:rsid w:val="00CF5D49"/>
    <w:rsid w:val="00CF6EA0"/>
    <w:rsid w:val="00CF70E1"/>
    <w:rsid w:val="00D03493"/>
    <w:rsid w:val="00D04DA7"/>
    <w:rsid w:val="00D0555B"/>
    <w:rsid w:val="00D07D5B"/>
    <w:rsid w:val="00D11352"/>
    <w:rsid w:val="00D1356C"/>
    <w:rsid w:val="00D14EF2"/>
    <w:rsid w:val="00D1521B"/>
    <w:rsid w:val="00D156FF"/>
    <w:rsid w:val="00D15E27"/>
    <w:rsid w:val="00D17B7B"/>
    <w:rsid w:val="00D2062F"/>
    <w:rsid w:val="00D2105B"/>
    <w:rsid w:val="00D2105F"/>
    <w:rsid w:val="00D219E1"/>
    <w:rsid w:val="00D22B28"/>
    <w:rsid w:val="00D23DBB"/>
    <w:rsid w:val="00D248F6"/>
    <w:rsid w:val="00D24A33"/>
    <w:rsid w:val="00D26AFA"/>
    <w:rsid w:val="00D26F2F"/>
    <w:rsid w:val="00D30FE6"/>
    <w:rsid w:val="00D3225D"/>
    <w:rsid w:val="00D32D96"/>
    <w:rsid w:val="00D32EB5"/>
    <w:rsid w:val="00D32F24"/>
    <w:rsid w:val="00D34DCF"/>
    <w:rsid w:val="00D3624F"/>
    <w:rsid w:val="00D37EB6"/>
    <w:rsid w:val="00D43760"/>
    <w:rsid w:val="00D43F6B"/>
    <w:rsid w:val="00D443AC"/>
    <w:rsid w:val="00D4563A"/>
    <w:rsid w:val="00D46E5D"/>
    <w:rsid w:val="00D46E6B"/>
    <w:rsid w:val="00D47411"/>
    <w:rsid w:val="00D47F6B"/>
    <w:rsid w:val="00D50CAD"/>
    <w:rsid w:val="00D538AA"/>
    <w:rsid w:val="00D53AB1"/>
    <w:rsid w:val="00D53C34"/>
    <w:rsid w:val="00D56C11"/>
    <w:rsid w:val="00D578A3"/>
    <w:rsid w:val="00D60793"/>
    <w:rsid w:val="00D609C6"/>
    <w:rsid w:val="00D61954"/>
    <w:rsid w:val="00D6349F"/>
    <w:rsid w:val="00D63BC8"/>
    <w:rsid w:val="00D645BD"/>
    <w:rsid w:val="00D64DA7"/>
    <w:rsid w:val="00D65479"/>
    <w:rsid w:val="00D669FA"/>
    <w:rsid w:val="00D67471"/>
    <w:rsid w:val="00D71577"/>
    <w:rsid w:val="00D739D7"/>
    <w:rsid w:val="00D7454F"/>
    <w:rsid w:val="00D74EAA"/>
    <w:rsid w:val="00D756E9"/>
    <w:rsid w:val="00D760AD"/>
    <w:rsid w:val="00D7726F"/>
    <w:rsid w:val="00D77DEB"/>
    <w:rsid w:val="00D8154F"/>
    <w:rsid w:val="00D84493"/>
    <w:rsid w:val="00D862F4"/>
    <w:rsid w:val="00D869B0"/>
    <w:rsid w:val="00D86C41"/>
    <w:rsid w:val="00D902F1"/>
    <w:rsid w:val="00D903D2"/>
    <w:rsid w:val="00D91775"/>
    <w:rsid w:val="00D92736"/>
    <w:rsid w:val="00D927C7"/>
    <w:rsid w:val="00D942E2"/>
    <w:rsid w:val="00D94705"/>
    <w:rsid w:val="00D94D43"/>
    <w:rsid w:val="00D9511E"/>
    <w:rsid w:val="00D951FB"/>
    <w:rsid w:val="00D96F0B"/>
    <w:rsid w:val="00DA3441"/>
    <w:rsid w:val="00DA6497"/>
    <w:rsid w:val="00DB1B01"/>
    <w:rsid w:val="00DB3D08"/>
    <w:rsid w:val="00DB487F"/>
    <w:rsid w:val="00DB52A9"/>
    <w:rsid w:val="00DB625B"/>
    <w:rsid w:val="00DB63DB"/>
    <w:rsid w:val="00DB7403"/>
    <w:rsid w:val="00DB7B3A"/>
    <w:rsid w:val="00DB7B8E"/>
    <w:rsid w:val="00DC2F79"/>
    <w:rsid w:val="00DC42D1"/>
    <w:rsid w:val="00DC7B01"/>
    <w:rsid w:val="00DD06AE"/>
    <w:rsid w:val="00DD1BEF"/>
    <w:rsid w:val="00DD2D7B"/>
    <w:rsid w:val="00DD3437"/>
    <w:rsid w:val="00DD5DFE"/>
    <w:rsid w:val="00DE16A1"/>
    <w:rsid w:val="00DE1950"/>
    <w:rsid w:val="00DE7C17"/>
    <w:rsid w:val="00DE7FDD"/>
    <w:rsid w:val="00DF0FD7"/>
    <w:rsid w:val="00DF148E"/>
    <w:rsid w:val="00DF235B"/>
    <w:rsid w:val="00DF2584"/>
    <w:rsid w:val="00DF4157"/>
    <w:rsid w:val="00DF4233"/>
    <w:rsid w:val="00DF4546"/>
    <w:rsid w:val="00DF470E"/>
    <w:rsid w:val="00DF4C57"/>
    <w:rsid w:val="00DF74F3"/>
    <w:rsid w:val="00E0021E"/>
    <w:rsid w:val="00E03326"/>
    <w:rsid w:val="00E040CF"/>
    <w:rsid w:val="00E0541D"/>
    <w:rsid w:val="00E05666"/>
    <w:rsid w:val="00E06213"/>
    <w:rsid w:val="00E11496"/>
    <w:rsid w:val="00E1266D"/>
    <w:rsid w:val="00E14105"/>
    <w:rsid w:val="00E147BF"/>
    <w:rsid w:val="00E150AB"/>
    <w:rsid w:val="00E169A3"/>
    <w:rsid w:val="00E16FD9"/>
    <w:rsid w:val="00E17460"/>
    <w:rsid w:val="00E20252"/>
    <w:rsid w:val="00E22686"/>
    <w:rsid w:val="00E23C4F"/>
    <w:rsid w:val="00E24857"/>
    <w:rsid w:val="00E24EB6"/>
    <w:rsid w:val="00E279E1"/>
    <w:rsid w:val="00E27CC9"/>
    <w:rsid w:val="00E27D0B"/>
    <w:rsid w:val="00E27F00"/>
    <w:rsid w:val="00E308E2"/>
    <w:rsid w:val="00E30DD8"/>
    <w:rsid w:val="00E32ABA"/>
    <w:rsid w:val="00E33FE6"/>
    <w:rsid w:val="00E34777"/>
    <w:rsid w:val="00E3563A"/>
    <w:rsid w:val="00E35E92"/>
    <w:rsid w:val="00E36450"/>
    <w:rsid w:val="00E40CEA"/>
    <w:rsid w:val="00E40EAB"/>
    <w:rsid w:val="00E41C6A"/>
    <w:rsid w:val="00E4353F"/>
    <w:rsid w:val="00E4375C"/>
    <w:rsid w:val="00E458A1"/>
    <w:rsid w:val="00E470D5"/>
    <w:rsid w:val="00E4721F"/>
    <w:rsid w:val="00E47B31"/>
    <w:rsid w:val="00E47C33"/>
    <w:rsid w:val="00E53BD7"/>
    <w:rsid w:val="00E54856"/>
    <w:rsid w:val="00E551CC"/>
    <w:rsid w:val="00E55507"/>
    <w:rsid w:val="00E560A1"/>
    <w:rsid w:val="00E61641"/>
    <w:rsid w:val="00E62136"/>
    <w:rsid w:val="00E62366"/>
    <w:rsid w:val="00E63059"/>
    <w:rsid w:val="00E63847"/>
    <w:rsid w:val="00E667FC"/>
    <w:rsid w:val="00E66B5F"/>
    <w:rsid w:val="00E70C95"/>
    <w:rsid w:val="00E70E94"/>
    <w:rsid w:val="00E729F0"/>
    <w:rsid w:val="00E73807"/>
    <w:rsid w:val="00E73FDE"/>
    <w:rsid w:val="00E77DE1"/>
    <w:rsid w:val="00E81F2D"/>
    <w:rsid w:val="00E84375"/>
    <w:rsid w:val="00E846BF"/>
    <w:rsid w:val="00E900C6"/>
    <w:rsid w:val="00E90BCB"/>
    <w:rsid w:val="00E91256"/>
    <w:rsid w:val="00E91360"/>
    <w:rsid w:val="00E918E6"/>
    <w:rsid w:val="00E92FE8"/>
    <w:rsid w:val="00E9410F"/>
    <w:rsid w:val="00E9646A"/>
    <w:rsid w:val="00E970EC"/>
    <w:rsid w:val="00E975A5"/>
    <w:rsid w:val="00EA06E6"/>
    <w:rsid w:val="00EA16FC"/>
    <w:rsid w:val="00EA17AF"/>
    <w:rsid w:val="00EA3128"/>
    <w:rsid w:val="00EA35D9"/>
    <w:rsid w:val="00EA37F7"/>
    <w:rsid w:val="00EA3990"/>
    <w:rsid w:val="00EA46BC"/>
    <w:rsid w:val="00EA52DC"/>
    <w:rsid w:val="00EA5890"/>
    <w:rsid w:val="00EA6AD6"/>
    <w:rsid w:val="00EA6C78"/>
    <w:rsid w:val="00EA6EC8"/>
    <w:rsid w:val="00EA722A"/>
    <w:rsid w:val="00EB181B"/>
    <w:rsid w:val="00EB3030"/>
    <w:rsid w:val="00EB5546"/>
    <w:rsid w:val="00EB70D3"/>
    <w:rsid w:val="00EB729D"/>
    <w:rsid w:val="00EB7C04"/>
    <w:rsid w:val="00EC05A9"/>
    <w:rsid w:val="00EC113D"/>
    <w:rsid w:val="00EC1911"/>
    <w:rsid w:val="00EC3C38"/>
    <w:rsid w:val="00EC3DAF"/>
    <w:rsid w:val="00EC3DBC"/>
    <w:rsid w:val="00EC5F6C"/>
    <w:rsid w:val="00EC6833"/>
    <w:rsid w:val="00EC77EC"/>
    <w:rsid w:val="00ED1C61"/>
    <w:rsid w:val="00ED324A"/>
    <w:rsid w:val="00ED3AAD"/>
    <w:rsid w:val="00ED3CEC"/>
    <w:rsid w:val="00ED4133"/>
    <w:rsid w:val="00ED5468"/>
    <w:rsid w:val="00EE01A5"/>
    <w:rsid w:val="00EE07B4"/>
    <w:rsid w:val="00EE0DE4"/>
    <w:rsid w:val="00EE458A"/>
    <w:rsid w:val="00EE4B5F"/>
    <w:rsid w:val="00EE682A"/>
    <w:rsid w:val="00EF0125"/>
    <w:rsid w:val="00EF0483"/>
    <w:rsid w:val="00EF0BA4"/>
    <w:rsid w:val="00EF2458"/>
    <w:rsid w:val="00EF25EF"/>
    <w:rsid w:val="00EF2A91"/>
    <w:rsid w:val="00EF2B60"/>
    <w:rsid w:val="00EF2F10"/>
    <w:rsid w:val="00EF2FF3"/>
    <w:rsid w:val="00EF3685"/>
    <w:rsid w:val="00EF3F08"/>
    <w:rsid w:val="00EF7FE4"/>
    <w:rsid w:val="00F007EB"/>
    <w:rsid w:val="00F016A6"/>
    <w:rsid w:val="00F01A28"/>
    <w:rsid w:val="00F01B9A"/>
    <w:rsid w:val="00F0346E"/>
    <w:rsid w:val="00F0391F"/>
    <w:rsid w:val="00F102E5"/>
    <w:rsid w:val="00F109F2"/>
    <w:rsid w:val="00F10D62"/>
    <w:rsid w:val="00F12AF9"/>
    <w:rsid w:val="00F14BBA"/>
    <w:rsid w:val="00F14E5E"/>
    <w:rsid w:val="00F14FAD"/>
    <w:rsid w:val="00F158CB"/>
    <w:rsid w:val="00F16C0A"/>
    <w:rsid w:val="00F20871"/>
    <w:rsid w:val="00F21919"/>
    <w:rsid w:val="00F24785"/>
    <w:rsid w:val="00F273A8"/>
    <w:rsid w:val="00F27681"/>
    <w:rsid w:val="00F30208"/>
    <w:rsid w:val="00F31AEE"/>
    <w:rsid w:val="00F3204D"/>
    <w:rsid w:val="00F34C25"/>
    <w:rsid w:val="00F36602"/>
    <w:rsid w:val="00F3702C"/>
    <w:rsid w:val="00F40F16"/>
    <w:rsid w:val="00F4613C"/>
    <w:rsid w:val="00F462BB"/>
    <w:rsid w:val="00F46972"/>
    <w:rsid w:val="00F47029"/>
    <w:rsid w:val="00F47C09"/>
    <w:rsid w:val="00F51458"/>
    <w:rsid w:val="00F52C48"/>
    <w:rsid w:val="00F53AE6"/>
    <w:rsid w:val="00F53EE4"/>
    <w:rsid w:val="00F54984"/>
    <w:rsid w:val="00F54E64"/>
    <w:rsid w:val="00F556D7"/>
    <w:rsid w:val="00F55781"/>
    <w:rsid w:val="00F57084"/>
    <w:rsid w:val="00F57A3E"/>
    <w:rsid w:val="00F57B6A"/>
    <w:rsid w:val="00F6066A"/>
    <w:rsid w:val="00F60AE2"/>
    <w:rsid w:val="00F616D6"/>
    <w:rsid w:val="00F6199D"/>
    <w:rsid w:val="00F61B04"/>
    <w:rsid w:val="00F6267F"/>
    <w:rsid w:val="00F63C0D"/>
    <w:rsid w:val="00F64937"/>
    <w:rsid w:val="00F64EAA"/>
    <w:rsid w:val="00F64EED"/>
    <w:rsid w:val="00F65F2D"/>
    <w:rsid w:val="00F6605D"/>
    <w:rsid w:val="00F66D18"/>
    <w:rsid w:val="00F66FBA"/>
    <w:rsid w:val="00F72367"/>
    <w:rsid w:val="00F73E7F"/>
    <w:rsid w:val="00F742E9"/>
    <w:rsid w:val="00F758DB"/>
    <w:rsid w:val="00F764E4"/>
    <w:rsid w:val="00F80F79"/>
    <w:rsid w:val="00F81CDD"/>
    <w:rsid w:val="00F82291"/>
    <w:rsid w:val="00F828DB"/>
    <w:rsid w:val="00F82DAC"/>
    <w:rsid w:val="00F90975"/>
    <w:rsid w:val="00F91AA6"/>
    <w:rsid w:val="00F93BF9"/>
    <w:rsid w:val="00F93DEE"/>
    <w:rsid w:val="00F94E1B"/>
    <w:rsid w:val="00FA0B59"/>
    <w:rsid w:val="00FA276D"/>
    <w:rsid w:val="00FA2B2A"/>
    <w:rsid w:val="00FA379A"/>
    <w:rsid w:val="00FA6407"/>
    <w:rsid w:val="00FA7B69"/>
    <w:rsid w:val="00FB408F"/>
    <w:rsid w:val="00FB5FBA"/>
    <w:rsid w:val="00FC1641"/>
    <w:rsid w:val="00FC1B1D"/>
    <w:rsid w:val="00FC1EED"/>
    <w:rsid w:val="00FC2387"/>
    <w:rsid w:val="00FC254A"/>
    <w:rsid w:val="00FC4191"/>
    <w:rsid w:val="00FC5498"/>
    <w:rsid w:val="00FC5A08"/>
    <w:rsid w:val="00FC6520"/>
    <w:rsid w:val="00FC74AA"/>
    <w:rsid w:val="00FC7589"/>
    <w:rsid w:val="00FC7B84"/>
    <w:rsid w:val="00FD0EEB"/>
    <w:rsid w:val="00FD21C4"/>
    <w:rsid w:val="00FD4553"/>
    <w:rsid w:val="00FD68BA"/>
    <w:rsid w:val="00FE108C"/>
    <w:rsid w:val="00FE5634"/>
    <w:rsid w:val="00FE5891"/>
    <w:rsid w:val="00FE69D5"/>
    <w:rsid w:val="00FF0918"/>
    <w:rsid w:val="00FF12B6"/>
    <w:rsid w:val="00FF22F6"/>
    <w:rsid w:val="00FF37A8"/>
    <w:rsid w:val="00FF57F6"/>
    <w:rsid w:val="00FF5FC2"/>
    <w:rsid w:val="00FF6637"/>
    <w:rsid w:val="00FF7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9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87"/>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unhideWhenUsed/>
    <w:rsid w:val="009746FE"/>
    <w:rPr>
      <w:sz w:val="20"/>
      <w:szCs w:val="20"/>
    </w:rPr>
  </w:style>
  <w:style w:type="character" w:customStyle="1" w:styleId="CommentTextChar">
    <w:name w:val="Comment Text Char"/>
    <w:basedOn w:val="DefaultParagraphFont"/>
    <w:link w:val="CommentText"/>
    <w:uiPriority w:val="99"/>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 w:type="paragraph" w:styleId="Revision">
    <w:name w:val="Revision"/>
    <w:hidden/>
    <w:uiPriority w:val="99"/>
    <w:semiHidden/>
    <w:rsid w:val="00EF0BA4"/>
    <w:pPr>
      <w:spacing w:after="0" w:line="240" w:lineRule="auto"/>
    </w:pPr>
    <w:rPr>
      <w:rFonts w:eastAsia="Times New Roman" w:cs="Times New Roman"/>
      <w:sz w:val="24"/>
      <w:szCs w:val="24"/>
      <w:lang w:eastAsia="en-AU"/>
    </w:rPr>
  </w:style>
  <w:style w:type="character" w:customStyle="1" w:styleId="acopre1">
    <w:name w:val="acopre1"/>
    <w:basedOn w:val="DefaultParagraphFont"/>
    <w:rsid w:val="0071215C"/>
  </w:style>
  <w:style w:type="paragraph" w:customStyle="1" w:styleId="Default">
    <w:name w:val="Default"/>
    <w:rsid w:val="004D44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5258">
      <w:bodyDiv w:val="1"/>
      <w:marLeft w:val="0"/>
      <w:marRight w:val="0"/>
      <w:marTop w:val="0"/>
      <w:marBottom w:val="0"/>
      <w:divBdr>
        <w:top w:val="none" w:sz="0" w:space="0" w:color="auto"/>
        <w:left w:val="none" w:sz="0" w:space="0" w:color="auto"/>
        <w:bottom w:val="none" w:sz="0" w:space="0" w:color="auto"/>
        <w:right w:val="none" w:sz="0" w:space="0" w:color="auto"/>
      </w:divBdr>
    </w:div>
    <w:div w:id="588127041">
      <w:bodyDiv w:val="1"/>
      <w:marLeft w:val="0"/>
      <w:marRight w:val="0"/>
      <w:marTop w:val="0"/>
      <w:marBottom w:val="0"/>
      <w:divBdr>
        <w:top w:val="none" w:sz="0" w:space="0" w:color="auto"/>
        <w:left w:val="none" w:sz="0" w:space="0" w:color="auto"/>
        <w:bottom w:val="none" w:sz="0" w:space="0" w:color="auto"/>
        <w:right w:val="none" w:sz="0" w:space="0" w:color="auto"/>
      </w:divBdr>
    </w:div>
    <w:div w:id="729039050">
      <w:bodyDiv w:val="1"/>
      <w:marLeft w:val="0"/>
      <w:marRight w:val="0"/>
      <w:marTop w:val="0"/>
      <w:marBottom w:val="0"/>
      <w:divBdr>
        <w:top w:val="none" w:sz="0" w:space="0" w:color="auto"/>
        <w:left w:val="none" w:sz="0" w:space="0" w:color="auto"/>
        <w:bottom w:val="none" w:sz="0" w:space="0" w:color="auto"/>
        <w:right w:val="none" w:sz="0" w:space="0" w:color="auto"/>
      </w:divBdr>
    </w:div>
    <w:div w:id="741296937">
      <w:bodyDiv w:val="1"/>
      <w:marLeft w:val="0"/>
      <w:marRight w:val="0"/>
      <w:marTop w:val="0"/>
      <w:marBottom w:val="0"/>
      <w:divBdr>
        <w:top w:val="none" w:sz="0" w:space="0" w:color="auto"/>
        <w:left w:val="none" w:sz="0" w:space="0" w:color="auto"/>
        <w:bottom w:val="none" w:sz="0" w:space="0" w:color="auto"/>
        <w:right w:val="none" w:sz="0" w:space="0" w:color="auto"/>
      </w:divBdr>
      <w:divsChild>
        <w:div w:id="1704361126">
          <w:marLeft w:val="0"/>
          <w:marRight w:val="0"/>
          <w:marTop w:val="0"/>
          <w:marBottom w:val="0"/>
          <w:divBdr>
            <w:top w:val="none" w:sz="0" w:space="0" w:color="auto"/>
            <w:left w:val="none" w:sz="0" w:space="0" w:color="auto"/>
            <w:bottom w:val="none" w:sz="0" w:space="0" w:color="auto"/>
            <w:right w:val="none" w:sz="0" w:space="0" w:color="auto"/>
          </w:divBdr>
          <w:divsChild>
            <w:div w:id="276715916">
              <w:marLeft w:val="0"/>
              <w:marRight w:val="0"/>
              <w:marTop w:val="0"/>
              <w:marBottom w:val="0"/>
              <w:divBdr>
                <w:top w:val="none" w:sz="0" w:space="0" w:color="auto"/>
                <w:left w:val="none" w:sz="0" w:space="0" w:color="auto"/>
                <w:bottom w:val="none" w:sz="0" w:space="0" w:color="auto"/>
                <w:right w:val="none" w:sz="0" w:space="0" w:color="auto"/>
              </w:divBdr>
              <w:divsChild>
                <w:div w:id="175728497">
                  <w:marLeft w:val="0"/>
                  <w:marRight w:val="0"/>
                  <w:marTop w:val="0"/>
                  <w:marBottom w:val="0"/>
                  <w:divBdr>
                    <w:top w:val="none" w:sz="0" w:space="0" w:color="auto"/>
                    <w:left w:val="none" w:sz="0" w:space="0" w:color="auto"/>
                    <w:bottom w:val="none" w:sz="0" w:space="0" w:color="auto"/>
                    <w:right w:val="none" w:sz="0" w:space="0" w:color="auto"/>
                  </w:divBdr>
                  <w:divsChild>
                    <w:div w:id="908541146">
                      <w:marLeft w:val="0"/>
                      <w:marRight w:val="0"/>
                      <w:marTop w:val="0"/>
                      <w:marBottom w:val="0"/>
                      <w:divBdr>
                        <w:top w:val="none" w:sz="0" w:space="0" w:color="auto"/>
                        <w:left w:val="none" w:sz="0" w:space="0" w:color="auto"/>
                        <w:bottom w:val="none" w:sz="0" w:space="0" w:color="auto"/>
                        <w:right w:val="none" w:sz="0" w:space="0" w:color="auto"/>
                      </w:divBdr>
                      <w:divsChild>
                        <w:div w:id="1493373267">
                          <w:marLeft w:val="0"/>
                          <w:marRight w:val="0"/>
                          <w:marTop w:val="0"/>
                          <w:marBottom w:val="0"/>
                          <w:divBdr>
                            <w:top w:val="none" w:sz="0" w:space="0" w:color="auto"/>
                            <w:left w:val="none" w:sz="0" w:space="0" w:color="auto"/>
                            <w:bottom w:val="none" w:sz="0" w:space="0" w:color="auto"/>
                            <w:right w:val="none" w:sz="0" w:space="0" w:color="auto"/>
                          </w:divBdr>
                          <w:divsChild>
                            <w:div w:id="1243296901">
                              <w:marLeft w:val="0"/>
                              <w:marRight w:val="0"/>
                              <w:marTop w:val="0"/>
                              <w:marBottom w:val="0"/>
                              <w:divBdr>
                                <w:top w:val="none" w:sz="0" w:space="0" w:color="auto"/>
                                <w:left w:val="none" w:sz="0" w:space="0" w:color="auto"/>
                                <w:bottom w:val="none" w:sz="0" w:space="0" w:color="auto"/>
                                <w:right w:val="none" w:sz="0" w:space="0" w:color="auto"/>
                              </w:divBdr>
                              <w:divsChild>
                                <w:div w:id="2016413842">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sChild>
                                        <w:div w:id="1182470422">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sChild>
                                                <w:div w:id="2144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862019814">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31414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9023">
          <w:marLeft w:val="0"/>
          <w:marRight w:val="0"/>
          <w:marTop w:val="0"/>
          <w:marBottom w:val="0"/>
          <w:divBdr>
            <w:top w:val="none" w:sz="0" w:space="0" w:color="auto"/>
            <w:left w:val="none" w:sz="0" w:space="0" w:color="auto"/>
            <w:bottom w:val="none" w:sz="0" w:space="0" w:color="auto"/>
            <w:right w:val="none" w:sz="0" w:space="0" w:color="auto"/>
          </w:divBdr>
          <w:divsChild>
            <w:div w:id="1078868673">
              <w:marLeft w:val="0"/>
              <w:marRight w:val="0"/>
              <w:marTop w:val="0"/>
              <w:marBottom w:val="0"/>
              <w:divBdr>
                <w:top w:val="none" w:sz="0" w:space="0" w:color="auto"/>
                <w:left w:val="none" w:sz="0" w:space="0" w:color="auto"/>
                <w:bottom w:val="none" w:sz="0" w:space="0" w:color="auto"/>
                <w:right w:val="none" w:sz="0" w:space="0" w:color="auto"/>
              </w:divBdr>
              <w:divsChild>
                <w:div w:id="831483530">
                  <w:marLeft w:val="0"/>
                  <w:marRight w:val="0"/>
                  <w:marTop w:val="0"/>
                  <w:marBottom w:val="0"/>
                  <w:divBdr>
                    <w:top w:val="none" w:sz="0" w:space="0" w:color="auto"/>
                    <w:left w:val="none" w:sz="0" w:space="0" w:color="auto"/>
                    <w:bottom w:val="none" w:sz="0" w:space="0" w:color="auto"/>
                    <w:right w:val="none" w:sz="0" w:space="0" w:color="auto"/>
                  </w:divBdr>
                  <w:divsChild>
                    <w:div w:id="1098522394">
                      <w:marLeft w:val="0"/>
                      <w:marRight w:val="0"/>
                      <w:marTop w:val="0"/>
                      <w:marBottom w:val="0"/>
                      <w:divBdr>
                        <w:top w:val="none" w:sz="0" w:space="0" w:color="auto"/>
                        <w:left w:val="none" w:sz="0" w:space="0" w:color="auto"/>
                        <w:bottom w:val="none" w:sz="0" w:space="0" w:color="auto"/>
                        <w:right w:val="none" w:sz="0" w:space="0" w:color="auto"/>
                      </w:divBdr>
                      <w:divsChild>
                        <w:div w:id="1259557498">
                          <w:marLeft w:val="0"/>
                          <w:marRight w:val="0"/>
                          <w:marTop w:val="0"/>
                          <w:marBottom w:val="0"/>
                          <w:divBdr>
                            <w:top w:val="none" w:sz="0" w:space="0" w:color="auto"/>
                            <w:left w:val="none" w:sz="0" w:space="0" w:color="auto"/>
                            <w:bottom w:val="none" w:sz="0" w:space="0" w:color="auto"/>
                            <w:right w:val="none" w:sz="0" w:space="0" w:color="auto"/>
                          </w:divBdr>
                          <w:divsChild>
                            <w:div w:id="1736857945">
                              <w:marLeft w:val="0"/>
                              <w:marRight w:val="0"/>
                              <w:marTop w:val="0"/>
                              <w:marBottom w:val="0"/>
                              <w:divBdr>
                                <w:top w:val="none" w:sz="0" w:space="0" w:color="auto"/>
                                <w:left w:val="none" w:sz="0" w:space="0" w:color="auto"/>
                                <w:bottom w:val="none" w:sz="0" w:space="0" w:color="auto"/>
                                <w:right w:val="none" w:sz="0" w:space="0" w:color="auto"/>
                              </w:divBdr>
                              <w:divsChild>
                                <w:div w:id="1890722234">
                                  <w:marLeft w:val="0"/>
                                  <w:marRight w:val="0"/>
                                  <w:marTop w:val="0"/>
                                  <w:marBottom w:val="0"/>
                                  <w:divBdr>
                                    <w:top w:val="none" w:sz="0" w:space="0" w:color="auto"/>
                                    <w:left w:val="none" w:sz="0" w:space="0" w:color="auto"/>
                                    <w:bottom w:val="none" w:sz="0" w:space="0" w:color="auto"/>
                                    <w:right w:val="none" w:sz="0" w:space="0" w:color="auto"/>
                                  </w:divBdr>
                                  <w:divsChild>
                                    <w:div w:id="2089837441">
                                      <w:marLeft w:val="0"/>
                                      <w:marRight w:val="0"/>
                                      <w:marTop w:val="0"/>
                                      <w:marBottom w:val="0"/>
                                      <w:divBdr>
                                        <w:top w:val="none" w:sz="0" w:space="0" w:color="auto"/>
                                        <w:left w:val="none" w:sz="0" w:space="0" w:color="auto"/>
                                        <w:bottom w:val="none" w:sz="0" w:space="0" w:color="auto"/>
                                        <w:right w:val="none" w:sz="0" w:space="0" w:color="auto"/>
                                      </w:divBdr>
                                      <w:divsChild>
                                        <w:div w:id="975065350">
                                          <w:marLeft w:val="0"/>
                                          <w:marRight w:val="0"/>
                                          <w:marTop w:val="0"/>
                                          <w:marBottom w:val="0"/>
                                          <w:divBdr>
                                            <w:top w:val="none" w:sz="0" w:space="0" w:color="auto"/>
                                            <w:left w:val="none" w:sz="0" w:space="0" w:color="auto"/>
                                            <w:bottom w:val="none" w:sz="0" w:space="0" w:color="auto"/>
                                            <w:right w:val="none" w:sz="0" w:space="0" w:color="auto"/>
                                          </w:divBdr>
                                          <w:divsChild>
                                            <w:div w:id="1120606248">
                                              <w:marLeft w:val="0"/>
                                              <w:marRight w:val="0"/>
                                              <w:marTop w:val="0"/>
                                              <w:marBottom w:val="0"/>
                                              <w:divBdr>
                                                <w:top w:val="none" w:sz="0" w:space="0" w:color="auto"/>
                                                <w:left w:val="none" w:sz="0" w:space="0" w:color="auto"/>
                                                <w:bottom w:val="none" w:sz="0" w:space="0" w:color="auto"/>
                                                <w:right w:val="none" w:sz="0" w:space="0" w:color="auto"/>
                                              </w:divBdr>
                                              <w:divsChild>
                                                <w:div w:id="573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650231">
      <w:bodyDiv w:val="1"/>
      <w:marLeft w:val="0"/>
      <w:marRight w:val="0"/>
      <w:marTop w:val="0"/>
      <w:marBottom w:val="0"/>
      <w:divBdr>
        <w:top w:val="none" w:sz="0" w:space="0" w:color="auto"/>
        <w:left w:val="none" w:sz="0" w:space="0" w:color="auto"/>
        <w:bottom w:val="none" w:sz="0" w:space="0" w:color="auto"/>
        <w:right w:val="none" w:sz="0" w:space="0" w:color="auto"/>
      </w:divBdr>
    </w:div>
    <w:div w:id="1706833842">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nfrastructure.gov.au/have-your-say/2021-regional-telecommunication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F082D9-C990-4C1C-8CD8-931AAEF8F2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D981984FDB58468C82BEC8FFFF4D3C" ma:contentTypeVersion="" ma:contentTypeDescription="PDMS Document Site Content Type" ma:contentTypeScope="" ma:versionID="7af01787c16fcdabd597b7a01fbbd21e">
  <xsd:schema xmlns:xsd="http://www.w3.org/2001/XMLSchema" xmlns:xs="http://www.w3.org/2001/XMLSchema" xmlns:p="http://schemas.microsoft.com/office/2006/metadata/properties" xmlns:ns2="68F082D9-C990-4C1C-8CD8-931AAEF8F2D9" targetNamespace="http://schemas.microsoft.com/office/2006/metadata/properties" ma:root="true" ma:fieldsID="75d2e64f0fc470f2c7696899bbc3a18a" ns2:_="">
    <xsd:import namespace="68F082D9-C990-4C1C-8CD8-931AAEF8F2D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82D9-C990-4C1C-8CD8-931AAEF8F2D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A16E-D956-4984-9585-9C0391A6F492}">
  <ds:schemaRefs>
    <ds:schemaRef ds:uri="http://schemas.microsoft.com/sharepoint/v3/contenttype/forms"/>
  </ds:schemaRefs>
</ds:datastoreItem>
</file>

<file path=customXml/itemProps2.xml><?xml version="1.0" encoding="utf-8"?>
<ds:datastoreItem xmlns:ds="http://schemas.openxmlformats.org/officeDocument/2006/customXml" ds:itemID="{AB57AB2F-F2B5-4581-A7F9-9D0038392CCC}">
  <ds:schemaRefs>
    <ds:schemaRef ds:uri="http://schemas.microsoft.com/office/2006/metadata/properties"/>
    <ds:schemaRef ds:uri="http://schemas.microsoft.com/office/infopath/2007/PartnerControls"/>
    <ds:schemaRef ds:uri="68F082D9-C990-4C1C-8CD8-931AAEF8F2D9"/>
  </ds:schemaRefs>
</ds:datastoreItem>
</file>

<file path=customXml/itemProps3.xml><?xml version="1.0" encoding="utf-8"?>
<ds:datastoreItem xmlns:ds="http://schemas.openxmlformats.org/officeDocument/2006/customXml" ds:itemID="{F9F1D8EE-845B-48DB-8F87-79036683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82D9-C990-4C1C-8CD8-931AAEF8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05524-F9B9-4636-9B21-61A84607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7112</Words>
  <Characters>40545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2021-12-20T02:52:00Z</dcterms:created>
  <dcterms:modified xsi:type="dcterms:W3CDTF">2021-12-20T02:52:00Z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0x010100266966F133664895A6EE3632470D45F5008FD981984FDB58468C82BEC8FFFF4D3C</vt:lpwstr>
  </property>
  <property fmtid="{D5CDD505-2E9C-101B-9397-08002B2CF9AE}" pid="3" name="TrimRevisionNumber">
    <vt:i4>56</vt:i4>
  </property>
</Properties>
</file>