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9F6B0" w14:textId="77777777" w:rsidR="005E317F" w:rsidRPr="005A6B5C" w:rsidRDefault="005E317F" w:rsidP="005E317F">
      <w:pPr>
        <w:rPr>
          <w:sz w:val="28"/>
        </w:rPr>
      </w:pPr>
      <w:r w:rsidRPr="005A6B5C">
        <w:rPr>
          <w:noProof/>
          <w:lang w:eastAsia="en-AU"/>
        </w:rPr>
        <w:drawing>
          <wp:inline distT="0" distB="0" distL="0" distR="0" wp14:anchorId="676CBE54" wp14:editId="51CE9C1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9826C" w14:textId="77777777" w:rsidR="005E317F" w:rsidRPr="005A6B5C" w:rsidRDefault="005E317F" w:rsidP="005E317F">
      <w:pPr>
        <w:rPr>
          <w:sz w:val="19"/>
        </w:rPr>
      </w:pPr>
    </w:p>
    <w:p w14:paraId="551D43D2" w14:textId="073A298B" w:rsidR="005E317F" w:rsidRPr="00703798" w:rsidRDefault="009B1761" w:rsidP="005E317F">
      <w:pPr>
        <w:pStyle w:val="ShortT"/>
      </w:pPr>
      <w:r w:rsidRPr="00703798">
        <w:t xml:space="preserve">Norfolk Island </w:t>
      </w:r>
      <w:r w:rsidR="00F17C67" w:rsidRPr="00703798">
        <w:t>Continued Laws Ordinance Amendment (Applied Laws and Service Delivery (Queensland)</w:t>
      </w:r>
      <w:r w:rsidR="00C32964" w:rsidRPr="00703798">
        <w:t xml:space="preserve"> Measures</w:t>
      </w:r>
      <w:r w:rsidR="00F17C67" w:rsidRPr="00703798">
        <w:t>) Rules 2021</w:t>
      </w:r>
    </w:p>
    <w:p w14:paraId="1CD10AD4" w14:textId="77777777" w:rsidR="00DE62E8" w:rsidRPr="005A6B5C" w:rsidRDefault="00DE62E8" w:rsidP="00DE62E8">
      <w:pPr>
        <w:pStyle w:val="SignCoverPageStart"/>
        <w:spacing w:before="240"/>
        <w:ind w:right="91"/>
        <w:rPr>
          <w:szCs w:val="22"/>
        </w:rPr>
      </w:pPr>
      <w:r w:rsidRPr="005A6B5C">
        <w:rPr>
          <w:szCs w:val="22"/>
        </w:rPr>
        <w:t xml:space="preserve">I, Nola Marino, Assistant Minister for Regional Development and Territories, </w:t>
      </w:r>
      <w:r>
        <w:rPr>
          <w:szCs w:val="22"/>
        </w:rPr>
        <w:t xml:space="preserve">and </w:t>
      </w:r>
      <w:r>
        <w:t>Assistant Minister for Regional Development and Territories, and Parliamentary Secretary to the Deputy Prime Minister and Minister for Infrastructure, Transport and Regional Development</w:t>
      </w:r>
      <w:r w:rsidRPr="005A6B5C">
        <w:rPr>
          <w:szCs w:val="22"/>
        </w:rPr>
        <w:t xml:space="preserve"> make the following rules.</w:t>
      </w:r>
    </w:p>
    <w:p w14:paraId="30C84717" w14:textId="6695D31E" w:rsidR="006D3928" w:rsidRPr="00703798" w:rsidRDefault="006D3928" w:rsidP="006D3928">
      <w:pPr>
        <w:pStyle w:val="SignCoverPageStart"/>
        <w:spacing w:before="240"/>
        <w:ind w:right="91"/>
        <w:rPr>
          <w:szCs w:val="22"/>
        </w:rPr>
      </w:pPr>
      <w:r w:rsidRPr="00703798">
        <w:rPr>
          <w:szCs w:val="22"/>
        </w:rPr>
        <w:t>.</w:t>
      </w:r>
    </w:p>
    <w:p w14:paraId="5EBFC048" w14:textId="0E5C1C11" w:rsidR="005E317F" w:rsidRPr="00703798" w:rsidRDefault="005E317F" w:rsidP="005E317F">
      <w:pPr>
        <w:pStyle w:val="SignCoverPageStart"/>
        <w:spacing w:before="240"/>
        <w:ind w:right="91"/>
        <w:rPr>
          <w:szCs w:val="22"/>
        </w:rPr>
      </w:pPr>
    </w:p>
    <w:p w14:paraId="7D4060B2" w14:textId="49C52E71" w:rsidR="005E317F" w:rsidRPr="00703798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703798">
        <w:rPr>
          <w:szCs w:val="22"/>
        </w:rPr>
        <w:t>Dated</w:t>
      </w:r>
      <w:r w:rsidRPr="00703798">
        <w:rPr>
          <w:szCs w:val="22"/>
        </w:rPr>
        <w:tab/>
      </w:r>
      <w:r w:rsidR="0012684A">
        <w:rPr>
          <w:szCs w:val="22"/>
        </w:rPr>
        <w:t>23</w:t>
      </w:r>
      <w:r w:rsidR="006242A0">
        <w:rPr>
          <w:szCs w:val="22"/>
        </w:rPr>
        <w:t>/12/</w:t>
      </w:r>
      <w:bookmarkStart w:id="0" w:name="_GoBack"/>
      <w:bookmarkEnd w:id="0"/>
      <w:r w:rsidR="0012684A">
        <w:rPr>
          <w:szCs w:val="22"/>
        </w:rPr>
        <w:t>21</w:t>
      </w:r>
      <w:r w:rsidRPr="00703798">
        <w:rPr>
          <w:szCs w:val="22"/>
        </w:rPr>
        <w:tab/>
      </w:r>
      <w:r w:rsidRPr="00703798">
        <w:rPr>
          <w:szCs w:val="22"/>
        </w:rPr>
        <w:tab/>
      </w:r>
      <w:r w:rsidRPr="00703798">
        <w:rPr>
          <w:szCs w:val="22"/>
        </w:rPr>
        <w:tab/>
      </w:r>
    </w:p>
    <w:p w14:paraId="29CA8500" w14:textId="5C606658" w:rsidR="005E317F" w:rsidRPr="00703798" w:rsidRDefault="006D3928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703798">
        <w:rPr>
          <w:szCs w:val="22"/>
        </w:rPr>
        <w:t>Nola Marino</w:t>
      </w:r>
      <w:r w:rsidR="005E317F" w:rsidRPr="00703798">
        <w:rPr>
          <w:szCs w:val="22"/>
        </w:rPr>
        <w:t xml:space="preserve"> </w:t>
      </w:r>
    </w:p>
    <w:p w14:paraId="51A7C77A" w14:textId="77777777" w:rsidR="00DE62E8" w:rsidRDefault="006D3928" w:rsidP="006D3928">
      <w:pPr>
        <w:pStyle w:val="SignCoverPageEnd"/>
        <w:ind w:right="91"/>
      </w:pPr>
      <w:r w:rsidRPr="00703798">
        <w:rPr>
          <w:sz w:val="22"/>
          <w:szCs w:val="22"/>
        </w:rPr>
        <w:t>Assistant Minister for Regional Development and Territories</w:t>
      </w:r>
      <w:r w:rsidR="00DE62E8" w:rsidRPr="00DE62E8">
        <w:t xml:space="preserve"> </w:t>
      </w:r>
    </w:p>
    <w:p w14:paraId="4F10B30B" w14:textId="2A066044" w:rsidR="006D3928" w:rsidRDefault="00DE62E8" w:rsidP="006D3928">
      <w:pPr>
        <w:pStyle w:val="SignCoverPageEnd"/>
        <w:ind w:right="91"/>
        <w:rPr>
          <w:sz w:val="22"/>
          <w:szCs w:val="22"/>
        </w:rPr>
      </w:pPr>
      <w:r w:rsidRPr="00DE62E8">
        <w:rPr>
          <w:sz w:val="22"/>
          <w:szCs w:val="22"/>
        </w:rPr>
        <w:t>Parliamentary Secretary to the Deputy Prime Minister and Minister for Infrastructure, Transport and Regional Development</w:t>
      </w:r>
    </w:p>
    <w:p w14:paraId="714C54C9" w14:textId="77777777" w:rsidR="00DE62E8" w:rsidRPr="00DE62E8" w:rsidRDefault="00DE62E8" w:rsidP="00DE62E8">
      <w:pPr>
        <w:rPr>
          <w:lang w:eastAsia="en-AU"/>
        </w:rPr>
      </w:pPr>
    </w:p>
    <w:p w14:paraId="64A35E66" w14:textId="77777777" w:rsidR="00B20990" w:rsidRPr="00703798" w:rsidRDefault="00B20990" w:rsidP="00B20990"/>
    <w:p w14:paraId="6A695A6D" w14:textId="77777777" w:rsidR="00B20990" w:rsidRPr="00703798" w:rsidRDefault="00B20990" w:rsidP="00B20990">
      <w:pPr>
        <w:sectPr w:rsidR="00B20990" w:rsidRPr="00703798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6BEEC99" w14:textId="77777777" w:rsidR="00B20990" w:rsidRPr="00703798" w:rsidRDefault="00B20990" w:rsidP="00B20990">
      <w:pPr>
        <w:outlineLvl w:val="0"/>
        <w:rPr>
          <w:sz w:val="36"/>
        </w:rPr>
      </w:pPr>
      <w:r w:rsidRPr="00703798">
        <w:rPr>
          <w:sz w:val="36"/>
        </w:rPr>
        <w:lastRenderedPageBreak/>
        <w:t>Contents</w:t>
      </w:r>
    </w:p>
    <w:bookmarkStart w:id="1" w:name="BKCheck15B_2"/>
    <w:bookmarkEnd w:id="1"/>
    <w:p w14:paraId="212FFFFE" w14:textId="3315D4AE" w:rsidR="00036BD3" w:rsidRPr="00803D7A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8"/>
          <w:szCs w:val="22"/>
        </w:rPr>
      </w:pPr>
      <w:r w:rsidRPr="00703798">
        <w:fldChar w:fldCharType="begin"/>
      </w:r>
      <w:r w:rsidRPr="00703798">
        <w:instrText xml:space="preserve"> TOC \o "1-9" </w:instrText>
      </w:r>
      <w:r w:rsidRPr="00703798">
        <w:fldChar w:fldCharType="separate"/>
      </w:r>
      <w:r w:rsidR="00036BD3" w:rsidRPr="00803D7A">
        <w:rPr>
          <w:noProof/>
          <w:sz w:val="22"/>
        </w:rPr>
        <w:t>1  Name</w:t>
      </w:r>
      <w:r w:rsidR="00036BD3" w:rsidRPr="00803D7A">
        <w:rPr>
          <w:noProof/>
          <w:sz w:val="22"/>
        </w:rPr>
        <w:tab/>
      </w:r>
      <w:r w:rsidR="00036BD3" w:rsidRPr="00803D7A">
        <w:rPr>
          <w:noProof/>
          <w:sz w:val="22"/>
        </w:rPr>
        <w:fldChar w:fldCharType="begin"/>
      </w:r>
      <w:r w:rsidR="00036BD3" w:rsidRPr="00803D7A">
        <w:rPr>
          <w:noProof/>
          <w:sz w:val="22"/>
        </w:rPr>
        <w:instrText xml:space="preserve"> PAGEREF _Toc90576123 \h </w:instrText>
      </w:r>
      <w:r w:rsidR="00036BD3" w:rsidRPr="00803D7A">
        <w:rPr>
          <w:noProof/>
          <w:sz w:val="22"/>
        </w:rPr>
      </w:r>
      <w:r w:rsidR="00036BD3" w:rsidRPr="00803D7A">
        <w:rPr>
          <w:noProof/>
          <w:sz w:val="22"/>
        </w:rPr>
        <w:fldChar w:fldCharType="separate"/>
      </w:r>
      <w:r w:rsidR="00036BD3" w:rsidRPr="00803D7A">
        <w:rPr>
          <w:noProof/>
          <w:sz w:val="22"/>
        </w:rPr>
        <w:t>1</w:t>
      </w:r>
      <w:r w:rsidR="00036BD3" w:rsidRPr="00803D7A">
        <w:rPr>
          <w:noProof/>
          <w:sz w:val="22"/>
        </w:rPr>
        <w:fldChar w:fldCharType="end"/>
      </w:r>
    </w:p>
    <w:p w14:paraId="497C65B3" w14:textId="4CEF300A" w:rsidR="00036BD3" w:rsidRPr="00803D7A" w:rsidRDefault="00036BD3">
      <w:pPr>
        <w:pStyle w:val="TOC5"/>
        <w:rPr>
          <w:rFonts w:asciiTheme="minorHAnsi" w:eastAsiaTheme="minorEastAsia" w:hAnsiTheme="minorHAnsi" w:cstheme="minorBidi"/>
          <w:noProof/>
          <w:kern w:val="0"/>
          <w:sz w:val="28"/>
          <w:szCs w:val="22"/>
        </w:rPr>
      </w:pPr>
      <w:r w:rsidRPr="00803D7A">
        <w:rPr>
          <w:noProof/>
          <w:sz w:val="22"/>
        </w:rPr>
        <w:t>2  Commencement</w:t>
      </w:r>
      <w:r w:rsidRPr="00803D7A">
        <w:rPr>
          <w:noProof/>
          <w:sz w:val="22"/>
        </w:rPr>
        <w:tab/>
      </w:r>
      <w:r w:rsidRPr="00803D7A">
        <w:rPr>
          <w:noProof/>
          <w:sz w:val="22"/>
        </w:rPr>
        <w:fldChar w:fldCharType="begin"/>
      </w:r>
      <w:r w:rsidRPr="00803D7A">
        <w:rPr>
          <w:noProof/>
          <w:sz w:val="22"/>
        </w:rPr>
        <w:instrText xml:space="preserve"> PAGEREF _Toc90576124 \h </w:instrText>
      </w:r>
      <w:r w:rsidRPr="00803D7A">
        <w:rPr>
          <w:noProof/>
          <w:sz w:val="22"/>
        </w:rPr>
      </w:r>
      <w:r w:rsidRPr="00803D7A">
        <w:rPr>
          <w:noProof/>
          <w:sz w:val="22"/>
        </w:rPr>
        <w:fldChar w:fldCharType="separate"/>
      </w:r>
      <w:r w:rsidRPr="00803D7A">
        <w:rPr>
          <w:noProof/>
          <w:sz w:val="22"/>
        </w:rPr>
        <w:t>1</w:t>
      </w:r>
      <w:r w:rsidRPr="00803D7A">
        <w:rPr>
          <w:noProof/>
          <w:sz w:val="22"/>
        </w:rPr>
        <w:fldChar w:fldCharType="end"/>
      </w:r>
    </w:p>
    <w:p w14:paraId="4456673C" w14:textId="700B0F96" w:rsidR="00036BD3" w:rsidRPr="00803D7A" w:rsidRDefault="00036BD3">
      <w:pPr>
        <w:pStyle w:val="TOC5"/>
        <w:rPr>
          <w:rFonts w:asciiTheme="minorHAnsi" w:eastAsiaTheme="minorEastAsia" w:hAnsiTheme="minorHAnsi" w:cstheme="minorBidi"/>
          <w:noProof/>
          <w:kern w:val="0"/>
          <w:sz w:val="28"/>
          <w:szCs w:val="22"/>
        </w:rPr>
      </w:pPr>
      <w:r w:rsidRPr="00803D7A">
        <w:rPr>
          <w:noProof/>
          <w:sz w:val="22"/>
        </w:rPr>
        <w:t>3  Authority</w:t>
      </w:r>
      <w:r w:rsidRPr="00803D7A">
        <w:rPr>
          <w:noProof/>
          <w:sz w:val="22"/>
        </w:rPr>
        <w:tab/>
      </w:r>
      <w:r w:rsidRPr="00803D7A">
        <w:rPr>
          <w:noProof/>
          <w:sz w:val="22"/>
        </w:rPr>
        <w:fldChar w:fldCharType="begin"/>
      </w:r>
      <w:r w:rsidRPr="00803D7A">
        <w:rPr>
          <w:noProof/>
          <w:sz w:val="22"/>
        </w:rPr>
        <w:instrText xml:space="preserve"> PAGEREF _Toc90576125 \h </w:instrText>
      </w:r>
      <w:r w:rsidRPr="00803D7A">
        <w:rPr>
          <w:noProof/>
          <w:sz w:val="22"/>
        </w:rPr>
      </w:r>
      <w:r w:rsidRPr="00803D7A">
        <w:rPr>
          <w:noProof/>
          <w:sz w:val="22"/>
        </w:rPr>
        <w:fldChar w:fldCharType="separate"/>
      </w:r>
      <w:r w:rsidRPr="00803D7A">
        <w:rPr>
          <w:noProof/>
          <w:sz w:val="22"/>
        </w:rPr>
        <w:t>1</w:t>
      </w:r>
      <w:r w:rsidRPr="00803D7A">
        <w:rPr>
          <w:noProof/>
          <w:sz w:val="22"/>
        </w:rPr>
        <w:fldChar w:fldCharType="end"/>
      </w:r>
    </w:p>
    <w:p w14:paraId="41C32F28" w14:textId="7642BEFE" w:rsidR="00036BD3" w:rsidRPr="00803D7A" w:rsidRDefault="00036BD3">
      <w:pPr>
        <w:pStyle w:val="TOC5"/>
        <w:rPr>
          <w:rFonts w:asciiTheme="minorHAnsi" w:eastAsiaTheme="minorEastAsia" w:hAnsiTheme="minorHAnsi" w:cstheme="minorBidi"/>
          <w:noProof/>
          <w:kern w:val="0"/>
          <w:sz w:val="28"/>
          <w:szCs w:val="22"/>
        </w:rPr>
      </w:pPr>
      <w:r w:rsidRPr="00803D7A">
        <w:rPr>
          <w:noProof/>
          <w:sz w:val="22"/>
        </w:rPr>
        <w:t>4  Schedules</w:t>
      </w:r>
      <w:r w:rsidRPr="00803D7A">
        <w:rPr>
          <w:noProof/>
          <w:sz w:val="22"/>
        </w:rPr>
        <w:tab/>
      </w:r>
      <w:r w:rsidRPr="00803D7A">
        <w:rPr>
          <w:noProof/>
          <w:sz w:val="22"/>
        </w:rPr>
        <w:fldChar w:fldCharType="begin"/>
      </w:r>
      <w:r w:rsidRPr="00803D7A">
        <w:rPr>
          <w:noProof/>
          <w:sz w:val="22"/>
        </w:rPr>
        <w:instrText xml:space="preserve"> PAGEREF _Toc90576126 \h </w:instrText>
      </w:r>
      <w:r w:rsidRPr="00803D7A">
        <w:rPr>
          <w:noProof/>
          <w:sz w:val="22"/>
        </w:rPr>
      </w:r>
      <w:r w:rsidRPr="00803D7A">
        <w:rPr>
          <w:noProof/>
          <w:sz w:val="22"/>
        </w:rPr>
        <w:fldChar w:fldCharType="separate"/>
      </w:r>
      <w:r w:rsidRPr="00803D7A">
        <w:rPr>
          <w:noProof/>
          <w:sz w:val="22"/>
        </w:rPr>
        <w:t>1</w:t>
      </w:r>
      <w:r w:rsidRPr="00803D7A">
        <w:rPr>
          <w:noProof/>
          <w:sz w:val="22"/>
        </w:rPr>
        <w:fldChar w:fldCharType="end"/>
      </w:r>
    </w:p>
    <w:p w14:paraId="77F4DA82" w14:textId="1AB4E509" w:rsidR="00036BD3" w:rsidRDefault="00036BD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_Toc90576127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76FAA49" w14:textId="7D82EA45" w:rsidR="00036BD3" w:rsidRPr="00803D7A" w:rsidRDefault="00036BD3">
      <w:pPr>
        <w:pStyle w:val="TOC7"/>
        <w:rPr>
          <w:rFonts w:asciiTheme="minorHAnsi" w:eastAsiaTheme="minorEastAsia" w:hAnsiTheme="minorHAnsi" w:cstheme="minorBidi"/>
          <w:noProof/>
          <w:kern w:val="0"/>
          <w:sz w:val="20"/>
          <w:szCs w:val="22"/>
        </w:rPr>
      </w:pPr>
      <w:r w:rsidRPr="00803D7A">
        <w:rPr>
          <w:noProof/>
          <w:sz w:val="22"/>
        </w:rPr>
        <w:t>Part 1—Amendment of the Administrative Review Tribunal Act 1996 (NI)</w:t>
      </w:r>
      <w:r w:rsidRPr="00803D7A">
        <w:rPr>
          <w:noProof/>
          <w:sz w:val="22"/>
        </w:rPr>
        <w:tab/>
      </w:r>
      <w:r w:rsidRPr="00803D7A">
        <w:rPr>
          <w:noProof/>
          <w:sz w:val="22"/>
        </w:rPr>
        <w:fldChar w:fldCharType="begin"/>
      </w:r>
      <w:r w:rsidRPr="00803D7A">
        <w:rPr>
          <w:noProof/>
          <w:sz w:val="22"/>
        </w:rPr>
        <w:instrText xml:space="preserve"> PAGEREF _Toc90576128 \h </w:instrText>
      </w:r>
      <w:r w:rsidRPr="00803D7A">
        <w:rPr>
          <w:noProof/>
          <w:sz w:val="22"/>
        </w:rPr>
      </w:r>
      <w:r w:rsidRPr="00803D7A">
        <w:rPr>
          <w:noProof/>
          <w:sz w:val="22"/>
        </w:rPr>
        <w:fldChar w:fldCharType="separate"/>
      </w:r>
      <w:r w:rsidRPr="00803D7A">
        <w:rPr>
          <w:noProof/>
          <w:sz w:val="22"/>
        </w:rPr>
        <w:t>2</w:t>
      </w:r>
      <w:r w:rsidRPr="00803D7A">
        <w:rPr>
          <w:noProof/>
          <w:sz w:val="22"/>
        </w:rPr>
        <w:fldChar w:fldCharType="end"/>
      </w:r>
    </w:p>
    <w:p w14:paraId="13156EB5" w14:textId="6CA7B74A" w:rsidR="00036BD3" w:rsidRPr="00803D7A" w:rsidRDefault="00036BD3">
      <w:pPr>
        <w:pStyle w:val="TOC7"/>
        <w:rPr>
          <w:rFonts w:asciiTheme="minorHAnsi" w:eastAsiaTheme="minorEastAsia" w:hAnsiTheme="minorHAnsi" w:cstheme="minorBidi"/>
          <w:noProof/>
          <w:kern w:val="0"/>
          <w:sz w:val="20"/>
          <w:szCs w:val="22"/>
        </w:rPr>
      </w:pPr>
      <w:r w:rsidRPr="00803D7A">
        <w:rPr>
          <w:noProof/>
          <w:sz w:val="22"/>
        </w:rPr>
        <w:t>Part 2—Amendment of the Child Welfare Act 2009 (NI)</w:t>
      </w:r>
      <w:r w:rsidRPr="00803D7A">
        <w:rPr>
          <w:noProof/>
          <w:sz w:val="22"/>
        </w:rPr>
        <w:tab/>
      </w:r>
      <w:r w:rsidRPr="00803D7A">
        <w:rPr>
          <w:noProof/>
          <w:sz w:val="22"/>
        </w:rPr>
        <w:fldChar w:fldCharType="begin"/>
      </w:r>
      <w:r w:rsidRPr="00803D7A">
        <w:rPr>
          <w:noProof/>
          <w:sz w:val="22"/>
        </w:rPr>
        <w:instrText xml:space="preserve"> PAGEREF _Toc90576130 \h </w:instrText>
      </w:r>
      <w:r w:rsidRPr="00803D7A">
        <w:rPr>
          <w:noProof/>
          <w:sz w:val="22"/>
        </w:rPr>
      </w:r>
      <w:r w:rsidRPr="00803D7A">
        <w:rPr>
          <w:noProof/>
          <w:sz w:val="22"/>
        </w:rPr>
        <w:fldChar w:fldCharType="separate"/>
      </w:r>
      <w:r w:rsidRPr="00803D7A">
        <w:rPr>
          <w:noProof/>
          <w:sz w:val="22"/>
        </w:rPr>
        <w:t>2</w:t>
      </w:r>
      <w:r w:rsidRPr="00803D7A">
        <w:rPr>
          <w:noProof/>
          <w:sz w:val="22"/>
        </w:rPr>
        <w:fldChar w:fldCharType="end"/>
      </w:r>
    </w:p>
    <w:p w14:paraId="37BA2924" w14:textId="522B7E75" w:rsidR="00036BD3" w:rsidRPr="00803D7A" w:rsidRDefault="00036BD3">
      <w:pPr>
        <w:pStyle w:val="TOC7"/>
        <w:rPr>
          <w:rFonts w:asciiTheme="minorHAnsi" w:eastAsiaTheme="minorEastAsia" w:hAnsiTheme="minorHAnsi" w:cstheme="minorBidi"/>
          <w:noProof/>
          <w:kern w:val="0"/>
          <w:sz w:val="20"/>
          <w:szCs w:val="22"/>
        </w:rPr>
      </w:pPr>
      <w:r w:rsidRPr="00803D7A">
        <w:rPr>
          <w:noProof/>
          <w:sz w:val="22"/>
        </w:rPr>
        <w:t>Part 3—Amendment of the Disaster and Emergency Management Act 2001 (NI)</w:t>
      </w:r>
      <w:r w:rsidRPr="00803D7A">
        <w:rPr>
          <w:noProof/>
          <w:sz w:val="22"/>
        </w:rPr>
        <w:tab/>
      </w:r>
      <w:r w:rsidRPr="00803D7A">
        <w:rPr>
          <w:noProof/>
          <w:sz w:val="22"/>
        </w:rPr>
        <w:fldChar w:fldCharType="begin"/>
      </w:r>
      <w:r w:rsidRPr="00803D7A">
        <w:rPr>
          <w:noProof/>
          <w:sz w:val="22"/>
        </w:rPr>
        <w:instrText xml:space="preserve"> PAGEREF _Toc90576133 \h </w:instrText>
      </w:r>
      <w:r w:rsidRPr="00803D7A">
        <w:rPr>
          <w:noProof/>
          <w:sz w:val="22"/>
        </w:rPr>
      </w:r>
      <w:r w:rsidRPr="00803D7A">
        <w:rPr>
          <w:noProof/>
          <w:sz w:val="22"/>
        </w:rPr>
        <w:fldChar w:fldCharType="separate"/>
      </w:r>
      <w:r w:rsidRPr="00803D7A">
        <w:rPr>
          <w:noProof/>
          <w:sz w:val="22"/>
        </w:rPr>
        <w:t>3</w:t>
      </w:r>
      <w:r w:rsidRPr="00803D7A">
        <w:rPr>
          <w:noProof/>
          <w:sz w:val="22"/>
        </w:rPr>
        <w:fldChar w:fldCharType="end"/>
      </w:r>
    </w:p>
    <w:p w14:paraId="3EABA018" w14:textId="51991C06" w:rsidR="00036BD3" w:rsidRPr="00803D7A" w:rsidRDefault="00036BD3">
      <w:pPr>
        <w:pStyle w:val="TOC7"/>
        <w:rPr>
          <w:rFonts w:asciiTheme="minorHAnsi" w:eastAsiaTheme="minorEastAsia" w:hAnsiTheme="minorHAnsi" w:cstheme="minorBidi"/>
          <w:noProof/>
          <w:kern w:val="0"/>
          <w:sz w:val="20"/>
          <w:szCs w:val="22"/>
        </w:rPr>
      </w:pPr>
      <w:r w:rsidRPr="00803D7A">
        <w:rPr>
          <w:noProof/>
          <w:sz w:val="22"/>
        </w:rPr>
        <w:t>Part 4—Amendment of the Interpretation Act 1979 (NI)</w:t>
      </w:r>
      <w:r w:rsidRPr="00803D7A">
        <w:rPr>
          <w:noProof/>
          <w:sz w:val="22"/>
        </w:rPr>
        <w:tab/>
      </w:r>
      <w:r w:rsidRPr="00803D7A">
        <w:rPr>
          <w:noProof/>
          <w:sz w:val="22"/>
        </w:rPr>
        <w:fldChar w:fldCharType="begin"/>
      </w:r>
      <w:r w:rsidRPr="00803D7A">
        <w:rPr>
          <w:noProof/>
          <w:sz w:val="22"/>
        </w:rPr>
        <w:instrText xml:space="preserve"> PAGEREF _Toc90576136 \h </w:instrText>
      </w:r>
      <w:r w:rsidRPr="00803D7A">
        <w:rPr>
          <w:noProof/>
          <w:sz w:val="22"/>
        </w:rPr>
      </w:r>
      <w:r w:rsidRPr="00803D7A">
        <w:rPr>
          <w:noProof/>
          <w:sz w:val="22"/>
        </w:rPr>
        <w:fldChar w:fldCharType="separate"/>
      </w:r>
      <w:r w:rsidRPr="00803D7A">
        <w:rPr>
          <w:noProof/>
          <w:sz w:val="22"/>
        </w:rPr>
        <w:t>3</w:t>
      </w:r>
      <w:r w:rsidRPr="00803D7A">
        <w:rPr>
          <w:noProof/>
          <w:sz w:val="22"/>
        </w:rPr>
        <w:fldChar w:fldCharType="end"/>
      </w:r>
    </w:p>
    <w:p w14:paraId="495FEBE0" w14:textId="7CC0BBBC" w:rsidR="00036BD3" w:rsidRPr="00803D7A" w:rsidRDefault="00036BD3">
      <w:pPr>
        <w:pStyle w:val="TOC7"/>
        <w:rPr>
          <w:rFonts w:asciiTheme="minorHAnsi" w:eastAsiaTheme="minorEastAsia" w:hAnsiTheme="minorHAnsi" w:cstheme="minorBidi"/>
          <w:noProof/>
          <w:kern w:val="0"/>
          <w:sz w:val="20"/>
          <w:szCs w:val="22"/>
        </w:rPr>
      </w:pPr>
      <w:r w:rsidRPr="00803D7A">
        <w:rPr>
          <w:noProof/>
          <w:sz w:val="22"/>
        </w:rPr>
        <w:t>Part 5—Amendment of the Supreme Court Act 1960 (NI)</w:t>
      </w:r>
      <w:r w:rsidRPr="00803D7A">
        <w:rPr>
          <w:noProof/>
          <w:sz w:val="22"/>
        </w:rPr>
        <w:tab/>
      </w:r>
      <w:r w:rsidRPr="00803D7A">
        <w:rPr>
          <w:noProof/>
          <w:sz w:val="22"/>
        </w:rPr>
        <w:fldChar w:fldCharType="begin"/>
      </w:r>
      <w:r w:rsidRPr="00803D7A">
        <w:rPr>
          <w:noProof/>
          <w:sz w:val="22"/>
        </w:rPr>
        <w:instrText xml:space="preserve"> PAGEREF _Toc90576141 \h </w:instrText>
      </w:r>
      <w:r w:rsidRPr="00803D7A">
        <w:rPr>
          <w:noProof/>
          <w:sz w:val="22"/>
        </w:rPr>
      </w:r>
      <w:r w:rsidRPr="00803D7A">
        <w:rPr>
          <w:noProof/>
          <w:sz w:val="22"/>
        </w:rPr>
        <w:fldChar w:fldCharType="separate"/>
      </w:r>
      <w:r w:rsidRPr="00803D7A">
        <w:rPr>
          <w:noProof/>
          <w:sz w:val="22"/>
        </w:rPr>
        <w:t>4</w:t>
      </w:r>
      <w:r w:rsidRPr="00803D7A">
        <w:rPr>
          <w:noProof/>
          <w:sz w:val="22"/>
        </w:rPr>
        <w:fldChar w:fldCharType="end"/>
      </w:r>
    </w:p>
    <w:p w14:paraId="2FCEA27E" w14:textId="0368EAF6" w:rsidR="00B20990" w:rsidRPr="00703798" w:rsidRDefault="00B20990" w:rsidP="0070379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03798">
        <w:fldChar w:fldCharType="end"/>
      </w:r>
    </w:p>
    <w:p w14:paraId="253C8DAC" w14:textId="77777777" w:rsidR="00B20990" w:rsidRPr="00703798" w:rsidRDefault="00B20990" w:rsidP="00B20990"/>
    <w:p w14:paraId="1F13C76B" w14:textId="77777777" w:rsidR="00B20990" w:rsidRPr="00703798" w:rsidRDefault="00B20990" w:rsidP="00B20990">
      <w:pPr>
        <w:sectPr w:rsidR="00B20990" w:rsidRPr="00703798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4D615BB" w14:textId="77777777" w:rsidR="005E317F" w:rsidRPr="00703798" w:rsidRDefault="005E317F" w:rsidP="005E317F">
      <w:pPr>
        <w:pStyle w:val="ActHead5"/>
      </w:pPr>
      <w:bookmarkStart w:id="2" w:name="_Toc90576123"/>
      <w:r w:rsidRPr="00703798">
        <w:rPr>
          <w:rStyle w:val="CharSectno"/>
        </w:rPr>
        <w:lastRenderedPageBreak/>
        <w:t>1</w:t>
      </w:r>
      <w:r w:rsidRPr="00703798">
        <w:t xml:space="preserve">  Name</w:t>
      </w:r>
      <w:bookmarkEnd w:id="2"/>
    </w:p>
    <w:p w14:paraId="340C9A2D" w14:textId="3DDFEEB4" w:rsidR="005E317F" w:rsidRPr="00703798" w:rsidRDefault="005E317F" w:rsidP="005E317F">
      <w:pPr>
        <w:pStyle w:val="subsection"/>
      </w:pPr>
      <w:r w:rsidRPr="00703798">
        <w:tab/>
      </w:r>
      <w:r w:rsidRPr="00703798">
        <w:tab/>
        <w:t xml:space="preserve">This instrument is the </w:t>
      </w:r>
      <w:bookmarkStart w:id="3" w:name="BKCheck15B_3"/>
      <w:bookmarkEnd w:id="3"/>
      <w:r w:rsidR="00F17C67" w:rsidRPr="00703798">
        <w:rPr>
          <w:i/>
          <w:iCs/>
        </w:rPr>
        <w:t>Norfolk Island Continued Laws Ordinance Amendment (Applied Laws and Service Delivery (Queensland)</w:t>
      </w:r>
      <w:r w:rsidR="00A63FF7" w:rsidRPr="00703798">
        <w:rPr>
          <w:i/>
          <w:iCs/>
        </w:rPr>
        <w:t xml:space="preserve"> Measures</w:t>
      </w:r>
      <w:r w:rsidR="00F17C67" w:rsidRPr="00703798">
        <w:rPr>
          <w:i/>
          <w:iCs/>
        </w:rPr>
        <w:t>) Rules 2021</w:t>
      </w:r>
      <w:r w:rsidR="00F17C67" w:rsidRPr="00703798">
        <w:t>.</w:t>
      </w:r>
    </w:p>
    <w:p w14:paraId="628371C2" w14:textId="77777777" w:rsidR="005E317F" w:rsidRPr="00703798" w:rsidRDefault="005E317F" w:rsidP="005E317F">
      <w:pPr>
        <w:pStyle w:val="ActHead5"/>
      </w:pPr>
      <w:bookmarkStart w:id="4" w:name="_Toc90576124"/>
      <w:r w:rsidRPr="00703798">
        <w:rPr>
          <w:rStyle w:val="CharSectno"/>
        </w:rPr>
        <w:t>2</w:t>
      </w:r>
      <w:r w:rsidRPr="00703798">
        <w:t xml:space="preserve">  Commencement</w:t>
      </w:r>
      <w:bookmarkEnd w:id="4"/>
    </w:p>
    <w:p w14:paraId="67B00F44" w14:textId="77777777" w:rsidR="00002BCC" w:rsidRPr="00703798" w:rsidRDefault="00002BCC" w:rsidP="00002BCC">
      <w:pPr>
        <w:pStyle w:val="subsection"/>
      </w:pPr>
      <w:r w:rsidRPr="00703798">
        <w:tab/>
        <w:t>(1)</w:t>
      </w:r>
      <w:r w:rsidRPr="0070379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846A434" w14:textId="77777777" w:rsidR="00002BCC" w:rsidRPr="00703798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A6B5C" w:rsidRPr="00703798" w14:paraId="677F2D97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9164C6F" w14:textId="77777777" w:rsidR="00002BCC" w:rsidRPr="00703798" w:rsidRDefault="00002BCC" w:rsidP="00A02135">
            <w:pPr>
              <w:pStyle w:val="TableHeading"/>
            </w:pPr>
            <w:r w:rsidRPr="00703798">
              <w:t>Commencement information</w:t>
            </w:r>
          </w:p>
        </w:tc>
      </w:tr>
      <w:tr w:rsidR="005A6B5C" w:rsidRPr="00703798" w14:paraId="370CDACC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504F005" w14:textId="77777777" w:rsidR="00002BCC" w:rsidRPr="00703798" w:rsidRDefault="00002BCC" w:rsidP="00A02135">
            <w:pPr>
              <w:pStyle w:val="TableHeading"/>
            </w:pPr>
            <w:r w:rsidRPr="0070379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78B473" w14:textId="77777777" w:rsidR="00002BCC" w:rsidRPr="00703798" w:rsidRDefault="00002BCC" w:rsidP="00A02135">
            <w:pPr>
              <w:pStyle w:val="TableHeading"/>
            </w:pPr>
            <w:r w:rsidRPr="0070379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6AF884E" w14:textId="77777777" w:rsidR="00002BCC" w:rsidRPr="00703798" w:rsidRDefault="00002BCC" w:rsidP="00A02135">
            <w:pPr>
              <w:pStyle w:val="TableHeading"/>
            </w:pPr>
            <w:r w:rsidRPr="00703798">
              <w:t>Column 3</w:t>
            </w:r>
          </w:p>
        </w:tc>
      </w:tr>
      <w:tr w:rsidR="005A6B5C" w:rsidRPr="00703798" w14:paraId="476FBC50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332A260" w14:textId="77777777" w:rsidR="00002BCC" w:rsidRPr="00703798" w:rsidRDefault="00002BCC" w:rsidP="00A02135">
            <w:pPr>
              <w:pStyle w:val="TableHeading"/>
            </w:pPr>
            <w:r w:rsidRPr="0070379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8BDD52" w14:textId="77777777" w:rsidR="00002BCC" w:rsidRPr="00703798" w:rsidRDefault="00002BCC" w:rsidP="00A02135">
            <w:pPr>
              <w:pStyle w:val="TableHeading"/>
            </w:pPr>
            <w:r w:rsidRPr="0070379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8B65F38" w14:textId="77777777" w:rsidR="00002BCC" w:rsidRPr="00703798" w:rsidRDefault="00002BCC" w:rsidP="00A02135">
            <w:pPr>
              <w:pStyle w:val="TableHeading"/>
            </w:pPr>
            <w:r w:rsidRPr="00703798">
              <w:t>Date/Details</w:t>
            </w:r>
          </w:p>
        </w:tc>
      </w:tr>
      <w:tr w:rsidR="005A6B5C" w:rsidRPr="00703798" w14:paraId="5FD44028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4982227" w14:textId="39F57ECD" w:rsidR="00002BCC" w:rsidRPr="00703798" w:rsidRDefault="00002BCC" w:rsidP="00A02135">
            <w:pPr>
              <w:pStyle w:val="Tabletext"/>
              <w:rPr>
                <w:iCs/>
              </w:rPr>
            </w:pPr>
            <w:r w:rsidRPr="00703798">
              <w:t xml:space="preserve">1.  </w:t>
            </w:r>
            <w:r w:rsidR="006D3928" w:rsidRPr="00703798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B630AE1" w14:textId="75F15D19" w:rsidR="00FB508B" w:rsidRPr="00703798" w:rsidRDefault="00D60D1D" w:rsidP="00A02135">
            <w:pPr>
              <w:pStyle w:val="Tabletext"/>
              <w:rPr>
                <w:i/>
              </w:rPr>
            </w:pPr>
            <w:r>
              <w:rPr>
                <w:shd w:val="clear" w:color="auto" w:fill="FFFFFF"/>
              </w:rPr>
              <w:t>1 January 2022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A55C57" w14:textId="2FABB7D9" w:rsidR="00002BCC" w:rsidRPr="0049096E" w:rsidRDefault="00036BD3" w:rsidP="00A02135">
            <w:pPr>
              <w:pStyle w:val="Tabletext"/>
              <w:rPr>
                <w:iCs/>
              </w:rPr>
            </w:pPr>
            <w:r>
              <w:rPr>
                <w:iCs/>
              </w:rPr>
              <w:t>1</w:t>
            </w:r>
            <w:r w:rsidR="00D60D1D">
              <w:rPr>
                <w:iCs/>
              </w:rPr>
              <w:t xml:space="preserve"> January 2022</w:t>
            </w:r>
          </w:p>
        </w:tc>
      </w:tr>
    </w:tbl>
    <w:p w14:paraId="6CAE3477" w14:textId="77777777" w:rsidR="00002BCC" w:rsidRPr="00703798" w:rsidRDefault="00002BCC" w:rsidP="00002BCC">
      <w:pPr>
        <w:pStyle w:val="notetext"/>
      </w:pPr>
      <w:r w:rsidRPr="00703798">
        <w:rPr>
          <w:snapToGrid w:val="0"/>
          <w:lang w:eastAsia="en-US"/>
        </w:rPr>
        <w:t>Note:</w:t>
      </w:r>
      <w:r w:rsidRPr="00703798">
        <w:rPr>
          <w:snapToGrid w:val="0"/>
          <w:lang w:eastAsia="en-US"/>
        </w:rPr>
        <w:tab/>
        <w:t>This table relates only to the provisions of this instrument</w:t>
      </w:r>
      <w:r w:rsidRPr="00703798">
        <w:t xml:space="preserve"> </w:t>
      </w:r>
      <w:r w:rsidRPr="00703798">
        <w:rPr>
          <w:snapToGrid w:val="0"/>
          <w:lang w:eastAsia="en-US"/>
        </w:rPr>
        <w:t>as originally made. It will not be amended to deal with any later amendments of this instrument.</w:t>
      </w:r>
    </w:p>
    <w:p w14:paraId="721FB5AF" w14:textId="77777777" w:rsidR="00002BCC" w:rsidRPr="00703798" w:rsidRDefault="00002BCC" w:rsidP="00002BCC">
      <w:pPr>
        <w:pStyle w:val="subsection"/>
      </w:pPr>
      <w:r w:rsidRPr="00703798">
        <w:tab/>
        <w:t>(2)</w:t>
      </w:r>
      <w:r w:rsidRPr="0070379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589EF8A" w14:textId="77777777" w:rsidR="005E317F" w:rsidRPr="00703798" w:rsidRDefault="005E317F" w:rsidP="005E317F">
      <w:pPr>
        <w:pStyle w:val="ActHead5"/>
      </w:pPr>
      <w:bookmarkStart w:id="5" w:name="_Toc90576125"/>
      <w:r w:rsidRPr="00703798">
        <w:rPr>
          <w:rStyle w:val="CharSectno"/>
        </w:rPr>
        <w:t>3</w:t>
      </w:r>
      <w:r w:rsidRPr="00703798">
        <w:t xml:space="preserve">  Authority</w:t>
      </w:r>
      <w:bookmarkEnd w:id="5"/>
    </w:p>
    <w:p w14:paraId="57B74970" w14:textId="552E7058" w:rsidR="005E317F" w:rsidRPr="00703798" w:rsidRDefault="005E317F" w:rsidP="005E317F">
      <w:pPr>
        <w:pStyle w:val="subsection"/>
      </w:pPr>
      <w:r w:rsidRPr="00703798">
        <w:tab/>
      </w:r>
      <w:r w:rsidRPr="00703798">
        <w:tab/>
      </w:r>
      <w:r w:rsidR="00F17C67" w:rsidRPr="00703798">
        <w:t xml:space="preserve">This instrument is made under section 6 of the </w:t>
      </w:r>
      <w:r w:rsidR="00F17C67" w:rsidRPr="00703798">
        <w:rPr>
          <w:i/>
        </w:rPr>
        <w:t>Norfolk Island Continued Laws Ordinance 2015</w:t>
      </w:r>
      <w:r w:rsidR="003A70D5" w:rsidRPr="00703798">
        <w:t>.</w:t>
      </w:r>
    </w:p>
    <w:p w14:paraId="2D893264" w14:textId="77777777" w:rsidR="005E317F" w:rsidRPr="00703798" w:rsidRDefault="005E317F" w:rsidP="005E317F">
      <w:pPr>
        <w:pStyle w:val="ActHead5"/>
      </w:pPr>
      <w:bookmarkStart w:id="6" w:name="_Toc90576126"/>
      <w:r w:rsidRPr="00703798">
        <w:t>4  Schedules</w:t>
      </w:r>
      <w:bookmarkEnd w:id="6"/>
    </w:p>
    <w:p w14:paraId="035F04F7" w14:textId="77777777" w:rsidR="005E317F" w:rsidRPr="00703798" w:rsidRDefault="005E317F" w:rsidP="005E317F">
      <w:pPr>
        <w:pStyle w:val="subsection"/>
      </w:pPr>
      <w:r w:rsidRPr="00703798">
        <w:tab/>
      </w:r>
      <w:r w:rsidRPr="0070379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A68FC00" w14:textId="77777777" w:rsidR="000E584E" w:rsidRPr="00703798" w:rsidRDefault="000E584E" w:rsidP="000E584E">
      <w:pPr>
        <w:pStyle w:val="ActHead6"/>
        <w:pageBreakBefore/>
      </w:pPr>
      <w:bookmarkStart w:id="7" w:name="_Toc42694813"/>
      <w:bookmarkStart w:id="8" w:name="_Toc90576127"/>
      <w:r w:rsidRPr="00703798">
        <w:rPr>
          <w:rStyle w:val="CharAmSchNo"/>
        </w:rPr>
        <w:lastRenderedPageBreak/>
        <w:t>Schedule 1</w:t>
      </w:r>
      <w:r w:rsidRPr="00703798">
        <w:t>—</w:t>
      </w:r>
      <w:r w:rsidRPr="00703798">
        <w:rPr>
          <w:rStyle w:val="CharAmSchText"/>
        </w:rPr>
        <w:t>Amendments</w:t>
      </w:r>
      <w:bookmarkEnd w:id="7"/>
      <w:bookmarkEnd w:id="8"/>
    </w:p>
    <w:p w14:paraId="4549382F" w14:textId="77777777" w:rsidR="00AC6E62" w:rsidRPr="00703798" w:rsidRDefault="00AC6E62" w:rsidP="00AC6E62">
      <w:pPr>
        <w:pStyle w:val="ActHead7"/>
      </w:pPr>
      <w:bookmarkStart w:id="9" w:name="_Toc90576128"/>
      <w:bookmarkStart w:id="10" w:name="_Toc42694814"/>
      <w:r w:rsidRPr="00703798">
        <w:t>Part 1—Amendment of the Administrative Review Tribunal Act 1996 (NI)</w:t>
      </w:r>
      <w:bookmarkEnd w:id="9"/>
    </w:p>
    <w:p w14:paraId="24FD2A8F" w14:textId="77777777" w:rsidR="00AC6E62" w:rsidRPr="00703798" w:rsidRDefault="00AC6E62" w:rsidP="00AC6E62">
      <w:pPr>
        <w:pStyle w:val="ActHead9"/>
      </w:pPr>
      <w:bookmarkStart w:id="11" w:name="_Toc89807565"/>
      <w:bookmarkStart w:id="12" w:name="_Toc90574861"/>
      <w:bookmarkStart w:id="13" w:name="_Toc90576129"/>
      <w:r w:rsidRPr="00703798">
        <w:t>Norfolk Island Continued Laws Ordinance 2015</w:t>
      </w:r>
      <w:bookmarkEnd w:id="11"/>
      <w:bookmarkEnd w:id="12"/>
      <w:bookmarkEnd w:id="13"/>
    </w:p>
    <w:p w14:paraId="1F566E5E" w14:textId="4202870D" w:rsidR="00AC6E62" w:rsidRPr="00703798" w:rsidRDefault="00AC6E62" w:rsidP="00AC6E62">
      <w:pPr>
        <w:pStyle w:val="ItemHead"/>
      </w:pPr>
      <w:r w:rsidRPr="00703798">
        <w:t xml:space="preserve">1  </w:t>
      </w:r>
      <w:r w:rsidR="006F2D86">
        <w:t>After item 1AAA</w:t>
      </w:r>
      <w:r w:rsidR="00E01C03">
        <w:t xml:space="preserve"> of Schedule 1</w:t>
      </w:r>
    </w:p>
    <w:p w14:paraId="2D0EB815" w14:textId="19A5F199" w:rsidR="008A3781" w:rsidRPr="00703798" w:rsidRDefault="006F2D86" w:rsidP="008A3781">
      <w:pPr>
        <w:pStyle w:val="Item"/>
      </w:pPr>
      <w:r>
        <w:t>Insert:</w:t>
      </w:r>
    </w:p>
    <w:p w14:paraId="127E116C" w14:textId="10D8501E" w:rsidR="009B1968" w:rsidRPr="00703798" w:rsidRDefault="009B1968" w:rsidP="009B1968">
      <w:pPr>
        <w:pStyle w:val="ItemHead"/>
      </w:pPr>
      <w:r w:rsidRPr="00703798">
        <w:t>1AAA</w:t>
      </w:r>
      <w:r w:rsidR="006F2D86">
        <w:t>A</w:t>
      </w:r>
      <w:r w:rsidRPr="00703798">
        <w:t xml:space="preserve">  </w:t>
      </w:r>
      <w:r w:rsidR="006F2D86">
        <w:t>Paragraph</w:t>
      </w:r>
      <w:r w:rsidRPr="00703798">
        <w:t> 3(1)</w:t>
      </w:r>
      <w:r w:rsidR="006F2D86">
        <w:t>(d)</w:t>
      </w:r>
      <w:r w:rsidR="0069044E">
        <w:t xml:space="preserve"> of the definition of </w:t>
      </w:r>
      <w:r w:rsidR="0069044E" w:rsidRPr="0049096E">
        <w:rPr>
          <w:i/>
          <w:iCs/>
        </w:rPr>
        <w:t>enactment</w:t>
      </w:r>
    </w:p>
    <w:p w14:paraId="096F0646" w14:textId="5592B78E" w:rsidR="009B1968" w:rsidRPr="00703798" w:rsidRDefault="006F2D86" w:rsidP="009B1968">
      <w:pPr>
        <w:pStyle w:val="Item"/>
      </w:pPr>
      <w:r>
        <w:t>Repeal the paragraph, substitute</w:t>
      </w:r>
      <w:r w:rsidR="009B1968" w:rsidRPr="00703798">
        <w:t>:</w:t>
      </w:r>
    </w:p>
    <w:p w14:paraId="6D88B294" w14:textId="77777777" w:rsidR="009B1968" w:rsidRPr="00703798" w:rsidRDefault="009B1968" w:rsidP="009B1968">
      <w:pPr>
        <w:pStyle w:val="paragraph"/>
      </w:pPr>
      <w:r w:rsidRPr="00703798">
        <w:tab/>
        <w:t>(d)</w:t>
      </w:r>
      <w:r w:rsidRPr="00703798">
        <w:tab/>
        <w:t>a New South Wales law as in force in Norfolk Island under section 18A of that Act.</w:t>
      </w:r>
    </w:p>
    <w:p w14:paraId="2F232EA4" w14:textId="7C450BA6" w:rsidR="008A3781" w:rsidRPr="00703798" w:rsidRDefault="008A3781" w:rsidP="008A3781">
      <w:pPr>
        <w:pStyle w:val="paragraph"/>
      </w:pPr>
      <w:r w:rsidRPr="00703798">
        <w:tab/>
        <w:t>(e)</w:t>
      </w:r>
      <w:r w:rsidRPr="00703798">
        <w:tab/>
        <w:t>a Queensland law as in force in Norfolk Island under section 18A of that Act.</w:t>
      </w:r>
    </w:p>
    <w:p w14:paraId="1C9308A5" w14:textId="5E29E839" w:rsidR="00AC6E62" w:rsidRPr="00703798" w:rsidRDefault="00AC6E62" w:rsidP="00AC6E62">
      <w:pPr>
        <w:pStyle w:val="ActHead7"/>
      </w:pPr>
      <w:bookmarkStart w:id="14" w:name="_Toc89807566"/>
      <w:bookmarkStart w:id="15" w:name="_Toc90576130"/>
      <w:r w:rsidRPr="00703798">
        <w:t>Part 2—Amendment of the Child Welfare Act 2009 (NI)</w:t>
      </w:r>
      <w:bookmarkEnd w:id="14"/>
      <w:bookmarkEnd w:id="15"/>
    </w:p>
    <w:p w14:paraId="4FBF6D18" w14:textId="77777777" w:rsidR="00AC6E62" w:rsidRPr="00703798" w:rsidRDefault="00AC6E62" w:rsidP="00AC6E62">
      <w:pPr>
        <w:pStyle w:val="ActHead9"/>
      </w:pPr>
      <w:bookmarkStart w:id="16" w:name="_Toc90574863"/>
      <w:bookmarkStart w:id="17" w:name="_Toc90576131"/>
      <w:r w:rsidRPr="00703798">
        <w:t>Norfolk Island Continued Laws Ordinance 2015</w:t>
      </w:r>
      <w:bookmarkEnd w:id="16"/>
      <w:bookmarkEnd w:id="17"/>
    </w:p>
    <w:p w14:paraId="7DC912AC" w14:textId="478D7EB2" w:rsidR="00AC6E62" w:rsidRPr="00703798" w:rsidRDefault="001F0DC5" w:rsidP="00AC6E62">
      <w:pPr>
        <w:pStyle w:val="ItemHead"/>
      </w:pPr>
      <w:r>
        <w:t>2</w:t>
      </w:r>
      <w:r w:rsidR="00AC6E62" w:rsidRPr="00703798">
        <w:t xml:space="preserve">  </w:t>
      </w:r>
      <w:r w:rsidR="00F776C1">
        <w:t>Before item 29</w:t>
      </w:r>
      <w:r w:rsidR="004E5D67">
        <w:t xml:space="preserve"> of Schedule 1</w:t>
      </w:r>
    </w:p>
    <w:p w14:paraId="25DE5256" w14:textId="77777777" w:rsidR="00AC6E62" w:rsidRPr="00703798" w:rsidRDefault="00AC6E62" w:rsidP="00AC6E62">
      <w:pPr>
        <w:pStyle w:val="Item"/>
      </w:pPr>
      <w:r w:rsidRPr="00703798">
        <w:t>Insert:</w:t>
      </w:r>
    </w:p>
    <w:p w14:paraId="41874E7B" w14:textId="1A423AD3" w:rsidR="00F776C1" w:rsidRPr="00703798" w:rsidRDefault="00F776C1" w:rsidP="00F776C1">
      <w:pPr>
        <w:pStyle w:val="ItemHead"/>
      </w:pPr>
      <w:r>
        <w:t>2</w:t>
      </w:r>
      <w:r w:rsidR="00604A9B">
        <w:t>9</w:t>
      </w:r>
      <w:r>
        <w:t>AA</w:t>
      </w:r>
      <w:r w:rsidR="00AC7816">
        <w:t>AA</w:t>
      </w:r>
      <w:r w:rsidRPr="00703798">
        <w:t xml:space="preserve">  </w:t>
      </w:r>
      <w:r>
        <w:t>After section 9</w:t>
      </w:r>
    </w:p>
    <w:p w14:paraId="7EDAA9C2" w14:textId="1D2358B6" w:rsidR="00F776C1" w:rsidRDefault="00F776C1" w:rsidP="00F776C1">
      <w:pPr>
        <w:pStyle w:val="Item"/>
      </w:pPr>
      <w:r>
        <w:t>Add:</w:t>
      </w:r>
    </w:p>
    <w:p w14:paraId="700EFFAD" w14:textId="2C875F8D" w:rsidR="00F776C1" w:rsidRDefault="00F776C1" w:rsidP="00856CA0">
      <w:pPr>
        <w:pStyle w:val="ActHead5"/>
      </w:pPr>
      <w:bookmarkStart w:id="18" w:name="_Toc90574864"/>
      <w:bookmarkStart w:id="19" w:name="_Toc90576132"/>
      <w:r>
        <w:rPr>
          <w:rStyle w:val="CharSectno"/>
        </w:rPr>
        <w:t>9A</w:t>
      </w:r>
      <w:r w:rsidRPr="00703798">
        <w:t xml:space="preserve">  </w:t>
      </w:r>
      <w:r>
        <w:t xml:space="preserve">Relationship with </w:t>
      </w:r>
      <w:r w:rsidRPr="0049096E">
        <w:rPr>
          <w:i/>
          <w:iCs/>
        </w:rPr>
        <w:t>Education (General Provisions) Act 2006</w:t>
      </w:r>
      <w:r>
        <w:t xml:space="preserve"> (Qld)</w:t>
      </w:r>
      <w:r w:rsidR="00247FD7">
        <w:t xml:space="preserve"> </w:t>
      </w:r>
      <w:r>
        <w:t>(NI)</w:t>
      </w:r>
      <w:bookmarkEnd w:id="18"/>
      <w:bookmarkEnd w:id="19"/>
    </w:p>
    <w:p w14:paraId="0AE83457" w14:textId="2AE15BAF" w:rsidR="00F776C1" w:rsidRPr="00F776C1" w:rsidRDefault="00856CA0" w:rsidP="0008578C">
      <w:pPr>
        <w:pStyle w:val="Item"/>
      </w:pPr>
      <w:r>
        <w:t xml:space="preserve">Nothing in this Act is intended to exclude or limit the operation of the provisions of </w:t>
      </w:r>
      <w:r w:rsidR="00160FC4">
        <w:t xml:space="preserve">Part 10 of Chapter 12 of </w:t>
      </w:r>
      <w:r>
        <w:t xml:space="preserve">the </w:t>
      </w:r>
      <w:r w:rsidRPr="00856CA0">
        <w:rPr>
          <w:i/>
          <w:iCs/>
        </w:rPr>
        <w:t>Education (General Provisions) Act 2006</w:t>
      </w:r>
      <w:r>
        <w:t xml:space="preserve"> (Qld)</w:t>
      </w:r>
      <w:r w:rsidR="00247FD7">
        <w:t xml:space="preserve"> </w:t>
      </w:r>
      <w:r>
        <w:t>(NI)</w:t>
      </w:r>
      <w:r w:rsidR="006153B5">
        <w:t xml:space="preserve"> in accordance with their terms</w:t>
      </w:r>
      <w:r w:rsidR="00A54EA3">
        <w:t>.</w:t>
      </w:r>
    </w:p>
    <w:p w14:paraId="21BE5522" w14:textId="79A4A9A0" w:rsidR="00247FD7" w:rsidRDefault="001F0DC5" w:rsidP="00247FD7">
      <w:pPr>
        <w:pStyle w:val="ItemHead"/>
      </w:pPr>
      <w:r>
        <w:t>3</w:t>
      </w:r>
      <w:r w:rsidR="00247FD7" w:rsidRPr="00703798">
        <w:t xml:space="preserve">  </w:t>
      </w:r>
      <w:r w:rsidR="00247FD7">
        <w:t>After item 31AA</w:t>
      </w:r>
      <w:r w:rsidR="005A297D">
        <w:t xml:space="preserve"> of Schedule 1</w:t>
      </w:r>
    </w:p>
    <w:p w14:paraId="395F4CED" w14:textId="44386CB6" w:rsidR="00247FD7" w:rsidRPr="00247FD7" w:rsidRDefault="00247FD7" w:rsidP="00247FD7">
      <w:pPr>
        <w:pStyle w:val="Item"/>
      </w:pPr>
      <w:r>
        <w:t>Insert:</w:t>
      </w:r>
    </w:p>
    <w:p w14:paraId="445CF57A" w14:textId="44F39122" w:rsidR="00247FD7" w:rsidRPr="00DE3D33" w:rsidRDefault="00247FD7" w:rsidP="00247FD7">
      <w:pPr>
        <w:pStyle w:val="ItemHead"/>
      </w:pPr>
      <w:r w:rsidRPr="00DE3D33">
        <w:t>31AA</w:t>
      </w:r>
      <w:r w:rsidR="005A297D">
        <w:t>B</w:t>
      </w:r>
      <w:r w:rsidRPr="00DE3D33">
        <w:t xml:space="preserve">  Paragraph 33(3)(c)</w:t>
      </w:r>
    </w:p>
    <w:p w14:paraId="3D421586" w14:textId="0A19B696" w:rsidR="00247FD7" w:rsidRPr="00DE3D33" w:rsidRDefault="00247FD7" w:rsidP="00247FD7">
      <w:pPr>
        <w:pStyle w:val="Item"/>
      </w:pPr>
      <w:r w:rsidRPr="00DE3D33">
        <w:t>Omit “</w:t>
      </w:r>
      <w:r w:rsidRPr="00DE3D33">
        <w:rPr>
          <w:i/>
        </w:rPr>
        <w:t>Education Act 1990</w:t>
      </w:r>
      <w:r w:rsidRPr="00DE3D33">
        <w:t xml:space="preserve"> (NSW) (NI</w:t>
      </w:r>
      <w:r>
        <w:t>)</w:t>
      </w:r>
      <w:r w:rsidRPr="00DE3D33">
        <w:t>”, substitute “</w:t>
      </w:r>
      <w:r w:rsidRPr="00DE3D33">
        <w:rPr>
          <w:i/>
        </w:rPr>
        <w:t>Education</w:t>
      </w:r>
      <w:r>
        <w:rPr>
          <w:i/>
        </w:rPr>
        <w:t xml:space="preserve"> (General Provisions)</w:t>
      </w:r>
      <w:r w:rsidRPr="00DE3D33">
        <w:rPr>
          <w:i/>
        </w:rPr>
        <w:t xml:space="preserve"> Act </w:t>
      </w:r>
      <w:r>
        <w:rPr>
          <w:i/>
        </w:rPr>
        <w:t>2006</w:t>
      </w:r>
      <w:r w:rsidRPr="00DE3D33">
        <w:t xml:space="preserve"> (</w:t>
      </w:r>
      <w:r>
        <w:t>Qld</w:t>
      </w:r>
      <w:r w:rsidRPr="00DE3D33">
        <w:t>) (NI)”.</w:t>
      </w:r>
    </w:p>
    <w:p w14:paraId="0E67D66F" w14:textId="70E883BB" w:rsidR="00247FD7" w:rsidRDefault="001F0DC5" w:rsidP="00247FD7">
      <w:pPr>
        <w:pStyle w:val="ItemHead"/>
      </w:pPr>
      <w:r>
        <w:t>4</w:t>
      </w:r>
      <w:r w:rsidR="00247FD7" w:rsidRPr="00703798">
        <w:t xml:space="preserve">  </w:t>
      </w:r>
      <w:r w:rsidR="00A85B81">
        <w:t>Item</w:t>
      </w:r>
      <w:r w:rsidR="00247FD7">
        <w:t xml:space="preserve"> 3</w:t>
      </w:r>
      <w:r w:rsidR="009A1794">
        <w:t>7</w:t>
      </w:r>
      <w:r w:rsidR="00247FD7">
        <w:t>A</w:t>
      </w:r>
      <w:r w:rsidR="00FA1BD9">
        <w:t>A</w:t>
      </w:r>
      <w:r w:rsidR="00247FD7">
        <w:t>A</w:t>
      </w:r>
      <w:r w:rsidR="005A297D">
        <w:t xml:space="preserve"> of Schedule 1</w:t>
      </w:r>
    </w:p>
    <w:p w14:paraId="409A270F" w14:textId="23128310" w:rsidR="00247FD7" w:rsidRPr="00247FD7" w:rsidRDefault="00A85B81" w:rsidP="00247FD7">
      <w:pPr>
        <w:pStyle w:val="Item"/>
      </w:pPr>
      <w:r>
        <w:t>Repeal the item, substitute</w:t>
      </w:r>
      <w:r w:rsidR="00247FD7">
        <w:t>:</w:t>
      </w:r>
    </w:p>
    <w:p w14:paraId="74D92FE8" w14:textId="183AC678" w:rsidR="00247FD7" w:rsidRPr="00DE3D33" w:rsidRDefault="00247FD7" w:rsidP="00247FD7">
      <w:pPr>
        <w:pStyle w:val="ItemHead"/>
      </w:pPr>
      <w:r w:rsidRPr="00DE3D33">
        <w:t>3</w:t>
      </w:r>
      <w:r w:rsidR="009A1794">
        <w:t>7</w:t>
      </w:r>
      <w:r w:rsidRPr="00DE3D33">
        <w:t>AA</w:t>
      </w:r>
      <w:r>
        <w:t>A</w:t>
      </w:r>
      <w:r w:rsidRPr="00DE3D33">
        <w:t xml:space="preserve">  </w:t>
      </w:r>
      <w:r w:rsidR="00FA1BD9">
        <w:t xml:space="preserve">Dictionary, (definition of </w:t>
      </w:r>
      <w:r w:rsidR="00FA1BD9" w:rsidRPr="00FA1BD9">
        <w:rPr>
          <w:i/>
          <w:iCs/>
        </w:rPr>
        <w:t>school</w:t>
      </w:r>
      <w:r w:rsidRPr="00DE3D33">
        <w:t>)</w:t>
      </w:r>
    </w:p>
    <w:p w14:paraId="6C12C869" w14:textId="77777777" w:rsidR="00FA1BD9" w:rsidRPr="00DE3D33" w:rsidRDefault="00FA1BD9" w:rsidP="00FA1BD9">
      <w:pPr>
        <w:pStyle w:val="Item"/>
      </w:pPr>
      <w:r w:rsidRPr="00DE3D33">
        <w:t>Repeal the definition, substitute:</w:t>
      </w:r>
    </w:p>
    <w:p w14:paraId="1A67BEF0" w14:textId="30915B75" w:rsidR="009A1794" w:rsidRPr="00DE3D33" w:rsidRDefault="00FA1BD9" w:rsidP="009A1794">
      <w:pPr>
        <w:pStyle w:val="Definition"/>
      </w:pPr>
      <w:r w:rsidRPr="00DE3D33">
        <w:rPr>
          <w:b/>
          <w:i/>
        </w:rPr>
        <w:t>school</w:t>
      </w:r>
      <w:r w:rsidRPr="00DE3D33">
        <w:t xml:space="preserve"> means a </w:t>
      </w:r>
      <w:r>
        <w:t xml:space="preserve">State school </w:t>
      </w:r>
      <w:r w:rsidRPr="00DE3D33">
        <w:t xml:space="preserve">(within the meaning of the </w:t>
      </w:r>
      <w:r w:rsidRPr="00DE3D33">
        <w:rPr>
          <w:i/>
        </w:rPr>
        <w:t>Education</w:t>
      </w:r>
      <w:r>
        <w:rPr>
          <w:i/>
        </w:rPr>
        <w:t xml:space="preserve"> (General Provisions)</w:t>
      </w:r>
      <w:r w:rsidRPr="00DE3D33">
        <w:rPr>
          <w:i/>
        </w:rPr>
        <w:t xml:space="preserve"> Act </w:t>
      </w:r>
      <w:r>
        <w:rPr>
          <w:i/>
        </w:rPr>
        <w:t>2006</w:t>
      </w:r>
      <w:r w:rsidRPr="00DE3D33">
        <w:t xml:space="preserve"> (</w:t>
      </w:r>
      <w:r>
        <w:t>Qld</w:t>
      </w:r>
      <w:r w:rsidRPr="00DE3D33">
        <w:t>) (NI)</w:t>
      </w:r>
      <w:r>
        <w:t>)</w:t>
      </w:r>
      <w:r w:rsidRPr="00DE3D33">
        <w:t>.</w:t>
      </w:r>
    </w:p>
    <w:p w14:paraId="29E86639" w14:textId="5CCA4338" w:rsidR="004E1218" w:rsidRDefault="004E1218" w:rsidP="000E584E">
      <w:pPr>
        <w:pStyle w:val="ActHead7"/>
      </w:pPr>
      <w:bookmarkStart w:id="20" w:name="_Toc90574865"/>
      <w:bookmarkStart w:id="21" w:name="_Toc90576133"/>
      <w:r>
        <w:lastRenderedPageBreak/>
        <w:t>Part 3—Amendment of the Disaster and Emergency Management Act 2001 (NI)</w:t>
      </w:r>
      <w:bookmarkEnd w:id="20"/>
      <w:bookmarkEnd w:id="21"/>
    </w:p>
    <w:p w14:paraId="74FEAC98" w14:textId="77777777" w:rsidR="004E1218" w:rsidRPr="00703798" w:rsidRDefault="004E1218" w:rsidP="004E1218">
      <w:pPr>
        <w:pStyle w:val="ActHead9"/>
      </w:pPr>
      <w:bookmarkStart w:id="22" w:name="_Toc90574866"/>
      <w:bookmarkStart w:id="23" w:name="_Toc90576134"/>
      <w:r w:rsidRPr="00703798">
        <w:t>Norfolk Island Continued Laws Ordinance 2015</w:t>
      </w:r>
      <w:bookmarkEnd w:id="22"/>
      <w:bookmarkEnd w:id="23"/>
    </w:p>
    <w:p w14:paraId="3C666F03" w14:textId="6D26C886" w:rsidR="004E1218" w:rsidRPr="00C975F1" w:rsidRDefault="001F0DC5" w:rsidP="004E1218">
      <w:pPr>
        <w:pStyle w:val="ItemHead"/>
      </w:pPr>
      <w:r>
        <w:t>5</w:t>
      </w:r>
      <w:r w:rsidR="004E1218" w:rsidRPr="00C975F1">
        <w:t xml:space="preserve">  </w:t>
      </w:r>
      <w:r w:rsidR="00C975F1" w:rsidRPr="0049096E">
        <w:t xml:space="preserve">After </w:t>
      </w:r>
      <w:r w:rsidR="004E5D67">
        <w:t>item 63 of Schedule 1</w:t>
      </w:r>
    </w:p>
    <w:p w14:paraId="40BDA938" w14:textId="72D664ED" w:rsidR="004E1218" w:rsidRPr="00C975F1" w:rsidRDefault="00C975F1" w:rsidP="004E1218">
      <w:pPr>
        <w:pStyle w:val="Item"/>
      </w:pPr>
      <w:r w:rsidRPr="0049096E">
        <w:t>Insert</w:t>
      </w:r>
      <w:r w:rsidR="004E1218" w:rsidRPr="00C975F1">
        <w:t>:</w:t>
      </w:r>
    </w:p>
    <w:p w14:paraId="0BDF3246" w14:textId="2EDBD547" w:rsidR="004E5D67" w:rsidRPr="00DE3D33" w:rsidRDefault="004E5D67" w:rsidP="004E5D67">
      <w:pPr>
        <w:pStyle w:val="ItemHead"/>
      </w:pPr>
      <w:bookmarkStart w:id="24" w:name="_Toc90574867"/>
      <w:bookmarkStart w:id="25" w:name="_Toc90576135"/>
      <w:r>
        <w:t>63AA</w:t>
      </w:r>
      <w:r w:rsidRPr="00DE3D33">
        <w:t xml:space="preserve">  </w:t>
      </w:r>
      <w:r>
        <w:t xml:space="preserve">After </w:t>
      </w:r>
      <w:r w:rsidR="00E01C03">
        <w:t>section</w:t>
      </w:r>
      <w:r>
        <w:t xml:space="preserve"> 5</w:t>
      </w:r>
    </w:p>
    <w:p w14:paraId="35A97DC4" w14:textId="77777777" w:rsidR="004E5D67" w:rsidRPr="00C975F1" w:rsidRDefault="004E5D67" w:rsidP="004E5D67">
      <w:pPr>
        <w:pStyle w:val="Item"/>
      </w:pPr>
      <w:r w:rsidRPr="00795B5F">
        <w:t>Insert</w:t>
      </w:r>
      <w:r w:rsidRPr="00C975F1">
        <w:t>:</w:t>
      </w:r>
    </w:p>
    <w:p w14:paraId="6FA2FCA5" w14:textId="5CEFA537" w:rsidR="004E1218" w:rsidRPr="00C975F1" w:rsidRDefault="00C975F1" w:rsidP="004E1218">
      <w:pPr>
        <w:pStyle w:val="ActHead5"/>
      </w:pPr>
      <w:r w:rsidRPr="0049096E">
        <w:rPr>
          <w:rStyle w:val="CharSectno"/>
        </w:rPr>
        <w:t>5A</w:t>
      </w:r>
      <w:r w:rsidR="004E1218" w:rsidRPr="00C975F1">
        <w:t xml:space="preserve">  Relationship with </w:t>
      </w:r>
      <w:r w:rsidR="00693230" w:rsidRPr="0049096E">
        <w:rPr>
          <w:i/>
          <w:iCs/>
        </w:rPr>
        <w:t xml:space="preserve">Public </w:t>
      </w:r>
      <w:r w:rsidR="004E1218" w:rsidRPr="0049096E">
        <w:rPr>
          <w:i/>
          <w:iCs/>
        </w:rPr>
        <w:t>Health</w:t>
      </w:r>
      <w:r w:rsidR="00693230" w:rsidRPr="0049096E">
        <w:rPr>
          <w:i/>
          <w:iCs/>
        </w:rPr>
        <w:t xml:space="preserve"> Act 2005</w:t>
      </w:r>
      <w:r w:rsidR="004E1218" w:rsidRPr="00C975F1">
        <w:t xml:space="preserve"> (Qld) (NI)</w:t>
      </w:r>
      <w:bookmarkEnd w:id="24"/>
      <w:bookmarkEnd w:id="25"/>
    </w:p>
    <w:p w14:paraId="5AC343E5" w14:textId="7F57D1E4" w:rsidR="004E1218" w:rsidRDefault="004E1218" w:rsidP="004E1218">
      <w:pPr>
        <w:pStyle w:val="Item"/>
      </w:pPr>
      <w:r w:rsidRPr="00C975F1">
        <w:t xml:space="preserve">Nothing in this Act is intended to exclude or limit the operation of the provisions of the </w:t>
      </w:r>
      <w:r w:rsidR="00693230" w:rsidRPr="0049096E">
        <w:rPr>
          <w:i/>
          <w:iCs/>
        </w:rPr>
        <w:t>Public Health Act 2005</w:t>
      </w:r>
      <w:r w:rsidRPr="00C975F1">
        <w:t xml:space="preserve"> (Qld) (NI) in accordance with their terms.</w:t>
      </w:r>
    </w:p>
    <w:p w14:paraId="2898829D" w14:textId="35369258" w:rsidR="000E584E" w:rsidRPr="00703798" w:rsidRDefault="000E584E" w:rsidP="000E584E">
      <w:pPr>
        <w:pStyle w:val="ActHead7"/>
      </w:pPr>
      <w:bookmarkStart w:id="26" w:name="_Toc90576136"/>
      <w:r w:rsidRPr="00703798">
        <w:t xml:space="preserve">Part </w:t>
      </w:r>
      <w:r w:rsidR="002B164E">
        <w:t>4</w:t>
      </w:r>
      <w:r w:rsidRPr="00703798">
        <w:t xml:space="preserve">—Amendment of the </w:t>
      </w:r>
      <w:r w:rsidR="00B300ED" w:rsidRPr="00703798">
        <w:t>Interpretation Act 1979</w:t>
      </w:r>
      <w:r w:rsidRPr="00703798">
        <w:t xml:space="preserve"> (N</w:t>
      </w:r>
      <w:r w:rsidR="00763958">
        <w:t>I</w:t>
      </w:r>
      <w:r w:rsidRPr="00703798">
        <w:t>)</w:t>
      </w:r>
      <w:bookmarkEnd w:id="10"/>
      <w:bookmarkEnd w:id="26"/>
    </w:p>
    <w:p w14:paraId="7DD78930" w14:textId="77777777" w:rsidR="000E584E" w:rsidRPr="00703798" w:rsidRDefault="000E584E" w:rsidP="000E584E">
      <w:pPr>
        <w:pStyle w:val="ActHead9"/>
      </w:pPr>
      <w:bookmarkStart w:id="27" w:name="_Toc42694815"/>
      <w:bookmarkStart w:id="28" w:name="_Toc89807569"/>
      <w:bookmarkStart w:id="29" w:name="_Toc90574869"/>
      <w:bookmarkStart w:id="30" w:name="_Toc90576137"/>
      <w:r w:rsidRPr="00703798">
        <w:t>Norfolk Island Continued Laws Ordinance 2015</w:t>
      </w:r>
      <w:bookmarkEnd w:id="27"/>
      <w:bookmarkEnd w:id="28"/>
      <w:bookmarkEnd w:id="29"/>
      <w:bookmarkEnd w:id="30"/>
    </w:p>
    <w:p w14:paraId="29E316AE" w14:textId="5BC4BE4B" w:rsidR="00721719" w:rsidRDefault="001F0DC5" w:rsidP="000E584E">
      <w:pPr>
        <w:pStyle w:val="ItemHead"/>
      </w:pPr>
      <w:r>
        <w:t>6</w:t>
      </w:r>
      <w:r w:rsidR="00721719">
        <w:t xml:space="preserve">  After </w:t>
      </w:r>
      <w:r w:rsidR="00F26516">
        <w:t xml:space="preserve">item </w:t>
      </w:r>
      <w:r w:rsidR="00721719">
        <w:t>150</w:t>
      </w:r>
      <w:r w:rsidR="004E5D67">
        <w:t xml:space="preserve"> of Schedule 1</w:t>
      </w:r>
    </w:p>
    <w:p w14:paraId="4F37FF0C" w14:textId="77777777" w:rsidR="00721719" w:rsidRPr="00703798" w:rsidRDefault="00721719" w:rsidP="00721719">
      <w:pPr>
        <w:pStyle w:val="Item"/>
      </w:pPr>
      <w:r w:rsidRPr="00703798">
        <w:t>Insert:</w:t>
      </w:r>
    </w:p>
    <w:p w14:paraId="6720311A" w14:textId="0F6918E5" w:rsidR="00721719" w:rsidRDefault="00721719" w:rsidP="00721719">
      <w:pPr>
        <w:pStyle w:val="ItemHead"/>
      </w:pPr>
      <w:r w:rsidRPr="00DE3D33">
        <w:t>1</w:t>
      </w:r>
      <w:r>
        <w:t>50</w:t>
      </w:r>
      <w:r w:rsidRPr="00DE3D33">
        <w:t xml:space="preserve">A  </w:t>
      </w:r>
      <w:r>
        <w:t>Before section 8A</w:t>
      </w:r>
    </w:p>
    <w:p w14:paraId="4DECBAA5" w14:textId="2B2DAC66" w:rsidR="00721719" w:rsidRPr="00721719" w:rsidRDefault="00721719" w:rsidP="00721719">
      <w:pPr>
        <w:pStyle w:val="Item"/>
      </w:pPr>
      <w:r>
        <w:t>Insert</w:t>
      </w:r>
    </w:p>
    <w:p w14:paraId="0292436C" w14:textId="2EC4CFF7" w:rsidR="00895D1F" w:rsidRPr="00703798" w:rsidRDefault="00895D1F" w:rsidP="00895D1F">
      <w:pPr>
        <w:pStyle w:val="ActHead5"/>
      </w:pPr>
      <w:bookmarkStart w:id="31" w:name="_Toc90574870"/>
      <w:bookmarkStart w:id="32" w:name="_Toc90576138"/>
      <w:r w:rsidRPr="00703798">
        <w:rPr>
          <w:rStyle w:val="CharSectno"/>
        </w:rPr>
        <w:t>8</w:t>
      </w:r>
      <w:r>
        <w:rPr>
          <w:rStyle w:val="CharSectno"/>
        </w:rPr>
        <w:t>AA</w:t>
      </w:r>
      <w:r w:rsidRPr="00703798">
        <w:t xml:space="preserve">  </w:t>
      </w:r>
      <w:r>
        <w:t>Enactments extended to Queensland</w:t>
      </w:r>
      <w:r w:rsidR="00AF6A1E">
        <w:t xml:space="preserve"> applied or adopted</w:t>
      </w:r>
      <w:r>
        <w:t xml:space="preserve"> laws</w:t>
      </w:r>
      <w:bookmarkEnd w:id="31"/>
      <w:bookmarkEnd w:id="32"/>
    </w:p>
    <w:p w14:paraId="347F7E32" w14:textId="7CE038C1" w:rsidR="00721719" w:rsidRDefault="00895D1F" w:rsidP="00721719">
      <w:pPr>
        <w:pStyle w:val="subsection"/>
      </w:pPr>
      <w:r>
        <w:tab/>
      </w:r>
      <w:r w:rsidR="007C08E5">
        <w:t>(1)</w:t>
      </w:r>
      <w:r>
        <w:tab/>
      </w:r>
      <w:r w:rsidRPr="00703798">
        <w:t xml:space="preserve">To the extent that </w:t>
      </w:r>
      <w:r>
        <w:t xml:space="preserve">an enactment is extended in its operation to </w:t>
      </w:r>
      <w:r w:rsidR="00867943">
        <w:t>a law of New South Wales</w:t>
      </w:r>
      <w:r w:rsidR="00AF6A1E">
        <w:t xml:space="preserve"> as in force in the Territory</w:t>
      </w:r>
      <w:r>
        <w:t>, the operation of the enactment is also extended in its application to a law of Queensland</w:t>
      </w:r>
      <w:r w:rsidR="00AF6A1E">
        <w:t xml:space="preserve"> as</w:t>
      </w:r>
      <w:r>
        <w:t xml:space="preserve"> in force in the Territory under section 18A of the </w:t>
      </w:r>
      <w:r w:rsidRPr="00DA3681">
        <w:rPr>
          <w:i/>
          <w:iCs/>
        </w:rPr>
        <w:t>Norfolk Island Act 1979</w:t>
      </w:r>
      <w:r w:rsidR="00867943" w:rsidRPr="00DA3681">
        <w:t xml:space="preserve"> of the Commonwealth</w:t>
      </w:r>
      <w:r>
        <w:t xml:space="preserve"> and any other law</w:t>
      </w:r>
      <w:r w:rsidR="00867943">
        <w:t xml:space="preserve"> of Queensland</w:t>
      </w:r>
      <w:r>
        <w:t xml:space="preserve"> applied, adopted or incorporated by a legislative instrument made under </w:t>
      </w:r>
      <w:r w:rsidR="00867943">
        <w:t>that Act</w:t>
      </w:r>
      <w:r w:rsidR="00AF6A1E">
        <w:t xml:space="preserve"> as in force in the Territory</w:t>
      </w:r>
      <w:r w:rsidR="00867943">
        <w:t>.</w:t>
      </w:r>
    </w:p>
    <w:p w14:paraId="0969BD50" w14:textId="77777777" w:rsidR="007C08E5" w:rsidRDefault="007C08E5" w:rsidP="007C08E5">
      <w:pPr>
        <w:pStyle w:val="subsection"/>
      </w:pPr>
      <w:r>
        <w:tab/>
        <w:t>(2)</w:t>
      </w:r>
      <w:r>
        <w:tab/>
        <w:t>This section does not apply to the extent that its application would:</w:t>
      </w:r>
    </w:p>
    <w:p w14:paraId="3F5548C8" w14:textId="77777777" w:rsidR="007C08E5" w:rsidRPr="00DE3D33" w:rsidRDefault="007C08E5" w:rsidP="007C08E5">
      <w:pPr>
        <w:pStyle w:val="paragraph"/>
      </w:pPr>
      <w:r w:rsidRPr="00DE3D33">
        <w:tab/>
        <w:t>(a)</w:t>
      </w:r>
      <w:r w:rsidRPr="00DE3D33">
        <w:tab/>
      </w:r>
      <w:proofErr w:type="gramStart"/>
      <w:r w:rsidRPr="00DE3D33">
        <w:t>create</w:t>
      </w:r>
      <w:proofErr w:type="gramEnd"/>
      <w:r w:rsidRPr="00DE3D33">
        <w:t xml:space="preserve"> an offence or civil penalty;</w:t>
      </w:r>
    </w:p>
    <w:p w14:paraId="45D5F420" w14:textId="77777777" w:rsidR="007C08E5" w:rsidRPr="00DE3D33" w:rsidRDefault="007C08E5" w:rsidP="007C08E5">
      <w:pPr>
        <w:pStyle w:val="paragraph"/>
      </w:pPr>
      <w:r w:rsidRPr="00DE3D33">
        <w:tab/>
        <w:t>(b)</w:t>
      </w:r>
      <w:r w:rsidRPr="00DE3D33">
        <w:tab/>
        <w:t>provide powers of:</w:t>
      </w:r>
    </w:p>
    <w:p w14:paraId="3C0356CD" w14:textId="77777777" w:rsidR="007C08E5" w:rsidRPr="00DE3D33" w:rsidRDefault="007C08E5" w:rsidP="007C08E5">
      <w:pPr>
        <w:pStyle w:val="paragraphsub"/>
      </w:pPr>
      <w:r w:rsidRPr="00DE3D33">
        <w:tab/>
        <w:t>(</w:t>
      </w:r>
      <w:proofErr w:type="spellStart"/>
      <w:r w:rsidRPr="00DE3D33">
        <w:t>i</w:t>
      </w:r>
      <w:proofErr w:type="spellEnd"/>
      <w:r w:rsidRPr="00DE3D33">
        <w:t>)</w:t>
      </w:r>
      <w:r w:rsidRPr="00DE3D33">
        <w:tab/>
        <w:t>arrest or detention; or</w:t>
      </w:r>
    </w:p>
    <w:p w14:paraId="6725D4E1" w14:textId="3E199C5E" w:rsidR="007C08E5" w:rsidRPr="00DE3D33" w:rsidRDefault="007C08E5" w:rsidP="007C08E5">
      <w:pPr>
        <w:pStyle w:val="paragraphsub"/>
      </w:pPr>
      <w:r w:rsidRPr="00DE3D33">
        <w:tab/>
        <w:t>(ii)</w:t>
      </w:r>
      <w:r w:rsidRPr="00DE3D33">
        <w:tab/>
      </w:r>
      <w:proofErr w:type="gramStart"/>
      <w:r w:rsidRPr="00DE3D33">
        <w:t>entry</w:t>
      </w:r>
      <w:proofErr w:type="gramEnd"/>
      <w:r w:rsidRPr="00DE3D33">
        <w:t>, search or seizure;</w:t>
      </w:r>
      <w:r w:rsidR="00AE06CF">
        <w:t xml:space="preserve"> or</w:t>
      </w:r>
    </w:p>
    <w:p w14:paraId="41E644AB" w14:textId="0D614808" w:rsidR="007C08E5" w:rsidRDefault="007C08E5" w:rsidP="007C08E5">
      <w:pPr>
        <w:pStyle w:val="paragraph"/>
      </w:pPr>
      <w:r w:rsidRPr="00DE3D33">
        <w:tab/>
        <w:t>(c)</w:t>
      </w:r>
      <w:r w:rsidRPr="00DE3D33">
        <w:tab/>
        <w:t>impose a tax</w:t>
      </w:r>
      <w:r>
        <w:t>.</w:t>
      </w:r>
    </w:p>
    <w:p w14:paraId="681509CF" w14:textId="77777777" w:rsidR="005A3038" w:rsidRDefault="005A3038" w:rsidP="007C08E5">
      <w:pPr>
        <w:pStyle w:val="paragraph"/>
      </w:pPr>
    </w:p>
    <w:p w14:paraId="6CE03FD3" w14:textId="25C533CA" w:rsidR="00C12240" w:rsidRPr="00703798" w:rsidRDefault="001F0DC5" w:rsidP="000E584E">
      <w:pPr>
        <w:pStyle w:val="ItemHead"/>
      </w:pPr>
      <w:r>
        <w:t>7</w:t>
      </w:r>
      <w:r w:rsidR="00C12240" w:rsidRPr="00703798">
        <w:t xml:space="preserve">  Before item 151 of Schedule 1</w:t>
      </w:r>
    </w:p>
    <w:p w14:paraId="65489E36" w14:textId="37A0787D" w:rsidR="00C12240" w:rsidRPr="00703798" w:rsidRDefault="00C12240" w:rsidP="00C12240">
      <w:pPr>
        <w:pStyle w:val="Item"/>
      </w:pPr>
      <w:r w:rsidRPr="00703798">
        <w:t>Insert:</w:t>
      </w:r>
    </w:p>
    <w:p w14:paraId="223B357E" w14:textId="220A1666" w:rsidR="00C12240" w:rsidRPr="00703798" w:rsidRDefault="00C12240" w:rsidP="00C12240">
      <w:pPr>
        <w:pStyle w:val="ItemHead"/>
      </w:pPr>
      <w:r w:rsidRPr="00703798">
        <w:t xml:space="preserve">150A  </w:t>
      </w:r>
      <w:r w:rsidR="00875C79" w:rsidRPr="00703798">
        <w:t>Before section 10D</w:t>
      </w:r>
    </w:p>
    <w:p w14:paraId="780A1175" w14:textId="5F56A2F2" w:rsidR="00875C79" w:rsidRPr="00703798" w:rsidRDefault="00875C79" w:rsidP="00875C79">
      <w:pPr>
        <w:pStyle w:val="Item"/>
      </w:pPr>
      <w:r w:rsidRPr="00703798">
        <w:t>Insert:</w:t>
      </w:r>
    </w:p>
    <w:p w14:paraId="4A4C3D14" w14:textId="0BD19E68" w:rsidR="00C12240" w:rsidRPr="00703798" w:rsidRDefault="00C12240" w:rsidP="00C12240">
      <w:pPr>
        <w:pStyle w:val="ActHead5"/>
      </w:pPr>
      <w:bookmarkStart w:id="33" w:name="_Toc79415104"/>
      <w:bookmarkStart w:id="34" w:name="_Toc89807570"/>
      <w:bookmarkStart w:id="35" w:name="_Toc90574871"/>
      <w:bookmarkStart w:id="36" w:name="_Toc90576139"/>
      <w:r w:rsidRPr="00703798">
        <w:rPr>
          <w:rStyle w:val="CharSectno"/>
        </w:rPr>
        <w:lastRenderedPageBreak/>
        <w:t>8D</w:t>
      </w:r>
      <w:r w:rsidRPr="00703798">
        <w:t xml:space="preserve">  Continued laws regulating employment do not apply to certain officers, employees and authorities of </w:t>
      </w:r>
      <w:bookmarkEnd w:id="33"/>
      <w:r w:rsidRPr="00703798">
        <w:t>Queensland</w:t>
      </w:r>
      <w:bookmarkEnd w:id="34"/>
      <w:bookmarkEnd w:id="35"/>
      <w:bookmarkEnd w:id="36"/>
    </w:p>
    <w:p w14:paraId="69D00B3E" w14:textId="77777777" w:rsidR="00C12240" w:rsidRPr="00703798" w:rsidRDefault="00C12240" w:rsidP="00C12240">
      <w:pPr>
        <w:pStyle w:val="subsection"/>
      </w:pPr>
      <w:r w:rsidRPr="00703798">
        <w:tab/>
      </w:r>
      <w:r w:rsidRPr="00703798">
        <w:tab/>
        <w:t xml:space="preserve">To the extent that a law continued in force by section 16 or 16A of the </w:t>
      </w:r>
      <w:r w:rsidRPr="00703798">
        <w:rPr>
          <w:i/>
        </w:rPr>
        <w:t>Norfolk Island Act 1979</w:t>
      </w:r>
      <w:r w:rsidRPr="00703798">
        <w:t xml:space="preserve"> of the Commonwealth regulates employment, the law does not apply to:</w:t>
      </w:r>
    </w:p>
    <w:p w14:paraId="6D4C47B3" w14:textId="6B04F246" w:rsidR="00C12240" w:rsidRPr="00703798" w:rsidRDefault="00C12240" w:rsidP="00C12240">
      <w:pPr>
        <w:pStyle w:val="paragraph"/>
      </w:pPr>
      <w:r w:rsidRPr="00703798">
        <w:tab/>
        <w:t>(a)</w:t>
      </w:r>
      <w:r w:rsidRPr="00703798">
        <w:tab/>
        <w:t>an officer or employee of Queensland; or</w:t>
      </w:r>
    </w:p>
    <w:p w14:paraId="226799BC" w14:textId="69EC0032" w:rsidR="00C12240" w:rsidRPr="00703798" w:rsidRDefault="00C12240" w:rsidP="00C12240">
      <w:pPr>
        <w:pStyle w:val="paragraph"/>
      </w:pPr>
      <w:r w:rsidRPr="00703798">
        <w:tab/>
        <w:t>(b)</w:t>
      </w:r>
      <w:r w:rsidRPr="00703798">
        <w:tab/>
        <w:t xml:space="preserve">an authority (within the meaning of section 18B of the </w:t>
      </w:r>
      <w:r w:rsidRPr="00703798">
        <w:rPr>
          <w:i/>
        </w:rPr>
        <w:t>Norfolk Island Act 1979</w:t>
      </w:r>
      <w:r w:rsidRPr="00703798">
        <w:t xml:space="preserve"> of the Commonwealth)</w:t>
      </w:r>
      <w:r w:rsidR="005A297D">
        <w:t xml:space="preserve"> of Queensland</w:t>
      </w:r>
      <w:r w:rsidRPr="00703798">
        <w:t>; or</w:t>
      </w:r>
    </w:p>
    <w:p w14:paraId="7B8196F0" w14:textId="1DD06BF0" w:rsidR="00C12240" w:rsidRPr="00703798" w:rsidRDefault="00C12240" w:rsidP="00C12240">
      <w:pPr>
        <w:pStyle w:val="paragraph"/>
      </w:pPr>
      <w:r w:rsidRPr="00703798">
        <w:tab/>
        <w:t>(c)</w:t>
      </w:r>
      <w:r w:rsidRPr="00703798">
        <w:tab/>
      </w:r>
      <w:proofErr w:type="gramStart"/>
      <w:r w:rsidRPr="00703798">
        <w:t>an</w:t>
      </w:r>
      <w:proofErr w:type="gramEnd"/>
      <w:r w:rsidRPr="00703798">
        <w:t xml:space="preserve"> officer or employee of an authority (within the meaning of section 18B of the </w:t>
      </w:r>
      <w:r w:rsidRPr="00703798">
        <w:rPr>
          <w:i/>
        </w:rPr>
        <w:t>Norfolk Island Act 1979</w:t>
      </w:r>
      <w:r w:rsidRPr="00703798">
        <w:t xml:space="preserve"> of the Commonwealth)</w:t>
      </w:r>
      <w:r w:rsidR="005A297D">
        <w:t xml:space="preserve"> of Queensland</w:t>
      </w:r>
      <w:r w:rsidRPr="00703798">
        <w:t>;</w:t>
      </w:r>
    </w:p>
    <w:p w14:paraId="34B7CC21" w14:textId="7A34EA77" w:rsidR="00DC197E" w:rsidRPr="00DC197E" w:rsidRDefault="00C12240" w:rsidP="00C81B80">
      <w:pPr>
        <w:pStyle w:val="subsection2"/>
      </w:pPr>
      <w:proofErr w:type="gramStart"/>
      <w:r w:rsidRPr="00703798">
        <w:t>to</w:t>
      </w:r>
      <w:proofErr w:type="gramEnd"/>
      <w:r w:rsidRPr="00703798">
        <w:t xml:space="preserve"> the extent that the officer, employee or authority is exercising powers or performing functions or duties under an arrangement </w:t>
      </w:r>
      <w:r w:rsidR="00C81B80">
        <w:t>between the Commonwealth and Queensland for the delivery of services to Norfolk Island.</w:t>
      </w:r>
    </w:p>
    <w:p w14:paraId="50B6F391" w14:textId="55B7EDEF" w:rsidR="000E584E" w:rsidRPr="00703798" w:rsidRDefault="001F0DC5" w:rsidP="000E584E">
      <w:pPr>
        <w:pStyle w:val="ItemHead"/>
      </w:pPr>
      <w:r>
        <w:t>8</w:t>
      </w:r>
      <w:r w:rsidR="000E584E" w:rsidRPr="00703798">
        <w:t xml:space="preserve">  </w:t>
      </w:r>
      <w:r w:rsidR="00B63DDF">
        <w:t>After</w:t>
      </w:r>
      <w:r w:rsidR="00B63DDF" w:rsidRPr="00703798">
        <w:t xml:space="preserve"> </w:t>
      </w:r>
      <w:r w:rsidR="000E584E" w:rsidRPr="00703798">
        <w:t xml:space="preserve">item </w:t>
      </w:r>
      <w:r w:rsidR="00B63DDF">
        <w:t>183</w:t>
      </w:r>
      <w:r w:rsidR="00B63DDF" w:rsidRPr="00703798">
        <w:t xml:space="preserve"> </w:t>
      </w:r>
      <w:r w:rsidR="000E584E" w:rsidRPr="00703798">
        <w:t>of Schedule 1</w:t>
      </w:r>
    </w:p>
    <w:p w14:paraId="15AAE8B5" w14:textId="77777777" w:rsidR="000E584E" w:rsidRPr="00703798" w:rsidRDefault="000E584E" w:rsidP="000E584E">
      <w:pPr>
        <w:pStyle w:val="Item"/>
      </w:pPr>
      <w:r w:rsidRPr="00703798">
        <w:t>Insert:</w:t>
      </w:r>
    </w:p>
    <w:p w14:paraId="58AE11DD" w14:textId="216CA0FC" w:rsidR="000E584E" w:rsidRPr="00703798" w:rsidRDefault="00500301" w:rsidP="000E584E">
      <w:pPr>
        <w:pStyle w:val="ItemHead"/>
      </w:pPr>
      <w:r w:rsidRPr="00703798">
        <w:t>183A</w:t>
      </w:r>
      <w:r w:rsidR="000E584E" w:rsidRPr="00703798">
        <w:t xml:space="preserve">  </w:t>
      </w:r>
      <w:r w:rsidR="00BC3AD8" w:rsidRPr="00703798">
        <w:t>Before section 37</w:t>
      </w:r>
    </w:p>
    <w:p w14:paraId="28F02846" w14:textId="77777777" w:rsidR="000E584E" w:rsidRPr="00703798" w:rsidRDefault="000E584E" w:rsidP="000E584E">
      <w:pPr>
        <w:pStyle w:val="Item"/>
      </w:pPr>
      <w:r w:rsidRPr="00703798">
        <w:t>Insert:</w:t>
      </w:r>
    </w:p>
    <w:p w14:paraId="5F840EE0" w14:textId="5E9E40A6" w:rsidR="00BC3AD8" w:rsidRPr="00703798" w:rsidRDefault="00BC3AD8" w:rsidP="00BC3AD8">
      <w:pPr>
        <w:pStyle w:val="ActHead5"/>
      </w:pPr>
      <w:bookmarkStart w:id="37" w:name="_Toc79415113"/>
      <w:bookmarkStart w:id="38" w:name="_Toc89807571"/>
      <w:bookmarkStart w:id="39" w:name="_Toc90574872"/>
      <w:bookmarkStart w:id="40" w:name="_Toc90576140"/>
      <w:r w:rsidRPr="00703798">
        <w:rPr>
          <w:rStyle w:val="CharSectno"/>
        </w:rPr>
        <w:t>29B</w:t>
      </w:r>
      <w:r w:rsidRPr="00703798">
        <w:t xml:space="preserve">  References to Queensland Acts and instruments</w:t>
      </w:r>
      <w:bookmarkEnd w:id="37"/>
      <w:bookmarkEnd w:id="38"/>
      <w:bookmarkEnd w:id="39"/>
      <w:bookmarkEnd w:id="40"/>
    </w:p>
    <w:p w14:paraId="683B8003" w14:textId="77777777" w:rsidR="00BC3AD8" w:rsidRPr="00703798" w:rsidRDefault="00BC3AD8" w:rsidP="00BC3AD8">
      <w:pPr>
        <w:pStyle w:val="SubsectionHead"/>
      </w:pPr>
      <w:r w:rsidRPr="00703798">
        <w:t>Acts and instruments as in force in Norfolk Island</w:t>
      </w:r>
    </w:p>
    <w:p w14:paraId="4DAAEEB9" w14:textId="74836FD3" w:rsidR="00BC3AD8" w:rsidRPr="00703798" w:rsidRDefault="00BC3AD8" w:rsidP="00BC3AD8">
      <w:pPr>
        <w:pStyle w:val="subsection"/>
      </w:pPr>
      <w:r w:rsidRPr="00703798">
        <w:tab/>
        <w:t>(1)</w:t>
      </w:r>
      <w:r w:rsidRPr="00703798">
        <w:tab/>
        <w:t xml:space="preserve">A reference in an enactment to the short title of an Act of Queensland, or to the name of an instrument made under such an Act, followed by “(Qld)(NI)” is a reference to the Act or instrument as in force in Norfolk Island from time to time in accordance with section 18A of the </w:t>
      </w:r>
      <w:r w:rsidRPr="00703798">
        <w:rPr>
          <w:i/>
        </w:rPr>
        <w:t>Norfolk Island Act 1979</w:t>
      </w:r>
      <w:r w:rsidRPr="00703798">
        <w:t xml:space="preserve"> of the Commonwealth.</w:t>
      </w:r>
    </w:p>
    <w:p w14:paraId="3194FDCF" w14:textId="77777777" w:rsidR="00BC3AD8" w:rsidRPr="00703798" w:rsidRDefault="00BC3AD8" w:rsidP="00BC3AD8">
      <w:pPr>
        <w:pStyle w:val="notetext"/>
      </w:pPr>
      <w:r w:rsidRPr="00703798">
        <w:t>Note:</w:t>
      </w:r>
      <w:r w:rsidRPr="00703798">
        <w:tab/>
        <w:t>Because of section 7 of this Act, this also applies to a reference in an instrument made under an enactment.</w:t>
      </w:r>
    </w:p>
    <w:p w14:paraId="3BD9B66E" w14:textId="0E913A42" w:rsidR="00BC3AD8" w:rsidRPr="00703798" w:rsidRDefault="00BC3AD8" w:rsidP="00BC3AD8">
      <w:pPr>
        <w:pStyle w:val="SubsectionHead"/>
      </w:pPr>
      <w:r w:rsidRPr="00703798">
        <w:t>Acts and instruments as in force in Queensland</w:t>
      </w:r>
    </w:p>
    <w:p w14:paraId="2A3877B3" w14:textId="5FFC15C1" w:rsidR="00BC3AD8" w:rsidRPr="00703798" w:rsidRDefault="00BC3AD8" w:rsidP="00BC3AD8">
      <w:pPr>
        <w:pStyle w:val="subsection"/>
      </w:pPr>
      <w:r w:rsidRPr="00703798">
        <w:tab/>
        <w:t>(2)</w:t>
      </w:r>
      <w:r w:rsidRPr="00703798">
        <w:tab/>
        <w:t>A reference in an enactment to the short title of an Act of Queensland, or to the name of an instrument made under such an Act, followed by “(Qld)” is a reference to the Act or instrument as in force in Queensland from time to time.</w:t>
      </w:r>
    </w:p>
    <w:p w14:paraId="6EB4EBA6" w14:textId="52F30421" w:rsidR="00AC6E62" w:rsidRPr="009B1968" w:rsidRDefault="00BC3AD8" w:rsidP="009B1968">
      <w:pPr>
        <w:pStyle w:val="notetext"/>
      </w:pPr>
      <w:r w:rsidRPr="00703798">
        <w:t>Note:</w:t>
      </w:r>
      <w:r w:rsidRPr="00703798">
        <w:tab/>
        <w:t>Because of section 7 of this Act, this also applies to a reference in an instrument made under an enactment.</w:t>
      </w:r>
    </w:p>
    <w:p w14:paraId="28B32D24" w14:textId="446C39F1" w:rsidR="00610006" w:rsidRPr="00703798" w:rsidRDefault="00610006" w:rsidP="00610006">
      <w:pPr>
        <w:pStyle w:val="ActHead7"/>
      </w:pPr>
      <w:bookmarkStart w:id="41" w:name="_Toc90576141"/>
      <w:r w:rsidRPr="00703798">
        <w:t xml:space="preserve">Part </w:t>
      </w:r>
      <w:r w:rsidR="002B164E">
        <w:t>5</w:t>
      </w:r>
      <w:r w:rsidRPr="00703798">
        <w:t xml:space="preserve">—Amendment of the </w:t>
      </w:r>
      <w:r>
        <w:t>Supreme Court</w:t>
      </w:r>
      <w:r w:rsidRPr="00703798">
        <w:t xml:space="preserve"> Act </w:t>
      </w:r>
      <w:r>
        <w:t>1960</w:t>
      </w:r>
      <w:r w:rsidRPr="00703798">
        <w:t xml:space="preserve"> (NI)</w:t>
      </w:r>
      <w:bookmarkEnd w:id="41"/>
    </w:p>
    <w:p w14:paraId="7CD783C2" w14:textId="77777777" w:rsidR="00610006" w:rsidRPr="00703798" w:rsidRDefault="00610006" w:rsidP="00610006">
      <w:pPr>
        <w:pStyle w:val="ActHead9"/>
      </w:pPr>
      <w:bookmarkStart w:id="42" w:name="_Toc90574874"/>
      <w:bookmarkStart w:id="43" w:name="_Toc90576142"/>
      <w:r w:rsidRPr="00703798">
        <w:t>Norfolk Island Continued Laws Ordinance 2015</w:t>
      </w:r>
      <w:bookmarkEnd w:id="42"/>
      <w:bookmarkEnd w:id="43"/>
    </w:p>
    <w:p w14:paraId="72E6A6D4" w14:textId="7F51EE6E" w:rsidR="00610006" w:rsidRPr="00703798" w:rsidRDefault="001F0DC5" w:rsidP="00610006">
      <w:pPr>
        <w:pStyle w:val="ItemHead"/>
      </w:pPr>
      <w:r>
        <w:t>9</w:t>
      </w:r>
      <w:r w:rsidR="00610006" w:rsidRPr="00703798">
        <w:t xml:space="preserve">  </w:t>
      </w:r>
      <w:r w:rsidR="00540C9F">
        <w:t xml:space="preserve">Before </w:t>
      </w:r>
      <w:r w:rsidR="00F26516">
        <w:t>item</w:t>
      </w:r>
      <w:r w:rsidR="00540C9F">
        <w:t xml:space="preserve"> 336</w:t>
      </w:r>
      <w:r w:rsidR="004E5D67">
        <w:t xml:space="preserve"> of Schedule 1</w:t>
      </w:r>
    </w:p>
    <w:p w14:paraId="159B0EE0" w14:textId="77777777" w:rsidR="00610006" w:rsidRPr="00703798" w:rsidRDefault="00610006" w:rsidP="00610006">
      <w:pPr>
        <w:pStyle w:val="Item"/>
      </w:pPr>
      <w:r>
        <w:t>Insert:</w:t>
      </w:r>
    </w:p>
    <w:p w14:paraId="68778CC9" w14:textId="2FCF4A1D" w:rsidR="00150F9D" w:rsidRDefault="00150F9D" w:rsidP="00150F9D">
      <w:pPr>
        <w:pStyle w:val="ItemHead"/>
      </w:pPr>
      <w:r w:rsidRPr="00DE3D33">
        <w:t>33</w:t>
      </w:r>
      <w:r>
        <w:t>6AA</w:t>
      </w:r>
      <w:r w:rsidRPr="00DE3D33">
        <w:t xml:space="preserve">  </w:t>
      </w:r>
      <w:r>
        <w:t>After subsection 5(5)</w:t>
      </w:r>
    </w:p>
    <w:p w14:paraId="57CD54CA" w14:textId="6CF406CD" w:rsidR="00150F9D" w:rsidRPr="00150F9D" w:rsidRDefault="00150F9D" w:rsidP="0049096E">
      <w:pPr>
        <w:pStyle w:val="Item"/>
      </w:pPr>
      <w:r>
        <w:t>Insert:</w:t>
      </w:r>
    </w:p>
    <w:p w14:paraId="3EC3ED94" w14:textId="53E43D29" w:rsidR="00540C9F" w:rsidRPr="00703798" w:rsidRDefault="00540C9F" w:rsidP="00540C9F">
      <w:pPr>
        <w:pStyle w:val="subsection"/>
      </w:pPr>
      <w:r w:rsidRPr="00703798">
        <w:lastRenderedPageBreak/>
        <w:tab/>
        <w:t>(</w:t>
      </w:r>
      <w:r>
        <w:t>5A</w:t>
      </w:r>
      <w:r w:rsidRPr="00703798">
        <w:t>)</w:t>
      </w:r>
      <w:r w:rsidRPr="00703798">
        <w:tab/>
      </w:r>
      <w:r>
        <w:t>Where, in a law of the State of Queensland in its application to the Territory, a power or function is expressed to be vested in the Supreme Court of Queensland, or a Judge of that Court, that power or function shall, in relation to the Territory, be vested in the Supreme Court or a Judge, as the case may be.</w:t>
      </w:r>
    </w:p>
    <w:p w14:paraId="5536D26D" w14:textId="41E6013A" w:rsidR="00540C9F" w:rsidRDefault="00540C9F" w:rsidP="003834DF">
      <w:pPr>
        <w:pStyle w:val="BodyNum"/>
        <w:numPr>
          <w:ilvl w:val="0"/>
          <w:numId w:val="0"/>
        </w:numPr>
      </w:pPr>
    </w:p>
    <w:p w14:paraId="2FC9DED8" w14:textId="2DE82A5B" w:rsidR="00540C9F" w:rsidRDefault="00540C9F" w:rsidP="003834DF">
      <w:pPr>
        <w:pStyle w:val="BodyNum"/>
        <w:numPr>
          <w:ilvl w:val="0"/>
          <w:numId w:val="0"/>
        </w:numPr>
      </w:pPr>
    </w:p>
    <w:p w14:paraId="3EADABCB" w14:textId="77777777" w:rsidR="00540C9F" w:rsidRPr="009112A1" w:rsidRDefault="00540C9F" w:rsidP="003834DF">
      <w:pPr>
        <w:pStyle w:val="BodyNum"/>
        <w:numPr>
          <w:ilvl w:val="0"/>
          <w:numId w:val="0"/>
        </w:numPr>
      </w:pPr>
    </w:p>
    <w:sectPr w:rsidR="00540C9F" w:rsidRPr="009112A1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1CC85" w14:textId="77777777" w:rsidR="003C2744" w:rsidRDefault="003C2744" w:rsidP="0048364F">
      <w:pPr>
        <w:spacing w:line="240" w:lineRule="auto"/>
      </w:pPr>
      <w:r>
        <w:separator/>
      </w:r>
    </w:p>
  </w:endnote>
  <w:endnote w:type="continuationSeparator" w:id="0">
    <w:p w14:paraId="2A268B34" w14:textId="77777777" w:rsidR="003C2744" w:rsidRDefault="003C274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6711DB2E" w14:textId="77777777" w:rsidTr="0001176A">
      <w:tc>
        <w:tcPr>
          <w:tcW w:w="5000" w:type="pct"/>
        </w:tcPr>
        <w:p w14:paraId="08EF8018" w14:textId="77777777" w:rsidR="009278C1" w:rsidRDefault="009278C1" w:rsidP="0001176A">
          <w:pPr>
            <w:rPr>
              <w:sz w:val="18"/>
            </w:rPr>
          </w:pPr>
        </w:p>
      </w:tc>
    </w:tr>
  </w:tbl>
  <w:p w14:paraId="331251F9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BEC6351" w14:textId="77777777" w:rsidTr="00C160A1">
      <w:tc>
        <w:tcPr>
          <w:tcW w:w="5000" w:type="pct"/>
        </w:tcPr>
        <w:p w14:paraId="79E1F120" w14:textId="77777777" w:rsidR="00B20990" w:rsidRDefault="00B20990" w:rsidP="007946FE">
          <w:pPr>
            <w:rPr>
              <w:sz w:val="18"/>
            </w:rPr>
          </w:pPr>
        </w:p>
      </w:tc>
    </w:tr>
  </w:tbl>
  <w:p w14:paraId="66AAFCA8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79FD2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010E0FC" w14:textId="77777777" w:rsidTr="00C160A1">
      <w:tc>
        <w:tcPr>
          <w:tcW w:w="5000" w:type="pct"/>
        </w:tcPr>
        <w:p w14:paraId="729B04B7" w14:textId="77777777" w:rsidR="00B20990" w:rsidRDefault="00B20990" w:rsidP="00465764">
          <w:pPr>
            <w:rPr>
              <w:sz w:val="18"/>
            </w:rPr>
          </w:pPr>
        </w:p>
      </w:tc>
    </w:tr>
  </w:tbl>
  <w:p w14:paraId="6293EACD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C109B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02E7D7CB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095FE98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55509D3" w14:textId="2DF5E2B5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518A1">
            <w:rPr>
              <w:i/>
              <w:noProof/>
              <w:sz w:val="18"/>
            </w:rPr>
            <w:t>Norfolk Island Continued Laws Ordinance Amendment (Applied Laws and Service Delivery (Queensland) Measures) Rules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A66C03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3BCEA65D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34E3EDF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1D114DB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3EB8B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09A19331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890313A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EBD501F" w14:textId="7530DE74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242A0">
            <w:rPr>
              <w:i/>
              <w:noProof/>
              <w:sz w:val="18"/>
            </w:rPr>
            <w:t>Norfolk Island Continued Laws Ordinance Amendment (Applied Laws and Service Delivery (Queensland) Measures) Rules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FB764C5" w14:textId="2F02A02A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242A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6F90548B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6986611" w14:textId="77777777" w:rsidR="00B20990" w:rsidRDefault="00B20990" w:rsidP="007946FE">
          <w:pPr>
            <w:rPr>
              <w:sz w:val="18"/>
            </w:rPr>
          </w:pPr>
        </w:p>
      </w:tc>
    </w:tr>
  </w:tbl>
  <w:p w14:paraId="0F084572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3C72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0965DC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ABBC58" w14:textId="4657A081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242A0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655701" w14:textId="08AD4029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242A0">
            <w:rPr>
              <w:i/>
              <w:noProof/>
              <w:sz w:val="18"/>
            </w:rPr>
            <w:t>Norfolk Island Continued Laws Ordinance Amendment (Applied Laws and Service Delivery (Queensland) Measures) Rules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C7B5C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5E8FEF6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9963A0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2DF38A0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8D6DD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0B51574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6790E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2E1B93" w14:textId="0CD338D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242A0">
            <w:rPr>
              <w:i/>
              <w:noProof/>
              <w:sz w:val="18"/>
            </w:rPr>
            <w:t>Norfolk Island Continued Laws Ordinance Amendment (Applied Laws and Service Delivery (Queensland) Measures) Rules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E49856" w14:textId="6F857CCC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242A0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75A0C00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E04C082" w14:textId="77777777" w:rsidR="00EE57E8" w:rsidRDefault="00EE57E8" w:rsidP="00EE57E8">
          <w:pPr>
            <w:rPr>
              <w:sz w:val="18"/>
            </w:rPr>
          </w:pPr>
        </w:p>
      </w:tc>
    </w:tr>
  </w:tbl>
  <w:p w14:paraId="348B39F6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B4DAB" w14:textId="30F8E692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598ACA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8F7BF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930998" w14:textId="2AE7CFC5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623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E3F0C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25D1EC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D236818" w14:textId="129E214E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DE6235">
            <w:rPr>
              <w:i/>
              <w:noProof/>
              <w:sz w:val="18"/>
            </w:rPr>
            <w:t>Z:\Export Regulation Review\03. Delegated Legislation\03. Rules development - Restricted - Sandra only\Amending instrument template (rules).docx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242A0">
            <w:rPr>
              <w:i/>
              <w:noProof/>
              <w:sz w:val="18"/>
            </w:rPr>
            <w:t>24/12/2021 6:19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971E199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22B7A" w14:textId="77777777" w:rsidR="003C2744" w:rsidRDefault="003C2744" w:rsidP="0048364F">
      <w:pPr>
        <w:spacing w:line="240" w:lineRule="auto"/>
      </w:pPr>
      <w:r>
        <w:separator/>
      </w:r>
    </w:p>
  </w:footnote>
  <w:footnote w:type="continuationSeparator" w:id="0">
    <w:p w14:paraId="78397903" w14:textId="77777777" w:rsidR="003C2744" w:rsidRDefault="003C274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0893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6D3F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1BDE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F01B9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85E02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0CA42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52868" w14:textId="77777777" w:rsidR="00EE57E8" w:rsidRPr="00A961C4" w:rsidRDefault="00EE57E8" w:rsidP="0048364F">
    <w:pPr>
      <w:rPr>
        <w:b/>
        <w:sz w:val="20"/>
      </w:rPr>
    </w:pPr>
  </w:p>
  <w:p w14:paraId="047C0A82" w14:textId="77777777" w:rsidR="00EE57E8" w:rsidRPr="00A961C4" w:rsidRDefault="00EE57E8" w:rsidP="0048364F">
    <w:pPr>
      <w:rPr>
        <w:b/>
        <w:sz w:val="20"/>
      </w:rPr>
    </w:pPr>
  </w:p>
  <w:p w14:paraId="25ABBFD8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93CCE" w14:textId="77777777" w:rsidR="00EE57E8" w:rsidRPr="00A961C4" w:rsidRDefault="00EE57E8" w:rsidP="0048364F">
    <w:pPr>
      <w:jc w:val="right"/>
      <w:rPr>
        <w:sz w:val="20"/>
      </w:rPr>
    </w:pPr>
  </w:p>
  <w:p w14:paraId="5BDE717E" w14:textId="77777777" w:rsidR="00EE57E8" w:rsidRPr="00A961C4" w:rsidRDefault="00EE57E8" w:rsidP="0048364F">
    <w:pPr>
      <w:jc w:val="right"/>
      <w:rPr>
        <w:b/>
        <w:sz w:val="20"/>
      </w:rPr>
    </w:pPr>
  </w:p>
  <w:p w14:paraId="7FB4D3A0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A52E66"/>
    <w:multiLevelType w:val="hybridMultilevel"/>
    <w:tmpl w:val="0D561E2C"/>
    <w:lvl w:ilvl="0" w:tplc="0A802F4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3CAB1E09"/>
    <w:multiLevelType w:val="hybridMultilevel"/>
    <w:tmpl w:val="14789106"/>
    <w:lvl w:ilvl="0" w:tplc="4AF040B6">
      <w:start w:val="1"/>
      <w:numFmt w:val="lowerLetter"/>
      <w:lvlText w:val="(%1)"/>
      <w:lvlJc w:val="left"/>
      <w:pPr>
        <w:ind w:left="1440" w:hanging="7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0AA331B"/>
    <w:multiLevelType w:val="hybridMultilevel"/>
    <w:tmpl w:val="0D561E2C"/>
    <w:lvl w:ilvl="0" w:tplc="0A802F4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D8"/>
    <w:rsid w:val="00000263"/>
    <w:rsid w:val="000002EC"/>
    <w:rsid w:val="00001001"/>
    <w:rsid w:val="00001E91"/>
    <w:rsid w:val="00002BCC"/>
    <w:rsid w:val="00003367"/>
    <w:rsid w:val="00004B3F"/>
    <w:rsid w:val="000113BC"/>
    <w:rsid w:val="000136AF"/>
    <w:rsid w:val="0001720F"/>
    <w:rsid w:val="000327A4"/>
    <w:rsid w:val="00036BD3"/>
    <w:rsid w:val="0004044E"/>
    <w:rsid w:val="0005120E"/>
    <w:rsid w:val="00053245"/>
    <w:rsid w:val="0005395B"/>
    <w:rsid w:val="00054577"/>
    <w:rsid w:val="000576F2"/>
    <w:rsid w:val="000614BF"/>
    <w:rsid w:val="0007169C"/>
    <w:rsid w:val="000740DB"/>
    <w:rsid w:val="00077593"/>
    <w:rsid w:val="00083F48"/>
    <w:rsid w:val="0008578C"/>
    <w:rsid w:val="00092734"/>
    <w:rsid w:val="000A479A"/>
    <w:rsid w:val="000A7DF9"/>
    <w:rsid w:val="000B364B"/>
    <w:rsid w:val="000B692A"/>
    <w:rsid w:val="000B79E4"/>
    <w:rsid w:val="000C63DB"/>
    <w:rsid w:val="000D05EF"/>
    <w:rsid w:val="000D0E0C"/>
    <w:rsid w:val="000D3FB9"/>
    <w:rsid w:val="000D5485"/>
    <w:rsid w:val="000E3583"/>
    <w:rsid w:val="000E564F"/>
    <w:rsid w:val="000E584E"/>
    <w:rsid w:val="000E598E"/>
    <w:rsid w:val="000E5A3D"/>
    <w:rsid w:val="000F0ADA"/>
    <w:rsid w:val="000F0D24"/>
    <w:rsid w:val="000F21C1"/>
    <w:rsid w:val="000F35E2"/>
    <w:rsid w:val="0010745C"/>
    <w:rsid w:val="001108E7"/>
    <w:rsid w:val="001122FF"/>
    <w:rsid w:val="001214E2"/>
    <w:rsid w:val="001228FD"/>
    <w:rsid w:val="0012684A"/>
    <w:rsid w:val="001279F5"/>
    <w:rsid w:val="0013697B"/>
    <w:rsid w:val="00145996"/>
    <w:rsid w:val="00150F9D"/>
    <w:rsid w:val="00160BD7"/>
    <w:rsid w:val="00160FC4"/>
    <w:rsid w:val="001643C9"/>
    <w:rsid w:val="00165568"/>
    <w:rsid w:val="00166082"/>
    <w:rsid w:val="00166C2F"/>
    <w:rsid w:val="001716C9"/>
    <w:rsid w:val="00171FA3"/>
    <w:rsid w:val="00174B5F"/>
    <w:rsid w:val="001819E5"/>
    <w:rsid w:val="00184261"/>
    <w:rsid w:val="00185E28"/>
    <w:rsid w:val="00193461"/>
    <w:rsid w:val="00193561"/>
    <w:rsid w:val="001939E1"/>
    <w:rsid w:val="0019452E"/>
    <w:rsid w:val="00195382"/>
    <w:rsid w:val="001A2009"/>
    <w:rsid w:val="001A3B9F"/>
    <w:rsid w:val="001A4C36"/>
    <w:rsid w:val="001A5520"/>
    <w:rsid w:val="001A65C0"/>
    <w:rsid w:val="001A7241"/>
    <w:rsid w:val="001B5B3B"/>
    <w:rsid w:val="001B7494"/>
    <w:rsid w:val="001B7A5D"/>
    <w:rsid w:val="001C1710"/>
    <w:rsid w:val="001C5290"/>
    <w:rsid w:val="001C69C4"/>
    <w:rsid w:val="001E0A8D"/>
    <w:rsid w:val="001E1CE1"/>
    <w:rsid w:val="001E3590"/>
    <w:rsid w:val="001E7407"/>
    <w:rsid w:val="001F0DC5"/>
    <w:rsid w:val="001F1A46"/>
    <w:rsid w:val="00201D27"/>
    <w:rsid w:val="00203C67"/>
    <w:rsid w:val="00204C01"/>
    <w:rsid w:val="00211507"/>
    <w:rsid w:val="0021153A"/>
    <w:rsid w:val="0021541F"/>
    <w:rsid w:val="002245A6"/>
    <w:rsid w:val="00226B9B"/>
    <w:rsid w:val="002302EA"/>
    <w:rsid w:val="00237614"/>
    <w:rsid w:val="00240749"/>
    <w:rsid w:val="002468D7"/>
    <w:rsid w:val="00247E97"/>
    <w:rsid w:val="00247FD7"/>
    <w:rsid w:val="00256C81"/>
    <w:rsid w:val="00257750"/>
    <w:rsid w:val="00257B38"/>
    <w:rsid w:val="00260B5B"/>
    <w:rsid w:val="00272576"/>
    <w:rsid w:val="00282EE2"/>
    <w:rsid w:val="00285CDD"/>
    <w:rsid w:val="00291167"/>
    <w:rsid w:val="0029489E"/>
    <w:rsid w:val="00294A5B"/>
    <w:rsid w:val="00297ECB"/>
    <w:rsid w:val="002A2FFC"/>
    <w:rsid w:val="002A71D8"/>
    <w:rsid w:val="002B0211"/>
    <w:rsid w:val="002B164E"/>
    <w:rsid w:val="002B3C57"/>
    <w:rsid w:val="002B4457"/>
    <w:rsid w:val="002B5CF4"/>
    <w:rsid w:val="002C152A"/>
    <w:rsid w:val="002D043A"/>
    <w:rsid w:val="002E12AC"/>
    <w:rsid w:val="002E15AD"/>
    <w:rsid w:val="002E5EBA"/>
    <w:rsid w:val="002E5EFD"/>
    <w:rsid w:val="002E7E2D"/>
    <w:rsid w:val="002F18B9"/>
    <w:rsid w:val="0031713F"/>
    <w:rsid w:val="003222D1"/>
    <w:rsid w:val="00322B4C"/>
    <w:rsid w:val="0032750F"/>
    <w:rsid w:val="003415D3"/>
    <w:rsid w:val="00343429"/>
    <w:rsid w:val="003442F6"/>
    <w:rsid w:val="00346335"/>
    <w:rsid w:val="00352B0F"/>
    <w:rsid w:val="003561B0"/>
    <w:rsid w:val="00356F1B"/>
    <w:rsid w:val="003642E4"/>
    <w:rsid w:val="003811DD"/>
    <w:rsid w:val="003834DF"/>
    <w:rsid w:val="00385647"/>
    <w:rsid w:val="00391187"/>
    <w:rsid w:val="00397893"/>
    <w:rsid w:val="003A0121"/>
    <w:rsid w:val="003A15AC"/>
    <w:rsid w:val="003A4E80"/>
    <w:rsid w:val="003A6D65"/>
    <w:rsid w:val="003A70D5"/>
    <w:rsid w:val="003B0627"/>
    <w:rsid w:val="003B12A5"/>
    <w:rsid w:val="003B2052"/>
    <w:rsid w:val="003B5135"/>
    <w:rsid w:val="003B59D7"/>
    <w:rsid w:val="003C0BE3"/>
    <w:rsid w:val="003C2744"/>
    <w:rsid w:val="003C5F2B"/>
    <w:rsid w:val="003C7D35"/>
    <w:rsid w:val="003D0BFE"/>
    <w:rsid w:val="003D5700"/>
    <w:rsid w:val="003F3388"/>
    <w:rsid w:val="003F5FB7"/>
    <w:rsid w:val="003F6F52"/>
    <w:rsid w:val="004022CA"/>
    <w:rsid w:val="004116CD"/>
    <w:rsid w:val="00414ADE"/>
    <w:rsid w:val="0041779C"/>
    <w:rsid w:val="00420F5C"/>
    <w:rsid w:val="00424CA9"/>
    <w:rsid w:val="004257BB"/>
    <w:rsid w:val="0044291A"/>
    <w:rsid w:val="00442C8E"/>
    <w:rsid w:val="0044548A"/>
    <w:rsid w:val="004600B0"/>
    <w:rsid w:val="00460499"/>
    <w:rsid w:val="00460FBA"/>
    <w:rsid w:val="0046156D"/>
    <w:rsid w:val="004647AC"/>
    <w:rsid w:val="004664F1"/>
    <w:rsid w:val="00474835"/>
    <w:rsid w:val="004819C7"/>
    <w:rsid w:val="0048364F"/>
    <w:rsid w:val="004877FC"/>
    <w:rsid w:val="0049056C"/>
    <w:rsid w:val="0049096E"/>
    <w:rsid w:val="00490F2E"/>
    <w:rsid w:val="004961CB"/>
    <w:rsid w:val="00496311"/>
    <w:rsid w:val="00496F97"/>
    <w:rsid w:val="004972AF"/>
    <w:rsid w:val="004A53EA"/>
    <w:rsid w:val="004B35E7"/>
    <w:rsid w:val="004C3BF9"/>
    <w:rsid w:val="004D1A30"/>
    <w:rsid w:val="004D6A03"/>
    <w:rsid w:val="004D6B4E"/>
    <w:rsid w:val="004E1218"/>
    <w:rsid w:val="004E5D67"/>
    <w:rsid w:val="004F1FAC"/>
    <w:rsid w:val="004F657F"/>
    <w:rsid w:val="004F676E"/>
    <w:rsid w:val="004F71C0"/>
    <w:rsid w:val="00500301"/>
    <w:rsid w:val="00516B8D"/>
    <w:rsid w:val="00517FD9"/>
    <w:rsid w:val="0052756C"/>
    <w:rsid w:val="00530230"/>
    <w:rsid w:val="00530CC9"/>
    <w:rsid w:val="00531B46"/>
    <w:rsid w:val="0053521E"/>
    <w:rsid w:val="00537FBC"/>
    <w:rsid w:val="00540C9F"/>
    <w:rsid w:val="00541D73"/>
    <w:rsid w:val="00543469"/>
    <w:rsid w:val="005444EF"/>
    <w:rsid w:val="00545B59"/>
    <w:rsid w:val="00546FA3"/>
    <w:rsid w:val="00551332"/>
    <w:rsid w:val="00557C7A"/>
    <w:rsid w:val="00562A58"/>
    <w:rsid w:val="00564F17"/>
    <w:rsid w:val="0056541A"/>
    <w:rsid w:val="00581211"/>
    <w:rsid w:val="00584811"/>
    <w:rsid w:val="00593AA6"/>
    <w:rsid w:val="00594161"/>
    <w:rsid w:val="00594749"/>
    <w:rsid w:val="00594956"/>
    <w:rsid w:val="005A0F22"/>
    <w:rsid w:val="005A297D"/>
    <w:rsid w:val="005A3038"/>
    <w:rsid w:val="005A64EC"/>
    <w:rsid w:val="005A6B5C"/>
    <w:rsid w:val="005B1444"/>
    <w:rsid w:val="005B1555"/>
    <w:rsid w:val="005B4067"/>
    <w:rsid w:val="005C1175"/>
    <w:rsid w:val="005C3F41"/>
    <w:rsid w:val="005C4EF0"/>
    <w:rsid w:val="005D203A"/>
    <w:rsid w:val="005D32A5"/>
    <w:rsid w:val="005D5DD6"/>
    <w:rsid w:val="005D5EA1"/>
    <w:rsid w:val="005D75F4"/>
    <w:rsid w:val="005E098C"/>
    <w:rsid w:val="005E1F8D"/>
    <w:rsid w:val="005E317F"/>
    <w:rsid w:val="005E4450"/>
    <w:rsid w:val="005E61D3"/>
    <w:rsid w:val="005F2518"/>
    <w:rsid w:val="005F3942"/>
    <w:rsid w:val="00600219"/>
    <w:rsid w:val="006005AC"/>
    <w:rsid w:val="00601336"/>
    <w:rsid w:val="00604A9B"/>
    <w:rsid w:val="006065DA"/>
    <w:rsid w:val="00606AA4"/>
    <w:rsid w:val="00607937"/>
    <w:rsid w:val="00610006"/>
    <w:rsid w:val="00611DB5"/>
    <w:rsid w:val="00613B46"/>
    <w:rsid w:val="006153B5"/>
    <w:rsid w:val="00615F14"/>
    <w:rsid w:val="006242A0"/>
    <w:rsid w:val="00634DB8"/>
    <w:rsid w:val="00640402"/>
    <w:rsid w:val="00640F78"/>
    <w:rsid w:val="0064469B"/>
    <w:rsid w:val="00655D6A"/>
    <w:rsid w:val="00655DEE"/>
    <w:rsid w:val="00656DE9"/>
    <w:rsid w:val="0067067F"/>
    <w:rsid w:val="00672876"/>
    <w:rsid w:val="00677CC2"/>
    <w:rsid w:val="00681AAB"/>
    <w:rsid w:val="00685F42"/>
    <w:rsid w:val="0069044E"/>
    <w:rsid w:val="00690B4D"/>
    <w:rsid w:val="0069207B"/>
    <w:rsid w:val="00693230"/>
    <w:rsid w:val="006A04B3"/>
    <w:rsid w:val="006A304E"/>
    <w:rsid w:val="006B4B14"/>
    <w:rsid w:val="006B7006"/>
    <w:rsid w:val="006C7F8C"/>
    <w:rsid w:val="006D3928"/>
    <w:rsid w:val="006D7502"/>
    <w:rsid w:val="006D7AB9"/>
    <w:rsid w:val="006E6DD4"/>
    <w:rsid w:val="006F2D86"/>
    <w:rsid w:val="00700B2C"/>
    <w:rsid w:val="0070301A"/>
    <w:rsid w:val="00703798"/>
    <w:rsid w:val="00704E80"/>
    <w:rsid w:val="00713084"/>
    <w:rsid w:val="00717463"/>
    <w:rsid w:val="00720236"/>
    <w:rsid w:val="00720FC2"/>
    <w:rsid w:val="00721719"/>
    <w:rsid w:val="00722E89"/>
    <w:rsid w:val="00731E00"/>
    <w:rsid w:val="007339C7"/>
    <w:rsid w:val="00736165"/>
    <w:rsid w:val="007440B7"/>
    <w:rsid w:val="00747993"/>
    <w:rsid w:val="00754D3F"/>
    <w:rsid w:val="007634AD"/>
    <w:rsid w:val="00763958"/>
    <w:rsid w:val="007715C9"/>
    <w:rsid w:val="00774EDD"/>
    <w:rsid w:val="007757EC"/>
    <w:rsid w:val="007865F8"/>
    <w:rsid w:val="00786985"/>
    <w:rsid w:val="00787FE4"/>
    <w:rsid w:val="00790A4B"/>
    <w:rsid w:val="007935A8"/>
    <w:rsid w:val="007A447A"/>
    <w:rsid w:val="007A4B1B"/>
    <w:rsid w:val="007A614C"/>
    <w:rsid w:val="007A6863"/>
    <w:rsid w:val="007A6F5B"/>
    <w:rsid w:val="007B6188"/>
    <w:rsid w:val="007C08E5"/>
    <w:rsid w:val="007C11DB"/>
    <w:rsid w:val="007C52F7"/>
    <w:rsid w:val="007C78B4"/>
    <w:rsid w:val="007D41DB"/>
    <w:rsid w:val="007D58D2"/>
    <w:rsid w:val="007D786C"/>
    <w:rsid w:val="007E0583"/>
    <w:rsid w:val="007E32B6"/>
    <w:rsid w:val="007E4433"/>
    <w:rsid w:val="007E486B"/>
    <w:rsid w:val="007E7D4A"/>
    <w:rsid w:val="007F48ED"/>
    <w:rsid w:val="007F5E3F"/>
    <w:rsid w:val="00801BE2"/>
    <w:rsid w:val="00803D7A"/>
    <w:rsid w:val="00805096"/>
    <w:rsid w:val="00812F45"/>
    <w:rsid w:val="00836FE9"/>
    <w:rsid w:val="0084172C"/>
    <w:rsid w:val="008456E0"/>
    <w:rsid w:val="0085175E"/>
    <w:rsid w:val="008537AC"/>
    <w:rsid w:val="0085553A"/>
    <w:rsid w:val="00856A31"/>
    <w:rsid w:val="00856A53"/>
    <w:rsid w:val="00856CA0"/>
    <w:rsid w:val="00867943"/>
    <w:rsid w:val="00874CF5"/>
    <w:rsid w:val="008754D0"/>
    <w:rsid w:val="00875C79"/>
    <w:rsid w:val="00877C69"/>
    <w:rsid w:val="00877D48"/>
    <w:rsid w:val="0088345B"/>
    <w:rsid w:val="0088607C"/>
    <w:rsid w:val="0089420D"/>
    <w:rsid w:val="008946BA"/>
    <w:rsid w:val="00895D1F"/>
    <w:rsid w:val="008978F5"/>
    <w:rsid w:val="008A16A5"/>
    <w:rsid w:val="008A3781"/>
    <w:rsid w:val="008A521E"/>
    <w:rsid w:val="008A5C57"/>
    <w:rsid w:val="008B3BC8"/>
    <w:rsid w:val="008C0629"/>
    <w:rsid w:val="008D0EE0"/>
    <w:rsid w:val="008D64E4"/>
    <w:rsid w:val="008D7A27"/>
    <w:rsid w:val="008E4702"/>
    <w:rsid w:val="008E5AD4"/>
    <w:rsid w:val="008E69AA"/>
    <w:rsid w:val="008E7012"/>
    <w:rsid w:val="008F4F1C"/>
    <w:rsid w:val="008F531C"/>
    <w:rsid w:val="00905B23"/>
    <w:rsid w:val="00906865"/>
    <w:rsid w:val="009069AD"/>
    <w:rsid w:val="00910E64"/>
    <w:rsid w:val="009112A1"/>
    <w:rsid w:val="00922764"/>
    <w:rsid w:val="00924E93"/>
    <w:rsid w:val="009278C1"/>
    <w:rsid w:val="00932377"/>
    <w:rsid w:val="009346E3"/>
    <w:rsid w:val="00936F67"/>
    <w:rsid w:val="00942954"/>
    <w:rsid w:val="0094523D"/>
    <w:rsid w:val="0094573A"/>
    <w:rsid w:val="009462D6"/>
    <w:rsid w:val="00961D80"/>
    <w:rsid w:val="0096235B"/>
    <w:rsid w:val="0097163F"/>
    <w:rsid w:val="00976A63"/>
    <w:rsid w:val="009A1794"/>
    <w:rsid w:val="009A358B"/>
    <w:rsid w:val="009A5185"/>
    <w:rsid w:val="009A52E9"/>
    <w:rsid w:val="009A62C1"/>
    <w:rsid w:val="009B1761"/>
    <w:rsid w:val="009B1968"/>
    <w:rsid w:val="009B2490"/>
    <w:rsid w:val="009B4240"/>
    <w:rsid w:val="009B50E5"/>
    <w:rsid w:val="009B6433"/>
    <w:rsid w:val="009C3431"/>
    <w:rsid w:val="009C4ABD"/>
    <w:rsid w:val="009C5989"/>
    <w:rsid w:val="009C6A32"/>
    <w:rsid w:val="009C7ECE"/>
    <w:rsid w:val="009D08DA"/>
    <w:rsid w:val="009D5EEA"/>
    <w:rsid w:val="009E6BC2"/>
    <w:rsid w:val="009F26B2"/>
    <w:rsid w:val="00A0185D"/>
    <w:rsid w:val="00A02B54"/>
    <w:rsid w:val="00A04C37"/>
    <w:rsid w:val="00A06860"/>
    <w:rsid w:val="00A06FB5"/>
    <w:rsid w:val="00A136F5"/>
    <w:rsid w:val="00A13F96"/>
    <w:rsid w:val="00A231E2"/>
    <w:rsid w:val="00A2550D"/>
    <w:rsid w:val="00A26D8E"/>
    <w:rsid w:val="00A3048D"/>
    <w:rsid w:val="00A379BB"/>
    <w:rsid w:val="00A4169B"/>
    <w:rsid w:val="00A41E45"/>
    <w:rsid w:val="00A421AD"/>
    <w:rsid w:val="00A50D55"/>
    <w:rsid w:val="00A52FDA"/>
    <w:rsid w:val="00A54EA3"/>
    <w:rsid w:val="00A56465"/>
    <w:rsid w:val="00A63FF7"/>
    <w:rsid w:val="00A64912"/>
    <w:rsid w:val="00A67E2E"/>
    <w:rsid w:val="00A70A74"/>
    <w:rsid w:val="00A73C8A"/>
    <w:rsid w:val="00A85A61"/>
    <w:rsid w:val="00A85B81"/>
    <w:rsid w:val="00A9231A"/>
    <w:rsid w:val="00A95BC7"/>
    <w:rsid w:val="00AA0343"/>
    <w:rsid w:val="00AA04D7"/>
    <w:rsid w:val="00AA78CE"/>
    <w:rsid w:val="00AA7B26"/>
    <w:rsid w:val="00AB73FD"/>
    <w:rsid w:val="00AC00CE"/>
    <w:rsid w:val="00AC4E58"/>
    <w:rsid w:val="00AC6E62"/>
    <w:rsid w:val="00AC767C"/>
    <w:rsid w:val="00AC7816"/>
    <w:rsid w:val="00AD3467"/>
    <w:rsid w:val="00AD53E1"/>
    <w:rsid w:val="00AD5641"/>
    <w:rsid w:val="00AE06CF"/>
    <w:rsid w:val="00AE09FD"/>
    <w:rsid w:val="00AF33DB"/>
    <w:rsid w:val="00AF669F"/>
    <w:rsid w:val="00AF6A1E"/>
    <w:rsid w:val="00B002BF"/>
    <w:rsid w:val="00B032D8"/>
    <w:rsid w:val="00B05D72"/>
    <w:rsid w:val="00B1171B"/>
    <w:rsid w:val="00B137CF"/>
    <w:rsid w:val="00B17380"/>
    <w:rsid w:val="00B17738"/>
    <w:rsid w:val="00B20990"/>
    <w:rsid w:val="00B23FAF"/>
    <w:rsid w:val="00B300ED"/>
    <w:rsid w:val="00B33B3C"/>
    <w:rsid w:val="00B363F4"/>
    <w:rsid w:val="00B40D74"/>
    <w:rsid w:val="00B40FE7"/>
    <w:rsid w:val="00B42649"/>
    <w:rsid w:val="00B42C5D"/>
    <w:rsid w:val="00B4564C"/>
    <w:rsid w:val="00B46467"/>
    <w:rsid w:val="00B46C0F"/>
    <w:rsid w:val="00B518A1"/>
    <w:rsid w:val="00B52663"/>
    <w:rsid w:val="00B56DCB"/>
    <w:rsid w:val="00B61728"/>
    <w:rsid w:val="00B63DDF"/>
    <w:rsid w:val="00B66FDE"/>
    <w:rsid w:val="00B770D2"/>
    <w:rsid w:val="00B93516"/>
    <w:rsid w:val="00B9584A"/>
    <w:rsid w:val="00B96090"/>
    <w:rsid w:val="00B96776"/>
    <w:rsid w:val="00B973E5"/>
    <w:rsid w:val="00B97FFE"/>
    <w:rsid w:val="00BA47A3"/>
    <w:rsid w:val="00BA5026"/>
    <w:rsid w:val="00BA6831"/>
    <w:rsid w:val="00BA7B5B"/>
    <w:rsid w:val="00BB5700"/>
    <w:rsid w:val="00BB6E79"/>
    <w:rsid w:val="00BC3AD8"/>
    <w:rsid w:val="00BD47D8"/>
    <w:rsid w:val="00BD551F"/>
    <w:rsid w:val="00BE2B73"/>
    <w:rsid w:val="00BE42C5"/>
    <w:rsid w:val="00BE4920"/>
    <w:rsid w:val="00BE719A"/>
    <w:rsid w:val="00BE720A"/>
    <w:rsid w:val="00BF0723"/>
    <w:rsid w:val="00BF6650"/>
    <w:rsid w:val="00C01B0C"/>
    <w:rsid w:val="00C0402D"/>
    <w:rsid w:val="00C067E5"/>
    <w:rsid w:val="00C12240"/>
    <w:rsid w:val="00C1525E"/>
    <w:rsid w:val="00C152C0"/>
    <w:rsid w:val="00C164CA"/>
    <w:rsid w:val="00C17FB1"/>
    <w:rsid w:val="00C20AA5"/>
    <w:rsid w:val="00C26051"/>
    <w:rsid w:val="00C32964"/>
    <w:rsid w:val="00C35AC3"/>
    <w:rsid w:val="00C378DA"/>
    <w:rsid w:val="00C42BF8"/>
    <w:rsid w:val="00C460AE"/>
    <w:rsid w:val="00C50043"/>
    <w:rsid w:val="00C5015F"/>
    <w:rsid w:val="00C50A0F"/>
    <w:rsid w:val="00C50F4A"/>
    <w:rsid w:val="00C51CA3"/>
    <w:rsid w:val="00C51DE1"/>
    <w:rsid w:val="00C5440A"/>
    <w:rsid w:val="00C61FE8"/>
    <w:rsid w:val="00C661CC"/>
    <w:rsid w:val="00C67BD5"/>
    <w:rsid w:val="00C72D10"/>
    <w:rsid w:val="00C7573B"/>
    <w:rsid w:val="00C76CF3"/>
    <w:rsid w:val="00C81B80"/>
    <w:rsid w:val="00C93205"/>
    <w:rsid w:val="00C945DC"/>
    <w:rsid w:val="00C975F1"/>
    <w:rsid w:val="00CA085D"/>
    <w:rsid w:val="00CA7844"/>
    <w:rsid w:val="00CA7A7B"/>
    <w:rsid w:val="00CB58EF"/>
    <w:rsid w:val="00CC6037"/>
    <w:rsid w:val="00CD5BD0"/>
    <w:rsid w:val="00CE0A93"/>
    <w:rsid w:val="00CE4430"/>
    <w:rsid w:val="00CE6145"/>
    <w:rsid w:val="00CF0BB2"/>
    <w:rsid w:val="00CF2EC4"/>
    <w:rsid w:val="00D079B6"/>
    <w:rsid w:val="00D10C00"/>
    <w:rsid w:val="00D12B0D"/>
    <w:rsid w:val="00D13441"/>
    <w:rsid w:val="00D1675A"/>
    <w:rsid w:val="00D229DC"/>
    <w:rsid w:val="00D243A3"/>
    <w:rsid w:val="00D32A20"/>
    <w:rsid w:val="00D33440"/>
    <w:rsid w:val="00D3393B"/>
    <w:rsid w:val="00D35B82"/>
    <w:rsid w:val="00D44867"/>
    <w:rsid w:val="00D47F65"/>
    <w:rsid w:val="00D52CF4"/>
    <w:rsid w:val="00D52EFE"/>
    <w:rsid w:val="00D56A0D"/>
    <w:rsid w:val="00D609A2"/>
    <w:rsid w:val="00D60D1D"/>
    <w:rsid w:val="00D62706"/>
    <w:rsid w:val="00D63EF6"/>
    <w:rsid w:val="00D66518"/>
    <w:rsid w:val="00D70DFB"/>
    <w:rsid w:val="00D71266"/>
    <w:rsid w:val="00D71D99"/>
    <w:rsid w:val="00D71EEA"/>
    <w:rsid w:val="00D735CD"/>
    <w:rsid w:val="00D766DF"/>
    <w:rsid w:val="00D82CDE"/>
    <w:rsid w:val="00D83A4C"/>
    <w:rsid w:val="00D90841"/>
    <w:rsid w:val="00D96700"/>
    <w:rsid w:val="00DA12F4"/>
    <w:rsid w:val="00DA2439"/>
    <w:rsid w:val="00DA3681"/>
    <w:rsid w:val="00DA6F05"/>
    <w:rsid w:val="00DB3F37"/>
    <w:rsid w:val="00DB64FC"/>
    <w:rsid w:val="00DC197E"/>
    <w:rsid w:val="00DC2AAF"/>
    <w:rsid w:val="00DD1DD9"/>
    <w:rsid w:val="00DE149E"/>
    <w:rsid w:val="00DE5AB2"/>
    <w:rsid w:val="00DE6235"/>
    <w:rsid w:val="00DE62E8"/>
    <w:rsid w:val="00DE7250"/>
    <w:rsid w:val="00E01C03"/>
    <w:rsid w:val="00E034DB"/>
    <w:rsid w:val="00E046D9"/>
    <w:rsid w:val="00E05704"/>
    <w:rsid w:val="00E064CE"/>
    <w:rsid w:val="00E11C09"/>
    <w:rsid w:val="00E12F1A"/>
    <w:rsid w:val="00E22618"/>
    <w:rsid w:val="00E22935"/>
    <w:rsid w:val="00E2599E"/>
    <w:rsid w:val="00E36480"/>
    <w:rsid w:val="00E420C1"/>
    <w:rsid w:val="00E4519A"/>
    <w:rsid w:val="00E51D7F"/>
    <w:rsid w:val="00E54292"/>
    <w:rsid w:val="00E60191"/>
    <w:rsid w:val="00E63CA4"/>
    <w:rsid w:val="00E66F9E"/>
    <w:rsid w:val="00E74DC7"/>
    <w:rsid w:val="00E761F6"/>
    <w:rsid w:val="00E83C8F"/>
    <w:rsid w:val="00E85A2C"/>
    <w:rsid w:val="00E87699"/>
    <w:rsid w:val="00E924BD"/>
    <w:rsid w:val="00E92E27"/>
    <w:rsid w:val="00E9460F"/>
    <w:rsid w:val="00E9586B"/>
    <w:rsid w:val="00E97334"/>
    <w:rsid w:val="00EB3A99"/>
    <w:rsid w:val="00EB5C86"/>
    <w:rsid w:val="00EB65F8"/>
    <w:rsid w:val="00EC2CDD"/>
    <w:rsid w:val="00EC4D4B"/>
    <w:rsid w:val="00ED4928"/>
    <w:rsid w:val="00EE3FFE"/>
    <w:rsid w:val="00EE57E8"/>
    <w:rsid w:val="00EE6190"/>
    <w:rsid w:val="00EF2C18"/>
    <w:rsid w:val="00EF2E3A"/>
    <w:rsid w:val="00EF4246"/>
    <w:rsid w:val="00EF6402"/>
    <w:rsid w:val="00F006B2"/>
    <w:rsid w:val="00F047E2"/>
    <w:rsid w:val="00F04D57"/>
    <w:rsid w:val="00F076E0"/>
    <w:rsid w:val="00F078DC"/>
    <w:rsid w:val="00F12597"/>
    <w:rsid w:val="00F13E86"/>
    <w:rsid w:val="00F14B15"/>
    <w:rsid w:val="00F17C67"/>
    <w:rsid w:val="00F20B52"/>
    <w:rsid w:val="00F22D48"/>
    <w:rsid w:val="00F26516"/>
    <w:rsid w:val="00F32FCB"/>
    <w:rsid w:val="00F33523"/>
    <w:rsid w:val="00F34618"/>
    <w:rsid w:val="00F50346"/>
    <w:rsid w:val="00F55742"/>
    <w:rsid w:val="00F630DD"/>
    <w:rsid w:val="00F677A9"/>
    <w:rsid w:val="00F776C1"/>
    <w:rsid w:val="00F77F67"/>
    <w:rsid w:val="00F8121C"/>
    <w:rsid w:val="00F825FA"/>
    <w:rsid w:val="00F84CF5"/>
    <w:rsid w:val="00F8612E"/>
    <w:rsid w:val="00F86D3A"/>
    <w:rsid w:val="00F94583"/>
    <w:rsid w:val="00F973BA"/>
    <w:rsid w:val="00FA1BD9"/>
    <w:rsid w:val="00FA420B"/>
    <w:rsid w:val="00FB330F"/>
    <w:rsid w:val="00FB508B"/>
    <w:rsid w:val="00FB6AEE"/>
    <w:rsid w:val="00FC0EAF"/>
    <w:rsid w:val="00FC3EAC"/>
    <w:rsid w:val="00FD561B"/>
    <w:rsid w:val="00FE3AF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3DF332"/>
  <w15:docId w15:val="{8DB6420B-61F7-4AE3-9144-0AE50918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link w:val="ActHead2Char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link w:val="paragraphsubChar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customStyle="1" w:styleId="paragraphChar">
    <w:name w:val="paragraph Char"/>
    <w:aliases w:val="a Char"/>
    <w:link w:val="paragraph"/>
    <w:rsid w:val="00611DB5"/>
    <w:rPr>
      <w:rFonts w:eastAsia="Times New Roman" w:cs="Times New Roman"/>
      <w:sz w:val="22"/>
      <w:lang w:eastAsia="en-AU"/>
    </w:rPr>
  </w:style>
  <w:style w:type="paragraph" w:customStyle="1" w:styleId="headingparagraph">
    <w:name w:val="headingparagraph"/>
    <w:basedOn w:val="Normal"/>
    <w:rsid w:val="002E7E2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headingname">
    <w:name w:val="headingname"/>
    <w:basedOn w:val="DefaultParagraphFont"/>
    <w:rsid w:val="002E7E2D"/>
  </w:style>
  <w:style w:type="character" w:customStyle="1" w:styleId="listnumber">
    <w:name w:val="listnumber"/>
    <w:basedOn w:val="DefaultParagraphFont"/>
    <w:rsid w:val="002E7E2D"/>
  </w:style>
  <w:style w:type="character" w:styleId="Hyperlink">
    <w:name w:val="Hyperlink"/>
    <w:basedOn w:val="DefaultParagraphFont"/>
    <w:uiPriority w:val="99"/>
    <w:semiHidden/>
    <w:unhideWhenUsed/>
    <w:rsid w:val="002E7E2D"/>
    <w:rPr>
      <w:color w:val="0000FF"/>
      <w:u w:val="single"/>
    </w:rPr>
  </w:style>
  <w:style w:type="paragraph" w:customStyle="1" w:styleId="note">
    <w:name w:val="note"/>
    <w:basedOn w:val="Normal"/>
    <w:rsid w:val="002E7E2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noteheadingname">
    <w:name w:val="noteheadingname"/>
    <w:basedOn w:val="DefaultParagraphFont"/>
    <w:rsid w:val="002E7E2D"/>
  </w:style>
  <w:style w:type="character" w:customStyle="1" w:styleId="ItemHeadChar">
    <w:name w:val="ItemHead Char"/>
    <w:aliases w:val="ih Char"/>
    <w:basedOn w:val="DefaultParagraphFont"/>
    <w:link w:val="ItemHead"/>
    <w:rsid w:val="00001E91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ActHead5Char">
    <w:name w:val="ActHead 5 Char"/>
    <w:aliases w:val="s Char"/>
    <w:link w:val="ActHead5"/>
    <w:rsid w:val="00001E91"/>
    <w:rPr>
      <w:rFonts w:eastAsia="Times New Roman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link w:val="Item"/>
    <w:rsid w:val="00001E91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7E4433"/>
    <w:rPr>
      <w:sz w:val="22"/>
    </w:rPr>
  </w:style>
  <w:style w:type="character" w:customStyle="1" w:styleId="DefinitionChar">
    <w:name w:val="Definition Char"/>
    <w:aliases w:val="dd Char"/>
    <w:link w:val="Definition"/>
    <w:rsid w:val="000E584E"/>
    <w:rPr>
      <w:rFonts w:eastAsia="Times New Roman" w:cs="Times New Roman"/>
      <w:sz w:val="22"/>
      <w:lang w:eastAsia="en-AU"/>
    </w:rPr>
  </w:style>
  <w:style w:type="character" w:customStyle="1" w:styleId="ActHead2Char">
    <w:name w:val="ActHead 2 Char"/>
    <w:aliases w:val="p Char"/>
    <w:basedOn w:val="DefaultParagraphFont"/>
    <w:link w:val="ActHead2"/>
    <w:rsid w:val="000E584E"/>
    <w:rPr>
      <w:rFonts w:eastAsia="Times New Roman" w:cs="Times New Roman"/>
      <w:b/>
      <w:kern w:val="28"/>
      <w:sz w:val="32"/>
      <w:lang w:eastAsia="en-AU"/>
    </w:rPr>
  </w:style>
  <w:style w:type="character" w:customStyle="1" w:styleId="paragraphsubChar">
    <w:name w:val="paragraph(sub) Char"/>
    <w:aliases w:val="aa Char"/>
    <w:basedOn w:val="DefaultParagraphFont"/>
    <w:link w:val="paragraphsub"/>
    <w:rsid w:val="007C08E5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3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1233">
          <w:blockQuote w:val="1"/>
          <w:marLeft w:val="9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4853">
              <w:blockQuote w:val="1"/>
              <w:marLeft w:val="60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748">
                  <w:blockQuote w:val="1"/>
                  <w:marLeft w:val="60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88920">
                  <w:blockQuote w:val="1"/>
                  <w:marLeft w:val="60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31672">
                  <w:blockQuote w:val="1"/>
                  <w:marLeft w:val="60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1881">
                  <w:blockQuote w:val="1"/>
                  <w:marLeft w:val="60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6806">
                  <w:blockQuote w:val="1"/>
                  <w:marLeft w:val="60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0531">
                  <w:blockQuote w:val="1"/>
                  <w:marLeft w:val="60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1024">
                  <w:blockQuote w:val="1"/>
                  <w:marLeft w:val="60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9550">
                  <w:blockQuote w:val="1"/>
                  <w:marLeft w:val="34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461675">
              <w:blockQuote w:val="1"/>
              <w:marLeft w:val="60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%20Georges\Downloads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E5334-7713-46E3-B402-FDF7CD66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2</TotalTime>
  <Pages>9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Georges</dc:creator>
  <cp:lastModifiedBy>O'DEA Michael</cp:lastModifiedBy>
  <cp:revision>3</cp:revision>
  <cp:lastPrinted>2021-11-29T02:58:00Z</cp:lastPrinted>
  <dcterms:created xsi:type="dcterms:W3CDTF">2021-12-23T10:11:00Z</dcterms:created>
  <dcterms:modified xsi:type="dcterms:W3CDTF">2021-12-23T19:20:00Z</dcterms:modified>
</cp:coreProperties>
</file>