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43822" w14:textId="77777777" w:rsidR="00FA06CA" w:rsidRPr="005E2E93" w:rsidRDefault="00FA06CA" w:rsidP="00FA06CA">
      <w:pPr>
        <w:rPr>
          <w:sz w:val="28"/>
        </w:rPr>
      </w:pPr>
      <w:r w:rsidRPr="005E2E93">
        <w:rPr>
          <w:noProof/>
          <w:lang w:eastAsia="en-AU"/>
        </w:rPr>
        <w:drawing>
          <wp:inline distT="0" distB="0" distL="0" distR="0" wp14:anchorId="2FFC29E6" wp14:editId="77E02EBF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3A37E9" w14:textId="77777777" w:rsidR="00FA06CA" w:rsidRPr="005E2E93" w:rsidRDefault="00FA06CA" w:rsidP="00FA06CA">
      <w:pPr>
        <w:rPr>
          <w:sz w:val="19"/>
        </w:rPr>
      </w:pPr>
    </w:p>
    <w:p w14:paraId="187FAB08" w14:textId="44342717" w:rsidR="00FA06CA" w:rsidRPr="005E2E93" w:rsidRDefault="0077077F" w:rsidP="00FA06CA">
      <w:pPr>
        <w:pStyle w:val="ShortT"/>
      </w:pPr>
      <w:r w:rsidRPr="005E2E93">
        <w:t>Commonwealth Registers (Appointment of Registrar</w:t>
      </w:r>
      <w:r w:rsidR="00BE54A4" w:rsidRPr="005E2E93">
        <w:t>s</w:t>
      </w:r>
      <w:r w:rsidRPr="005E2E93">
        <w:t>) Instrument 2021</w:t>
      </w:r>
    </w:p>
    <w:p w14:paraId="74D10D06" w14:textId="5525E213" w:rsidR="00FA06CA" w:rsidRPr="005E2E93" w:rsidRDefault="00FA06CA" w:rsidP="00FA06CA">
      <w:pPr>
        <w:pStyle w:val="SignCoverPageStart"/>
        <w:spacing w:before="240"/>
        <w:rPr>
          <w:szCs w:val="22"/>
        </w:rPr>
      </w:pPr>
      <w:r w:rsidRPr="005E2E93">
        <w:rPr>
          <w:szCs w:val="22"/>
        </w:rPr>
        <w:t xml:space="preserve">I, </w:t>
      </w:r>
      <w:r w:rsidR="003E5E9A" w:rsidRPr="005E2E93">
        <w:rPr>
          <w:szCs w:val="22"/>
        </w:rPr>
        <w:t>Jane Hume</w:t>
      </w:r>
      <w:r w:rsidRPr="005E2E93">
        <w:rPr>
          <w:szCs w:val="22"/>
        </w:rPr>
        <w:t xml:space="preserve">, </w:t>
      </w:r>
      <w:r w:rsidR="003E5E9A" w:rsidRPr="005E2E93">
        <w:rPr>
          <w:szCs w:val="22"/>
        </w:rPr>
        <w:t>Minister for Superannuation, Financial Services and the Digital Economy</w:t>
      </w:r>
      <w:r w:rsidRPr="005E2E93">
        <w:rPr>
          <w:szCs w:val="22"/>
        </w:rPr>
        <w:t xml:space="preserve">, make the following </w:t>
      </w:r>
      <w:r w:rsidR="003E5E9A" w:rsidRPr="005E2E93">
        <w:rPr>
          <w:szCs w:val="22"/>
        </w:rPr>
        <w:t>appointments</w:t>
      </w:r>
      <w:r w:rsidRPr="005E2E93">
        <w:rPr>
          <w:szCs w:val="22"/>
        </w:rPr>
        <w:t>.</w:t>
      </w:r>
    </w:p>
    <w:p w14:paraId="12ED8516" w14:textId="44C234DD" w:rsidR="00FA06CA" w:rsidRPr="005E2E93" w:rsidRDefault="009A796E" w:rsidP="00FA06CA">
      <w:pPr>
        <w:keepNext/>
        <w:spacing w:before="720" w:line="240" w:lineRule="atLeast"/>
        <w:ind w:right="397"/>
        <w:jc w:val="both"/>
        <w:rPr>
          <w:szCs w:val="22"/>
        </w:rPr>
      </w:pPr>
      <w:r>
        <w:rPr>
          <w:szCs w:val="22"/>
        </w:rPr>
        <w:t xml:space="preserve">Dated 17 March </w:t>
      </w:r>
      <w:bookmarkStart w:id="0" w:name="_GoBack"/>
      <w:bookmarkEnd w:id="0"/>
      <w:r w:rsidR="003E5E9A" w:rsidRPr="005E2E93">
        <w:rPr>
          <w:szCs w:val="22"/>
        </w:rPr>
        <w:t>2021</w:t>
      </w:r>
    </w:p>
    <w:p w14:paraId="4979F158" w14:textId="3709BC43" w:rsidR="00FA06CA" w:rsidRPr="005E2E93" w:rsidRDefault="00FA06CA" w:rsidP="00FA06CA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662C9130" w14:textId="568CFABA" w:rsidR="00FA06CA" w:rsidRPr="005E2E93" w:rsidRDefault="003E5E9A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5E2E93">
        <w:rPr>
          <w:szCs w:val="22"/>
        </w:rPr>
        <w:t>Jane Hume</w:t>
      </w:r>
    </w:p>
    <w:p w14:paraId="56CABE92" w14:textId="20B70F16" w:rsidR="00FA06CA" w:rsidRPr="005E2E93" w:rsidRDefault="003E5E9A" w:rsidP="00FA06CA">
      <w:pPr>
        <w:pStyle w:val="SignCoverPageEnd"/>
        <w:rPr>
          <w:szCs w:val="22"/>
        </w:rPr>
      </w:pPr>
      <w:r w:rsidRPr="005E2E93">
        <w:rPr>
          <w:szCs w:val="22"/>
        </w:rPr>
        <w:t>Minister for Superannuation, Financial Services and the Digital Economy</w:t>
      </w:r>
    </w:p>
    <w:p w14:paraId="3AFDC29A" w14:textId="77777777" w:rsidR="00FA06CA" w:rsidRPr="005E2E93" w:rsidRDefault="00FA06CA" w:rsidP="00FA06CA"/>
    <w:p w14:paraId="341F6670" w14:textId="77777777" w:rsidR="00FA06CA" w:rsidRPr="005E2E93" w:rsidRDefault="00FA06CA" w:rsidP="00FA06CA">
      <w:pPr>
        <w:pStyle w:val="Header"/>
        <w:tabs>
          <w:tab w:val="clear" w:pos="4150"/>
          <w:tab w:val="clear" w:pos="8307"/>
        </w:tabs>
      </w:pPr>
      <w:r w:rsidRPr="005E2E93">
        <w:rPr>
          <w:rStyle w:val="CharChapNo"/>
        </w:rPr>
        <w:t xml:space="preserve"> </w:t>
      </w:r>
      <w:r w:rsidRPr="005E2E93">
        <w:rPr>
          <w:rStyle w:val="CharChapText"/>
        </w:rPr>
        <w:t xml:space="preserve"> </w:t>
      </w:r>
    </w:p>
    <w:p w14:paraId="33A99E05" w14:textId="77777777" w:rsidR="00FA06CA" w:rsidRPr="005E2E93" w:rsidRDefault="00FA06CA" w:rsidP="00FA06CA">
      <w:pPr>
        <w:pStyle w:val="Header"/>
        <w:tabs>
          <w:tab w:val="clear" w:pos="4150"/>
          <w:tab w:val="clear" w:pos="8307"/>
        </w:tabs>
      </w:pPr>
      <w:r w:rsidRPr="005E2E93">
        <w:rPr>
          <w:rStyle w:val="CharPartNo"/>
        </w:rPr>
        <w:t xml:space="preserve"> </w:t>
      </w:r>
      <w:r w:rsidRPr="005E2E93">
        <w:rPr>
          <w:rStyle w:val="CharPartText"/>
        </w:rPr>
        <w:t xml:space="preserve"> </w:t>
      </w:r>
    </w:p>
    <w:p w14:paraId="0D1FFCA9" w14:textId="77777777" w:rsidR="00FA06CA" w:rsidRPr="005E2E93" w:rsidRDefault="00FA06CA" w:rsidP="00FA06CA">
      <w:pPr>
        <w:pStyle w:val="Header"/>
        <w:tabs>
          <w:tab w:val="clear" w:pos="4150"/>
          <w:tab w:val="clear" w:pos="8307"/>
        </w:tabs>
      </w:pPr>
      <w:r w:rsidRPr="005E2E93">
        <w:rPr>
          <w:rStyle w:val="CharDivNo"/>
        </w:rPr>
        <w:t xml:space="preserve"> </w:t>
      </w:r>
      <w:r w:rsidRPr="005E2E93">
        <w:rPr>
          <w:rStyle w:val="CharDivText"/>
        </w:rPr>
        <w:t xml:space="preserve"> </w:t>
      </w:r>
    </w:p>
    <w:p w14:paraId="1F2CA6E1" w14:textId="77777777" w:rsidR="00FA06CA" w:rsidRPr="005E2E93" w:rsidRDefault="00FA06CA" w:rsidP="00FA06CA">
      <w:pPr>
        <w:sectPr w:rsidR="00FA06CA" w:rsidRPr="005E2E93" w:rsidSect="005E2E93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F0AC428" w14:textId="77777777" w:rsidR="00FA06CA" w:rsidRPr="005E2E93" w:rsidRDefault="00FA06CA" w:rsidP="005E2E93">
      <w:pPr>
        <w:rPr>
          <w:sz w:val="36"/>
        </w:rPr>
      </w:pPr>
      <w:r w:rsidRPr="005E2E93">
        <w:rPr>
          <w:sz w:val="36"/>
        </w:rPr>
        <w:lastRenderedPageBreak/>
        <w:t>Contents</w:t>
      </w:r>
    </w:p>
    <w:p w14:paraId="600E8844" w14:textId="6EBD9399" w:rsidR="00B9112B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E2E93">
        <w:fldChar w:fldCharType="begin"/>
      </w:r>
      <w:r w:rsidRPr="005E2E93">
        <w:instrText xml:space="preserve"> TOC \o "1-9" </w:instrText>
      </w:r>
      <w:r w:rsidRPr="005E2E93">
        <w:fldChar w:fldCharType="separate"/>
      </w:r>
      <w:r w:rsidR="00B9112B">
        <w:rPr>
          <w:noProof/>
        </w:rPr>
        <w:t>Part 1—Preliminary</w:t>
      </w:r>
      <w:r w:rsidR="00B9112B">
        <w:rPr>
          <w:noProof/>
        </w:rPr>
        <w:tab/>
      </w:r>
      <w:r w:rsidR="00B9112B" w:rsidRPr="00B9112B">
        <w:rPr>
          <w:b w:val="0"/>
          <w:noProof/>
          <w:sz w:val="18"/>
        </w:rPr>
        <w:fldChar w:fldCharType="begin"/>
      </w:r>
      <w:r w:rsidR="00B9112B" w:rsidRPr="00B9112B">
        <w:rPr>
          <w:b w:val="0"/>
          <w:noProof/>
          <w:sz w:val="18"/>
        </w:rPr>
        <w:instrText xml:space="preserve"> PAGEREF _Toc66387163 \h </w:instrText>
      </w:r>
      <w:r w:rsidR="00B9112B" w:rsidRPr="00B9112B">
        <w:rPr>
          <w:b w:val="0"/>
          <w:noProof/>
          <w:sz w:val="18"/>
        </w:rPr>
      </w:r>
      <w:r w:rsidR="00B9112B" w:rsidRPr="00B9112B">
        <w:rPr>
          <w:b w:val="0"/>
          <w:noProof/>
          <w:sz w:val="18"/>
        </w:rPr>
        <w:fldChar w:fldCharType="separate"/>
      </w:r>
      <w:r w:rsidR="006D63AA">
        <w:rPr>
          <w:b w:val="0"/>
          <w:noProof/>
          <w:sz w:val="18"/>
        </w:rPr>
        <w:t>1</w:t>
      </w:r>
      <w:r w:rsidR="00B9112B" w:rsidRPr="00B9112B">
        <w:rPr>
          <w:b w:val="0"/>
          <w:noProof/>
          <w:sz w:val="18"/>
        </w:rPr>
        <w:fldChar w:fldCharType="end"/>
      </w:r>
    </w:p>
    <w:p w14:paraId="288E88B9" w14:textId="5E9AD93C" w:rsidR="00B9112B" w:rsidRDefault="00B911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_Toc66387164 \h </w:instrText>
      </w:r>
      <w:r>
        <w:rPr>
          <w:noProof/>
        </w:rPr>
      </w:r>
      <w:r>
        <w:rPr>
          <w:noProof/>
        </w:rPr>
        <w:fldChar w:fldCharType="separate"/>
      </w:r>
      <w:r w:rsidR="006D63AA">
        <w:rPr>
          <w:noProof/>
        </w:rPr>
        <w:t>1</w:t>
      </w:r>
      <w:r>
        <w:rPr>
          <w:noProof/>
        </w:rPr>
        <w:fldChar w:fldCharType="end"/>
      </w:r>
    </w:p>
    <w:p w14:paraId="7F1FE9E2" w14:textId="3373DC1C" w:rsidR="00B9112B" w:rsidRDefault="00B911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_Toc66387165 \h </w:instrText>
      </w:r>
      <w:r>
        <w:rPr>
          <w:noProof/>
        </w:rPr>
      </w:r>
      <w:r>
        <w:rPr>
          <w:noProof/>
        </w:rPr>
        <w:fldChar w:fldCharType="separate"/>
      </w:r>
      <w:r w:rsidR="006D63AA">
        <w:rPr>
          <w:noProof/>
        </w:rPr>
        <w:t>1</w:t>
      </w:r>
      <w:r>
        <w:rPr>
          <w:noProof/>
        </w:rPr>
        <w:fldChar w:fldCharType="end"/>
      </w:r>
    </w:p>
    <w:p w14:paraId="065C8AA7" w14:textId="0817830C" w:rsidR="00B9112B" w:rsidRDefault="00B911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_Toc66387166 \h </w:instrText>
      </w:r>
      <w:r>
        <w:rPr>
          <w:noProof/>
        </w:rPr>
      </w:r>
      <w:r>
        <w:rPr>
          <w:noProof/>
        </w:rPr>
        <w:fldChar w:fldCharType="separate"/>
      </w:r>
      <w:r w:rsidR="006D63AA">
        <w:rPr>
          <w:noProof/>
        </w:rPr>
        <w:t>1</w:t>
      </w:r>
      <w:r>
        <w:rPr>
          <w:noProof/>
        </w:rPr>
        <w:fldChar w:fldCharType="end"/>
      </w:r>
    </w:p>
    <w:p w14:paraId="273FCC69" w14:textId="08416F63" w:rsidR="00B9112B" w:rsidRDefault="00B9112B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2—Appointment of the Registrars</w:t>
      </w:r>
      <w:r>
        <w:rPr>
          <w:noProof/>
        </w:rPr>
        <w:tab/>
      </w:r>
      <w:r w:rsidRPr="00B9112B">
        <w:rPr>
          <w:b w:val="0"/>
          <w:noProof/>
          <w:sz w:val="18"/>
        </w:rPr>
        <w:fldChar w:fldCharType="begin"/>
      </w:r>
      <w:r w:rsidRPr="00B9112B">
        <w:rPr>
          <w:b w:val="0"/>
          <w:noProof/>
          <w:sz w:val="18"/>
        </w:rPr>
        <w:instrText xml:space="preserve"> PAGEREF _Toc66387167 \h </w:instrText>
      </w:r>
      <w:r w:rsidRPr="00B9112B">
        <w:rPr>
          <w:b w:val="0"/>
          <w:noProof/>
          <w:sz w:val="18"/>
        </w:rPr>
      </w:r>
      <w:r w:rsidRPr="00B9112B">
        <w:rPr>
          <w:b w:val="0"/>
          <w:noProof/>
          <w:sz w:val="18"/>
        </w:rPr>
        <w:fldChar w:fldCharType="separate"/>
      </w:r>
      <w:r w:rsidR="006D63AA">
        <w:rPr>
          <w:b w:val="0"/>
          <w:noProof/>
          <w:sz w:val="18"/>
        </w:rPr>
        <w:t>2</w:t>
      </w:r>
      <w:r w:rsidRPr="00B9112B">
        <w:rPr>
          <w:b w:val="0"/>
          <w:noProof/>
          <w:sz w:val="18"/>
        </w:rPr>
        <w:fldChar w:fldCharType="end"/>
      </w:r>
    </w:p>
    <w:p w14:paraId="5591A445" w14:textId="236C07E2" w:rsidR="00B9112B" w:rsidRDefault="00B911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Appointment of the Registrar under the Business Names Registration 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_Toc66387168 \h </w:instrText>
      </w:r>
      <w:r>
        <w:rPr>
          <w:noProof/>
        </w:rPr>
      </w:r>
      <w:r>
        <w:rPr>
          <w:noProof/>
        </w:rPr>
        <w:fldChar w:fldCharType="separate"/>
      </w:r>
      <w:r w:rsidR="006D63AA">
        <w:rPr>
          <w:noProof/>
        </w:rPr>
        <w:t>2</w:t>
      </w:r>
      <w:r>
        <w:rPr>
          <w:noProof/>
        </w:rPr>
        <w:fldChar w:fldCharType="end"/>
      </w:r>
    </w:p>
    <w:p w14:paraId="4F57D9E2" w14:textId="31B5073A" w:rsidR="00B9112B" w:rsidRDefault="00B911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Appointment of the Registrar under the Commonwealth Registers 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_Toc66387169 \h </w:instrText>
      </w:r>
      <w:r>
        <w:rPr>
          <w:noProof/>
        </w:rPr>
      </w:r>
      <w:r>
        <w:rPr>
          <w:noProof/>
        </w:rPr>
        <w:fldChar w:fldCharType="separate"/>
      </w:r>
      <w:r w:rsidR="006D63AA">
        <w:rPr>
          <w:noProof/>
        </w:rPr>
        <w:t>2</w:t>
      </w:r>
      <w:r>
        <w:rPr>
          <w:noProof/>
        </w:rPr>
        <w:fldChar w:fldCharType="end"/>
      </w:r>
    </w:p>
    <w:p w14:paraId="784EA5BD" w14:textId="0A483A46" w:rsidR="00B9112B" w:rsidRDefault="00B911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Appointment of the Registrar under the Corporations 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_Toc66387170 \h </w:instrText>
      </w:r>
      <w:r>
        <w:rPr>
          <w:noProof/>
        </w:rPr>
      </w:r>
      <w:r>
        <w:rPr>
          <w:noProof/>
        </w:rPr>
        <w:fldChar w:fldCharType="separate"/>
      </w:r>
      <w:r w:rsidR="006D63AA">
        <w:rPr>
          <w:noProof/>
        </w:rPr>
        <w:t>2</w:t>
      </w:r>
      <w:r>
        <w:rPr>
          <w:noProof/>
        </w:rPr>
        <w:fldChar w:fldCharType="end"/>
      </w:r>
    </w:p>
    <w:p w14:paraId="7C39406A" w14:textId="0D804443" w:rsidR="00B9112B" w:rsidRDefault="00B9112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Appointment of the Registrar under the National Consumer Credit Protection Act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_Toc66387171 \h </w:instrText>
      </w:r>
      <w:r>
        <w:rPr>
          <w:noProof/>
        </w:rPr>
      </w:r>
      <w:r>
        <w:rPr>
          <w:noProof/>
        </w:rPr>
        <w:fldChar w:fldCharType="separate"/>
      </w:r>
      <w:r w:rsidR="006D63AA">
        <w:rPr>
          <w:noProof/>
        </w:rPr>
        <w:t>2</w:t>
      </w:r>
      <w:r>
        <w:rPr>
          <w:noProof/>
        </w:rPr>
        <w:fldChar w:fldCharType="end"/>
      </w:r>
    </w:p>
    <w:p w14:paraId="19C4652C" w14:textId="3B690CFB" w:rsidR="00FA06CA" w:rsidRPr="005E2E93" w:rsidRDefault="00FA06CA" w:rsidP="00FA06CA">
      <w:r w:rsidRPr="005E2E93">
        <w:fldChar w:fldCharType="end"/>
      </w:r>
    </w:p>
    <w:p w14:paraId="1E69F6B1" w14:textId="77777777" w:rsidR="00FA06CA" w:rsidRPr="005E2E93" w:rsidRDefault="00FA06CA" w:rsidP="00FA06CA">
      <w:pPr>
        <w:sectPr w:rsidR="00FA06CA" w:rsidRPr="005E2E93" w:rsidSect="005E2E93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6229B67F" w14:textId="74DD4F57" w:rsidR="00FA06CA" w:rsidRPr="005E2E93" w:rsidRDefault="00FA06CA" w:rsidP="00FA06CA">
      <w:pPr>
        <w:pStyle w:val="ActHead2"/>
      </w:pPr>
      <w:bookmarkStart w:id="17" w:name="_Toc66387163"/>
      <w:r w:rsidRPr="005E2E93">
        <w:rPr>
          <w:rStyle w:val="CharPartNo"/>
        </w:rPr>
        <w:lastRenderedPageBreak/>
        <w:t>Part</w:t>
      </w:r>
      <w:r w:rsidR="005E2E93" w:rsidRPr="005E2E93">
        <w:rPr>
          <w:rStyle w:val="CharPartNo"/>
        </w:rPr>
        <w:t> </w:t>
      </w:r>
      <w:r w:rsidRPr="005E2E93">
        <w:rPr>
          <w:rStyle w:val="CharPartNo"/>
        </w:rPr>
        <w:t>1</w:t>
      </w:r>
      <w:r w:rsidRPr="005E2E93">
        <w:t>—</w:t>
      </w:r>
      <w:r w:rsidRPr="005E2E93">
        <w:rPr>
          <w:rStyle w:val="CharPartText"/>
        </w:rPr>
        <w:t>Preliminary</w:t>
      </w:r>
      <w:bookmarkEnd w:id="17"/>
    </w:p>
    <w:p w14:paraId="754B09F0" w14:textId="77777777" w:rsidR="00FA06CA" w:rsidRPr="005E2E93" w:rsidRDefault="00FA06CA" w:rsidP="00FA06CA">
      <w:pPr>
        <w:pStyle w:val="Header"/>
      </w:pPr>
      <w:r w:rsidRPr="005E2E93">
        <w:rPr>
          <w:rStyle w:val="CharDivNo"/>
        </w:rPr>
        <w:t xml:space="preserve"> </w:t>
      </w:r>
      <w:r w:rsidRPr="005E2E93">
        <w:rPr>
          <w:rStyle w:val="CharDivText"/>
        </w:rPr>
        <w:t xml:space="preserve"> </w:t>
      </w:r>
    </w:p>
    <w:p w14:paraId="5AC93A4A" w14:textId="77777777" w:rsidR="00FA06CA" w:rsidRPr="005E2E93" w:rsidRDefault="00FA06CA" w:rsidP="00FA06CA">
      <w:pPr>
        <w:pStyle w:val="ActHead5"/>
      </w:pPr>
      <w:bookmarkStart w:id="18" w:name="_Toc66387164"/>
      <w:r w:rsidRPr="005E2E93">
        <w:rPr>
          <w:rStyle w:val="CharSectno"/>
        </w:rPr>
        <w:t>1</w:t>
      </w:r>
      <w:r w:rsidRPr="005E2E93">
        <w:t xml:space="preserve">  Name</w:t>
      </w:r>
      <w:bookmarkEnd w:id="18"/>
    </w:p>
    <w:p w14:paraId="74CE1DB1" w14:textId="1B654D32" w:rsidR="00FA06CA" w:rsidRPr="005E2E93" w:rsidRDefault="00FA06CA" w:rsidP="00FA06CA">
      <w:pPr>
        <w:pStyle w:val="subsection"/>
      </w:pPr>
      <w:r w:rsidRPr="005E2E93">
        <w:tab/>
      </w:r>
      <w:r w:rsidRPr="005E2E93">
        <w:tab/>
        <w:t xml:space="preserve">This instrument is the </w:t>
      </w:r>
      <w:r w:rsidR="007366F0" w:rsidRPr="005E2E93">
        <w:rPr>
          <w:i/>
          <w:noProof/>
        </w:rPr>
        <w:t>Commonwealth Registers (Appointment of Registrar</w:t>
      </w:r>
      <w:r w:rsidR="00BE54A4" w:rsidRPr="005E2E93">
        <w:rPr>
          <w:i/>
          <w:noProof/>
        </w:rPr>
        <w:t>s</w:t>
      </w:r>
      <w:r w:rsidR="007366F0" w:rsidRPr="005E2E93">
        <w:rPr>
          <w:i/>
          <w:noProof/>
        </w:rPr>
        <w:t>) Instrument 2021</w:t>
      </w:r>
      <w:r w:rsidRPr="005E2E93">
        <w:t>.</w:t>
      </w:r>
    </w:p>
    <w:p w14:paraId="22561653" w14:textId="77777777" w:rsidR="00FA06CA" w:rsidRPr="005E2E93" w:rsidRDefault="00FA06CA" w:rsidP="00FA06CA">
      <w:pPr>
        <w:pStyle w:val="ActHead5"/>
      </w:pPr>
      <w:bookmarkStart w:id="19" w:name="_Toc66387165"/>
      <w:r w:rsidRPr="005E2E93">
        <w:rPr>
          <w:rStyle w:val="CharSectno"/>
        </w:rPr>
        <w:t>2</w:t>
      </w:r>
      <w:r w:rsidRPr="005E2E93">
        <w:t xml:space="preserve">  Commencement</w:t>
      </w:r>
      <w:bookmarkEnd w:id="19"/>
    </w:p>
    <w:p w14:paraId="5BA32DEA" w14:textId="7DADDF29" w:rsidR="00FA06CA" w:rsidRPr="005E2E93" w:rsidRDefault="00FA06CA" w:rsidP="00FA06CA">
      <w:pPr>
        <w:pStyle w:val="subsection"/>
      </w:pPr>
      <w:r w:rsidRPr="005E2E93">
        <w:tab/>
        <w:t>(1)</w:t>
      </w:r>
      <w:r w:rsidRPr="005E2E93">
        <w:tab/>
        <w:t>Each provision of</w:t>
      </w:r>
      <w:r w:rsidR="00683AF1" w:rsidRPr="005E2E93">
        <w:t xml:space="preserve"> this</w:t>
      </w:r>
      <w:r w:rsidRPr="005E2E93">
        <w:t xml:space="preserve"> instrument specified in column 1 of the table commences, or is taken to have commenced, in accordance with column 2 of the table. Any other statement in column 2 has effect according to its terms.</w:t>
      </w:r>
    </w:p>
    <w:p w14:paraId="1E2559F4" w14:textId="77777777" w:rsidR="00FA06CA" w:rsidRPr="005E2E93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:rsidRPr="005E2E93" w14:paraId="73390CFF" w14:textId="77777777" w:rsidTr="007366F0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9F8A75B" w14:textId="77777777" w:rsidR="00FA06CA" w:rsidRPr="005E2E93" w:rsidRDefault="00FA06CA" w:rsidP="007E23B1">
            <w:pPr>
              <w:pStyle w:val="TableHeading"/>
            </w:pPr>
            <w:r w:rsidRPr="005E2E93">
              <w:t>Commencement information</w:t>
            </w:r>
          </w:p>
        </w:tc>
      </w:tr>
      <w:tr w:rsidR="00FA06CA" w:rsidRPr="005E2E93" w14:paraId="5386AFC3" w14:textId="77777777" w:rsidTr="007366F0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6EB482A7" w14:textId="77777777" w:rsidR="00FA06CA" w:rsidRPr="005E2E93" w:rsidRDefault="00FA06CA" w:rsidP="007E23B1">
            <w:pPr>
              <w:pStyle w:val="TableHeading"/>
            </w:pPr>
            <w:r w:rsidRPr="005E2E93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E052FCA" w14:textId="77777777" w:rsidR="00FA06CA" w:rsidRPr="005E2E93" w:rsidRDefault="00FA06CA" w:rsidP="007E23B1">
            <w:pPr>
              <w:pStyle w:val="TableHeading"/>
            </w:pPr>
            <w:r w:rsidRPr="005E2E93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8071A3F" w14:textId="77777777" w:rsidR="00FA06CA" w:rsidRPr="005E2E93" w:rsidRDefault="00FA06CA" w:rsidP="007E23B1">
            <w:pPr>
              <w:pStyle w:val="TableHeading"/>
            </w:pPr>
            <w:r w:rsidRPr="005E2E93">
              <w:t>Column 3</w:t>
            </w:r>
          </w:p>
        </w:tc>
      </w:tr>
      <w:tr w:rsidR="00FA06CA" w:rsidRPr="005E2E93" w14:paraId="70D1ADB6" w14:textId="77777777" w:rsidTr="007366F0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7111B39D" w14:textId="77777777" w:rsidR="00FA06CA" w:rsidRPr="005E2E93" w:rsidRDefault="00FA06CA" w:rsidP="007E23B1">
            <w:pPr>
              <w:pStyle w:val="TableHeading"/>
            </w:pPr>
            <w:r w:rsidRPr="005E2E93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F247DD4" w14:textId="77777777" w:rsidR="00FA06CA" w:rsidRPr="005E2E93" w:rsidRDefault="00FA06CA" w:rsidP="007E23B1">
            <w:pPr>
              <w:pStyle w:val="TableHeading"/>
            </w:pPr>
            <w:r w:rsidRPr="005E2E93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45FC0828" w14:textId="77777777" w:rsidR="00FA06CA" w:rsidRPr="005E2E93" w:rsidRDefault="00FA06CA" w:rsidP="007E23B1">
            <w:pPr>
              <w:pStyle w:val="TableHeading"/>
            </w:pPr>
            <w:r w:rsidRPr="005E2E93">
              <w:t>Date/Details</w:t>
            </w:r>
          </w:p>
        </w:tc>
      </w:tr>
      <w:tr w:rsidR="00FA06CA" w:rsidRPr="005E2E93" w14:paraId="0CBF1FC9" w14:textId="77777777" w:rsidTr="007366F0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131F41F3" w14:textId="261A3E38" w:rsidR="00FA06CA" w:rsidRPr="005E2E93" w:rsidRDefault="007366F0" w:rsidP="007E23B1">
            <w:pPr>
              <w:pStyle w:val="Tabletext"/>
            </w:pPr>
            <w:r w:rsidRPr="005E2E93">
              <w:t>1</w:t>
            </w:r>
            <w:r w:rsidR="00FA06CA" w:rsidRPr="005E2E93">
              <w:t xml:space="preserve">.  </w:t>
            </w:r>
            <w:r w:rsidRPr="005E2E93">
              <w:t>The whole of this instrument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327ADB32" w14:textId="77777777" w:rsidR="00683AF1" w:rsidRPr="005E2E93" w:rsidRDefault="007366F0" w:rsidP="007E23B1">
            <w:pPr>
              <w:pStyle w:val="Tabletext"/>
            </w:pPr>
            <w:r w:rsidRPr="005E2E93">
              <w:t>The</w:t>
            </w:r>
            <w:r w:rsidR="00683AF1" w:rsidRPr="005E2E93">
              <w:t xml:space="preserve"> later of:</w:t>
            </w:r>
          </w:p>
          <w:p w14:paraId="3107B169" w14:textId="4A44175E" w:rsidR="00FA06CA" w:rsidRPr="005E2E93" w:rsidRDefault="00683AF1" w:rsidP="00683AF1">
            <w:pPr>
              <w:pStyle w:val="Tablea"/>
            </w:pPr>
            <w:r w:rsidRPr="005E2E93">
              <w:t>(a)</w:t>
            </w:r>
            <w:r w:rsidR="007366F0" w:rsidRPr="005E2E93">
              <w:t xml:space="preserve"> </w:t>
            </w:r>
            <w:r w:rsidR="002E37C3" w:rsidRPr="005E2E93">
              <w:t xml:space="preserve">the </w:t>
            </w:r>
            <w:r w:rsidR="007366F0" w:rsidRPr="005E2E93">
              <w:t>day after this instrument is registered</w:t>
            </w:r>
            <w:r w:rsidRPr="005E2E93">
              <w:t>; and</w:t>
            </w:r>
          </w:p>
          <w:p w14:paraId="3131B7C2" w14:textId="21E42FE7" w:rsidR="00683AF1" w:rsidRPr="005E2E93" w:rsidRDefault="00683AF1" w:rsidP="00683AF1">
            <w:pPr>
              <w:pStyle w:val="Tablea"/>
            </w:pPr>
            <w:r w:rsidRPr="005E2E93">
              <w:t xml:space="preserve">(b) </w:t>
            </w:r>
            <w:r w:rsidR="00DC5924" w:rsidRPr="005E2E93">
              <w:t>4</w:t>
            </w:r>
            <w:r w:rsidR="005E2E93" w:rsidRPr="005E2E93">
              <w:t> </w:t>
            </w:r>
            <w:r w:rsidRPr="005E2E93">
              <w:t>April 2021.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B6354F5" w14:textId="77777777" w:rsidR="00FA06CA" w:rsidRPr="005E2E93" w:rsidRDefault="00FA06CA" w:rsidP="007E23B1">
            <w:pPr>
              <w:pStyle w:val="Tabletext"/>
            </w:pPr>
          </w:p>
        </w:tc>
      </w:tr>
    </w:tbl>
    <w:p w14:paraId="1B332143" w14:textId="77777777" w:rsidR="00FA06CA" w:rsidRPr="005E2E93" w:rsidRDefault="00FA06CA" w:rsidP="00FA06CA">
      <w:pPr>
        <w:pStyle w:val="notetext"/>
      </w:pPr>
      <w:r w:rsidRPr="005E2E93">
        <w:rPr>
          <w:snapToGrid w:val="0"/>
          <w:lang w:eastAsia="en-US"/>
        </w:rPr>
        <w:t>Note:</w:t>
      </w:r>
      <w:r w:rsidRPr="005E2E93">
        <w:rPr>
          <w:snapToGrid w:val="0"/>
          <w:lang w:eastAsia="en-US"/>
        </w:rPr>
        <w:tab/>
        <w:t xml:space="preserve">This table relates only to the provisions of this </w:t>
      </w:r>
      <w:r w:rsidRPr="005E2E93">
        <w:t xml:space="preserve">instrument </w:t>
      </w:r>
      <w:r w:rsidRPr="005E2E93">
        <w:rPr>
          <w:snapToGrid w:val="0"/>
          <w:lang w:eastAsia="en-US"/>
        </w:rPr>
        <w:t>as originally made. It will not be amended to deal with any later amendments of this instrument.</w:t>
      </w:r>
    </w:p>
    <w:p w14:paraId="138FC682" w14:textId="77777777" w:rsidR="00FA06CA" w:rsidRPr="005E2E93" w:rsidRDefault="00FA06CA" w:rsidP="00FA06CA">
      <w:pPr>
        <w:pStyle w:val="subsection"/>
      </w:pPr>
      <w:r w:rsidRPr="005E2E93">
        <w:tab/>
        <w:t>(2)</w:t>
      </w:r>
      <w:r w:rsidRPr="005E2E93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0DBF216D" w14:textId="77777777" w:rsidR="00FA06CA" w:rsidRPr="005E2E93" w:rsidRDefault="00FA06CA" w:rsidP="00FA06CA">
      <w:pPr>
        <w:pStyle w:val="ActHead5"/>
      </w:pPr>
      <w:bookmarkStart w:id="20" w:name="_Toc66387166"/>
      <w:r w:rsidRPr="005E2E93">
        <w:rPr>
          <w:rStyle w:val="CharSectno"/>
        </w:rPr>
        <w:t>3</w:t>
      </w:r>
      <w:r w:rsidRPr="005E2E93">
        <w:t xml:space="preserve">  Authority</w:t>
      </w:r>
      <w:bookmarkEnd w:id="20"/>
    </w:p>
    <w:p w14:paraId="502EAA25" w14:textId="013A140A" w:rsidR="00683AF1" w:rsidRPr="005E2E93" w:rsidRDefault="00FA06CA" w:rsidP="00FA06CA">
      <w:pPr>
        <w:pStyle w:val="subsection"/>
      </w:pPr>
      <w:r w:rsidRPr="005E2E93">
        <w:tab/>
      </w:r>
      <w:r w:rsidRPr="005E2E93">
        <w:tab/>
        <w:t>This instrument is made under</w:t>
      </w:r>
      <w:r w:rsidR="00683AF1" w:rsidRPr="005E2E93">
        <w:t xml:space="preserve"> the following:</w:t>
      </w:r>
    </w:p>
    <w:p w14:paraId="0B9F99CC" w14:textId="787DBDD8" w:rsidR="002B1ECF" w:rsidRPr="005E2E93" w:rsidRDefault="002B1ECF" w:rsidP="00683AF1">
      <w:pPr>
        <w:pStyle w:val="paragraph"/>
      </w:pPr>
      <w:r w:rsidRPr="005E2E93">
        <w:tab/>
        <w:t>(a)</w:t>
      </w:r>
      <w:r w:rsidRPr="005E2E93">
        <w:tab/>
        <w:t xml:space="preserve">the </w:t>
      </w:r>
      <w:r w:rsidRPr="005E2E93">
        <w:rPr>
          <w:i/>
          <w:iCs/>
        </w:rPr>
        <w:t>Business Names Registration Act 2011</w:t>
      </w:r>
      <w:r w:rsidRPr="005E2E93">
        <w:t>; and</w:t>
      </w:r>
    </w:p>
    <w:p w14:paraId="78720EE9" w14:textId="7CE22B2F" w:rsidR="00FA06CA" w:rsidRPr="005E2E93" w:rsidRDefault="00683AF1" w:rsidP="00683AF1">
      <w:pPr>
        <w:pStyle w:val="paragraph"/>
      </w:pPr>
      <w:r w:rsidRPr="005E2E93">
        <w:tab/>
        <w:t>(a)</w:t>
      </w:r>
      <w:r w:rsidRPr="005E2E93">
        <w:tab/>
        <w:t xml:space="preserve">the </w:t>
      </w:r>
      <w:r w:rsidRPr="005E2E93">
        <w:rPr>
          <w:i/>
          <w:iCs/>
        </w:rPr>
        <w:t>Commonwealth Registers Act 2020</w:t>
      </w:r>
      <w:r w:rsidRPr="005E2E93">
        <w:t>; and</w:t>
      </w:r>
    </w:p>
    <w:p w14:paraId="3211B6C2" w14:textId="0F5D2AFF" w:rsidR="00683AF1" w:rsidRPr="005E2E93" w:rsidRDefault="00683AF1" w:rsidP="00683AF1">
      <w:pPr>
        <w:pStyle w:val="paragraph"/>
      </w:pPr>
      <w:r w:rsidRPr="005E2E93">
        <w:tab/>
        <w:t>(b)</w:t>
      </w:r>
      <w:r w:rsidRPr="005E2E93">
        <w:tab/>
        <w:t xml:space="preserve">the </w:t>
      </w:r>
      <w:r w:rsidRPr="005E2E93">
        <w:rPr>
          <w:i/>
          <w:iCs/>
        </w:rPr>
        <w:t>Corporations Act 2001</w:t>
      </w:r>
      <w:r w:rsidRPr="005E2E93">
        <w:t>; and</w:t>
      </w:r>
    </w:p>
    <w:p w14:paraId="04472BF7" w14:textId="7070D1CE" w:rsidR="00683AF1" w:rsidRPr="005E2E93" w:rsidRDefault="00683AF1" w:rsidP="00683AF1">
      <w:pPr>
        <w:pStyle w:val="paragraph"/>
      </w:pPr>
      <w:r w:rsidRPr="005E2E93">
        <w:tab/>
        <w:t>(c)</w:t>
      </w:r>
      <w:r w:rsidRPr="005E2E93">
        <w:tab/>
        <w:t xml:space="preserve">the </w:t>
      </w:r>
      <w:r w:rsidRPr="005E2E93">
        <w:rPr>
          <w:i/>
          <w:iCs/>
        </w:rPr>
        <w:t>National Consumer Credit Protection Act 2009</w:t>
      </w:r>
      <w:r w:rsidRPr="005E2E93">
        <w:t>.</w:t>
      </w:r>
    </w:p>
    <w:p w14:paraId="759F5B23" w14:textId="67E7991D" w:rsidR="003C6A06" w:rsidRPr="005E2E93" w:rsidRDefault="003C6A06" w:rsidP="003C6A06">
      <w:pPr>
        <w:pStyle w:val="ActHead2"/>
        <w:pageBreakBefore/>
      </w:pPr>
      <w:bookmarkStart w:id="21" w:name="_Toc66387167"/>
      <w:r w:rsidRPr="005E2E93">
        <w:rPr>
          <w:rStyle w:val="CharPartNo"/>
        </w:rPr>
        <w:lastRenderedPageBreak/>
        <w:t>Part</w:t>
      </w:r>
      <w:r w:rsidR="005E2E93" w:rsidRPr="005E2E93">
        <w:rPr>
          <w:rStyle w:val="CharPartNo"/>
        </w:rPr>
        <w:t> </w:t>
      </w:r>
      <w:r w:rsidRPr="005E2E93">
        <w:rPr>
          <w:rStyle w:val="CharPartNo"/>
        </w:rPr>
        <w:t>2</w:t>
      </w:r>
      <w:r w:rsidRPr="005E2E93">
        <w:t>—</w:t>
      </w:r>
      <w:r w:rsidRPr="005E2E93">
        <w:rPr>
          <w:rStyle w:val="CharPartText"/>
        </w:rPr>
        <w:t>Appointment of the Registrars</w:t>
      </w:r>
      <w:bookmarkEnd w:id="21"/>
    </w:p>
    <w:p w14:paraId="4EDAC346" w14:textId="75D27CD6" w:rsidR="003C6A06" w:rsidRPr="005E2E93" w:rsidRDefault="003C6A06" w:rsidP="003C6A06">
      <w:pPr>
        <w:pStyle w:val="Header"/>
      </w:pPr>
      <w:r w:rsidRPr="005E2E93">
        <w:rPr>
          <w:rStyle w:val="CharDivNo"/>
        </w:rPr>
        <w:t xml:space="preserve"> </w:t>
      </w:r>
      <w:r w:rsidRPr="005E2E93">
        <w:rPr>
          <w:rStyle w:val="CharDivText"/>
        </w:rPr>
        <w:t xml:space="preserve"> </w:t>
      </w:r>
    </w:p>
    <w:p w14:paraId="605F8FB5" w14:textId="52A041AC" w:rsidR="002B1ECF" w:rsidRPr="005E2E93" w:rsidRDefault="002B1ECF" w:rsidP="00BE54A4">
      <w:pPr>
        <w:pStyle w:val="ActHead5"/>
      </w:pPr>
      <w:bookmarkStart w:id="22" w:name="_Toc66387168"/>
      <w:r w:rsidRPr="005E2E93">
        <w:rPr>
          <w:rStyle w:val="CharSectno"/>
        </w:rPr>
        <w:t>4</w:t>
      </w:r>
      <w:r w:rsidRPr="005E2E93">
        <w:t xml:space="preserve">  Appointment of the Registrar under the Business Names Registration Act</w:t>
      </w:r>
      <w:bookmarkEnd w:id="22"/>
    </w:p>
    <w:p w14:paraId="245C2E3B" w14:textId="527011BA" w:rsidR="002B1ECF" w:rsidRPr="005E2E93" w:rsidRDefault="002B1ECF" w:rsidP="002B1ECF">
      <w:pPr>
        <w:pStyle w:val="subsection"/>
      </w:pPr>
      <w:r w:rsidRPr="005E2E93">
        <w:tab/>
      </w:r>
      <w:r w:rsidRPr="005E2E93">
        <w:tab/>
        <w:t>Under section</w:t>
      </w:r>
      <w:r w:rsidR="005E2E93" w:rsidRPr="005E2E93">
        <w:t> </w:t>
      </w:r>
      <w:r w:rsidRPr="005E2E93">
        <w:t xml:space="preserve">62A of the </w:t>
      </w:r>
      <w:r w:rsidRPr="005E2E93">
        <w:rPr>
          <w:i/>
          <w:iCs/>
        </w:rPr>
        <w:t>Business Names Registration Act 2011</w:t>
      </w:r>
      <w:r w:rsidRPr="005E2E93">
        <w:t xml:space="preserve">, the </w:t>
      </w:r>
      <w:r w:rsidR="00E516B5" w:rsidRPr="005E2E93">
        <w:t>person holding or performing the duties of</w:t>
      </w:r>
      <w:r w:rsidR="0055749B">
        <w:t xml:space="preserve"> the</w:t>
      </w:r>
      <w:r w:rsidR="00E516B5" w:rsidRPr="005E2E93">
        <w:t xml:space="preserve"> </w:t>
      </w:r>
      <w:r w:rsidRPr="005E2E93">
        <w:t>Commissioner of Taxation</w:t>
      </w:r>
      <w:r w:rsidR="00E516B5" w:rsidRPr="005E2E93">
        <w:t xml:space="preserve"> (from time to time)</w:t>
      </w:r>
      <w:r w:rsidRPr="005E2E93">
        <w:t xml:space="preserve"> is appointed as Registrar (within the meaning of that Act) in relation to all the functions and powers of the Registrar.</w:t>
      </w:r>
    </w:p>
    <w:p w14:paraId="079BE283" w14:textId="0574F035" w:rsidR="003C6A06" w:rsidRPr="005E2E93" w:rsidRDefault="002B1ECF" w:rsidP="00BE54A4">
      <w:pPr>
        <w:pStyle w:val="ActHead5"/>
      </w:pPr>
      <w:bookmarkStart w:id="23" w:name="_Toc66387169"/>
      <w:r w:rsidRPr="005E2E93">
        <w:rPr>
          <w:rStyle w:val="CharSectno"/>
        </w:rPr>
        <w:t>5</w:t>
      </w:r>
      <w:r w:rsidR="003C6A06" w:rsidRPr="005E2E93">
        <w:t xml:space="preserve">  Appointment of the Registrar under the Commonwealth Regist</w:t>
      </w:r>
      <w:r w:rsidR="00B9112B">
        <w:t>ers</w:t>
      </w:r>
      <w:r w:rsidR="003C6A06" w:rsidRPr="005E2E93">
        <w:t xml:space="preserve"> Act</w:t>
      </w:r>
      <w:bookmarkEnd w:id="23"/>
    </w:p>
    <w:p w14:paraId="01F47149" w14:textId="09EE4BC3" w:rsidR="003C6A06" w:rsidRPr="005E2E93" w:rsidRDefault="003C6A06" w:rsidP="003C6A06">
      <w:pPr>
        <w:pStyle w:val="subsection"/>
      </w:pPr>
      <w:r w:rsidRPr="005E2E93">
        <w:tab/>
      </w:r>
      <w:r w:rsidRPr="005E2E93">
        <w:tab/>
        <w:t xml:space="preserve">Under </w:t>
      </w:r>
      <w:r w:rsidR="00426C22" w:rsidRPr="005E2E93">
        <w:t>section</w:t>
      </w:r>
      <w:r w:rsidR="005E2E93" w:rsidRPr="005E2E93">
        <w:t> </w:t>
      </w:r>
      <w:r w:rsidR="007E23B1" w:rsidRPr="005E2E93">
        <w:t xml:space="preserve">6 of the </w:t>
      </w:r>
      <w:r w:rsidR="007E23B1" w:rsidRPr="005E2E93">
        <w:rPr>
          <w:i/>
          <w:iCs/>
        </w:rPr>
        <w:t>Commonwealth Registers Act 2020</w:t>
      </w:r>
      <w:r w:rsidR="007E23B1" w:rsidRPr="005E2E93">
        <w:t xml:space="preserve">, the </w:t>
      </w:r>
      <w:r w:rsidR="00E516B5" w:rsidRPr="005E2E93">
        <w:t>person holding or performing the duties of</w:t>
      </w:r>
      <w:r w:rsidR="0055749B">
        <w:t xml:space="preserve"> the</w:t>
      </w:r>
      <w:r w:rsidR="00E516B5" w:rsidRPr="005E2E93">
        <w:t xml:space="preserve"> Commissioner of Taxation (from time to time) </w:t>
      </w:r>
      <w:r w:rsidR="007E23B1" w:rsidRPr="005E2E93">
        <w:t xml:space="preserve">is appointed as Registrar </w:t>
      </w:r>
      <w:r w:rsidR="00583D76" w:rsidRPr="005E2E93">
        <w:t xml:space="preserve">(within the meaning of that Act) </w:t>
      </w:r>
      <w:r w:rsidR="007E23B1" w:rsidRPr="005E2E93">
        <w:t xml:space="preserve">in relation to </w:t>
      </w:r>
      <w:r w:rsidR="00426C22" w:rsidRPr="005E2E93">
        <w:t>all</w:t>
      </w:r>
      <w:r w:rsidR="007E23B1" w:rsidRPr="005E2E93">
        <w:t xml:space="preserve"> the functions and powers of the Registrar.</w:t>
      </w:r>
    </w:p>
    <w:p w14:paraId="0DC1720B" w14:textId="380BF9F0" w:rsidR="007E23B1" w:rsidRPr="005E2E93" w:rsidRDefault="002B1ECF" w:rsidP="00BE54A4">
      <w:pPr>
        <w:pStyle w:val="ActHead5"/>
      </w:pPr>
      <w:bookmarkStart w:id="24" w:name="_Toc66387170"/>
      <w:r w:rsidRPr="005E2E93">
        <w:rPr>
          <w:rStyle w:val="CharSectno"/>
        </w:rPr>
        <w:t>6</w:t>
      </w:r>
      <w:r w:rsidR="007E23B1" w:rsidRPr="005E2E93">
        <w:t xml:space="preserve">  Appointment of the Registrar under the Corporations Act</w:t>
      </w:r>
      <w:bookmarkEnd w:id="24"/>
    </w:p>
    <w:p w14:paraId="5140D920" w14:textId="1186954D" w:rsidR="007E23B1" w:rsidRPr="005E2E93" w:rsidRDefault="007E23B1" w:rsidP="007E23B1">
      <w:pPr>
        <w:pStyle w:val="subsection"/>
      </w:pPr>
      <w:r w:rsidRPr="005E2E93">
        <w:tab/>
      </w:r>
      <w:r w:rsidRPr="005E2E93">
        <w:tab/>
        <w:t>Under section</w:t>
      </w:r>
      <w:r w:rsidR="005E2E93" w:rsidRPr="005E2E93">
        <w:t> </w:t>
      </w:r>
      <w:r w:rsidRPr="005E2E93">
        <w:t xml:space="preserve">1270 of the </w:t>
      </w:r>
      <w:r w:rsidR="00877A93" w:rsidRPr="005E2E93">
        <w:rPr>
          <w:i/>
          <w:iCs/>
        </w:rPr>
        <w:t>Corporations Act 2001</w:t>
      </w:r>
      <w:r w:rsidRPr="005E2E93">
        <w:t xml:space="preserve">, the </w:t>
      </w:r>
      <w:r w:rsidR="00E516B5" w:rsidRPr="005E2E93">
        <w:t xml:space="preserve">person holding or performing the duties of </w:t>
      </w:r>
      <w:r w:rsidR="0055749B">
        <w:t xml:space="preserve">the </w:t>
      </w:r>
      <w:r w:rsidR="00E516B5" w:rsidRPr="005E2E93">
        <w:t xml:space="preserve">Commissioner of Taxation (from time to time) </w:t>
      </w:r>
      <w:r w:rsidRPr="005E2E93">
        <w:t xml:space="preserve">is appointed as Registrar </w:t>
      </w:r>
      <w:r w:rsidR="00583D76" w:rsidRPr="005E2E93">
        <w:t xml:space="preserve">(within the meaning of that Act) </w:t>
      </w:r>
      <w:r w:rsidRPr="005E2E93">
        <w:t>in relation to all the functions and powers of the Registrar.</w:t>
      </w:r>
    </w:p>
    <w:p w14:paraId="550936AE" w14:textId="16AE6580" w:rsidR="00426C22" w:rsidRPr="005E2E93" w:rsidRDefault="002B1ECF" w:rsidP="00BE54A4">
      <w:pPr>
        <w:pStyle w:val="ActHead5"/>
      </w:pPr>
      <w:bookmarkStart w:id="25" w:name="_Toc66387171"/>
      <w:r w:rsidRPr="005E2E93">
        <w:rPr>
          <w:rStyle w:val="CharSectno"/>
        </w:rPr>
        <w:t>7</w:t>
      </w:r>
      <w:r w:rsidR="00426C22" w:rsidRPr="005E2E93">
        <w:t xml:space="preserve">  Appointment of the Registrar under the National Consumer Credit Protection Act</w:t>
      </w:r>
      <w:bookmarkEnd w:id="25"/>
    </w:p>
    <w:p w14:paraId="7DF109E2" w14:textId="0F654AC6" w:rsidR="003C6A06" w:rsidRPr="005E2E93" w:rsidRDefault="00426C22" w:rsidP="00DF66EA">
      <w:pPr>
        <w:pStyle w:val="subsection"/>
      </w:pPr>
      <w:r w:rsidRPr="005E2E93">
        <w:tab/>
      </w:r>
      <w:r w:rsidRPr="005E2E93">
        <w:tab/>
        <w:t>Under section</w:t>
      </w:r>
      <w:r w:rsidR="005E2E93" w:rsidRPr="005E2E93">
        <w:t> </w:t>
      </w:r>
      <w:r w:rsidRPr="005E2E93">
        <w:t xml:space="preserve">212A of the </w:t>
      </w:r>
      <w:r w:rsidR="00877A93" w:rsidRPr="005E2E93">
        <w:rPr>
          <w:i/>
          <w:iCs/>
        </w:rPr>
        <w:t>National Consumer Credit Protection Act 2009</w:t>
      </w:r>
      <w:r w:rsidRPr="005E2E93">
        <w:t xml:space="preserve">, the </w:t>
      </w:r>
      <w:r w:rsidR="00E516B5" w:rsidRPr="005E2E93">
        <w:t xml:space="preserve">person holding or performing the duties of </w:t>
      </w:r>
      <w:r w:rsidR="0055749B">
        <w:t xml:space="preserve">the </w:t>
      </w:r>
      <w:r w:rsidR="00E516B5" w:rsidRPr="005E2E93">
        <w:t xml:space="preserve">Commissioner of Taxation (from time to time) </w:t>
      </w:r>
      <w:r w:rsidRPr="005E2E93">
        <w:t>is appointed as Registrar</w:t>
      </w:r>
      <w:r w:rsidR="00583D76" w:rsidRPr="005E2E93">
        <w:t xml:space="preserve"> (within the meaning of that Act)</w:t>
      </w:r>
      <w:r w:rsidRPr="005E2E93">
        <w:t xml:space="preserve"> in relation to all the functions and powers of the Registrar.</w:t>
      </w:r>
    </w:p>
    <w:sectPr w:rsidR="003C6A06" w:rsidRPr="005E2E93" w:rsidSect="005E2E93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0E3DF2" w14:textId="77777777" w:rsidR="007E23B1" w:rsidRDefault="007E23B1" w:rsidP="00FA06CA">
      <w:pPr>
        <w:spacing w:line="240" w:lineRule="auto"/>
      </w:pPr>
      <w:r>
        <w:separator/>
      </w:r>
    </w:p>
  </w:endnote>
  <w:endnote w:type="continuationSeparator" w:id="0">
    <w:p w14:paraId="5DFFBFE7" w14:textId="77777777" w:rsidR="007E23B1" w:rsidRDefault="007E23B1" w:rsidP="00FA06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368D64" w14:textId="72B2750E" w:rsidR="007E23B1" w:rsidRDefault="007E23B1" w:rsidP="007E23B1">
    <w:pPr>
      <w:pStyle w:val="Footer"/>
    </w:pPr>
    <w:bookmarkStart w:id="1" w:name="_Hlk26286429"/>
    <w:bookmarkStart w:id="2" w:name="_Hlk26286430"/>
    <w:bookmarkStart w:id="3" w:name="_Hlk26286433"/>
    <w:bookmarkStart w:id="4" w:name="_Hlk26286434"/>
  </w:p>
  <w:bookmarkEnd w:id="1"/>
  <w:bookmarkEnd w:id="2"/>
  <w:bookmarkEnd w:id="3"/>
  <w:bookmarkEnd w:id="4"/>
  <w:p w14:paraId="58597021" w14:textId="77777777" w:rsidR="007E23B1" w:rsidRPr="007500C8" w:rsidRDefault="007E23B1" w:rsidP="007E23B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53D6ED" w14:textId="77777777" w:rsidR="007E23B1" w:rsidRPr="00ED79B6" w:rsidRDefault="007E23B1" w:rsidP="007E23B1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7" w:name="_Hlk26286431"/>
    <w:bookmarkStart w:id="8" w:name="_Hlk26286432"/>
    <w:bookmarkStart w:id="9" w:name="_Hlk26286443"/>
    <w:bookmarkStart w:id="10" w:name="_Hlk26286444"/>
    <w:bookmarkEnd w:id="7"/>
    <w:bookmarkEnd w:id="8"/>
    <w:bookmarkEnd w:id="9"/>
    <w:bookmarkEnd w:id="1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D1DDB" w14:textId="2B69AC34" w:rsidR="007E23B1" w:rsidRPr="00E33C1C" w:rsidRDefault="007E23B1" w:rsidP="007E23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E23B1" w14:paraId="69DA906E" w14:textId="77777777" w:rsidTr="007366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96F0618" w14:textId="77777777" w:rsidR="007E23B1" w:rsidRDefault="007E23B1" w:rsidP="007E23B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3498EA8" w14:textId="04FE38D4" w:rsidR="007E23B1" w:rsidRDefault="007E23B1" w:rsidP="007E23B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6D63AA">
            <w:rPr>
              <w:i/>
              <w:noProof/>
              <w:sz w:val="18"/>
            </w:rPr>
            <w:t>Commonwealth Registers (Appointment of Registrars) Instrument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7F26A08" w14:textId="77777777" w:rsidR="007E23B1" w:rsidRDefault="007E23B1" w:rsidP="007E23B1">
          <w:pPr>
            <w:spacing w:line="0" w:lineRule="atLeast"/>
            <w:jc w:val="right"/>
            <w:rPr>
              <w:sz w:val="18"/>
            </w:rPr>
          </w:pPr>
        </w:p>
      </w:tc>
    </w:tr>
  </w:tbl>
  <w:p w14:paraId="53E71162" w14:textId="77777777" w:rsidR="007E23B1" w:rsidRPr="00ED79B6" w:rsidRDefault="007E23B1" w:rsidP="007E23B1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EE809" w14:textId="4A41CCCC" w:rsidR="007E23B1" w:rsidRPr="00E33C1C" w:rsidRDefault="007E23B1" w:rsidP="007E23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1" w:name="_Hlk26286441"/>
    <w:bookmarkStart w:id="12" w:name="_Hlk26286442"/>
    <w:bookmarkStart w:id="13" w:name="_Hlk26286445"/>
    <w:bookmarkStart w:id="14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7E23B1" w14:paraId="3235065B" w14:textId="77777777" w:rsidTr="007E23B1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B387078" w14:textId="77777777" w:rsidR="007E23B1" w:rsidRDefault="007E23B1" w:rsidP="007E23B1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1F3F8536" w14:textId="3A176160" w:rsidR="007E23B1" w:rsidRDefault="007E23B1" w:rsidP="007E23B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A796E">
            <w:rPr>
              <w:i/>
              <w:noProof/>
              <w:sz w:val="18"/>
            </w:rPr>
            <w:t>Commonwealth Registers (Appointment of Registrars) Instrument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E62562" w14:textId="3C0CFD3E" w:rsidR="007E23B1" w:rsidRDefault="007E23B1" w:rsidP="007E23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796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1"/>
    <w:bookmarkEnd w:id="12"/>
    <w:bookmarkEnd w:id="13"/>
    <w:bookmarkEnd w:id="14"/>
  </w:tbl>
  <w:p w14:paraId="7867380B" w14:textId="77777777" w:rsidR="007E23B1" w:rsidRPr="00ED79B6" w:rsidRDefault="007E23B1" w:rsidP="007E23B1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B9C2F" w14:textId="443571D1" w:rsidR="007E23B1" w:rsidRPr="00E33C1C" w:rsidRDefault="007E23B1" w:rsidP="007E23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E23B1" w14:paraId="2F3B3134" w14:textId="77777777" w:rsidTr="007366F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D37F88" w14:textId="5F5460B7" w:rsidR="007E23B1" w:rsidRDefault="007E23B1" w:rsidP="007E23B1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796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6CD050AE" w14:textId="3C06725E" w:rsidR="007E23B1" w:rsidRDefault="007E23B1" w:rsidP="007E23B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A796E">
            <w:rPr>
              <w:i/>
              <w:noProof/>
              <w:sz w:val="18"/>
            </w:rPr>
            <w:t>Commonwealth Registers (Appointment of Registrars) Instrument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EB41FF8" w14:textId="77777777" w:rsidR="007E23B1" w:rsidRDefault="007E23B1" w:rsidP="007E23B1">
          <w:pPr>
            <w:spacing w:line="0" w:lineRule="atLeast"/>
            <w:jc w:val="right"/>
            <w:rPr>
              <w:sz w:val="18"/>
            </w:rPr>
          </w:pPr>
        </w:p>
      </w:tc>
    </w:tr>
  </w:tbl>
  <w:p w14:paraId="004A7B78" w14:textId="77777777" w:rsidR="007E23B1" w:rsidRPr="00ED79B6" w:rsidRDefault="007E23B1" w:rsidP="007E23B1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EE5967" w14:textId="681C1F38" w:rsidR="007E23B1" w:rsidRPr="00E33C1C" w:rsidRDefault="007E23B1" w:rsidP="007E23B1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0" w:name="_Hlk26286453"/>
    <w:bookmarkStart w:id="31" w:name="_Hlk26286454"/>
    <w:bookmarkStart w:id="32" w:name="_Hlk26286457"/>
    <w:bookmarkStart w:id="33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6"/>
      <w:gridCol w:w="700"/>
    </w:tblGrid>
    <w:tr w:rsidR="007E23B1" w14:paraId="42A930A7" w14:textId="77777777" w:rsidTr="007366F0">
      <w:tc>
        <w:tcPr>
          <w:tcW w:w="1357" w:type="dxa"/>
          <w:tcBorders>
            <w:top w:val="nil"/>
            <w:left w:val="nil"/>
            <w:bottom w:val="nil"/>
            <w:right w:val="nil"/>
          </w:tcBorders>
        </w:tcPr>
        <w:p w14:paraId="52E8872E" w14:textId="77777777" w:rsidR="007E23B1" w:rsidRDefault="007E23B1" w:rsidP="007E23B1">
          <w:pPr>
            <w:spacing w:line="0" w:lineRule="atLeast"/>
            <w:rPr>
              <w:sz w:val="18"/>
            </w:rPr>
          </w:pPr>
        </w:p>
      </w:tc>
      <w:tc>
        <w:tcPr>
          <w:tcW w:w="6256" w:type="dxa"/>
          <w:tcBorders>
            <w:top w:val="nil"/>
            <w:left w:val="nil"/>
            <w:bottom w:val="nil"/>
            <w:right w:val="nil"/>
          </w:tcBorders>
        </w:tcPr>
        <w:p w14:paraId="3D96C37B" w14:textId="6F6D1CF5" w:rsidR="007E23B1" w:rsidRDefault="007E23B1" w:rsidP="007E23B1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A796E">
            <w:rPr>
              <w:i/>
              <w:noProof/>
              <w:sz w:val="18"/>
            </w:rPr>
            <w:t>Commonwealth Registers (Appointment of Registrars) Instrument 2021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5BD62DD5" w14:textId="47EAE4F0" w:rsidR="007E23B1" w:rsidRDefault="007E23B1" w:rsidP="007E23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A796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0"/>
    <w:bookmarkEnd w:id="31"/>
    <w:bookmarkEnd w:id="32"/>
    <w:bookmarkEnd w:id="33"/>
  </w:tbl>
  <w:p w14:paraId="7693A4A5" w14:textId="77777777" w:rsidR="007E23B1" w:rsidRPr="00ED79B6" w:rsidRDefault="007E23B1" w:rsidP="007E23B1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0C63C" w14:textId="77777777" w:rsidR="007E23B1" w:rsidRPr="00E33C1C" w:rsidRDefault="007E23B1" w:rsidP="007E23B1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36" w:name="_Hlk26286455"/>
    <w:bookmarkStart w:id="37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E23B1" w14:paraId="3BA6E39A" w14:textId="77777777" w:rsidTr="007366F0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0DA1BB39" w14:textId="77777777" w:rsidR="007E23B1" w:rsidRDefault="007E23B1" w:rsidP="007E23B1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109841DE" w14:textId="43D87842" w:rsidR="007E23B1" w:rsidRDefault="007E23B1" w:rsidP="007E23B1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6D63AA">
            <w:rPr>
              <w:i/>
              <w:sz w:val="18"/>
            </w:rPr>
            <w:t>Commonwealth Registers (Appointment of Registrars) Instrument 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3C23920D" w14:textId="77777777" w:rsidR="007E23B1" w:rsidRDefault="007E23B1" w:rsidP="007E23B1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6"/>
    <w:bookmarkEnd w:id="37"/>
  </w:tbl>
  <w:p w14:paraId="2E9E6FB2" w14:textId="77777777" w:rsidR="007E23B1" w:rsidRPr="00ED79B6" w:rsidRDefault="007E23B1" w:rsidP="007E23B1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E5F8D" w14:textId="77777777" w:rsidR="007E23B1" w:rsidRDefault="007E23B1" w:rsidP="00FA06CA">
      <w:pPr>
        <w:spacing w:line="240" w:lineRule="auto"/>
      </w:pPr>
      <w:r>
        <w:separator/>
      </w:r>
    </w:p>
  </w:footnote>
  <w:footnote w:type="continuationSeparator" w:id="0">
    <w:p w14:paraId="18E43EF8" w14:textId="77777777" w:rsidR="007E23B1" w:rsidRDefault="007E23B1" w:rsidP="00FA06C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7D23A8" w14:textId="3513D3E0" w:rsidR="007E23B1" w:rsidRPr="005F1388" w:rsidRDefault="007E23B1" w:rsidP="007E23B1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4DE63" w14:textId="59F58D6E" w:rsidR="007E23B1" w:rsidRPr="005F1388" w:rsidRDefault="007E23B1" w:rsidP="007E23B1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CE0FC7" w14:textId="77777777" w:rsidR="007E23B1" w:rsidRPr="005F1388" w:rsidRDefault="007E23B1" w:rsidP="007E23B1">
    <w:pPr>
      <w:pStyle w:val="Header"/>
      <w:tabs>
        <w:tab w:val="clear" w:pos="4150"/>
        <w:tab w:val="clear" w:pos="8307"/>
      </w:tabs>
    </w:pPr>
    <w:bookmarkStart w:id="5" w:name="_Hlk26286425"/>
    <w:bookmarkStart w:id="6" w:name="_Hlk26286426"/>
    <w:bookmarkEnd w:id="5"/>
    <w:bookmarkEnd w:id="6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30E591" w14:textId="27C506A7" w:rsidR="007E23B1" w:rsidRPr="00ED79B6" w:rsidRDefault="007E23B1" w:rsidP="007E23B1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4511CC" w14:textId="5DD335EC" w:rsidR="007E23B1" w:rsidRPr="00ED79B6" w:rsidRDefault="007E23B1" w:rsidP="007E23B1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A739B1" w14:textId="77777777" w:rsidR="007E23B1" w:rsidRPr="00ED79B6" w:rsidRDefault="007E23B1" w:rsidP="007E23B1">
    <w:pPr>
      <w:pStyle w:val="Header"/>
      <w:tabs>
        <w:tab w:val="clear" w:pos="4150"/>
        <w:tab w:val="clear" w:pos="8307"/>
      </w:tabs>
    </w:pPr>
    <w:bookmarkStart w:id="15" w:name="_Hlk26286437"/>
    <w:bookmarkStart w:id="16" w:name="_Hlk26286438"/>
    <w:bookmarkEnd w:id="15"/>
    <w:bookmarkEnd w:id="16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0B88B" w14:textId="7EE2B4A1" w:rsidR="007E23B1" w:rsidRDefault="007E23B1" w:rsidP="007E23B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20947EEB" w14:textId="496DCF3A" w:rsidR="007E23B1" w:rsidRDefault="007E23B1" w:rsidP="007E23B1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9A796E">
      <w:rPr>
        <w:b/>
        <w:noProof/>
        <w:sz w:val="20"/>
      </w:rPr>
      <w:t>Part 2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A796E">
      <w:rPr>
        <w:noProof/>
        <w:sz w:val="20"/>
      </w:rPr>
      <w:t>Appointment of the Registrars</w:t>
    </w:r>
    <w:r>
      <w:rPr>
        <w:sz w:val="20"/>
      </w:rPr>
      <w:fldChar w:fldCharType="end"/>
    </w:r>
  </w:p>
  <w:p w14:paraId="7BD5CFB7" w14:textId="45782C28" w:rsidR="007E23B1" w:rsidRPr="007A1328" w:rsidRDefault="007E23B1" w:rsidP="007E23B1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548E9138" w14:textId="77777777" w:rsidR="007E23B1" w:rsidRPr="007A1328" w:rsidRDefault="007E23B1" w:rsidP="007E23B1">
    <w:pPr>
      <w:rPr>
        <w:b/>
        <w:sz w:val="24"/>
      </w:rPr>
    </w:pPr>
  </w:p>
  <w:p w14:paraId="7C66075A" w14:textId="537B61F6" w:rsidR="007E23B1" w:rsidRPr="007A1328" w:rsidRDefault="007E23B1" w:rsidP="007E23B1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D63AA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A796E">
      <w:rPr>
        <w:noProof/>
        <w:sz w:val="24"/>
      </w:rPr>
      <w:t>4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6" w:name="_Hlk26286447"/>
  <w:bookmarkStart w:id="27" w:name="_Hlk26286448"/>
  <w:bookmarkStart w:id="28" w:name="_Hlk26286451"/>
  <w:bookmarkStart w:id="29" w:name="_Hlk26286452"/>
  <w:p w14:paraId="1AF86ED1" w14:textId="51218B1C" w:rsidR="007E23B1" w:rsidRPr="007A1328" w:rsidRDefault="007E23B1" w:rsidP="007E23B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47C01793" w14:textId="3CCBA8AB" w:rsidR="007E23B1" w:rsidRPr="007A1328" w:rsidRDefault="007E23B1" w:rsidP="007E23B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9A796E">
      <w:rPr>
        <w:sz w:val="20"/>
      </w:rPr>
      <w:fldChar w:fldCharType="separate"/>
    </w:r>
    <w:r w:rsidR="009A796E">
      <w:rPr>
        <w:noProof/>
        <w:sz w:val="20"/>
      </w:rPr>
      <w:t>Preliminary</w: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9A796E">
      <w:rPr>
        <w:b/>
        <w:sz w:val="20"/>
      </w:rPr>
      <w:fldChar w:fldCharType="separate"/>
    </w:r>
    <w:r w:rsidR="009A796E">
      <w:rPr>
        <w:b/>
        <w:noProof/>
        <w:sz w:val="20"/>
      </w:rPr>
      <w:t>Part 1</w:t>
    </w:r>
    <w:r>
      <w:rPr>
        <w:b/>
        <w:sz w:val="20"/>
      </w:rPr>
      <w:fldChar w:fldCharType="end"/>
    </w:r>
  </w:p>
  <w:p w14:paraId="2F553F77" w14:textId="5D013A03" w:rsidR="007E23B1" w:rsidRPr="007A1328" w:rsidRDefault="007E23B1" w:rsidP="007E23B1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747082A2" w14:textId="77777777" w:rsidR="007E23B1" w:rsidRPr="007A1328" w:rsidRDefault="007E23B1" w:rsidP="007E23B1">
    <w:pPr>
      <w:jc w:val="right"/>
      <w:rPr>
        <w:b/>
        <w:sz w:val="24"/>
      </w:rPr>
    </w:pPr>
  </w:p>
  <w:p w14:paraId="1B5068DB" w14:textId="1D5793A7" w:rsidR="007E23B1" w:rsidRPr="007A1328" w:rsidRDefault="007E23B1" w:rsidP="007E23B1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6D63AA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A796E">
      <w:rPr>
        <w:noProof/>
        <w:sz w:val="24"/>
      </w:rPr>
      <w:t>1</w:t>
    </w:r>
    <w:r w:rsidRPr="007A1328">
      <w:rPr>
        <w:sz w:val="24"/>
      </w:rPr>
      <w:fldChar w:fldCharType="end"/>
    </w:r>
    <w:bookmarkEnd w:id="26"/>
    <w:bookmarkEnd w:id="27"/>
    <w:bookmarkEnd w:id="28"/>
    <w:bookmarkEnd w:id="29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8C3E1" w14:textId="77777777" w:rsidR="007E23B1" w:rsidRPr="007A1328" w:rsidRDefault="007E23B1" w:rsidP="007E23B1">
    <w:bookmarkStart w:id="34" w:name="_Hlk26286449"/>
    <w:bookmarkStart w:id="35" w:name="_Hlk26286450"/>
    <w:bookmarkEnd w:id="34"/>
    <w:bookmarkEnd w:id="3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TrueTypeFonts/>
  <w:saveSubsetFonts/>
  <w:attachedTemplate r:id="rId1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77F"/>
    <w:rsid w:val="00242248"/>
    <w:rsid w:val="00276F5B"/>
    <w:rsid w:val="002B1ECF"/>
    <w:rsid w:val="002E37C3"/>
    <w:rsid w:val="003C6A06"/>
    <w:rsid w:val="003E5E9A"/>
    <w:rsid w:val="00426C22"/>
    <w:rsid w:val="004915E7"/>
    <w:rsid w:val="004C0828"/>
    <w:rsid w:val="0055749B"/>
    <w:rsid w:val="00583D76"/>
    <w:rsid w:val="005E2E93"/>
    <w:rsid w:val="00636078"/>
    <w:rsid w:val="00683AF1"/>
    <w:rsid w:val="006D63AA"/>
    <w:rsid w:val="007366F0"/>
    <w:rsid w:val="0077077F"/>
    <w:rsid w:val="007E23B1"/>
    <w:rsid w:val="008455B4"/>
    <w:rsid w:val="00877A93"/>
    <w:rsid w:val="00943219"/>
    <w:rsid w:val="009A796E"/>
    <w:rsid w:val="00B9112B"/>
    <w:rsid w:val="00BC2223"/>
    <w:rsid w:val="00BE54A4"/>
    <w:rsid w:val="00C76388"/>
    <w:rsid w:val="00C9209D"/>
    <w:rsid w:val="00C9500F"/>
    <w:rsid w:val="00D942FC"/>
    <w:rsid w:val="00DC5924"/>
    <w:rsid w:val="00DF66EA"/>
    <w:rsid w:val="00E516B5"/>
    <w:rsid w:val="00E71987"/>
    <w:rsid w:val="00FA0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00A715"/>
  <w15:chartTrackingRefBased/>
  <w15:docId w15:val="{19647882-1BA8-41B3-84FF-C774C502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5E2E93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2E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2E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2E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2E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2E9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2E9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2E9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2E9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2E9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2E93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2E93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2E93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2E93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2E93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2E93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2E93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2E9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2E9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5E2E93"/>
  </w:style>
  <w:style w:type="paragraph" w:customStyle="1" w:styleId="OPCParaBase">
    <w:name w:val="OPCParaBase"/>
    <w:qFormat/>
    <w:rsid w:val="005E2E93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5E2E9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5E2E9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5E2E9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5E2E9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5E2E9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5E2E9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5E2E9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5E2E9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5E2E9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5E2E9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5E2E93"/>
  </w:style>
  <w:style w:type="paragraph" w:customStyle="1" w:styleId="Blocks">
    <w:name w:val="Blocks"/>
    <w:aliases w:val="bb"/>
    <w:basedOn w:val="OPCParaBase"/>
    <w:qFormat/>
    <w:rsid w:val="005E2E9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5E2E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5E2E9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5E2E93"/>
    <w:rPr>
      <w:i/>
    </w:rPr>
  </w:style>
  <w:style w:type="paragraph" w:customStyle="1" w:styleId="BoxList">
    <w:name w:val="BoxList"/>
    <w:aliases w:val="bl"/>
    <w:basedOn w:val="BoxText"/>
    <w:qFormat/>
    <w:rsid w:val="005E2E9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5E2E9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5E2E9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5E2E93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5E2E93"/>
  </w:style>
  <w:style w:type="character" w:customStyle="1" w:styleId="CharAmPartText">
    <w:name w:val="CharAmPartText"/>
    <w:basedOn w:val="OPCCharBase"/>
    <w:uiPriority w:val="1"/>
    <w:qFormat/>
    <w:rsid w:val="005E2E93"/>
  </w:style>
  <w:style w:type="character" w:customStyle="1" w:styleId="CharAmSchNo">
    <w:name w:val="CharAmSchNo"/>
    <w:basedOn w:val="OPCCharBase"/>
    <w:uiPriority w:val="1"/>
    <w:qFormat/>
    <w:rsid w:val="005E2E93"/>
  </w:style>
  <w:style w:type="character" w:customStyle="1" w:styleId="CharAmSchText">
    <w:name w:val="CharAmSchText"/>
    <w:basedOn w:val="OPCCharBase"/>
    <w:uiPriority w:val="1"/>
    <w:qFormat/>
    <w:rsid w:val="005E2E93"/>
  </w:style>
  <w:style w:type="character" w:customStyle="1" w:styleId="CharBoldItalic">
    <w:name w:val="CharBoldItalic"/>
    <w:basedOn w:val="OPCCharBase"/>
    <w:uiPriority w:val="1"/>
    <w:qFormat/>
    <w:rsid w:val="005E2E93"/>
    <w:rPr>
      <w:b/>
      <w:i/>
    </w:rPr>
  </w:style>
  <w:style w:type="character" w:customStyle="1" w:styleId="CharChapNo">
    <w:name w:val="CharChapNo"/>
    <w:basedOn w:val="OPCCharBase"/>
    <w:qFormat/>
    <w:rsid w:val="005E2E93"/>
  </w:style>
  <w:style w:type="character" w:customStyle="1" w:styleId="CharChapText">
    <w:name w:val="CharChapText"/>
    <w:basedOn w:val="OPCCharBase"/>
    <w:qFormat/>
    <w:rsid w:val="005E2E93"/>
  </w:style>
  <w:style w:type="character" w:customStyle="1" w:styleId="CharDivNo">
    <w:name w:val="CharDivNo"/>
    <w:basedOn w:val="OPCCharBase"/>
    <w:qFormat/>
    <w:rsid w:val="005E2E93"/>
  </w:style>
  <w:style w:type="character" w:customStyle="1" w:styleId="CharDivText">
    <w:name w:val="CharDivText"/>
    <w:basedOn w:val="OPCCharBase"/>
    <w:qFormat/>
    <w:rsid w:val="005E2E93"/>
  </w:style>
  <w:style w:type="character" w:customStyle="1" w:styleId="CharItalic">
    <w:name w:val="CharItalic"/>
    <w:basedOn w:val="OPCCharBase"/>
    <w:uiPriority w:val="1"/>
    <w:qFormat/>
    <w:rsid w:val="005E2E93"/>
    <w:rPr>
      <w:i/>
    </w:rPr>
  </w:style>
  <w:style w:type="character" w:customStyle="1" w:styleId="CharPartNo">
    <w:name w:val="CharPartNo"/>
    <w:basedOn w:val="OPCCharBase"/>
    <w:qFormat/>
    <w:rsid w:val="005E2E93"/>
  </w:style>
  <w:style w:type="character" w:customStyle="1" w:styleId="CharPartText">
    <w:name w:val="CharPartText"/>
    <w:basedOn w:val="OPCCharBase"/>
    <w:qFormat/>
    <w:rsid w:val="005E2E93"/>
  </w:style>
  <w:style w:type="character" w:customStyle="1" w:styleId="CharSectno">
    <w:name w:val="CharSectno"/>
    <w:basedOn w:val="OPCCharBase"/>
    <w:qFormat/>
    <w:rsid w:val="005E2E93"/>
  </w:style>
  <w:style w:type="character" w:customStyle="1" w:styleId="CharSubdNo">
    <w:name w:val="CharSubdNo"/>
    <w:basedOn w:val="OPCCharBase"/>
    <w:uiPriority w:val="1"/>
    <w:qFormat/>
    <w:rsid w:val="005E2E93"/>
  </w:style>
  <w:style w:type="character" w:customStyle="1" w:styleId="CharSubdText">
    <w:name w:val="CharSubdText"/>
    <w:basedOn w:val="OPCCharBase"/>
    <w:uiPriority w:val="1"/>
    <w:qFormat/>
    <w:rsid w:val="005E2E93"/>
  </w:style>
  <w:style w:type="paragraph" w:customStyle="1" w:styleId="CTA--">
    <w:name w:val="CTA --"/>
    <w:basedOn w:val="OPCParaBase"/>
    <w:next w:val="Normal"/>
    <w:rsid w:val="005E2E9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5E2E9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5E2E9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5E2E9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5E2E9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5E2E9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5E2E9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5E2E9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5E2E9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5E2E9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5E2E9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5E2E9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5E2E9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5E2E9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5E2E9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5E2E93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5E2E9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E2E9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E2E9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E2E9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5E2E9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5E2E9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5E2E93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5E2E9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5E2E9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5E2E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5E2E9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5E2E9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5E2E9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E2E9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E2E9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5E2E9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5E2E9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5E2E9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5E2E9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5E2E9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5E2E9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5E2E9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5E2E9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5E2E9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5E2E9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5E2E9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5E2E9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5E2E9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5E2E9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5E2E9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5E2E9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E2E9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5E2E9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5E2E9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5E2E9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5E2E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5E2E9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E2E9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5E2E9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5E2E9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5E2E9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5E2E9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unhideWhenUsed/>
    <w:rsid w:val="005E2E9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5E2E9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5E2E9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5E2E9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5E2E9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5E2E9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E2E9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5E2E9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5E2E9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5E2E9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5E2E9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E2E9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5E2E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5E2E93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5E2E93"/>
    <w:rPr>
      <w:sz w:val="16"/>
    </w:rPr>
  </w:style>
  <w:style w:type="table" w:customStyle="1" w:styleId="CFlag">
    <w:name w:val="CFlag"/>
    <w:basedOn w:val="TableNormal"/>
    <w:uiPriority w:val="99"/>
    <w:rsid w:val="005E2E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5E2E9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2E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E2E93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5E2E93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5E2E9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5E2E9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5E2E9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5E2E93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5E2E9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5E2E93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5E2E93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5E2E9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5E2E9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5E2E93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5E2E93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5E2E9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5E2E9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5E2E9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5E2E9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5E2E9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5E2E9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5E2E9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5E2E9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5E2E93"/>
  </w:style>
  <w:style w:type="character" w:customStyle="1" w:styleId="CharSubPartNoCASA">
    <w:name w:val="CharSubPartNo(CASA)"/>
    <w:basedOn w:val="OPCCharBase"/>
    <w:uiPriority w:val="1"/>
    <w:rsid w:val="005E2E93"/>
  </w:style>
  <w:style w:type="paragraph" w:customStyle="1" w:styleId="ENoteTTIndentHeadingSub">
    <w:name w:val="ENoteTTIndentHeadingSub"/>
    <w:aliases w:val="enTTHis"/>
    <w:basedOn w:val="OPCParaBase"/>
    <w:rsid w:val="005E2E9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5E2E9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5E2E9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5E2E9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5E2E9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5E2E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5E2E93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5E2E9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5E2E9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5E2E93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5E2E93"/>
  </w:style>
  <w:style w:type="paragraph" w:customStyle="1" w:styleId="TableHeading">
    <w:name w:val="TableHeading"/>
    <w:aliases w:val="th"/>
    <w:basedOn w:val="OPCParaBase"/>
    <w:next w:val="Tabletext"/>
    <w:rsid w:val="005E2E9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5E2E9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5E2E93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5E2E9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5E2E93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5E2E9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5E2E93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5E2E9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5E2E93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5E2E9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5E2E93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5E2E9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5E2E93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5E2E93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0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2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2021RG-111-18487</_dlc_DocId>
    <_dlc_DocIdUrl xmlns="0f563589-9cf9-4143-b1eb-fb0534803d38">
      <Url>http://tweb/sites/rg/ldp/lmu/_layouts/15/DocIdRedir.aspx?ID=2021RG-111-18487</Url>
      <Description>2021RG-111-18487</Description>
    </_dlc_DocIdUrl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36495" ma:contentTypeDescription=" " ma:contentTypeScope="" ma:versionID="e792c48bde9f999dd14c1ff6e1072523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5="http://schemas.microsoft.com/sharepoint/v4" targetNamespace="http://schemas.microsoft.com/office/2006/metadata/properties" ma:root="true" ma:fieldsID="5b8581aea00d179ae3db921e097a81a7" ns1:_="" ns2:_="" ns3:_="" ns5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5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9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47AF6-51F7-42D7-A0E9-B767BDE610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903BA4F-49D8-4077-A261-DCB5F15F3CDC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51432343-49C1-4A7F-84C1-C8E92CFEF46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BB4221-7F8B-4042-9CA4-A9DF740B0385}">
  <ds:schemaRefs>
    <ds:schemaRef ds:uri="9f7bc583-7cbe-45b9-a2bd-8bbb6543b37e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f563589-9cf9-4143-b1eb-fb0534803d38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5E66465-B98F-4C8F-8412-DD42A310FA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23D4D2A-27A6-48AD-8027-3E8CD676DA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246</TotalTime>
  <Pages>6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210224-NI-TSY_46_594-Cth Registrar-appointment.master</dc:title>
  <dc:subject/>
  <dc:creator>Leggett, Chris</dc:creator>
  <cp:keywords/>
  <dc:description/>
  <cp:lastModifiedBy>Cooper, Faith</cp:lastModifiedBy>
  <cp:revision>23</cp:revision>
  <cp:lastPrinted>2021-03-11T09:39:00Z</cp:lastPrinted>
  <dcterms:created xsi:type="dcterms:W3CDTF">2021-02-24T01:45:00Z</dcterms:created>
  <dcterms:modified xsi:type="dcterms:W3CDTF">2021-03-18T01:27:00Z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Commonwealth Registers (Appointment of Registrars) Instrument 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2017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cb9b5d29-fa8a-43a6-b7ce-6cc00730e4cd</vt:lpwstr>
  </property>
  <property fmtid="{D5CDD505-2E9C-101B-9397-08002B2CF9AE}" pid="17" name="TSYTopic">
    <vt:lpwstr/>
  </property>
  <property fmtid="{D5CDD505-2E9C-101B-9397-08002B2CF9AE}" pid="18" name="Order">
    <vt:r8>1848700</vt:r8>
  </property>
  <property fmtid="{D5CDD505-2E9C-101B-9397-08002B2CF9AE}" pid="19" name="oae75e2df9d943898d59cb03ca0993c5">
    <vt:lpwstr/>
  </property>
  <property fmtid="{D5CDD505-2E9C-101B-9397-08002B2CF9AE}" pid="20" name="Topics">
    <vt:lpwstr/>
  </property>
</Properties>
</file>