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5444" w14:textId="264944D5" w:rsidR="00BC3821" w:rsidRDefault="00F8305C" w:rsidP="00D63915">
      <w:pPr>
        <w:keepNext/>
        <w:jc w:val="center"/>
        <w:outlineLvl w:val="4"/>
      </w:pPr>
      <w:r>
        <w:rPr>
          <w:noProof/>
          <w:lang w:val="en-AU" w:eastAsia="en-AU"/>
        </w:rPr>
        <w:drawing>
          <wp:inline distT="0" distB="0" distL="0" distR="0" wp14:anchorId="4CB1546A" wp14:editId="5C28DA3D">
            <wp:extent cx="10668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14:paraId="4CB15445" w14:textId="77777777" w:rsidR="00BC3821" w:rsidRDefault="00BC3821" w:rsidP="00D63915">
      <w:pPr>
        <w:pStyle w:val="Title"/>
        <w:keepNext/>
        <w:ind w:right="0"/>
        <w:outlineLvl w:val="4"/>
        <w:rPr>
          <w:sz w:val="24"/>
        </w:rPr>
      </w:pPr>
      <w:r>
        <w:rPr>
          <w:sz w:val="24"/>
        </w:rPr>
        <w:t>COMMONWEALTH OF AUSTRALIA</w:t>
      </w:r>
    </w:p>
    <w:p w14:paraId="0854AFDD" w14:textId="77777777" w:rsidR="00CF5312" w:rsidRDefault="00CF5312" w:rsidP="00D63915">
      <w:pPr>
        <w:pStyle w:val="Title"/>
        <w:keepNext/>
        <w:ind w:right="0"/>
        <w:outlineLvl w:val="4"/>
        <w:rPr>
          <w:sz w:val="24"/>
        </w:rPr>
      </w:pPr>
    </w:p>
    <w:p w14:paraId="4CB15446" w14:textId="77777777" w:rsidR="00BC3821" w:rsidRPr="00CF5312" w:rsidRDefault="00BC3821" w:rsidP="00D63915">
      <w:pPr>
        <w:pStyle w:val="Heading5"/>
        <w:ind w:left="0"/>
        <w:jc w:val="center"/>
        <w:rPr>
          <w:b/>
          <w:sz w:val="24"/>
        </w:rPr>
      </w:pPr>
      <w:r w:rsidRPr="00CF5312">
        <w:rPr>
          <w:b/>
          <w:sz w:val="24"/>
        </w:rPr>
        <w:t>Environment Protection and Biodiversity Conservation Act 1999</w:t>
      </w:r>
    </w:p>
    <w:p w14:paraId="4CB15447" w14:textId="77777777" w:rsidR="00BC3821" w:rsidRPr="000D1D5F" w:rsidRDefault="00BC3821" w:rsidP="00D63915">
      <w:pPr>
        <w:keepNext/>
        <w:jc w:val="center"/>
        <w:outlineLvl w:val="4"/>
      </w:pPr>
    </w:p>
    <w:p w14:paraId="4CB15448" w14:textId="60B3CAD1" w:rsidR="00BC3821" w:rsidRDefault="00BC3821" w:rsidP="00D63915">
      <w:pPr>
        <w:pStyle w:val="Heading6"/>
        <w:jc w:val="center"/>
        <w:rPr>
          <w:snapToGrid w:val="0"/>
          <w:sz w:val="24"/>
          <w:szCs w:val="24"/>
        </w:rPr>
      </w:pPr>
      <w:r w:rsidRPr="000D1D5F">
        <w:rPr>
          <w:sz w:val="24"/>
          <w:szCs w:val="24"/>
        </w:rPr>
        <w:t>DECLARATION OF AN APPROVED WILDLIFE TRADE OPERATION</w:t>
      </w:r>
      <w:r w:rsidR="001437D5" w:rsidRPr="000D1D5F">
        <w:rPr>
          <w:sz w:val="24"/>
          <w:szCs w:val="24"/>
        </w:rPr>
        <w:t xml:space="preserve"> </w:t>
      </w:r>
      <w:r w:rsidR="001437D5" w:rsidRPr="000D1D5F">
        <w:rPr>
          <w:snapToGrid w:val="0"/>
          <w:sz w:val="24"/>
          <w:szCs w:val="24"/>
        </w:rPr>
        <w:t xml:space="preserve">– </w:t>
      </w:r>
      <w:r w:rsidR="000D1D5F" w:rsidRPr="000D1D5F">
        <w:rPr>
          <w:snapToGrid w:val="0"/>
          <w:sz w:val="24"/>
          <w:szCs w:val="24"/>
        </w:rPr>
        <w:t>NORTHERN TERRITORY AQUARIUM FISHERY</w:t>
      </w:r>
      <w:r w:rsidR="001437D5" w:rsidRPr="000D1D5F">
        <w:rPr>
          <w:snapToGrid w:val="0"/>
          <w:sz w:val="24"/>
          <w:szCs w:val="24"/>
        </w:rPr>
        <w:t xml:space="preserve">, </w:t>
      </w:r>
      <w:r w:rsidR="00F21964">
        <w:rPr>
          <w:snapToGrid w:val="0"/>
          <w:sz w:val="24"/>
          <w:szCs w:val="24"/>
        </w:rPr>
        <w:t>JULY 2021</w:t>
      </w:r>
    </w:p>
    <w:p w14:paraId="4957019E" w14:textId="77777777" w:rsidR="00F21964" w:rsidRPr="00F21964" w:rsidRDefault="00F21964" w:rsidP="00F21964">
      <w:pPr>
        <w:rPr>
          <w:lang w:val="en-AU"/>
        </w:rPr>
      </w:pPr>
    </w:p>
    <w:p w14:paraId="4CB15449" w14:textId="77777777" w:rsidR="00BC3821" w:rsidRPr="000D1D5F" w:rsidRDefault="00BC3821" w:rsidP="00D63915">
      <w:pPr>
        <w:spacing w:line="220" w:lineRule="atLeast"/>
        <w:jc w:val="center"/>
        <w:rPr>
          <w:b/>
          <w:sz w:val="22"/>
          <w:szCs w:val="22"/>
        </w:rPr>
      </w:pPr>
    </w:p>
    <w:p w14:paraId="183F8A97" w14:textId="0015149D" w:rsidR="00F72E63" w:rsidRDefault="00BC3821" w:rsidP="00D63915">
      <w:pPr>
        <w:rPr>
          <w:sz w:val="22"/>
          <w:szCs w:val="22"/>
        </w:rPr>
      </w:pPr>
      <w:r w:rsidRPr="009C0419">
        <w:rPr>
          <w:sz w:val="22"/>
          <w:szCs w:val="22"/>
        </w:rPr>
        <w:t xml:space="preserve">I, </w:t>
      </w:r>
      <w:r w:rsidR="00D63915" w:rsidRPr="009C0419">
        <w:rPr>
          <w:sz w:val="22"/>
          <w:szCs w:val="22"/>
        </w:rPr>
        <w:t>L</w:t>
      </w:r>
      <w:r w:rsidR="007F7697" w:rsidRPr="009C0419">
        <w:rPr>
          <w:sz w:val="22"/>
          <w:szCs w:val="22"/>
        </w:rPr>
        <w:t>AURA TIMMINS</w:t>
      </w:r>
      <w:r w:rsidR="004C3DEE" w:rsidRPr="009C0419">
        <w:rPr>
          <w:sz w:val="22"/>
          <w:szCs w:val="22"/>
        </w:rPr>
        <w:t xml:space="preserve">, </w:t>
      </w:r>
      <w:r w:rsidR="00F21964" w:rsidRPr="009C0419">
        <w:rPr>
          <w:sz w:val="22"/>
          <w:szCs w:val="22"/>
        </w:rPr>
        <w:t xml:space="preserve">Senior Director, Wildlife Trade </w:t>
      </w:r>
      <w:r w:rsidR="00AF78E0">
        <w:rPr>
          <w:sz w:val="22"/>
          <w:szCs w:val="22"/>
        </w:rPr>
        <w:t>Office</w:t>
      </w:r>
      <w:r w:rsidR="00F21964" w:rsidRPr="009C0419">
        <w:rPr>
          <w:sz w:val="22"/>
          <w:szCs w:val="22"/>
        </w:rPr>
        <w:t>, as Delegate of the Minister for the Environment,</w:t>
      </w:r>
      <w:r w:rsidR="00F21964" w:rsidRPr="009C0419">
        <w:rPr>
          <w:snapToGrid w:val="0"/>
          <w:sz w:val="22"/>
          <w:szCs w:val="22"/>
        </w:rPr>
        <w:t xml:space="preserve"> </w:t>
      </w:r>
      <w:r w:rsidR="00F21964" w:rsidRPr="009C0419">
        <w:rPr>
          <w:sz w:val="22"/>
          <w:szCs w:val="22"/>
        </w:rPr>
        <w:t xml:space="preserve">have considered in accordance with section 303FN of the </w:t>
      </w:r>
      <w:r w:rsidR="00F21964" w:rsidRPr="009C0419">
        <w:rPr>
          <w:i/>
          <w:sz w:val="22"/>
          <w:szCs w:val="22"/>
        </w:rPr>
        <w:t>Environment Protection and</w:t>
      </w:r>
      <w:r w:rsidR="00F21964" w:rsidRPr="009C0419">
        <w:rPr>
          <w:sz w:val="22"/>
          <w:szCs w:val="22"/>
        </w:rPr>
        <w:t xml:space="preserve"> </w:t>
      </w:r>
      <w:r w:rsidR="00F21964" w:rsidRPr="009C0419">
        <w:rPr>
          <w:i/>
          <w:sz w:val="22"/>
          <w:szCs w:val="22"/>
        </w:rPr>
        <w:t xml:space="preserve">Biodiversity Conservation Act 1999 </w:t>
      </w:r>
      <w:r w:rsidR="00F21964" w:rsidRPr="009C0419">
        <w:rPr>
          <w:sz w:val="22"/>
          <w:szCs w:val="22"/>
        </w:rPr>
        <w:t xml:space="preserve">(EPBC Act) </w:t>
      </w:r>
      <w:r w:rsidRPr="009C0419">
        <w:rPr>
          <w:sz w:val="22"/>
          <w:szCs w:val="22"/>
        </w:rPr>
        <w:t xml:space="preserve">the application from the </w:t>
      </w:r>
      <w:r w:rsidR="000D1D5F" w:rsidRPr="009C0419">
        <w:rPr>
          <w:sz w:val="22"/>
          <w:szCs w:val="22"/>
        </w:rPr>
        <w:t>Northern Territory</w:t>
      </w:r>
      <w:r w:rsidRPr="009C0419">
        <w:rPr>
          <w:sz w:val="22"/>
          <w:szCs w:val="22"/>
        </w:rPr>
        <w:t xml:space="preserve"> </w:t>
      </w:r>
      <w:r w:rsidR="000D1D5F" w:rsidRPr="009C0419">
        <w:rPr>
          <w:sz w:val="22"/>
          <w:szCs w:val="22"/>
        </w:rPr>
        <w:t>Department of Primary Industry and Resources</w:t>
      </w:r>
      <w:r w:rsidRPr="009C0419">
        <w:rPr>
          <w:sz w:val="22"/>
          <w:szCs w:val="22"/>
        </w:rPr>
        <w:t xml:space="preserve">, public comments on the proposal </w:t>
      </w:r>
      <w:r w:rsidR="00693DD6" w:rsidRPr="009C0419">
        <w:rPr>
          <w:sz w:val="22"/>
          <w:szCs w:val="22"/>
        </w:rPr>
        <w:t xml:space="preserve">as required under section 303FR </w:t>
      </w:r>
      <w:r w:rsidRPr="009C0419">
        <w:rPr>
          <w:sz w:val="22"/>
          <w:szCs w:val="22"/>
        </w:rPr>
        <w:t>and advice on the ecological sustainability of the operation. I</w:t>
      </w:r>
      <w:r w:rsidR="009B0E50" w:rsidRPr="009C0419">
        <w:rPr>
          <w:sz w:val="22"/>
          <w:szCs w:val="22"/>
        </w:rPr>
        <w:t> </w:t>
      </w:r>
      <w:r w:rsidRPr="009C0419">
        <w:rPr>
          <w:sz w:val="22"/>
          <w:szCs w:val="22"/>
        </w:rPr>
        <w:t>am satisfied on those matters specifi</w:t>
      </w:r>
      <w:r w:rsidR="009B0E50" w:rsidRPr="009C0419">
        <w:rPr>
          <w:sz w:val="22"/>
          <w:szCs w:val="22"/>
        </w:rPr>
        <w:t>ed in section </w:t>
      </w:r>
      <w:r w:rsidR="00C665C2" w:rsidRPr="009C0419">
        <w:rPr>
          <w:sz w:val="22"/>
          <w:szCs w:val="22"/>
        </w:rPr>
        <w:t>303FN of the EPBC </w:t>
      </w:r>
      <w:r w:rsidRPr="009C0419">
        <w:rPr>
          <w:sz w:val="22"/>
          <w:szCs w:val="22"/>
        </w:rPr>
        <w:t>Act.</w:t>
      </w:r>
    </w:p>
    <w:p w14:paraId="20F82C5A" w14:textId="77777777" w:rsidR="00F72E63" w:rsidRDefault="00F72E63" w:rsidP="00D63915">
      <w:pPr>
        <w:rPr>
          <w:sz w:val="22"/>
          <w:szCs w:val="22"/>
        </w:rPr>
      </w:pPr>
    </w:p>
    <w:p w14:paraId="0B988075" w14:textId="6BCA3563" w:rsidR="004C3DEE" w:rsidRPr="009C0419" w:rsidRDefault="00BC3821" w:rsidP="00D63915">
      <w:pPr>
        <w:rPr>
          <w:sz w:val="22"/>
          <w:szCs w:val="22"/>
        </w:rPr>
      </w:pPr>
      <w:r w:rsidRPr="009C0419">
        <w:rPr>
          <w:sz w:val="22"/>
          <w:szCs w:val="22"/>
        </w:rPr>
        <w:t>I</w:t>
      </w:r>
      <w:r w:rsidR="009B0E50" w:rsidRPr="009C0419">
        <w:rPr>
          <w:sz w:val="22"/>
          <w:szCs w:val="22"/>
        </w:rPr>
        <w:t> </w:t>
      </w:r>
      <w:r w:rsidRPr="009C0419">
        <w:rPr>
          <w:sz w:val="22"/>
          <w:szCs w:val="22"/>
        </w:rPr>
        <w:t xml:space="preserve">hereby declare the operations for the harvesting of </w:t>
      </w:r>
      <w:r w:rsidR="004C3DEE" w:rsidRPr="009C0419">
        <w:rPr>
          <w:sz w:val="22"/>
          <w:szCs w:val="22"/>
        </w:rPr>
        <w:t xml:space="preserve">specimens </w:t>
      </w:r>
      <w:r w:rsidR="004C3DEE" w:rsidRPr="009C0419">
        <w:rPr>
          <w:snapToGrid w:val="0"/>
          <w:sz w:val="22"/>
          <w:szCs w:val="22"/>
        </w:rPr>
        <w:t xml:space="preserve">that are or are derived from fish or invertebrates, taken in the </w:t>
      </w:r>
      <w:r w:rsidR="000D1D5F" w:rsidRPr="009C0419">
        <w:rPr>
          <w:sz w:val="22"/>
          <w:szCs w:val="22"/>
        </w:rPr>
        <w:t>Northern Territory Aquarium Fishery</w:t>
      </w:r>
      <w:r w:rsidR="004C3DEE" w:rsidRPr="009C0419">
        <w:rPr>
          <w:sz w:val="22"/>
          <w:szCs w:val="22"/>
        </w:rPr>
        <w:t xml:space="preserve"> </w:t>
      </w:r>
      <w:r w:rsidR="004C3DEE" w:rsidRPr="009C0419">
        <w:rPr>
          <w:snapToGrid w:val="0"/>
          <w:sz w:val="22"/>
          <w:szCs w:val="22"/>
        </w:rPr>
        <w:t xml:space="preserve">as defined in the </w:t>
      </w:r>
      <w:r w:rsidR="004C3DEE" w:rsidRPr="009C0419">
        <w:rPr>
          <w:sz w:val="22"/>
          <w:szCs w:val="22"/>
        </w:rPr>
        <w:t xml:space="preserve">management regime in force under </w:t>
      </w:r>
      <w:r w:rsidR="00923C5D" w:rsidRPr="009C0419">
        <w:rPr>
          <w:sz w:val="22"/>
          <w:szCs w:val="22"/>
        </w:rPr>
        <w:t xml:space="preserve">the </w:t>
      </w:r>
      <w:r w:rsidR="000D1D5F" w:rsidRPr="009C0419">
        <w:rPr>
          <w:i/>
          <w:iCs/>
          <w:sz w:val="22"/>
          <w:szCs w:val="22"/>
        </w:rPr>
        <w:t>Fisheries Act 1988</w:t>
      </w:r>
      <w:r w:rsidR="00923C5D" w:rsidRPr="009C0419">
        <w:rPr>
          <w:sz w:val="22"/>
          <w:szCs w:val="22"/>
        </w:rPr>
        <w:t xml:space="preserve"> (</w:t>
      </w:r>
      <w:r w:rsidR="000D1D5F" w:rsidRPr="009C0419">
        <w:rPr>
          <w:sz w:val="22"/>
          <w:szCs w:val="22"/>
        </w:rPr>
        <w:t>Northern Territory (NT)</w:t>
      </w:r>
      <w:r w:rsidR="00923C5D" w:rsidRPr="009C0419">
        <w:rPr>
          <w:sz w:val="22"/>
          <w:szCs w:val="22"/>
        </w:rPr>
        <w:t xml:space="preserve">) and </w:t>
      </w:r>
      <w:r w:rsidR="00923C5D" w:rsidRPr="009C0419">
        <w:rPr>
          <w:i/>
          <w:iCs/>
          <w:sz w:val="22"/>
          <w:szCs w:val="22"/>
        </w:rPr>
        <w:t>Fisheries</w:t>
      </w:r>
      <w:r w:rsidR="00CF5312" w:rsidRPr="009C0419">
        <w:rPr>
          <w:i/>
          <w:iCs/>
          <w:sz w:val="22"/>
          <w:szCs w:val="22"/>
        </w:rPr>
        <w:t xml:space="preserve"> </w:t>
      </w:r>
      <w:r w:rsidR="00923C5D" w:rsidRPr="009C0419">
        <w:rPr>
          <w:i/>
          <w:iCs/>
          <w:sz w:val="22"/>
          <w:szCs w:val="22"/>
        </w:rPr>
        <w:t>Regulations</w:t>
      </w:r>
      <w:r w:rsidR="00CF5312" w:rsidRPr="009C0419">
        <w:rPr>
          <w:i/>
          <w:iCs/>
          <w:sz w:val="22"/>
          <w:szCs w:val="22"/>
        </w:rPr>
        <w:t> </w:t>
      </w:r>
      <w:r w:rsidR="000D1D5F" w:rsidRPr="009C0419">
        <w:rPr>
          <w:i/>
          <w:iCs/>
          <w:sz w:val="22"/>
          <w:szCs w:val="22"/>
        </w:rPr>
        <w:t>1992</w:t>
      </w:r>
      <w:r w:rsidR="00923C5D" w:rsidRPr="009C0419">
        <w:rPr>
          <w:snapToGrid w:val="0"/>
          <w:sz w:val="22"/>
          <w:szCs w:val="22"/>
        </w:rPr>
        <w:t xml:space="preserve"> (</w:t>
      </w:r>
      <w:r w:rsidR="000D1D5F" w:rsidRPr="009C0419">
        <w:rPr>
          <w:sz w:val="22"/>
          <w:szCs w:val="22"/>
        </w:rPr>
        <w:t>NT</w:t>
      </w:r>
      <w:r w:rsidR="00923C5D" w:rsidRPr="009C0419">
        <w:rPr>
          <w:sz w:val="22"/>
          <w:szCs w:val="22"/>
        </w:rPr>
        <w:t xml:space="preserve">), </w:t>
      </w:r>
      <w:r w:rsidR="00923C5D" w:rsidRPr="009C0419">
        <w:rPr>
          <w:snapToGrid w:val="0"/>
          <w:sz w:val="22"/>
          <w:szCs w:val="22"/>
        </w:rPr>
        <w:t>but not including</w:t>
      </w:r>
    </w:p>
    <w:p w14:paraId="5FD497D5" w14:textId="77777777" w:rsidR="00D63915" w:rsidRPr="009C0419" w:rsidRDefault="00D63915" w:rsidP="00D63915">
      <w:pPr>
        <w:pStyle w:val="Stylea"/>
        <w:numPr>
          <w:ilvl w:val="0"/>
          <w:numId w:val="14"/>
        </w:numPr>
        <w:ind w:left="357" w:hanging="357"/>
        <w:rPr>
          <w:color w:val="auto"/>
          <w:sz w:val="22"/>
          <w:szCs w:val="22"/>
        </w:rPr>
      </w:pPr>
      <w:r w:rsidRPr="009C0419">
        <w:rPr>
          <w:color w:val="auto"/>
          <w:sz w:val="22"/>
          <w:szCs w:val="22"/>
        </w:rPr>
        <w:t xml:space="preserve">specimens that belong to taxa listed under section 209 of the EPBC Act (Australia’s List of Migratory Species), or </w:t>
      </w:r>
    </w:p>
    <w:p w14:paraId="79D1A65C" w14:textId="77777777" w:rsidR="00D63915" w:rsidRPr="009C0419" w:rsidRDefault="00D63915" w:rsidP="00D63915">
      <w:pPr>
        <w:pStyle w:val="Stylea"/>
        <w:numPr>
          <w:ilvl w:val="0"/>
          <w:numId w:val="14"/>
        </w:numPr>
        <w:ind w:left="357" w:hanging="357"/>
        <w:rPr>
          <w:color w:val="auto"/>
          <w:sz w:val="22"/>
          <w:szCs w:val="22"/>
        </w:rPr>
      </w:pPr>
      <w:r w:rsidRPr="009C0419">
        <w:rPr>
          <w:color w:val="auto"/>
          <w:sz w:val="22"/>
          <w:szCs w:val="22"/>
        </w:rPr>
        <w:t>specimens that belong to taxa listed under section 248 of the EPBC Act (Australia’s List of Marine Species), or</w:t>
      </w:r>
    </w:p>
    <w:p w14:paraId="7AE80B68" w14:textId="77777777" w:rsidR="00D63915" w:rsidRPr="009C0419" w:rsidRDefault="00D63915" w:rsidP="00D63915">
      <w:pPr>
        <w:pStyle w:val="Stylea"/>
        <w:numPr>
          <w:ilvl w:val="0"/>
          <w:numId w:val="14"/>
        </w:numPr>
        <w:ind w:left="357" w:hanging="357"/>
        <w:rPr>
          <w:color w:val="auto"/>
          <w:sz w:val="22"/>
          <w:szCs w:val="22"/>
        </w:rPr>
      </w:pPr>
      <w:r w:rsidRPr="009C0419">
        <w:rPr>
          <w:color w:val="auto"/>
          <w:sz w:val="22"/>
          <w:szCs w:val="22"/>
        </w:rPr>
        <w:t>specimens that belong to eligible listed threatened species, as defined under section 303BC of the EPBC Act, or</w:t>
      </w:r>
    </w:p>
    <w:p w14:paraId="330A9BE1" w14:textId="31D28E96" w:rsidR="00D63915" w:rsidRPr="009C0419" w:rsidRDefault="00D63915" w:rsidP="00D63915">
      <w:pPr>
        <w:pStyle w:val="Stylea"/>
        <w:numPr>
          <w:ilvl w:val="0"/>
          <w:numId w:val="14"/>
        </w:numPr>
        <w:ind w:left="357" w:hanging="357"/>
        <w:rPr>
          <w:color w:val="auto"/>
          <w:sz w:val="22"/>
          <w:szCs w:val="22"/>
        </w:rPr>
      </w:pPr>
      <w:r w:rsidRPr="009C0419">
        <w:rPr>
          <w:color w:val="auto"/>
          <w:sz w:val="22"/>
          <w:szCs w:val="22"/>
        </w:rPr>
        <w:t>specimens that belong to taxa listed under section 303CA of the EPBC Act (Australia’s CITES List)</w:t>
      </w:r>
      <w:r w:rsidR="00D231C8" w:rsidRPr="009C0419">
        <w:rPr>
          <w:color w:val="auto"/>
          <w:sz w:val="22"/>
          <w:szCs w:val="22"/>
        </w:rPr>
        <w:t xml:space="preserve">, </w:t>
      </w:r>
      <w:r w:rsidR="00947478" w:rsidRPr="009C0419">
        <w:rPr>
          <w:color w:val="auto"/>
          <w:sz w:val="22"/>
          <w:szCs w:val="22"/>
        </w:rPr>
        <w:t xml:space="preserve">except for specimens that belong to taxa listed in Schedule </w:t>
      </w:r>
      <w:r w:rsidR="004E68DD" w:rsidRPr="009C0419">
        <w:rPr>
          <w:color w:val="auto"/>
          <w:sz w:val="22"/>
          <w:szCs w:val="22"/>
        </w:rPr>
        <w:t>2.</w:t>
      </w:r>
    </w:p>
    <w:p w14:paraId="4CB1544A" w14:textId="2F2DD030" w:rsidR="00BC3821" w:rsidRPr="009C0419" w:rsidRDefault="00BC3821" w:rsidP="00D63915">
      <w:pPr>
        <w:rPr>
          <w:sz w:val="22"/>
          <w:szCs w:val="22"/>
        </w:rPr>
      </w:pPr>
      <w:r w:rsidRPr="009C0419">
        <w:rPr>
          <w:sz w:val="22"/>
          <w:szCs w:val="22"/>
        </w:rPr>
        <w:t xml:space="preserve">to be an approved </w:t>
      </w:r>
      <w:r w:rsidR="00C665C2" w:rsidRPr="009C0419">
        <w:rPr>
          <w:sz w:val="22"/>
          <w:szCs w:val="22"/>
        </w:rPr>
        <w:t>w</w:t>
      </w:r>
      <w:r w:rsidRPr="009C0419">
        <w:rPr>
          <w:sz w:val="22"/>
          <w:szCs w:val="22"/>
        </w:rPr>
        <w:t xml:space="preserve">ildlife </w:t>
      </w:r>
      <w:r w:rsidR="00C665C2" w:rsidRPr="009C0419">
        <w:rPr>
          <w:sz w:val="22"/>
          <w:szCs w:val="22"/>
        </w:rPr>
        <w:t>t</w:t>
      </w:r>
      <w:r w:rsidRPr="009C0419">
        <w:rPr>
          <w:sz w:val="22"/>
          <w:szCs w:val="22"/>
        </w:rPr>
        <w:t xml:space="preserve">rade </w:t>
      </w:r>
      <w:r w:rsidR="00C665C2" w:rsidRPr="009C0419">
        <w:rPr>
          <w:sz w:val="22"/>
          <w:szCs w:val="22"/>
        </w:rPr>
        <w:t>o</w:t>
      </w:r>
      <w:r w:rsidRPr="009C0419">
        <w:rPr>
          <w:sz w:val="22"/>
          <w:szCs w:val="22"/>
        </w:rPr>
        <w:t>peration, in a</w:t>
      </w:r>
      <w:r w:rsidR="0067129A" w:rsidRPr="009C0419">
        <w:rPr>
          <w:sz w:val="22"/>
          <w:szCs w:val="22"/>
        </w:rPr>
        <w:t>ccordance with subsection 303FN(2) and paragraph </w:t>
      </w:r>
      <w:r w:rsidRPr="009C0419">
        <w:rPr>
          <w:sz w:val="22"/>
          <w:szCs w:val="22"/>
        </w:rPr>
        <w:t>303FN(10)(d</w:t>
      </w:r>
      <w:r w:rsidR="009132FA" w:rsidRPr="009C0419">
        <w:rPr>
          <w:sz w:val="22"/>
          <w:szCs w:val="22"/>
        </w:rPr>
        <w:t>), for the purposes of the EPBC </w:t>
      </w:r>
      <w:r w:rsidRPr="009C0419">
        <w:rPr>
          <w:sz w:val="22"/>
          <w:szCs w:val="22"/>
        </w:rPr>
        <w:t>Act.</w:t>
      </w:r>
    </w:p>
    <w:p w14:paraId="4CB1544B" w14:textId="77777777" w:rsidR="00BC3821" w:rsidRPr="009C0419" w:rsidRDefault="00BC3821" w:rsidP="00D63915">
      <w:pPr>
        <w:rPr>
          <w:sz w:val="22"/>
          <w:szCs w:val="22"/>
        </w:rPr>
      </w:pPr>
    </w:p>
    <w:p w14:paraId="4CB1544C" w14:textId="77777777" w:rsidR="00BC3821" w:rsidRPr="009C0419" w:rsidRDefault="00BC3821" w:rsidP="00D63915">
      <w:pPr>
        <w:rPr>
          <w:sz w:val="22"/>
          <w:szCs w:val="22"/>
        </w:rPr>
      </w:pPr>
      <w:r w:rsidRPr="009C0419">
        <w:rPr>
          <w:sz w:val="22"/>
          <w:szCs w:val="22"/>
        </w:rPr>
        <w:t>Unless amended or revoked, this declaration:</w:t>
      </w:r>
    </w:p>
    <w:p w14:paraId="4CB1544D" w14:textId="27D8D6B0" w:rsidR="00BC3821" w:rsidRPr="009C0419" w:rsidRDefault="00BC3821" w:rsidP="00D63915">
      <w:pPr>
        <w:numPr>
          <w:ilvl w:val="0"/>
          <w:numId w:val="1"/>
        </w:numPr>
        <w:tabs>
          <w:tab w:val="num" w:pos="567"/>
        </w:tabs>
        <w:ind w:left="0" w:firstLine="0"/>
        <w:rPr>
          <w:sz w:val="22"/>
          <w:szCs w:val="22"/>
        </w:rPr>
      </w:pPr>
      <w:r w:rsidRPr="009C0419">
        <w:rPr>
          <w:sz w:val="22"/>
          <w:szCs w:val="22"/>
        </w:rPr>
        <w:t xml:space="preserve">is valid until </w:t>
      </w:r>
      <w:r w:rsidR="000D1D5F" w:rsidRPr="009C0419">
        <w:rPr>
          <w:snapToGrid w:val="0"/>
          <w:sz w:val="22"/>
          <w:szCs w:val="22"/>
        </w:rPr>
        <w:t>5 December 2022</w:t>
      </w:r>
      <w:r w:rsidR="006F1595" w:rsidRPr="009C0419">
        <w:rPr>
          <w:snapToGrid w:val="0"/>
          <w:sz w:val="22"/>
          <w:szCs w:val="22"/>
        </w:rPr>
        <w:t xml:space="preserve"> </w:t>
      </w:r>
      <w:r w:rsidRPr="009C0419">
        <w:rPr>
          <w:sz w:val="22"/>
          <w:szCs w:val="22"/>
        </w:rPr>
        <w:t>and;</w:t>
      </w:r>
    </w:p>
    <w:p w14:paraId="4CB1544E" w14:textId="3604EDC8" w:rsidR="00BC3821" w:rsidRPr="009C0419" w:rsidRDefault="00BC3821" w:rsidP="00D63915">
      <w:pPr>
        <w:numPr>
          <w:ilvl w:val="0"/>
          <w:numId w:val="1"/>
        </w:numPr>
        <w:tabs>
          <w:tab w:val="num" w:pos="567"/>
        </w:tabs>
        <w:ind w:left="0" w:firstLine="0"/>
        <w:rPr>
          <w:sz w:val="22"/>
          <w:szCs w:val="22"/>
        </w:rPr>
      </w:pPr>
      <w:r w:rsidRPr="009C0419">
        <w:rPr>
          <w:sz w:val="22"/>
          <w:szCs w:val="22"/>
        </w:rPr>
        <w:t>is subject to the conditions applied under</w:t>
      </w:r>
      <w:r w:rsidR="00F96DC0" w:rsidRPr="009C0419">
        <w:rPr>
          <w:sz w:val="22"/>
          <w:szCs w:val="22"/>
        </w:rPr>
        <w:t xml:space="preserve"> section 303FT specified in the </w:t>
      </w:r>
      <w:r w:rsidRPr="009C0419">
        <w:rPr>
          <w:sz w:val="22"/>
          <w:szCs w:val="22"/>
        </w:rPr>
        <w:t>Schedule</w:t>
      </w:r>
      <w:r w:rsidR="004E68DD" w:rsidRPr="009C0419">
        <w:rPr>
          <w:sz w:val="22"/>
          <w:szCs w:val="22"/>
        </w:rPr>
        <w:t xml:space="preserve"> 1</w:t>
      </w:r>
      <w:r w:rsidRPr="009C0419">
        <w:rPr>
          <w:sz w:val="22"/>
          <w:szCs w:val="22"/>
        </w:rPr>
        <w:t>.</w:t>
      </w:r>
    </w:p>
    <w:p w14:paraId="4CB1544F" w14:textId="77777777" w:rsidR="00BC3821" w:rsidRPr="000D1D5F" w:rsidRDefault="00BC3821" w:rsidP="00D63915">
      <w:pPr>
        <w:pStyle w:val="indenta"/>
        <w:spacing w:before="0" w:line="240" w:lineRule="auto"/>
        <w:ind w:left="0" w:firstLine="0"/>
        <w:rPr>
          <w:rFonts w:ascii="Times New Roman" w:hAnsi="Times New Roman"/>
          <w:szCs w:val="22"/>
        </w:rPr>
      </w:pPr>
    </w:p>
    <w:p w14:paraId="4CB15450" w14:textId="77777777" w:rsidR="00BC3821" w:rsidRPr="00CF5312" w:rsidRDefault="00BC3821" w:rsidP="00D63915">
      <w:pPr>
        <w:jc w:val="center"/>
        <w:rPr>
          <w:sz w:val="22"/>
          <w:szCs w:val="22"/>
        </w:rPr>
      </w:pPr>
    </w:p>
    <w:p w14:paraId="33766EAB" w14:textId="40CADDE4" w:rsidR="00C95322" w:rsidRPr="00072889" w:rsidRDefault="00C95322" w:rsidP="00C95322">
      <w:pPr>
        <w:jc w:val="center"/>
        <w:rPr>
          <w:sz w:val="22"/>
          <w:szCs w:val="22"/>
        </w:rPr>
      </w:pPr>
      <w:r w:rsidRPr="009E0B52">
        <w:rPr>
          <w:sz w:val="22"/>
          <w:szCs w:val="22"/>
        </w:rPr>
        <w:t>Dated this</w:t>
      </w:r>
      <w:r w:rsidR="008F1868">
        <w:rPr>
          <w:sz w:val="22"/>
          <w:szCs w:val="22"/>
        </w:rPr>
        <w:t xml:space="preserve"> 27 </w:t>
      </w:r>
      <w:r w:rsidRPr="009E0B52">
        <w:rPr>
          <w:sz w:val="22"/>
          <w:szCs w:val="22"/>
        </w:rPr>
        <w:t>day of July 2021</w:t>
      </w:r>
    </w:p>
    <w:p w14:paraId="618063D2" w14:textId="77777777" w:rsidR="00C95322" w:rsidRPr="00072889" w:rsidRDefault="00C95322" w:rsidP="00C95322">
      <w:pPr>
        <w:rPr>
          <w:sz w:val="22"/>
          <w:szCs w:val="22"/>
        </w:rPr>
      </w:pPr>
    </w:p>
    <w:p w14:paraId="158256FE" w14:textId="77777777" w:rsidR="00C95322" w:rsidRDefault="00C95322" w:rsidP="00C95322">
      <w:pPr>
        <w:rPr>
          <w:sz w:val="22"/>
          <w:szCs w:val="22"/>
        </w:rPr>
      </w:pPr>
    </w:p>
    <w:p w14:paraId="445010BC" w14:textId="77777777" w:rsidR="00C95322" w:rsidRPr="00072889" w:rsidRDefault="00C95322" w:rsidP="00C95322">
      <w:pPr>
        <w:rPr>
          <w:sz w:val="22"/>
          <w:szCs w:val="22"/>
        </w:rPr>
      </w:pPr>
    </w:p>
    <w:p w14:paraId="4E9EDA8E" w14:textId="77777777" w:rsidR="00C95322" w:rsidRPr="00072889" w:rsidRDefault="00C95322" w:rsidP="00C95322">
      <w:pPr>
        <w:rPr>
          <w:sz w:val="22"/>
          <w:szCs w:val="22"/>
        </w:rPr>
      </w:pPr>
    </w:p>
    <w:p w14:paraId="3F3366C2" w14:textId="77777777" w:rsidR="00C95322" w:rsidRDefault="00C95322" w:rsidP="00C95322">
      <w:pPr>
        <w:jc w:val="center"/>
        <w:rPr>
          <w:sz w:val="22"/>
          <w:szCs w:val="22"/>
        </w:rPr>
      </w:pPr>
      <w:r>
        <w:rPr>
          <w:sz w:val="22"/>
          <w:szCs w:val="22"/>
        </w:rPr>
        <w:t>Laura Timmins</w:t>
      </w:r>
    </w:p>
    <w:p w14:paraId="31F9ECE8" w14:textId="77777777" w:rsidR="00C95322" w:rsidRPr="00072889" w:rsidRDefault="00C95322" w:rsidP="00C95322">
      <w:pPr>
        <w:jc w:val="center"/>
        <w:rPr>
          <w:snapToGrid w:val="0"/>
          <w:sz w:val="22"/>
          <w:szCs w:val="22"/>
        </w:rPr>
      </w:pPr>
      <w:bookmarkStart w:id="0" w:name="_Hlk40258754"/>
      <w:r w:rsidRPr="00072889">
        <w:rPr>
          <w:snapToGrid w:val="0"/>
          <w:sz w:val="22"/>
          <w:szCs w:val="22"/>
        </w:rPr>
        <w:t xml:space="preserve">Delegate of the Minister for </w:t>
      </w:r>
      <w:r w:rsidRPr="00072889">
        <w:rPr>
          <w:sz w:val="22"/>
          <w:szCs w:val="22"/>
        </w:rPr>
        <w:t xml:space="preserve">the Environment </w:t>
      </w:r>
    </w:p>
    <w:bookmarkEnd w:id="0"/>
    <w:p w14:paraId="4CB15458" w14:textId="77777777" w:rsidR="00BC3821" w:rsidRPr="0052489C" w:rsidRDefault="00BC3821" w:rsidP="00D63915">
      <w:pPr>
        <w:jc w:val="center"/>
        <w:rPr>
          <w:snapToGrid w:val="0"/>
          <w:sz w:val="20"/>
          <w:szCs w:val="20"/>
        </w:rPr>
      </w:pPr>
    </w:p>
    <w:p w14:paraId="37096CB8" w14:textId="77777777" w:rsidR="00F21964" w:rsidRPr="009C5305" w:rsidRDefault="00F21964" w:rsidP="00F21964">
      <w:pPr>
        <w:rPr>
          <w:sz w:val="18"/>
          <w:szCs w:val="18"/>
        </w:rPr>
      </w:pPr>
      <w:r w:rsidRPr="009C5305">
        <w:rPr>
          <w:sz w:val="18"/>
          <w:szCs w:val="18"/>
        </w:rPr>
        <w:t xml:space="preserve">Notes:                                                                                                                                                                           </w:t>
      </w:r>
    </w:p>
    <w:p w14:paraId="7F9CA24F" w14:textId="77777777" w:rsidR="00F21964" w:rsidRPr="009C5305" w:rsidRDefault="00F21964" w:rsidP="00F21964">
      <w:pPr>
        <w:ind w:left="720" w:hanging="720"/>
        <w:rPr>
          <w:sz w:val="18"/>
          <w:szCs w:val="18"/>
        </w:rPr>
      </w:pPr>
      <w:r w:rsidRPr="009C5305">
        <w:rPr>
          <w:sz w:val="18"/>
          <w:szCs w:val="18"/>
        </w:rPr>
        <w:t>1.</w:t>
      </w:r>
      <w:r w:rsidRPr="009C5305">
        <w:rPr>
          <w:sz w:val="18"/>
          <w:szCs w:val="18"/>
        </w:rPr>
        <w:tab/>
        <w:t xml:space="preserve">Under the Administrative Appeals Tribunal Act 1975, a </w:t>
      </w:r>
      <w:r w:rsidRPr="00446489">
        <w:rPr>
          <w:sz w:val="18"/>
          <w:szCs w:val="18"/>
        </w:rPr>
        <w:t xml:space="preserve">person whose interests are affected by this decision may apply for a statement of reasons and for independent review of the decision. An application for a statement of reasons may be made in writing to the </w:t>
      </w:r>
      <w:bookmarkStart w:id="1" w:name="_Hlk40258863"/>
      <w:r w:rsidRPr="00446489">
        <w:rPr>
          <w:sz w:val="18"/>
          <w:szCs w:val="18"/>
        </w:rPr>
        <w:t xml:space="preserve">Department of Agriculture, Water and the Environment </w:t>
      </w:r>
      <w:bookmarkEnd w:id="1"/>
      <w:r w:rsidRPr="00446489">
        <w:rPr>
          <w:sz w:val="18"/>
          <w:szCs w:val="18"/>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Wildlife Trade Assessments Section</w:t>
      </w:r>
      <w:r w:rsidRPr="00446489">
        <w:rPr>
          <w:color w:val="000000"/>
          <w:sz w:val="18"/>
          <w:szCs w:val="18"/>
        </w:rPr>
        <w:t xml:space="preserve">, </w:t>
      </w:r>
      <w:r w:rsidRPr="00446489">
        <w:rPr>
          <w:sz w:val="18"/>
          <w:szCs w:val="18"/>
        </w:rPr>
        <w:t>Department of Agriculture, Water and the Environment</w:t>
      </w:r>
      <w:r w:rsidRPr="00446489">
        <w:rPr>
          <w:snapToGrid w:val="0"/>
          <w:sz w:val="18"/>
          <w:szCs w:val="18"/>
        </w:rPr>
        <w:t>, Telephone</w:t>
      </w:r>
      <w:r w:rsidRPr="009C5305">
        <w:rPr>
          <w:snapToGrid w:val="0"/>
          <w:sz w:val="18"/>
          <w:szCs w:val="18"/>
        </w:rPr>
        <w:t>: (02) 6274 1917 Email: sustainablefisheries@environment.gov.au.</w:t>
      </w:r>
      <w:r w:rsidRPr="009C5305">
        <w:rPr>
          <w:sz w:val="18"/>
          <w:szCs w:val="18"/>
        </w:rPr>
        <w:t>.</w:t>
      </w:r>
    </w:p>
    <w:p w14:paraId="370BBE3D" w14:textId="77777777" w:rsidR="00F21964" w:rsidRPr="009C5305" w:rsidRDefault="00F21964" w:rsidP="00F21964">
      <w:pPr>
        <w:rPr>
          <w:sz w:val="18"/>
          <w:szCs w:val="18"/>
        </w:rPr>
      </w:pPr>
    </w:p>
    <w:p w14:paraId="588E08A5" w14:textId="77777777" w:rsidR="00F21964" w:rsidRDefault="00F21964" w:rsidP="00F21964">
      <w:pPr>
        <w:tabs>
          <w:tab w:val="num" w:pos="360"/>
        </w:tabs>
        <w:ind w:left="720" w:hanging="720"/>
        <w:rPr>
          <w:sz w:val="18"/>
          <w:szCs w:val="18"/>
        </w:rPr>
      </w:pPr>
      <w:r w:rsidRPr="00764F14">
        <w:rPr>
          <w:sz w:val="18"/>
          <w:szCs w:val="18"/>
        </w:rPr>
        <w:t>2.</w:t>
      </w:r>
      <w:r>
        <w:rPr>
          <w:sz w:val="18"/>
          <w:szCs w:val="18"/>
        </w:rPr>
        <w:tab/>
      </w:r>
      <w:r w:rsidRPr="00764F14">
        <w:rPr>
          <w:sz w:val="18"/>
          <w:szCs w:val="18"/>
        </w:rPr>
        <w:tab/>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w:t>
      </w:r>
      <w:r w:rsidRPr="00764F14">
        <w:rPr>
          <w:sz w:val="18"/>
          <w:szCs w:val="18"/>
        </w:rPr>
        <w:lastRenderedPageBreak/>
        <w:t>issued under the EPBC Act, if Australia’s CITES Scientific Authority has issued a non-detriment finding for that species. Further information, including a list of species for which non detriment findings have been issued and the fisheries from which they may be sourced, is available from htttp://www.environment.gov.au/topics/biodiversity/wildlife-trade/internationally-endangered-plants-and-animals-cites/how-export.</w:t>
      </w:r>
    </w:p>
    <w:p w14:paraId="4CB15461" w14:textId="4C0F84EA" w:rsidR="00BC3821" w:rsidRPr="00456783" w:rsidRDefault="00BC3821" w:rsidP="00456783">
      <w:pPr>
        <w:pStyle w:val="Heading1"/>
      </w:pPr>
      <w:r w:rsidRPr="00D63915">
        <w:br w:type="page"/>
      </w:r>
    </w:p>
    <w:p w14:paraId="4CB15462" w14:textId="77777777" w:rsidR="00BC3821" w:rsidRPr="00456783" w:rsidRDefault="00BC3821" w:rsidP="00D63915">
      <w:pPr>
        <w:spacing w:line="276" w:lineRule="auto"/>
        <w:jc w:val="center"/>
        <w:rPr>
          <w:sz w:val="22"/>
          <w:szCs w:val="22"/>
        </w:rPr>
      </w:pPr>
    </w:p>
    <w:p w14:paraId="7E46B7C1" w14:textId="1DAE41B6" w:rsidR="00F21964" w:rsidRPr="009C5305" w:rsidRDefault="00F21964" w:rsidP="00F21964">
      <w:pPr>
        <w:pStyle w:val="BlockText"/>
        <w:spacing w:line="240" w:lineRule="auto"/>
        <w:ind w:left="0" w:right="0"/>
        <w:rPr>
          <w:szCs w:val="24"/>
        </w:rPr>
      </w:pPr>
      <w:r w:rsidRPr="009C5305">
        <w:rPr>
          <w:szCs w:val="24"/>
        </w:rPr>
        <w:t>Declaration of the harvest operations of the</w:t>
      </w:r>
      <w:r>
        <w:rPr>
          <w:szCs w:val="24"/>
        </w:rPr>
        <w:t xml:space="preserve"> Northern Territory Aquarium Fishery </w:t>
      </w:r>
      <w:r w:rsidRPr="009C5305">
        <w:rPr>
          <w:szCs w:val="24"/>
        </w:rPr>
        <w:t xml:space="preserve">as an approved wildlife trade operation, </w:t>
      </w:r>
      <w:r w:rsidR="004675F4">
        <w:rPr>
          <w:szCs w:val="24"/>
        </w:rPr>
        <w:t>July</w:t>
      </w:r>
      <w:r>
        <w:rPr>
          <w:szCs w:val="24"/>
        </w:rPr>
        <w:t xml:space="preserve"> 2021</w:t>
      </w:r>
    </w:p>
    <w:p w14:paraId="7EEA5188" w14:textId="77777777" w:rsidR="00F21964" w:rsidRDefault="00F21964" w:rsidP="00D63915">
      <w:pPr>
        <w:spacing w:line="276" w:lineRule="auto"/>
        <w:rPr>
          <w:b/>
          <w:bCs/>
        </w:rPr>
      </w:pPr>
    </w:p>
    <w:p w14:paraId="4CB15465" w14:textId="1FF15B56" w:rsidR="00BC3821" w:rsidRPr="00D63915" w:rsidRDefault="004E68DD" w:rsidP="00D63915">
      <w:pPr>
        <w:spacing w:line="276" w:lineRule="auto"/>
        <w:rPr>
          <w:b/>
          <w:bCs/>
        </w:rPr>
      </w:pPr>
      <w:r w:rsidRPr="004E68DD">
        <w:rPr>
          <w:b/>
          <w:bCs/>
        </w:rPr>
        <w:t xml:space="preserve">SCHEDULE 1: </w:t>
      </w:r>
      <w:r w:rsidR="00BC3821" w:rsidRPr="004E68DD">
        <w:rPr>
          <w:b/>
          <w:bCs/>
        </w:rPr>
        <w:t>ADDITIONAL</w:t>
      </w:r>
      <w:r w:rsidR="00BC3821" w:rsidRPr="00D63915">
        <w:rPr>
          <w:b/>
          <w:bCs/>
        </w:rPr>
        <w:t xml:space="preserve"> PROVISIONS (section 303FT)</w:t>
      </w:r>
    </w:p>
    <w:p w14:paraId="4CB15466" w14:textId="77777777" w:rsidR="00BC3821" w:rsidRPr="00456783" w:rsidRDefault="00BC3821" w:rsidP="00D63915">
      <w:pPr>
        <w:spacing w:line="276" w:lineRule="auto"/>
        <w:rPr>
          <w:b/>
          <w:bCs/>
          <w:sz w:val="22"/>
          <w:szCs w:val="22"/>
        </w:rPr>
      </w:pPr>
    </w:p>
    <w:p w14:paraId="4CB15468" w14:textId="146447E4" w:rsidR="00BC3821" w:rsidRDefault="00481C37" w:rsidP="00DD76D4">
      <w:pPr>
        <w:spacing w:after="120" w:line="276" w:lineRule="auto"/>
        <w:rPr>
          <w:sz w:val="22"/>
          <w:szCs w:val="22"/>
        </w:rPr>
      </w:pPr>
      <w:r w:rsidRPr="001F187E">
        <w:rPr>
          <w:sz w:val="22"/>
          <w:szCs w:val="22"/>
        </w:rPr>
        <w:t xml:space="preserve">Relating to the harvesting of fish specimens that are, or are derived from, fish or invertebrates, other than specimens of species listed under Part 13 of the </w:t>
      </w:r>
      <w:r w:rsidRPr="001F187E">
        <w:rPr>
          <w:i/>
          <w:sz w:val="22"/>
          <w:szCs w:val="22"/>
        </w:rPr>
        <w:t xml:space="preserve">Environment Protection and Biodiversity Conservation Act 1999 </w:t>
      </w:r>
      <w:r w:rsidRPr="001F187E">
        <w:rPr>
          <w:sz w:val="22"/>
          <w:szCs w:val="22"/>
        </w:rPr>
        <w:t>(EPBC Act), except for specimens collected in state waters, taken in the Northern Territory Aquarium Fishery subject to the following condition(s):</w:t>
      </w:r>
    </w:p>
    <w:p w14:paraId="1CFEF885" w14:textId="428143C2" w:rsidR="001F187E" w:rsidRPr="001F187E" w:rsidRDefault="00636121" w:rsidP="00C10E3B">
      <w:pPr>
        <w:pStyle w:val="ListNumber"/>
        <w:numPr>
          <w:ilvl w:val="0"/>
          <w:numId w:val="4"/>
        </w:numPr>
        <w:spacing w:after="120" w:line="276" w:lineRule="auto"/>
        <w:contextualSpacing w:val="0"/>
        <w:rPr>
          <w:rFonts w:cs="Arial"/>
          <w:sz w:val="22"/>
          <w:szCs w:val="22"/>
        </w:rPr>
      </w:pPr>
      <w:r w:rsidRPr="00636121">
        <w:rPr>
          <w:rFonts w:cs="Arial"/>
          <w:sz w:val="22"/>
          <w:szCs w:val="22"/>
        </w:rPr>
        <w:t>The Northern Territory</w:t>
      </w:r>
      <w:r w:rsidR="00E9064A">
        <w:rPr>
          <w:rFonts w:cs="Arial"/>
          <w:sz w:val="22"/>
          <w:szCs w:val="22"/>
        </w:rPr>
        <w:t xml:space="preserve"> Department of Primary Industry</w:t>
      </w:r>
      <w:r w:rsidRPr="00636121">
        <w:rPr>
          <w:rFonts w:cs="Arial"/>
          <w:sz w:val="22"/>
          <w:szCs w:val="22"/>
        </w:rPr>
        <w:t xml:space="preserve"> and Resources must ensure that the operation of the Northern Territory Aquarium Fishery is carried out in accordance with the management regime for the Northern Territory Aquarium Fishery in force under the </w:t>
      </w:r>
      <w:r w:rsidRPr="00636121">
        <w:rPr>
          <w:rFonts w:cs="Arial"/>
          <w:i/>
          <w:sz w:val="22"/>
          <w:szCs w:val="22"/>
        </w:rPr>
        <w:t>Fisheries Act 1988 (Northern Territory)</w:t>
      </w:r>
      <w:r w:rsidRPr="00636121">
        <w:rPr>
          <w:rFonts w:cs="Arial"/>
          <w:sz w:val="22"/>
          <w:szCs w:val="22"/>
        </w:rPr>
        <w:t>,</w:t>
      </w:r>
      <w:r>
        <w:rPr>
          <w:rFonts w:cs="Arial"/>
          <w:sz w:val="22"/>
          <w:szCs w:val="22"/>
        </w:rPr>
        <w:t xml:space="preserve"> and</w:t>
      </w:r>
      <w:r w:rsidRPr="00636121">
        <w:rPr>
          <w:rFonts w:cs="Arial"/>
          <w:sz w:val="22"/>
          <w:szCs w:val="22"/>
        </w:rPr>
        <w:t xml:space="preserve"> the </w:t>
      </w:r>
      <w:r w:rsidRPr="00AE4904">
        <w:rPr>
          <w:rFonts w:cs="Arial"/>
          <w:i/>
          <w:iCs/>
          <w:sz w:val="22"/>
          <w:szCs w:val="22"/>
        </w:rPr>
        <w:t>Fisheries Regulation 1992</w:t>
      </w:r>
      <w:r w:rsidRPr="00636121">
        <w:rPr>
          <w:rFonts w:cs="Arial"/>
          <w:sz w:val="22"/>
          <w:szCs w:val="22"/>
        </w:rPr>
        <w:t xml:space="preserve"> (Northern Territory).</w:t>
      </w:r>
    </w:p>
    <w:p w14:paraId="6E92B562" w14:textId="388E3405" w:rsidR="001F187E" w:rsidRPr="001F187E" w:rsidRDefault="00636121" w:rsidP="00C10E3B">
      <w:pPr>
        <w:pStyle w:val="ListNumber"/>
        <w:numPr>
          <w:ilvl w:val="0"/>
          <w:numId w:val="4"/>
        </w:numPr>
        <w:spacing w:after="120" w:line="276" w:lineRule="auto"/>
        <w:contextualSpacing w:val="0"/>
        <w:rPr>
          <w:rFonts w:cs="Arial"/>
          <w:sz w:val="22"/>
          <w:szCs w:val="22"/>
        </w:rPr>
      </w:pPr>
      <w:r w:rsidRPr="00636121">
        <w:rPr>
          <w:rFonts w:cs="Arial"/>
          <w:sz w:val="22"/>
          <w:szCs w:val="22"/>
        </w:rPr>
        <w:t>The Northern Territory</w:t>
      </w:r>
      <w:r w:rsidR="00E9064A">
        <w:rPr>
          <w:rFonts w:cs="Arial"/>
          <w:sz w:val="22"/>
          <w:szCs w:val="22"/>
        </w:rPr>
        <w:t xml:space="preserve"> Department of Primary Industry</w:t>
      </w:r>
      <w:r w:rsidRPr="00636121">
        <w:rPr>
          <w:rFonts w:cs="Arial"/>
          <w:sz w:val="22"/>
          <w:szCs w:val="22"/>
        </w:rPr>
        <w:t xml:space="preserve"> and Resources must inform the Department of </w:t>
      </w:r>
      <w:r w:rsidR="00F21964">
        <w:rPr>
          <w:rFonts w:cs="Arial"/>
          <w:sz w:val="22"/>
          <w:szCs w:val="22"/>
        </w:rPr>
        <w:t>Agriculture Water and the Environment</w:t>
      </w:r>
      <w:r w:rsidRPr="00636121">
        <w:rPr>
          <w:rFonts w:cs="Arial"/>
          <w:sz w:val="22"/>
          <w:szCs w:val="22"/>
        </w:rPr>
        <w:t xml:space="preserve"> of any intended material changes to the Northern Territory Aquarium Fishery management arrangements that may affect the assessment against which </w:t>
      </w:r>
      <w:r w:rsidRPr="00636121">
        <w:rPr>
          <w:rFonts w:cs="Arial"/>
          <w:i/>
          <w:sz w:val="22"/>
          <w:szCs w:val="22"/>
        </w:rPr>
        <w:t xml:space="preserve">Environment Protection and Biodiversity Conservation Act 1999 </w:t>
      </w:r>
      <w:r w:rsidRPr="00636121">
        <w:rPr>
          <w:rFonts w:cs="Arial"/>
          <w:sz w:val="22"/>
          <w:szCs w:val="22"/>
        </w:rPr>
        <w:t>decisions are made.</w:t>
      </w:r>
    </w:p>
    <w:p w14:paraId="3D92E8C2" w14:textId="426E6920" w:rsidR="001F187E" w:rsidRPr="001F187E" w:rsidRDefault="00636121" w:rsidP="005C0302">
      <w:pPr>
        <w:pStyle w:val="ListNumber"/>
        <w:numPr>
          <w:ilvl w:val="0"/>
          <w:numId w:val="4"/>
        </w:numPr>
        <w:spacing w:after="120" w:line="276" w:lineRule="auto"/>
        <w:ind w:left="357" w:hanging="357"/>
        <w:contextualSpacing w:val="0"/>
        <w:rPr>
          <w:rFonts w:cs="Arial"/>
          <w:sz w:val="22"/>
          <w:szCs w:val="22"/>
        </w:rPr>
      </w:pPr>
      <w:r w:rsidRPr="00636121">
        <w:rPr>
          <w:rFonts w:cs="Arial"/>
          <w:sz w:val="22"/>
          <w:szCs w:val="22"/>
        </w:rPr>
        <w:t xml:space="preserve">The Northern Territory Department of Primary </w:t>
      </w:r>
      <w:r w:rsidR="00E9064A">
        <w:rPr>
          <w:rFonts w:cs="Arial"/>
          <w:sz w:val="22"/>
          <w:szCs w:val="22"/>
        </w:rPr>
        <w:t>Industry</w:t>
      </w:r>
      <w:r w:rsidRPr="00636121">
        <w:rPr>
          <w:rFonts w:cs="Arial"/>
          <w:sz w:val="22"/>
          <w:szCs w:val="22"/>
        </w:rPr>
        <w:t xml:space="preserve"> and Resources must provide reports to the Department of </w:t>
      </w:r>
      <w:r w:rsidR="00F21964">
        <w:rPr>
          <w:rFonts w:cs="Arial"/>
          <w:sz w:val="22"/>
          <w:szCs w:val="22"/>
        </w:rPr>
        <w:t>Agriculture Water and the Environment</w:t>
      </w:r>
      <w:r w:rsidR="00F21964" w:rsidRPr="00636121">
        <w:rPr>
          <w:rFonts w:cs="Arial"/>
          <w:sz w:val="22"/>
          <w:szCs w:val="22"/>
        </w:rPr>
        <w:t xml:space="preserve"> </w:t>
      </w:r>
      <w:r w:rsidRPr="00636121">
        <w:rPr>
          <w:rFonts w:cs="Arial"/>
          <w:sz w:val="22"/>
          <w:szCs w:val="22"/>
        </w:rPr>
        <w:t xml:space="preserve">annually as </w:t>
      </w:r>
      <w:r w:rsidR="00E9064A">
        <w:rPr>
          <w:rFonts w:cs="Arial"/>
          <w:sz w:val="22"/>
          <w:szCs w:val="22"/>
        </w:rPr>
        <w:t>outlined in</w:t>
      </w:r>
      <w:r w:rsidRPr="00636121">
        <w:rPr>
          <w:rFonts w:cs="Arial"/>
          <w:sz w:val="22"/>
          <w:szCs w:val="22"/>
        </w:rPr>
        <w:t xml:space="preserve"> Appendix B of the </w:t>
      </w:r>
      <w:r w:rsidRPr="00636121">
        <w:rPr>
          <w:rFonts w:cs="Arial"/>
          <w:i/>
          <w:sz w:val="22"/>
          <w:szCs w:val="22"/>
        </w:rPr>
        <w:t>Guidelines for the Ecologically Sustainable Management of Fisheries - 2nd Edition</w:t>
      </w:r>
      <w:r w:rsidR="00E9064A">
        <w:rPr>
          <w:rFonts w:cs="Arial"/>
          <w:i/>
          <w:sz w:val="22"/>
          <w:szCs w:val="22"/>
        </w:rPr>
        <w:t xml:space="preserve"> (2007)</w:t>
      </w:r>
      <w:r w:rsidR="001F187E" w:rsidRPr="001F187E">
        <w:rPr>
          <w:rFonts w:cs="Arial"/>
          <w:sz w:val="22"/>
          <w:szCs w:val="22"/>
        </w:rPr>
        <w:t>.</w:t>
      </w:r>
    </w:p>
    <w:p w14:paraId="2FE69CCB" w14:textId="5E8158C4" w:rsidR="001F187E" w:rsidRPr="001F187E" w:rsidRDefault="001F187E" w:rsidP="005C0302">
      <w:pPr>
        <w:pStyle w:val="ListNumber"/>
        <w:numPr>
          <w:ilvl w:val="0"/>
          <w:numId w:val="4"/>
        </w:numPr>
        <w:spacing w:after="120" w:line="276" w:lineRule="auto"/>
        <w:contextualSpacing w:val="0"/>
        <w:rPr>
          <w:rFonts w:cs="Arial"/>
          <w:sz w:val="22"/>
          <w:szCs w:val="22"/>
        </w:rPr>
      </w:pPr>
      <w:r w:rsidRPr="001F187E">
        <w:rPr>
          <w:rFonts w:cs="Arial"/>
          <w:sz w:val="22"/>
          <w:szCs w:val="22"/>
        </w:rPr>
        <w:t xml:space="preserve">The Northern Territory Department of Primary Industry and Resources </w:t>
      </w:r>
      <w:r w:rsidR="00FA51C2">
        <w:rPr>
          <w:rFonts w:cs="Arial"/>
          <w:sz w:val="22"/>
          <w:szCs w:val="22"/>
        </w:rPr>
        <w:t>must</w:t>
      </w:r>
      <w:r w:rsidRPr="001F187E">
        <w:rPr>
          <w:rFonts w:cs="Arial"/>
          <w:sz w:val="22"/>
          <w:szCs w:val="22"/>
        </w:rPr>
        <w:t>:</w:t>
      </w:r>
    </w:p>
    <w:p w14:paraId="24E6153B" w14:textId="3EE0485F" w:rsidR="001F187E" w:rsidRPr="001F187E" w:rsidRDefault="001F187E" w:rsidP="005C0302">
      <w:pPr>
        <w:numPr>
          <w:ilvl w:val="0"/>
          <w:numId w:val="19"/>
        </w:numPr>
        <w:spacing w:afterLines="60" w:after="144" w:line="276" w:lineRule="auto"/>
        <w:ind w:left="709" w:hanging="425"/>
        <w:jc w:val="both"/>
        <w:outlineLvl w:val="0"/>
        <w:rPr>
          <w:rFonts w:eastAsia="Calibri"/>
          <w:sz w:val="22"/>
          <w:szCs w:val="22"/>
          <w:lang w:val="en-AU"/>
        </w:rPr>
      </w:pPr>
      <w:bookmarkStart w:id="2" w:name="_Toc20233127"/>
      <w:r w:rsidRPr="001F187E">
        <w:rPr>
          <w:rFonts w:eastAsia="Calibri"/>
          <w:sz w:val="22"/>
          <w:szCs w:val="22"/>
          <w:lang w:val="en-AU"/>
        </w:rPr>
        <w:t>limit harvest of CITES listed species, according to current non-detriment findings, for each species or species group</w:t>
      </w:r>
      <w:bookmarkEnd w:id="2"/>
      <w:r w:rsidR="00E9064A">
        <w:rPr>
          <w:rFonts w:eastAsia="Calibri"/>
          <w:sz w:val="22"/>
          <w:szCs w:val="22"/>
          <w:lang w:val="en-AU"/>
        </w:rPr>
        <w:t>;</w:t>
      </w:r>
    </w:p>
    <w:p w14:paraId="29C93760" w14:textId="0DD5B0D3" w:rsidR="001F187E" w:rsidRDefault="001F187E" w:rsidP="005C0302">
      <w:pPr>
        <w:numPr>
          <w:ilvl w:val="0"/>
          <w:numId w:val="19"/>
        </w:numPr>
        <w:spacing w:afterLines="60" w:after="144" w:line="276" w:lineRule="auto"/>
        <w:ind w:left="709" w:hanging="425"/>
        <w:jc w:val="both"/>
        <w:outlineLvl w:val="0"/>
        <w:rPr>
          <w:rFonts w:eastAsia="Calibri"/>
          <w:sz w:val="22"/>
          <w:szCs w:val="22"/>
          <w:lang w:val="en-AU"/>
        </w:rPr>
      </w:pPr>
      <w:bookmarkStart w:id="3" w:name="_Toc20233128"/>
      <w:r w:rsidRPr="001F187E">
        <w:rPr>
          <w:rFonts w:eastAsia="Calibri"/>
          <w:sz w:val="22"/>
          <w:szCs w:val="22"/>
          <w:lang w:val="en-AU"/>
        </w:rPr>
        <w:t xml:space="preserve">consult with the Department of </w:t>
      </w:r>
      <w:r w:rsidR="00F21964">
        <w:rPr>
          <w:rFonts w:cs="Arial"/>
          <w:sz w:val="22"/>
          <w:szCs w:val="22"/>
        </w:rPr>
        <w:t>Agriculture Water and the Environment</w:t>
      </w:r>
      <w:r w:rsidRPr="001F187E">
        <w:rPr>
          <w:rFonts w:eastAsia="Calibri"/>
          <w:sz w:val="22"/>
          <w:szCs w:val="22"/>
          <w:lang w:val="en-AU"/>
        </w:rPr>
        <w:t>, prior to a change to the management arrangements for a CITES or EPBC Act listed species being implemented</w:t>
      </w:r>
      <w:bookmarkEnd w:id="3"/>
      <w:r w:rsidR="00E9064A">
        <w:rPr>
          <w:rFonts w:eastAsia="Calibri"/>
          <w:sz w:val="22"/>
          <w:szCs w:val="22"/>
          <w:lang w:val="en-AU"/>
        </w:rPr>
        <w:t>;</w:t>
      </w:r>
      <w:r w:rsidR="0052489C">
        <w:rPr>
          <w:rFonts w:eastAsia="Calibri"/>
          <w:sz w:val="22"/>
          <w:szCs w:val="22"/>
          <w:lang w:val="en-AU"/>
        </w:rPr>
        <w:t xml:space="preserve"> and </w:t>
      </w:r>
    </w:p>
    <w:p w14:paraId="59CDE0F4" w14:textId="01301313" w:rsidR="0052489C" w:rsidRPr="004E68DD" w:rsidRDefault="0052489C" w:rsidP="0052489C">
      <w:pPr>
        <w:numPr>
          <w:ilvl w:val="0"/>
          <w:numId w:val="19"/>
        </w:numPr>
        <w:spacing w:afterLines="60" w:after="144" w:line="276" w:lineRule="auto"/>
        <w:ind w:left="709" w:hanging="425"/>
        <w:jc w:val="both"/>
        <w:outlineLvl w:val="0"/>
        <w:rPr>
          <w:rFonts w:eastAsia="Calibri"/>
          <w:sz w:val="22"/>
          <w:szCs w:val="22"/>
          <w:lang w:val="en-AU"/>
        </w:rPr>
      </w:pPr>
      <w:r>
        <w:rPr>
          <w:rFonts w:eastAsia="Calibri"/>
          <w:sz w:val="22"/>
          <w:szCs w:val="22"/>
          <w:lang w:val="en-AU"/>
        </w:rPr>
        <w:t>e</w:t>
      </w:r>
      <w:r w:rsidRPr="0052489C">
        <w:rPr>
          <w:rFonts w:eastAsia="Calibri"/>
          <w:sz w:val="22"/>
          <w:szCs w:val="22"/>
          <w:lang w:val="en-AU"/>
        </w:rPr>
        <w:t xml:space="preserve">nsure that specimens of CITES listed species that are not </w:t>
      </w:r>
      <w:r w:rsidRPr="004E68DD">
        <w:rPr>
          <w:rFonts w:eastAsia="Calibri"/>
          <w:sz w:val="22"/>
          <w:szCs w:val="22"/>
          <w:lang w:val="en-AU"/>
        </w:rPr>
        <w:t xml:space="preserve">included on </w:t>
      </w:r>
      <w:r w:rsidR="00FA51C2" w:rsidRPr="004E68DD">
        <w:rPr>
          <w:rFonts w:eastAsia="Calibri"/>
          <w:sz w:val="22"/>
          <w:szCs w:val="22"/>
          <w:lang w:val="en-AU"/>
        </w:rPr>
        <w:t>S</w:t>
      </w:r>
      <w:r w:rsidRPr="004E68DD">
        <w:rPr>
          <w:rFonts w:eastAsia="Calibri"/>
          <w:sz w:val="22"/>
          <w:szCs w:val="22"/>
          <w:lang w:val="en-AU"/>
        </w:rPr>
        <w:t xml:space="preserve">chedule </w:t>
      </w:r>
      <w:r w:rsidR="004E68DD" w:rsidRPr="004E68DD">
        <w:rPr>
          <w:rFonts w:eastAsia="Calibri"/>
          <w:sz w:val="22"/>
          <w:szCs w:val="22"/>
          <w:lang w:val="en-AU"/>
        </w:rPr>
        <w:t>2</w:t>
      </w:r>
      <w:r w:rsidR="00F21964" w:rsidRPr="004E68DD">
        <w:rPr>
          <w:rFonts w:eastAsia="Calibri"/>
          <w:sz w:val="22"/>
          <w:szCs w:val="22"/>
          <w:lang w:val="en-AU"/>
        </w:rPr>
        <w:t xml:space="preserve"> </w:t>
      </w:r>
      <w:r w:rsidRPr="004E68DD">
        <w:rPr>
          <w:rFonts w:eastAsia="Calibri"/>
          <w:sz w:val="22"/>
          <w:szCs w:val="22"/>
          <w:lang w:val="en-AU"/>
        </w:rPr>
        <w:t>of the current wildlife trade operation are not exported.</w:t>
      </w:r>
    </w:p>
    <w:p w14:paraId="3ABB3EB3" w14:textId="25CA20AF" w:rsidR="001F187E" w:rsidRPr="001F187E" w:rsidRDefault="001F187E" w:rsidP="005C0302">
      <w:pPr>
        <w:pStyle w:val="ListNumber"/>
        <w:numPr>
          <w:ilvl w:val="0"/>
          <w:numId w:val="4"/>
        </w:numPr>
        <w:spacing w:after="120" w:line="276" w:lineRule="auto"/>
        <w:contextualSpacing w:val="0"/>
        <w:rPr>
          <w:sz w:val="22"/>
          <w:szCs w:val="22"/>
        </w:rPr>
      </w:pPr>
      <w:r w:rsidRPr="001F187E">
        <w:rPr>
          <w:sz w:val="22"/>
          <w:szCs w:val="22"/>
        </w:rPr>
        <w:t>The Northern Territory Department of P</w:t>
      </w:r>
      <w:r w:rsidR="00636121">
        <w:rPr>
          <w:sz w:val="22"/>
          <w:szCs w:val="22"/>
        </w:rPr>
        <w:t>rimary Industry and Resources must</w:t>
      </w:r>
      <w:r w:rsidRPr="001F187E">
        <w:rPr>
          <w:sz w:val="22"/>
          <w:szCs w:val="22"/>
        </w:rPr>
        <w:t>:</w:t>
      </w:r>
    </w:p>
    <w:p w14:paraId="77EF000F" w14:textId="3617A97F" w:rsidR="001F187E" w:rsidRPr="001F187E" w:rsidRDefault="00636121" w:rsidP="005C0302">
      <w:pPr>
        <w:numPr>
          <w:ilvl w:val="1"/>
          <w:numId w:val="21"/>
        </w:numPr>
        <w:spacing w:afterLines="60" w:after="144" w:line="276" w:lineRule="auto"/>
        <w:ind w:left="709" w:hanging="425"/>
        <w:jc w:val="both"/>
        <w:outlineLvl w:val="0"/>
        <w:rPr>
          <w:rFonts w:eastAsia="Calibri"/>
          <w:sz w:val="22"/>
          <w:szCs w:val="22"/>
          <w:lang w:val="en-AU"/>
        </w:rPr>
      </w:pPr>
      <w:bookmarkStart w:id="4" w:name="_Toc21085317"/>
      <w:bookmarkStart w:id="5" w:name="_Toc20233129"/>
      <w:r w:rsidRPr="00636121">
        <w:rPr>
          <w:rFonts w:eastAsia="Calibri"/>
          <w:sz w:val="22"/>
          <w:szCs w:val="22"/>
          <w:lang w:val="en-AU"/>
        </w:rPr>
        <w:t xml:space="preserve">publish the recent ecological risk assessment </w:t>
      </w:r>
      <w:bookmarkEnd w:id="4"/>
      <w:r w:rsidRPr="00636121">
        <w:rPr>
          <w:rFonts w:eastAsia="Calibri"/>
          <w:sz w:val="22"/>
          <w:szCs w:val="22"/>
          <w:lang w:val="en-AU"/>
        </w:rPr>
        <w:t xml:space="preserve">conducted for the Northern Territory Aquarium Fishery by </w:t>
      </w:r>
      <w:r w:rsidR="004346FA">
        <w:rPr>
          <w:rFonts w:eastAsia="Calibri"/>
          <w:sz w:val="22"/>
          <w:szCs w:val="22"/>
          <w:lang w:val="en-AU"/>
        </w:rPr>
        <w:t xml:space="preserve">February </w:t>
      </w:r>
      <w:r w:rsidRPr="00636121">
        <w:rPr>
          <w:rFonts w:eastAsia="Calibri"/>
          <w:sz w:val="22"/>
          <w:szCs w:val="22"/>
          <w:lang w:val="en-AU"/>
        </w:rPr>
        <w:t>2020</w:t>
      </w:r>
      <w:r w:rsidR="001F187E" w:rsidRPr="001F187E">
        <w:rPr>
          <w:rFonts w:eastAsia="Calibri"/>
          <w:sz w:val="22"/>
          <w:szCs w:val="22"/>
          <w:lang w:val="en-AU"/>
        </w:rPr>
        <w:t>.</w:t>
      </w:r>
      <w:bookmarkEnd w:id="5"/>
      <w:r w:rsidR="001F187E" w:rsidRPr="001F187E">
        <w:rPr>
          <w:rFonts w:eastAsia="Calibri"/>
          <w:sz w:val="22"/>
          <w:szCs w:val="22"/>
          <w:lang w:val="en-AU"/>
        </w:rPr>
        <w:t xml:space="preserve"> </w:t>
      </w:r>
    </w:p>
    <w:p w14:paraId="26E236F6" w14:textId="668BE76D" w:rsidR="001F187E" w:rsidRPr="001F187E" w:rsidRDefault="00E9064A" w:rsidP="005C0302">
      <w:pPr>
        <w:numPr>
          <w:ilvl w:val="1"/>
          <w:numId w:val="21"/>
        </w:numPr>
        <w:spacing w:afterLines="60" w:after="144" w:line="276" w:lineRule="auto"/>
        <w:ind w:left="709" w:hanging="425"/>
        <w:jc w:val="both"/>
        <w:outlineLvl w:val="0"/>
        <w:rPr>
          <w:rFonts w:eastAsia="Calibri"/>
          <w:sz w:val="22"/>
          <w:szCs w:val="22"/>
          <w:lang w:val="en-AU"/>
        </w:rPr>
      </w:pPr>
      <w:bookmarkStart w:id="6" w:name="_Toc20233130"/>
      <w:r>
        <w:rPr>
          <w:rFonts w:eastAsia="Calibri"/>
          <w:sz w:val="22"/>
          <w:szCs w:val="22"/>
          <w:lang w:val="en-AU"/>
        </w:rPr>
        <w:t>undertake</w:t>
      </w:r>
      <w:r w:rsidR="001F187E" w:rsidRPr="001F187E">
        <w:rPr>
          <w:rFonts w:eastAsia="Calibri"/>
          <w:sz w:val="22"/>
          <w:szCs w:val="22"/>
          <w:lang w:val="en-AU"/>
        </w:rPr>
        <w:t xml:space="preserve"> research into CITES species </w:t>
      </w:r>
      <w:r>
        <w:rPr>
          <w:rFonts w:eastAsia="Calibri"/>
          <w:sz w:val="22"/>
          <w:szCs w:val="22"/>
          <w:lang w:val="en-AU"/>
        </w:rPr>
        <w:t xml:space="preserve">informed by </w:t>
      </w:r>
      <w:r w:rsidR="001F187E" w:rsidRPr="001F187E">
        <w:rPr>
          <w:rFonts w:eastAsia="Calibri"/>
          <w:sz w:val="22"/>
          <w:szCs w:val="22"/>
          <w:lang w:val="en-AU"/>
        </w:rPr>
        <w:t>the outcomes of the risk assessment, including species distribution and abundance, in areas of high fishing effort.</w:t>
      </w:r>
      <w:bookmarkEnd w:id="6"/>
    </w:p>
    <w:p w14:paraId="4F634A6A" w14:textId="634938E9" w:rsidR="001F187E" w:rsidRDefault="001F187E" w:rsidP="005C0302">
      <w:pPr>
        <w:numPr>
          <w:ilvl w:val="1"/>
          <w:numId w:val="21"/>
        </w:numPr>
        <w:spacing w:afterLines="60" w:after="144" w:line="276" w:lineRule="auto"/>
        <w:ind w:left="709" w:hanging="425"/>
        <w:jc w:val="both"/>
        <w:outlineLvl w:val="0"/>
        <w:rPr>
          <w:rFonts w:eastAsia="Calibri"/>
          <w:sz w:val="22"/>
          <w:szCs w:val="22"/>
          <w:lang w:val="en-AU"/>
        </w:rPr>
      </w:pPr>
      <w:bookmarkStart w:id="7" w:name="_Toc20233131"/>
      <w:r w:rsidRPr="001F187E">
        <w:rPr>
          <w:rFonts w:eastAsia="Calibri"/>
          <w:sz w:val="22"/>
          <w:szCs w:val="22"/>
          <w:lang w:val="en-AU"/>
        </w:rPr>
        <w:t xml:space="preserve">collaborate with relevant stakeholders, to conduct research and provide outcomes of research projects, to the Department of </w:t>
      </w:r>
      <w:r w:rsidR="00F21964">
        <w:rPr>
          <w:rFonts w:cs="Arial"/>
          <w:sz w:val="22"/>
          <w:szCs w:val="22"/>
        </w:rPr>
        <w:t>Agriculture Water and the Environment</w:t>
      </w:r>
      <w:r w:rsidRPr="001F187E">
        <w:rPr>
          <w:rFonts w:eastAsia="Calibri"/>
          <w:sz w:val="22"/>
          <w:szCs w:val="22"/>
          <w:lang w:val="en-AU"/>
        </w:rPr>
        <w:t xml:space="preserve">, when outcomes are finalised. Outcomes </w:t>
      </w:r>
      <w:r w:rsidR="00E9064A">
        <w:rPr>
          <w:rFonts w:eastAsia="Calibri"/>
          <w:sz w:val="22"/>
          <w:szCs w:val="22"/>
          <w:lang w:val="en-AU"/>
        </w:rPr>
        <w:t>must</w:t>
      </w:r>
      <w:r w:rsidRPr="001F187E">
        <w:rPr>
          <w:rFonts w:eastAsia="Calibri"/>
          <w:sz w:val="22"/>
          <w:szCs w:val="22"/>
          <w:lang w:val="en-AU"/>
        </w:rPr>
        <w:t xml:space="preserve"> also be made publicly available.</w:t>
      </w:r>
      <w:bookmarkEnd w:id="7"/>
    </w:p>
    <w:p w14:paraId="7FACDF09" w14:textId="77777777" w:rsidR="00746C58" w:rsidRPr="00746C58" w:rsidRDefault="00746C58" w:rsidP="00746C58">
      <w:pPr>
        <w:pStyle w:val="ListNumber"/>
        <w:numPr>
          <w:ilvl w:val="0"/>
          <w:numId w:val="4"/>
        </w:numPr>
        <w:spacing w:after="120" w:line="276" w:lineRule="auto"/>
        <w:ind w:left="357" w:hanging="357"/>
        <w:contextualSpacing w:val="0"/>
        <w:rPr>
          <w:rFonts w:cs="Arial"/>
          <w:sz w:val="22"/>
          <w:szCs w:val="22"/>
        </w:rPr>
      </w:pPr>
      <w:r w:rsidRPr="00746C58">
        <w:rPr>
          <w:rFonts w:cs="Arial"/>
          <w:sz w:val="22"/>
          <w:szCs w:val="22"/>
        </w:rPr>
        <w:t>The Northern Territory Department of Primary Industry and Resources must:</w:t>
      </w:r>
    </w:p>
    <w:p w14:paraId="25F55CEC" w14:textId="117BBEF2" w:rsidR="00746C58" w:rsidRPr="00746C58" w:rsidRDefault="00746C58" w:rsidP="00746C58">
      <w:pPr>
        <w:numPr>
          <w:ilvl w:val="0"/>
          <w:numId w:val="33"/>
        </w:numPr>
        <w:spacing w:afterLines="60" w:after="144" w:line="276" w:lineRule="auto"/>
        <w:ind w:left="709"/>
        <w:jc w:val="both"/>
        <w:outlineLvl w:val="0"/>
        <w:rPr>
          <w:rFonts w:eastAsia="Calibri"/>
          <w:sz w:val="22"/>
          <w:szCs w:val="22"/>
          <w:lang w:val="en-AU"/>
        </w:rPr>
      </w:pPr>
      <w:r w:rsidRPr="00746C58">
        <w:rPr>
          <w:rFonts w:eastAsia="Calibri"/>
          <w:sz w:val="22"/>
          <w:szCs w:val="22"/>
          <w:lang w:val="en-AU"/>
        </w:rPr>
        <w:t xml:space="preserve">Provide to the Department of </w:t>
      </w:r>
      <w:r w:rsidR="00F21964">
        <w:rPr>
          <w:rFonts w:cs="Arial"/>
          <w:sz w:val="22"/>
          <w:szCs w:val="22"/>
        </w:rPr>
        <w:t>Agriculture Water and the Environment</w:t>
      </w:r>
      <w:r w:rsidRPr="00746C58">
        <w:rPr>
          <w:rFonts w:eastAsia="Calibri"/>
          <w:sz w:val="22"/>
          <w:szCs w:val="22"/>
          <w:lang w:val="en-AU"/>
        </w:rPr>
        <w:t>, by 31 December 2021, a Draft Harvest Strategy.</w:t>
      </w:r>
    </w:p>
    <w:p w14:paraId="50FA9EED" w14:textId="77777777" w:rsidR="00746C58" w:rsidRPr="00746C58" w:rsidRDefault="00746C58" w:rsidP="00746C58">
      <w:pPr>
        <w:spacing w:afterLines="60" w:after="144" w:line="276" w:lineRule="auto"/>
        <w:ind w:left="709"/>
        <w:jc w:val="both"/>
        <w:outlineLvl w:val="0"/>
        <w:rPr>
          <w:rFonts w:eastAsia="Calibri"/>
          <w:sz w:val="22"/>
          <w:szCs w:val="22"/>
          <w:lang w:val="en-AU"/>
        </w:rPr>
      </w:pPr>
      <w:r w:rsidRPr="00746C58">
        <w:rPr>
          <w:rFonts w:eastAsia="Calibri"/>
          <w:sz w:val="22"/>
          <w:szCs w:val="22"/>
          <w:lang w:val="en-AU"/>
        </w:rPr>
        <w:t>The draft strategy must include performance indicators, acceptable levels of risk and decision rules.</w:t>
      </w:r>
    </w:p>
    <w:p w14:paraId="39AFD818" w14:textId="53590E2C" w:rsidR="00746C58" w:rsidRPr="00746C58" w:rsidRDefault="00746C58" w:rsidP="00746C58">
      <w:pPr>
        <w:numPr>
          <w:ilvl w:val="0"/>
          <w:numId w:val="33"/>
        </w:numPr>
        <w:spacing w:afterLines="60" w:after="144" w:line="276" w:lineRule="auto"/>
        <w:ind w:left="709"/>
        <w:jc w:val="both"/>
        <w:outlineLvl w:val="0"/>
        <w:rPr>
          <w:rFonts w:eastAsia="Calibri"/>
          <w:sz w:val="22"/>
          <w:szCs w:val="22"/>
          <w:lang w:val="en-AU"/>
        </w:rPr>
      </w:pPr>
      <w:r w:rsidRPr="00746C58">
        <w:rPr>
          <w:rFonts w:eastAsia="Calibri"/>
          <w:sz w:val="22"/>
          <w:szCs w:val="22"/>
          <w:lang w:val="en-AU"/>
        </w:rPr>
        <w:t xml:space="preserve">Provide to the Department of </w:t>
      </w:r>
      <w:r w:rsidR="00F21964">
        <w:rPr>
          <w:rFonts w:cs="Arial"/>
          <w:sz w:val="22"/>
          <w:szCs w:val="22"/>
        </w:rPr>
        <w:t>Agriculture Water and the Environment</w:t>
      </w:r>
      <w:r w:rsidRPr="00746C58">
        <w:rPr>
          <w:rFonts w:eastAsia="Calibri"/>
          <w:sz w:val="22"/>
          <w:szCs w:val="22"/>
          <w:lang w:val="en-AU"/>
        </w:rPr>
        <w:t xml:space="preserve">, by 31 December 2021, a Draft Research and Monitoring Plan for the NT Aquarium Fishery. </w:t>
      </w:r>
    </w:p>
    <w:p w14:paraId="2A01DD13" w14:textId="77777777" w:rsidR="00746C58" w:rsidRPr="00746C58" w:rsidRDefault="00746C58" w:rsidP="00746C58">
      <w:pPr>
        <w:spacing w:afterLines="60" w:after="144" w:line="276" w:lineRule="auto"/>
        <w:ind w:left="709"/>
        <w:jc w:val="both"/>
        <w:outlineLvl w:val="0"/>
        <w:rPr>
          <w:rFonts w:eastAsia="Calibri"/>
          <w:sz w:val="22"/>
          <w:szCs w:val="22"/>
          <w:lang w:val="en-AU"/>
        </w:rPr>
      </w:pPr>
      <w:r w:rsidRPr="00746C58">
        <w:rPr>
          <w:rFonts w:eastAsia="Calibri"/>
          <w:sz w:val="22"/>
          <w:szCs w:val="22"/>
          <w:lang w:val="en-AU"/>
        </w:rPr>
        <w:lastRenderedPageBreak/>
        <w:t>The draft plan must include a strategy to collect data, monitor and manage impacts on target species (including protected species).</w:t>
      </w:r>
    </w:p>
    <w:p w14:paraId="248AD8E7" w14:textId="1A819A09" w:rsidR="00746C58" w:rsidRPr="00746C58" w:rsidRDefault="00746C58" w:rsidP="00746C58">
      <w:pPr>
        <w:numPr>
          <w:ilvl w:val="0"/>
          <w:numId w:val="33"/>
        </w:numPr>
        <w:spacing w:afterLines="60" w:after="144" w:line="276" w:lineRule="auto"/>
        <w:ind w:left="709"/>
        <w:jc w:val="both"/>
        <w:outlineLvl w:val="0"/>
        <w:rPr>
          <w:rFonts w:eastAsia="Calibri"/>
          <w:sz w:val="22"/>
          <w:szCs w:val="22"/>
          <w:lang w:val="en-AU"/>
        </w:rPr>
      </w:pPr>
      <w:r w:rsidRPr="00746C58">
        <w:rPr>
          <w:rFonts w:eastAsia="Calibri"/>
          <w:sz w:val="22"/>
          <w:szCs w:val="22"/>
          <w:lang w:val="en-AU"/>
        </w:rPr>
        <w:t xml:space="preserve">Provide to the Department of </w:t>
      </w:r>
      <w:r w:rsidR="00F21964">
        <w:rPr>
          <w:rFonts w:cs="Arial"/>
          <w:sz w:val="22"/>
          <w:szCs w:val="22"/>
        </w:rPr>
        <w:t>Agriculture Water and the Environment</w:t>
      </w:r>
      <w:r w:rsidRPr="00746C58">
        <w:rPr>
          <w:rFonts w:eastAsia="Calibri"/>
          <w:sz w:val="22"/>
          <w:szCs w:val="22"/>
          <w:lang w:val="en-AU"/>
        </w:rPr>
        <w:t xml:space="preserve">, by 30 June 2022, a Draft Management Framework. </w:t>
      </w:r>
    </w:p>
    <w:p w14:paraId="7DAFD5D4" w14:textId="77777777" w:rsidR="00746C58" w:rsidRPr="00746C58" w:rsidRDefault="00746C58" w:rsidP="00746C58">
      <w:pPr>
        <w:numPr>
          <w:ilvl w:val="0"/>
          <w:numId w:val="33"/>
        </w:numPr>
        <w:spacing w:afterLines="60" w:after="144" w:line="276" w:lineRule="auto"/>
        <w:ind w:left="709"/>
        <w:jc w:val="both"/>
        <w:outlineLvl w:val="0"/>
        <w:rPr>
          <w:rFonts w:eastAsia="Calibri"/>
          <w:sz w:val="22"/>
          <w:szCs w:val="22"/>
          <w:lang w:val="en-AU"/>
        </w:rPr>
      </w:pPr>
      <w:r w:rsidRPr="00746C58">
        <w:rPr>
          <w:rFonts w:eastAsia="Calibri"/>
          <w:sz w:val="22"/>
          <w:szCs w:val="22"/>
          <w:lang w:val="en-AU"/>
        </w:rPr>
        <w:t>Implement a Harvest Strategy for the Northern Territory Aquarium Fishery by 31 December 2022. The Harvest Strategy must include decision rules and reference points that trigger management actions to ensure the fishery remains ecologically sustainable.</w:t>
      </w:r>
    </w:p>
    <w:p w14:paraId="795371FB" w14:textId="2DF4FF6C" w:rsidR="00E9064A" w:rsidRPr="00ED66A0" w:rsidRDefault="00E9064A" w:rsidP="00746C58">
      <w:pPr>
        <w:pStyle w:val="ListNumber"/>
        <w:numPr>
          <w:ilvl w:val="0"/>
          <w:numId w:val="0"/>
        </w:numPr>
        <w:spacing w:after="120" w:line="276" w:lineRule="auto"/>
        <w:ind w:left="360"/>
        <w:contextualSpacing w:val="0"/>
        <w:rPr>
          <w:rFonts w:cs="Arial"/>
          <w:sz w:val="22"/>
          <w:szCs w:val="22"/>
        </w:rPr>
      </w:pPr>
    </w:p>
    <w:p w14:paraId="20F33A3E" w14:textId="77777777" w:rsidR="001F187E" w:rsidRDefault="001F187E">
      <w:pPr>
        <w:rPr>
          <w:highlight w:val="yellow"/>
        </w:rPr>
      </w:pPr>
      <w:r>
        <w:rPr>
          <w:highlight w:val="yellow"/>
        </w:rPr>
        <w:br w:type="page"/>
      </w:r>
    </w:p>
    <w:p w14:paraId="5FFAB7A7" w14:textId="6CA8F002" w:rsidR="001F187E" w:rsidRPr="001F187E" w:rsidRDefault="001F187E" w:rsidP="001F187E">
      <w:pPr>
        <w:keepNext/>
        <w:spacing w:before="240" w:after="60"/>
        <w:ind w:left="2880" w:firstLine="720"/>
        <w:outlineLvl w:val="0"/>
        <w:rPr>
          <w:b/>
          <w:bCs/>
          <w:kern w:val="32"/>
          <w:lang w:val="en-AU" w:eastAsia="en-AU"/>
        </w:rPr>
      </w:pPr>
      <w:r w:rsidRPr="004E68DD">
        <w:rPr>
          <w:b/>
          <w:bCs/>
          <w:kern w:val="32"/>
          <w:lang w:val="en-AU" w:eastAsia="en-AU"/>
        </w:rPr>
        <w:lastRenderedPageBreak/>
        <w:t xml:space="preserve">SCHEDULE </w:t>
      </w:r>
      <w:r w:rsidR="004E68DD" w:rsidRPr="004E68DD">
        <w:rPr>
          <w:b/>
          <w:bCs/>
          <w:kern w:val="32"/>
          <w:lang w:val="en-AU" w:eastAsia="en-AU"/>
        </w:rPr>
        <w:t>2</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693"/>
        <w:gridCol w:w="2551"/>
        <w:gridCol w:w="2694"/>
      </w:tblGrid>
      <w:tr w:rsidR="00424800" w:rsidRPr="001F187E" w14:paraId="1850949F" w14:textId="77777777" w:rsidTr="00D30414">
        <w:tc>
          <w:tcPr>
            <w:tcW w:w="2553" w:type="dxa"/>
            <w:shd w:val="clear" w:color="auto" w:fill="auto"/>
          </w:tcPr>
          <w:p w14:paraId="30647D60" w14:textId="77777777" w:rsidR="00424800" w:rsidRPr="001F187E" w:rsidRDefault="00424800" w:rsidP="001F187E">
            <w:pPr>
              <w:spacing w:before="100" w:beforeAutospacing="1" w:after="40"/>
              <w:rPr>
                <w:rFonts w:eastAsia="Arial Unicode MS" w:cs="Arial Unicode MS"/>
                <w:sz w:val="20"/>
                <w:szCs w:val="20"/>
                <w:u w:val="single"/>
              </w:rPr>
            </w:pPr>
            <w:r w:rsidRPr="001F187E">
              <w:rPr>
                <w:rFonts w:eastAsia="Arial Unicode MS" w:cs="Arial Unicode MS"/>
                <w:sz w:val="20"/>
                <w:szCs w:val="20"/>
                <w:u w:val="single"/>
              </w:rPr>
              <w:t>Scleractinian coral</w:t>
            </w:r>
          </w:p>
        </w:tc>
        <w:tc>
          <w:tcPr>
            <w:tcW w:w="2693" w:type="dxa"/>
            <w:shd w:val="clear" w:color="auto" w:fill="auto"/>
          </w:tcPr>
          <w:p w14:paraId="1A2AA172" w14:textId="77777777"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nasuta</w:t>
            </w:r>
          </w:p>
        </w:tc>
        <w:tc>
          <w:tcPr>
            <w:tcW w:w="2551" w:type="dxa"/>
            <w:shd w:val="clear" w:color="auto" w:fill="auto"/>
          </w:tcPr>
          <w:p w14:paraId="70805685" w14:textId="77777777"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Echinophyllia orpheensis</w:t>
            </w:r>
          </w:p>
        </w:tc>
        <w:tc>
          <w:tcPr>
            <w:tcW w:w="2694" w:type="dxa"/>
            <w:shd w:val="clear" w:color="auto" w:fill="auto"/>
          </w:tcPr>
          <w:p w14:paraId="068430CB" w14:textId="7CF27B1B" w:rsidR="00424800" w:rsidRPr="001F187E" w:rsidRDefault="00424800" w:rsidP="001F187E">
            <w:pPr>
              <w:spacing w:before="100" w:beforeAutospacing="1" w:after="40"/>
              <w:rPr>
                <w:rFonts w:eastAsia="Arial Unicode MS" w:cs="Arial Unicode MS"/>
                <w:i/>
                <w:sz w:val="20"/>
                <w:szCs w:val="20"/>
              </w:rPr>
            </w:pPr>
            <w:r w:rsidRPr="0099216E">
              <w:rPr>
                <w:rFonts w:eastAsia="Arial Unicode MS" w:cs="Arial Unicode MS"/>
                <w:i/>
                <w:sz w:val="20"/>
                <w:szCs w:val="20"/>
              </w:rPr>
              <w:t>Goniastrea stelligera</w:t>
            </w:r>
          </w:p>
        </w:tc>
      </w:tr>
      <w:tr w:rsidR="00424800" w:rsidRPr="001F187E" w14:paraId="56CEBE07" w14:textId="77777777" w:rsidTr="00D30414">
        <w:tc>
          <w:tcPr>
            <w:tcW w:w="2553" w:type="dxa"/>
            <w:shd w:val="clear" w:color="auto" w:fill="auto"/>
          </w:tcPr>
          <w:p w14:paraId="0DF78716" w14:textId="64F09C66"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bowerbanki</w:t>
            </w:r>
          </w:p>
        </w:tc>
        <w:tc>
          <w:tcPr>
            <w:tcW w:w="2693" w:type="dxa"/>
            <w:shd w:val="clear" w:color="auto" w:fill="auto"/>
          </w:tcPr>
          <w:p w14:paraId="6C0615A1" w14:textId="2586FC0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nobilis</w:t>
            </w:r>
          </w:p>
        </w:tc>
        <w:tc>
          <w:tcPr>
            <w:tcW w:w="2551" w:type="dxa"/>
            <w:shd w:val="clear" w:color="auto" w:fill="auto"/>
          </w:tcPr>
          <w:p w14:paraId="4078BBFF" w14:textId="7012D890"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Euphyllia ancora</w:t>
            </w:r>
          </w:p>
        </w:tc>
        <w:tc>
          <w:tcPr>
            <w:tcW w:w="2694" w:type="dxa"/>
            <w:shd w:val="clear" w:color="auto" w:fill="auto"/>
          </w:tcPr>
          <w:p w14:paraId="72D0FEE0" w14:textId="5A246BD6"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columna  </w:t>
            </w:r>
          </w:p>
        </w:tc>
      </w:tr>
      <w:tr w:rsidR="00424800" w:rsidRPr="001F187E" w14:paraId="379F3A0A" w14:textId="77777777" w:rsidTr="00D30414">
        <w:tc>
          <w:tcPr>
            <w:tcW w:w="2553" w:type="dxa"/>
            <w:shd w:val="clear" w:color="auto" w:fill="auto"/>
          </w:tcPr>
          <w:p w14:paraId="66624611" w14:textId="5F2D3900"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Acanthastrea echinata  </w:t>
            </w:r>
          </w:p>
        </w:tc>
        <w:tc>
          <w:tcPr>
            <w:tcW w:w="2693" w:type="dxa"/>
            <w:shd w:val="clear" w:color="auto" w:fill="auto"/>
          </w:tcPr>
          <w:p w14:paraId="6326DDC1" w14:textId="0F0C695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palifera</w:t>
            </w:r>
          </w:p>
        </w:tc>
        <w:tc>
          <w:tcPr>
            <w:tcW w:w="2551" w:type="dxa"/>
            <w:shd w:val="clear" w:color="auto" w:fill="auto"/>
          </w:tcPr>
          <w:p w14:paraId="65161E50" w14:textId="26F4EC42"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Euphyllia cristata</w:t>
            </w:r>
          </w:p>
        </w:tc>
        <w:tc>
          <w:tcPr>
            <w:tcW w:w="2694" w:type="dxa"/>
            <w:shd w:val="clear" w:color="auto" w:fill="auto"/>
          </w:tcPr>
          <w:p w14:paraId="1C95BDCE" w14:textId="253AF8CD"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djiboutiensis  </w:t>
            </w:r>
          </w:p>
        </w:tc>
      </w:tr>
      <w:tr w:rsidR="00424800" w:rsidRPr="001F187E" w14:paraId="1CEA2CA9" w14:textId="77777777" w:rsidTr="00D30414">
        <w:tc>
          <w:tcPr>
            <w:tcW w:w="2553" w:type="dxa"/>
            <w:shd w:val="clear" w:color="auto" w:fill="auto"/>
          </w:tcPr>
          <w:p w14:paraId="72825FEE" w14:textId="68AD65F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hemprichii</w:t>
            </w:r>
          </w:p>
        </w:tc>
        <w:tc>
          <w:tcPr>
            <w:tcW w:w="2693" w:type="dxa"/>
            <w:shd w:val="clear" w:color="auto" w:fill="auto"/>
          </w:tcPr>
          <w:p w14:paraId="0EA7268C" w14:textId="07F71B5E"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palmerae</w:t>
            </w:r>
          </w:p>
        </w:tc>
        <w:tc>
          <w:tcPr>
            <w:tcW w:w="2551" w:type="dxa"/>
            <w:shd w:val="clear" w:color="auto" w:fill="auto"/>
          </w:tcPr>
          <w:p w14:paraId="3D7E90B7" w14:textId="4DCCC6B2"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Euphyllia divisa</w:t>
            </w:r>
          </w:p>
        </w:tc>
        <w:tc>
          <w:tcPr>
            <w:tcW w:w="2694" w:type="dxa"/>
            <w:shd w:val="clear" w:color="auto" w:fill="auto"/>
          </w:tcPr>
          <w:p w14:paraId="3B829DBD" w14:textId="3B45F00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eclipsensis  </w:t>
            </w:r>
          </w:p>
        </w:tc>
      </w:tr>
      <w:tr w:rsidR="00424800" w:rsidRPr="001F187E" w14:paraId="1F56A59F" w14:textId="77777777" w:rsidTr="00D30414">
        <w:tc>
          <w:tcPr>
            <w:tcW w:w="2553" w:type="dxa"/>
            <w:shd w:val="clear" w:color="auto" w:fill="auto"/>
          </w:tcPr>
          <w:p w14:paraId="5EC0106E" w14:textId="07808650"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Acanthastrea hillae  </w:t>
            </w:r>
          </w:p>
        </w:tc>
        <w:tc>
          <w:tcPr>
            <w:tcW w:w="2693" w:type="dxa"/>
            <w:shd w:val="clear" w:color="auto" w:fill="auto"/>
          </w:tcPr>
          <w:p w14:paraId="09433F47" w14:textId="4416135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papillare</w:t>
            </w:r>
          </w:p>
        </w:tc>
        <w:tc>
          <w:tcPr>
            <w:tcW w:w="2551" w:type="dxa"/>
            <w:shd w:val="clear" w:color="auto" w:fill="auto"/>
          </w:tcPr>
          <w:p w14:paraId="73DF4F2C" w14:textId="5297BE9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Euphyllia glabrescens  </w:t>
            </w:r>
          </w:p>
        </w:tc>
        <w:tc>
          <w:tcPr>
            <w:tcW w:w="2694" w:type="dxa"/>
            <w:shd w:val="clear" w:color="auto" w:fill="auto"/>
          </w:tcPr>
          <w:p w14:paraId="58ED36A8" w14:textId="410E3E1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lobata  </w:t>
            </w:r>
          </w:p>
        </w:tc>
      </w:tr>
      <w:tr w:rsidR="00424800" w:rsidRPr="001F187E" w14:paraId="0436F886" w14:textId="77777777" w:rsidTr="00D30414">
        <w:tc>
          <w:tcPr>
            <w:tcW w:w="2553" w:type="dxa"/>
            <w:shd w:val="clear" w:color="auto" w:fill="auto"/>
          </w:tcPr>
          <w:p w14:paraId="5A1C8F64" w14:textId="3623690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lordhowensis</w:t>
            </w:r>
          </w:p>
        </w:tc>
        <w:tc>
          <w:tcPr>
            <w:tcW w:w="2693" w:type="dxa"/>
            <w:shd w:val="clear" w:color="auto" w:fill="auto"/>
          </w:tcPr>
          <w:p w14:paraId="14B5C5E0" w14:textId="698E0079"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polystoma</w:t>
            </w:r>
          </w:p>
        </w:tc>
        <w:tc>
          <w:tcPr>
            <w:tcW w:w="2551" w:type="dxa"/>
            <w:shd w:val="clear" w:color="auto" w:fill="auto"/>
          </w:tcPr>
          <w:p w14:paraId="1C74CDFC" w14:textId="4FFDBAB1"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Euphyllia paraancora  </w:t>
            </w:r>
          </w:p>
        </w:tc>
        <w:tc>
          <w:tcPr>
            <w:tcW w:w="2694" w:type="dxa"/>
            <w:shd w:val="clear" w:color="auto" w:fill="auto"/>
          </w:tcPr>
          <w:p w14:paraId="480F0B72" w14:textId="3A1C21B6"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minor  </w:t>
            </w:r>
          </w:p>
        </w:tc>
      </w:tr>
      <w:tr w:rsidR="00424800" w:rsidRPr="001F187E" w14:paraId="4B16115D" w14:textId="77777777" w:rsidTr="00D30414">
        <w:tc>
          <w:tcPr>
            <w:tcW w:w="2553" w:type="dxa"/>
            <w:shd w:val="clear" w:color="auto" w:fill="auto"/>
          </w:tcPr>
          <w:p w14:paraId="4BE8D391" w14:textId="554794C7"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maxima</w:t>
            </w:r>
          </w:p>
        </w:tc>
        <w:tc>
          <w:tcPr>
            <w:tcW w:w="2693" w:type="dxa"/>
            <w:shd w:val="clear" w:color="auto" w:fill="auto"/>
          </w:tcPr>
          <w:p w14:paraId="3E0945EE" w14:textId="4AC6F23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pulchra</w:t>
            </w:r>
          </w:p>
        </w:tc>
        <w:tc>
          <w:tcPr>
            <w:tcW w:w="2551" w:type="dxa"/>
            <w:shd w:val="clear" w:color="auto" w:fill="auto"/>
          </w:tcPr>
          <w:p w14:paraId="04CC96A7" w14:textId="365D09E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favus  </w:t>
            </w:r>
          </w:p>
        </w:tc>
        <w:tc>
          <w:tcPr>
            <w:tcW w:w="2694" w:type="dxa"/>
            <w:shd w:val="clear" w:color="auto" w:fill="auto"/>
          </w:tcPr>
          <w:p w14:paraId="37BC3A51" w14:textId="6D2E5E93"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norfolkensis  </w:t>
            </w:r>
          </w:p>
        </w:tc>
      </w:tr>
      <w:tr w:rsidR="00424800" w:rsidRPr="001F187E" w14:paraId="23655857" w14:textId="77777777" w:rsidTr="00D30414">
        <w:tc>
          <w:tcPr>
            <w:tcW w:w="2553" w:type="dxa"/>
            <w:shd w:val="clear" w:color="auto" w:fill="auto"/>
          </w:tcPr>
          <w:p w14:paraId="28A4F1C1" w14:textId="653C4C4A"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maxima</w:t>
            </w:r>
          </w:p>
        </w:tc>
        <w:tc>
          <w:tcPr>
            <w:tcW w:w="2693" w:type="dxa"/>
            <w:shd w:val="clear" w:color="auto" w:fill="auto"/>
          </w:tcPr>
          <w:p w14:paraId="5ADB5234" w14:textId="6851DBC3"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robusta</w:t>
            </w:r>
          </w:p>
        </w:tc>
        <w:tc>
          <w:tcPr>
            <w:tcW w:w="2551" w:type="dxa"/>
            <w:shd w:val="clear" w:color="auto" w:fill="auto"/>
          </w:tcPr>
          <w:p w14:paraId="2AED6D9B" w14:textId="488AD7E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helianthoides  </w:t>
            </w:r>
          </w:p>
        </w:tc>
        <w:tc>
          <w:tcPr>
            <w:tcW w:w="2694" w:type="dxa"/>
            <w:shd w:val="clear" w:color="auto" w:fill="auto"/>
          </w:tcPr>
          <w:p w14:paraId="7192AF8B" w14:textId="3F84B2C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pandoraensis  </w:t>
            </w:r>
          </w:p>
        </w:tc>
      </w:tr>
      <w:tr w:rsidR="00424800" w:rsidRPr="001F187E" w14:paraId="1FDEA0ED" w14:textId="77777777" w:rsidTr="00D30414">
        <w:tc>
          <w:tcPr>
            <w:tcW w:w="2553" w:type="dxa"/>
            <w:shd w:val="clear" w:color="auto" w:fill="auto"/>
          </w:tcPr>
          <w:p w14:paraId="01FACA5D" w14:textId="1241112B"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Acanthastrea micromussa</w:t>
            </w:r>
          </w:p>
        </w:tc>
        <w:tc>
          <w:tcPr>
            <w:tcW w:w="2693" w:type="dxa"/>
            <w:shd w:val="clear" w:color="auto" w:fill="auto"/>
          </w:tcPr>
          <w:p w14:paraId="0D321393" w14:textId="78CF4B2D"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russelli</w:t>
            </w:r>
          </w:p>
        </w:tc>
        <w:tc>
          <w:tcPr>
            <w:tcW w:w="2551" w:type="dxa"/>
            <w:shd w:val="clear" w:color="auto" w:fill="auto"/>
          </w:tcPr>
          <w:p w14:paraId="5525B450" w14:textId="6C6D01F9"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laxa  </w:t>
            </w:r>
          </w:p>
        </w:tc>
        <w:tc>
          <w:tcPr>
            <w:tcW w:w="2694" w:type="dxa"/>
            <w:shd w:val="clear" w:color="auto" w:fill="auto"/>
          </w:tcPr>
          <w:p w14:paraId="22833D97" w14:textId="5FE86C06"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pendulus  </w:t>
            </w:r>
          </w:p>
        </w:tc>
      </w:tr>
      <w:tr w:rsidR="00424800" w:rsidRPr="001F187E" w14:paraId="5CE48D41" w14:textId="77777777" w:rsidTr="00D30414">
        <w:tc>
          <w:tcPr>
            <w:tcW w:w="2553" w:type="dxa"/>
            <w:shd w:val="clear" w:color="auto" w:fill="auto"/>
          </w:tcPr>
          <w:p w14:paraId="3AD05A1F" w14:textId="0557BED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abrotanoides</w:t>
            </w:r>
          </w:p>
        </w:tc>
        <w:tc>
          <w:tcPr>
            <w:tcW w:w="2693" w:type="dxa"/>
            <w:shd w:val="clear" w:color="auto" w:fill="auto"/>
          </w:tcPr>
          <w:p w14:paraId="661E2FAD" w14:textId="370AD9C5"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samoensis</w:t>
            </w:r>
          </w:p>
        </w:tc>
        <w:tc>
          <w:tcPr>
            <w:tcW w:w="2551" w:type="dxa"/>
            <w:shd w:val="clear" w:color="auto" w:fill="auto"/>
          </w:tcPr>
          <w:p w14:paraId="2F17E693" w14:textId="4CFF30F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lizardensis  </w:t>
            </w:r>
          </w:p>
        </w:tc>
        <w:tc>
          <w:tcPr>
            <w:tcW w:w="2694" w:type="dxa"/>
            <w:shd w:val="clear" w:color="auto" w:fill="auto"/>
          </w:tcPr>
          <w:p w14:paraId="42F5705E" w14:textId="74EA24C9"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somaliensis  </w:t>
            </w:r>
          </w:p>
        </w:tc>
      </w:tr>
      <w:tr w:rsidR="00424800" w:rsidRPr="001F187E" w14:paraId="099A879F" w14:textId="77777777" w:rsidTr="00D30414">
        <w:tc>
          <w:tcPr>
            <w:tcW w:w="2553" w:type="dxa"/>
            <w:shd w:val="clear" w:color="auto" w:fill="auto"/>
          </w:tcPr>
          <w:p w14:paraId="470BDEEA" w14:textId="1B401AFB"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aculeus</w:t>
            </w:r>
          </w:p>
        </w:tc>
        <w:tc>
          <w:tcPr>
            <w:tcW w:w="2693" w:type="dxa"/>
            <w:shd w:val="clear" w:color="auto" w:fill="auto"/>
          </w:tcPr>
          <w:p w14:paraId="2D738ADB" w14:textId="6331F883"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sarmentosa</w:t>
            </w:r>
          </w:p>
        </w:tc>
        <w:tc>
          <w:tcPr>
            <w:tcW w:w="2551" w:type="dxa"/>
            <w:shd w:val="clear" w:color="auto" w:fill="auto"/>
          </w:tcPr>
          <w:p w14:paraId="44A2B0DA" w14:textId="13300E49"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maritima  </w:t>
            </w:r>
          </w:p>
        </w:tc>
        <w:tc>
          <w:tcPr>
            <w:tcW w:w="2694" w:type="dxa"/>
            <w:shd w:val="clear" w:color="auto" w:fill="auto"/>
          </w:tcPr>
          <w:p w14:paraId="30676500" w14:textId="61BBC65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Goniopora stokesi</w:t>
            </w:r>
          </w:p>
        </w:tc>
      </w:tr>
      <w:tr w:rsidR="00424800" w:rsidRPr="001F187E" w14:paraId="0B592513" w14:textId="77777777" w:rsidTr="00D30414">
        <w:tc>
          <w:tcPr>
            <w:tcW w:w="2553" w:type="dxa"/>
            <w:shd w:val="clear" w:color="auto" w:fill="auto"/>
          </w:tcPr>
          <w:p w14:paraId="08519158" w14:textId="008C23A5"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acuminata</w:t>
            </w:r>
          </w:p>
        </w:tc>
        <w:tc>
          <w:tcPr>
            <w:tcW w:w="2693" w:type="dxa"/>
            <w:shd w:val="clear" w:color="auto" w:fill="auto"/>
          </w:tcPr>
          <w:p w14:paraId="3C418162" w14:textId="1B50DD2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selago</w:t>
            </w:r>
          </w:p>
        </w:tc>
        <w:tc>
          <w:tcPr>
            <w:tcW w:w="2551" w:type="dxa"/>
            <w:shd w:val="clear" w:color="auto" w:fill="auto"/>
          </w:tcPr>
          <w:p w14:paraId="380D7115" w14:textId="71D87FA2"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matthaii  </w:t>
            </w:r>
          </w:p>
        </w:tc>
        <w:tc>
          <w:tcPr>
            <w:tcW w:w="2694" w:type="dxa"/>
            <w:shd w:val="clear" w:color="auto" w:fill="auto"/>
          </w:tcPr>
          <w:p w14:paraId="76B7FC5B" w14:textId="11D196DC"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stutchburyi   </w:t>
            </w:r>
          </w:p>
        </w:tc>
      </w:tr>
      <w:tr w:rsidR="00424800" w:rsidRPr="001F187E" w14:paraId="6D0609E8" w14:textId="77777777" w:rsidTr="00D30414">
        <w:tc>
          <w:tcPr>
            <w:tcW w:w="2553" w:type="dxa"/>
            <w:shd w:val="clear" w:color="auto" w:fill="auto"/>
          </w:tcPr>
          <w:p w14:paraId="75F000AC" w14:textId="03EB9A53"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anthocercis</w:t>
            </w:r>
          </w:p>
        </w:tc>
        <w:tc>
          <w:tcPr>
            <w:tcW w:w="2693" w:type="dxa"/>
            <w:shd w:val="clear" w:color="auto" w:fill="auto"/>
          </w:tcPr>
          <w:p w14:paraId="1356BE39" w14:textId="3F5D73BC"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solitaryensis</w:t>
            </w:r>
          </w:p>
        </w:tc>
        <w:tc>
          <w:tcPr>
            <w:tcW w:w="2551" w:type="dxa"/>
            <w:shd w:val="clear" w:color="auto" w:fill="auto"/>
          </w:tcPr>
          <w:p w14:paraId="01CC4E61" w14:textId="796F7201"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maxima  </w:t>
            </w:r>
          </w:p>
        </w:tc>
        <w:tc>
          <w:tcPr>
            <w:tcW w:w="2694" w:type="dxa"/>
            <w:shd w:val="clear" w:color="auto" w:fill="auto"/>
          </w:tcPr>
          <w:p w14:paraId="15E77F29" w14:textId="67DA6346"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Goniopora tenuidens  </w:t>
            </w:r>
          </w:p>
        </w:tc>
      </w:tr>
      <w:tr w:rsidR="00424800" w:rsidRPr="001F187E" w14:paraId="7DBEBA49" w14:textId="77777777" w:rsidTr="00D30414">
        <w:tc>
          <w:tcPr>
            <w:tcW w:w="2553" w:type="dxa"/>
            <w:shd w:val="clear" w:color="auto" w:fill="auto"/>
          </w:tcPr>
          <w:p w14:paraId="1BB6FB1A" w14:textId="5EF1F908"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aspera</w:t>
            </w:r>
          </w:p>
        </w:tc>
        <w:tc>
          <w:tcPr>
            <w:tcW w:w="2693" w:type="dxa"/>
            <w:shd w:val="clear" w:color="auto" w:fill="auto"/>
          </w:tcPr>
          <w:p w14:paraId="55CBC4A0" w14:textId="1C9658B5"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spicifera</w:t>
            </w:r>
          </w:p>
        </w:tc>
        <w:tc>
          <w:tcPr>
            <w:tcW w:w="2551" w:type="dxa"/>
            <w:shd w:val="clear" w:color="auto" w:fill="auto"/>
          </w:tcPr>
          <w:p w14:paraId="0543001A" w14:textId="0D271FC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pallida  </w:t>
            </w:r>
          </w:p>
        </w:tc>
        <w:tc>
          <w:tcPr>
            <w:tcW w:w="2694" w:type="dxa"/>
            <w:shd w:val="clear" w:color="auto" w:fill="auto"/>
          </w:tcPr>
          <w:p w14:paraId="76678DFB" w14:textId="0E15A734"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Heliofungia actiniformis</w:t>
            </w:r>
          </w:p>
        </w:tc>
      </w:tr>
      <w:tr w:rsidR="00424800" w:rsidRPr="001F187E" w14:paraId="3C4370F2" w14:textId="77777777" w:rsidTr="00D30414">
        <w:tc>
          <w:tcPr>
            <w:tcW w:w="2553" w:type="dxa"/>
            <w:shd w:val="clear" w:color="auto" w:fill="auto"/>
          </w:tcPr>
          <w:p w14:paraId="18FD7623" w14:textId="76B37DE7"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austera</w:t>
            </w:r>
          </w:p>
        </w:tc>
        <w:tc>
          <w:tcPr>
            <w:tcW w:w="2693" w:type="dxa"/>
            <w:shd w:val="clear" w:color="auto" w:fill="auto"/>
          </w:tcPr>
          <w:p w14:paraId="4EA9DAAE" w14:textId="7BA5DF4F"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stoddarti</w:t>
            </w:r>
          </w:p>
        </w:tc>
        <w:tc>
          <w:tcPr>
            <w:tcW w:w="2551" w:type="dxa"/>
            <w:shd w:val="clear" w:color="auto" w:fill="auto"/>
          </w:tcPr>
          <w:p w14:paraId="6537275D" w14:textId="4C18A2DC"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rotumana  </w:t>
            </w:r>
          </w:p>
        </w:tc>
        <w:tc>
          <w:tcPr>
            <w:tcW w:w="2694" w:type="dxa"/>
            <w:shd w:val="clear" w:color="auto" w:fill="auto"/>
          </w:tcPr>
          <w:p w14:paraId="0FEE190B" w14:textId="230FAFDA" w:rsidR="00424800" w:rsidRPr="001F187E" w:rsidRDefault="00424800" w:rsidP="001F187E">
            <w:pPr>
              <w:spacing w:before="100" w:beforeAutospacing="1" w:after="40"/>
              <w:rPr>
                <w:rFonts w:eastAsia="Arial Unicode MS" w:cs="Arial Unicode MS"/>
                <w:i/>
                <w:sz w:val="20"/>
                <w:szCs w:val="20"/>
              </w:rPr>
            </w:pPr>
            <w:r w:rsidRPr="001F187E">
              <w:rPr>
                <w:rFonts w:eastAsia="Arial Unicode MS" w:cs="Arial Unicode MS"/>
                <w:i/>
                <w:sz w:val="20"/>
                <w:szCs w:val="20"/>
              </w:rPr>
              <w:t>Herpolitha limax</w:t>
            </w:r>
          </w:p>
        </w:tc>
      </w:tr>
      <w:tr w:rsidR="002D2BCB" w:rsidRPr="001F187E" w14:paraId="54C92F3C" w14:textId="77777777" w:rsidTr="00D30414">
        <w:tc>
          <w:tcPr>
            <w:tcW w:w="2553" w:type="dxa"/>
            <w:shd w:val="clear" w:color="auto" w:fill="auto"/>
          </w:tcPr>
          <w:p w14:paraId="0250C55D" w14:textId="6E1D5785"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brueggemanni</w:t>
            </w:r>
          </w:p>
        </w:tc>
        <w:tc>
          <w:tcPr>
            <w:tcW w:w="2693" w:type="dxa"/>
            <w:shd w:val="clear" w:color="auto" w:fill="auto"/>
          </w:tcPr>
          <w:p w14:paraId="6FB04544" w14:textId="0D06999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subglabra</w:t>
            </w:r>
          </w:p>
        </w:tc>
        <w:tc>
          <w:tcPr>
            <w:tcW w:w="2551" w:type="dxa"/>
            <w:shd w:val="clear" w:color="auto" w:fill="auto"/>
          </w:tcPr>
          <w:p w14:paraId="585E42A8" w14:textId="131F9C8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speciosa  </w:t>
            </w:r>
          </w:p>
        </w:tc>
        <w:tc>
          <w:tcPr>
            <w:tcW w:w="2694" w:type="dxa"/>
            <w:shd w:val="clear" w:color="auto" w:fill="auto"/>
          </w:tcPr>
          <w:p w14:paraId="333008AA" w14:textId="541DD535"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Hydnophora exesa  </w:t>
            </w:r>
          </w:p>
        </w:tc>
      </w:tr>
      <w:tr w:rsidR="002D2BCB" w:rsidRPr="001F187E" w14:paraId="54815E16" w14:textId="77777777" w:rsidTr="00D30414">
        <w:tc>
          <w:tcPr>
            <w:tcW w:w="2553" w:type="dxa"/>
            <w:shd w:val="clear" w:color="auto" w:fill="auto"/>
          </w:tcPr>
          <w:p w14:paraId="4525E398" w14:textId="1D8E108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bushyensis</w:t>
            </w:r>
          </w:p>
        </w:tc>
        <w:tc>
          <w:tcPr>
            <w:tcW w:w="2693" w:type="dxa"/>
            <w:shd w:val="clear" w:color="auto" w:fill="auto"/>
          </w:tcPr>
          <w:p w14:paraId="59990D0B" w14:textId="21129E2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subulata</w:t>
            </w:r>
          </w:p>
        </w:tc>
        <w:tc>
          <w:tcPr>
            <w:tcW w:w="2551" w:type="dxa"/>
            <w:shd w:val="clear" w:color="auto" w:fill="auto"/>
          </w:tcPr>
          <w:p w14:paraId="5F963C21" w14:textId="1623E09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stelligera  </w:t>
            </w:r>
          </w:p>
        </w:tc>
        <w:tc>
          <w:tcPr>
            <w:tcW w:w="2694" w:type="dxa"/>
            <w:shd w:val="clear" w:color="auto" w:fill="auto"/>
          </w:tcPr>
          <w:p w14:paraId="218DB5BA" w14:textId="05B237C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Hydnophora microconos  </w:t>
            </w:r>
          </w:p>
        </w:tc>
      </w:tr>
      <w:tr w:rsidR="002D2BCB" w:rsidRPr="001F187E" w14:paraId="27F111E0" w14:textId="77777777" w:rsidTr="00D30414">
        <w:tc>
          <w:tcPr>
            <w:tcW w:w="2553" w:type="dxa"/>
            <w:shd w:val="clear" w:color="auto" w:fill="auto"/>
          </w:tcPr>
          <w:p w14:paraId="020350B5" w14:textId="3414D07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cardenae</w:t>
            </w:r>
          </w:p>
        </w:tc>
        <w:tc>
          <w:tcPr>
            <w:tcW w:w="2693" w:type="dxa"/>
            <w:shd w:val="clear" w:color="auto" w:fill="auto"/>
          </w:tcPr>
          <w:p w14:paraId="543BD3A5" w14:textId="527BD46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tenuis</w:t>
            </w:r>
          </w:p>
        </w:tc>
        <w:tc>
          <w:tcPr>
            <w:tcW w:w="2551" w:type="dxa"/>
            <w:shd w:val="clear" w:color="auto" w:fill="auto"/>
          </w:tcPr>
          <w:p w14:paraId="16333B03" w14:textId="4BABC14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truncatus  </w:t>
            </w:r>
          </w:p>
        </w:tc>
        <w:tc>
          <w:tcPr>
            <w:tcW w:w="2694" w:type="dxa"/>
            <w:shd w:val="clear" w:color="auto" w:fill="auto"/>
          </w:tcPr>
          <w:p w14:paraId="466B92F1" w14:textId="62C53EF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Hydnophora pilosa  </w:t>
            </w:r>
          </w:p>
        </w:tc>
      </w:tr>
      <w:tr w:rsidR="002D2BCB" w:rsidRPr="001F187E" w14:paraId="62592DFF" w14:textId="77777777" w:rsidTr="00D30414">
        <w:tc>
          <w:tcPr>
            <w:tcW w:w="2553" w:type="dxa"/>
            <w:shd w:val="clear" w:color="auto" w:fill="auto"/>
          </w:tcPr>
          <w:p w14:paraId="66478E8C" w14:textId="2345492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cerealis</w:t>
            </w:r>
          </w:p>
        </w:tc>
        <w:tc>
          <w:tcPr>
            <w:tcW w:w="2693" w:type="dxa"/>
            <w:shd w:val="clear" w:color="auto" w:fill="auto"/>
          </w:tcPr>
          <w:p w14:paraId="62347855" w14:textId="696DA8F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tortuosa</w:t>
            </w:r>
          </w:p>
        </w:tc>
        <w:tc>
          <w:tcPr>
            <w:tcW w:w="2551" w:type="dxa"/>
            <w:shd w:val="clear" w:color="auto" w:fill="auto"/>
          </w:tcPr>
          <w:p w14:paraId="11F94F2A" w14:textId="311E059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Favia veroni  </w:t>
            </w:r>
          </w:p>
        </w:tc>
        <w:tc>
          <w:tcPr>
            <w:tcW w:w="2694" w:type="dxa"/>
            <w:shd w:val="clear" w:color="auto" w:fill="auto"/>
          </w:tcPr>
          <w:p w14:paraId="245EC285" w14:textId="692EEFA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Hydnophora rigida  </w:t>
            </w:r>
          </w:p>
        </w:tc>
      </w:tr>
      <w:tr w:rsidR="002D2BCB" w:rsidRPr="001F187E" w14:paraId="024F465B" w14:textId="77777777" w:rsidTr="00D30414">
        <w:tc>
          <w:tcPr>
            <w:tcW w:w="2553" w:type="dxa"/>
            <w:shd w:val="clear" w:color="auto" w:fill="auto"/>
          </w:tcPr>
          <w:p w14:paraId="12468CFF" w14:textId="50FD5F7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clathrata</w:t>
            </w:r>
          </w:p>
        </w:tc>
        <w:tc>
          <w:tcPr>
            <w:tcW w:w="2693" w:type="dxa"/>
            <w:shd w:val="clear" w:color="auto" w:fill="auto"/>
          </w:tcPr>
          <w:p w14:paraId="379BC1B1" w14:textId="7A03431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turaki</w:t>
            </w:r>
          </w:p>
        </w:tc>
        <w:tc>
          <w:tcPr>
            <w:tcW w:w="2551" w:type="dxa"/>
            <w:shd w:val="clear" w:color="auto" w:fill="auto"/>
          </w:tcPr>
          <w:p w14:paraId="6D627FD6" w14:textId="1CA0E13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Favites abdita</w:t>
            </w:r>
          </w:p>
        </w:tc>
        <w:tc>
          <w:tcPr>
            <w:tcW w:w="2694" w:type="dxa"/>
            <w:shd w:val="clear" w:color="auto" w:fill="auto"/>
          </w:tcPr>
          <w:p w14:paraId="76CF1B17" w14:textId="22B787B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Leptastrea purpurea</w:t>
            </w:r>
          </w:p>
        </w:tc>
      </w:tr>
      <w:tr w:rsidR="002D2BCB" w:rsidRPr="001F187E" w14:paraId="71B53834" w14:textId="77777777" w:rsidTr="00D30414">
        <w:tc>
          <w:tcPr>
            <w:tcW w:w="2553" w:type="dxa"/>
            <w:shd w:val="clear" w:color="auto" w:fill="auto"/>
          </w:tcPr>
          <w:p w14:paraId="364AD46C" w14:textId="0B016E9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cytherea</w:t>
            </w:r>
          </w:p>
        </w:tc>
        <w:tc>
          <w:tcPr>
            <w:tcW w:w="2693" w:type="dxa"/>
            <w:shd w:val="clear" w:color="auto" w:fill="auto"/>
          </w:tcPr>
          <w:p w14:paraId="6FC3F206" w14:textId="3AD3BAA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valenciennesi</w:t>
            </w:r>
          </w:p>
        </w:tc>
        <w:tc>
          <w:tcPr>
            <w:tcW w:w="2551" w:type="dxa"/>
            <w:shd w:val="clear" w:color="auto" w:fill="auto"/>
          </w:tcPr>
          <w:p w14:paraId="4B28C943" w14:textId="28B4C0C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chinensis  </w:t>
            </w:r>
          </w:p>
        </w:tc>
        <w:tc>
          <w:tcPr>
            <w:tcW w:w="2694" w:type="dxa"/>
            <w:shd w:val="clear" w:color="auto" w:fill="auto"/>
          </w:tcPr>
          <w:p w14:paraId="76BDFD8E" w14:textId="41545E1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Leptastrea transversa</w:t>
            </w:r>
          </w:p>
        </w:tc>
      </w:tr>
      <w:tr w:rsidR="002D2BCB" w:rsidRPr="001F187E" w14:paraId="355456C4" w14:textId="77777777" w:rsidTr="00D30414">
        <w:tc>
          <w:tcPr>
            <w:tcW w:w="2553" w:type="dxa"/>
            <w:shd w:val="clear" w:color="auto" w:fill="auto"/>
          </w:tcPr>
          <w:p w14:paraId="503A1A67" w14:textId="023A209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danai</w:t>
            </w:r>
          </w:p>
        </w:tc>
        <w:tc>
          <w:tcPr>
            <w:tcW w:w="2693" w:type="dxa"/>
            <w:shd w:val="clear" w:color="auto" w:fill="auto"/>
          </w:tcPr>
          <w:p w14:paraId="6013B077" w14:textId="339EFB7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valida</w:t>
            </w:r>
          </w:p>
        </w:tc>
        <w:tc>
          <w:tcPr>
            <w:tcW w:w="2551" w:type="dxa"/>
            <w:shd w:val="clear" w:color="auto" w:fill="auto"/>
          </w:tcPr>
          <w:p w14:paraId="6E65B745" w14:textId="1B713FA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complanata  </w:t>
            </w:r>
          </w:p>
        </w:tc>
        <w:tc>
          <w:tcPr>
            <w:tcW w:w="2694" w:type="dxa"/>
            <w:shd w:val="clear" w:color="auto" w:fill="auto"/>
          </w:tcPr>
          <w:p w14:paraId="4F34BD70" w14:textId="041AEB7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Leptoria phrygia  </w:t>
            </w:r>
          </w:p>
        </w:tc>
      </w:tr>
      <w:tr w:rsidR="002D2BCB" w:rsidRPr="001F187E" w14:paraId="1AD0A2D8" w14:textId="77777777" w:rsidTr="00D30414">
        <w:tc>
          <w:tcPr>
            <w:tcW w:w="2553" w:type="dxa"/>
            <w:shd w:val="clear" w:color="auto" w:fill="auto"/>
          </w:tcPr>
          <w:p w14:paraId="7F917850" w14:textId="1382210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dendrum</w:t>
            </w:r>
          </w:p>
        </w:tc>
        <w:tc>
          <w:tcPr>
            <w:tcW w:w="2693" w:type="dxa"/>
            <w:shd w:val="clear" w:color="auto" w:fill="auto"/>
          </w:tcPr>
          <w:p w14:paraId="0AC19079" w14:textId="492D206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vaughani</w:t>
            </w:r>
          </w:p>
        </w:tc>
        <w:tc>
          <w:tcPr>
            <w:tcW w:w="2551" w:type="dxa"/>
            <w:shd w:val="clear" w:color="auto" w:fill="auto"/>
          </w:tcPr>
          <w:p w14:paraId="3ED02BBA" w14:textId="34EB1E8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flexuosa  </w:t>
            </w:r>
          </w:p>
        </w:tc>
        <w:tc>
          <w:tcPr>
            <w:tcW w:w="2694" w:type="dxa"/>
            <w:shd w:val="clear" w:color="auto" w:fill="auto"/>
          </w:tcPr>
          <w:p w14:paraId="532A5A22" w14:textId="1B1FB2E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iCs/>
                <w:sz w:val="20"/>
                <w:szCs w:val="20"/>
                <w:lang w:val="en-AU"/>
              </w:rPr>
              <w:t>Leptoseris explanata</w:t>
            </w:r>
          </w:p>
        </w:tc>
      </w:tr>
      <w:tr w:rsidR="002D2BCB" w:rsidRPr="001F187E" w14:paraId="5C353E0D" w14:textId="77777777" w:rsidTr="00D30414">
        <w:tc>
          <w:tcPr>
            <w:tcW w:w="2553" w:type="dxa"/>
            <w:shd w:val="clear" w:color="auto" w:fill="auto"/>
          </w:tcPr>
          <w:p w14:paraId="5103FFCD" w14:textId="5997115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digitifera</w:t>
            </w:r>
          </w:p>
        </w:tc>
        <w:tc>
          <w:tcPr>
            <w:tcW w:w="2693" w:type="dxa"/>
            <w:shd w:val="clear" w:color="auto" w:fill="auto"/>
          </w:tcPr>
          <w:p w14:paraId="21793251" w14:textId="21B304C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verweyi</w:t>
            </w:r>
          </w:p>
        </w:tc>
        <w:tc>
          <w:tcPr>
            <w:tcW w:w="2551" w:type="dxa"/>
            <w:shd w:val="clear" w:color="auto" w:fill="auto"/>
          </w:tcPr>
          <w:p w14:paraId="418C14E8" w14:textId="39AA9CE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halicora  </w:t>
            </w:r>
          </w:p>
        </w:tc>
        <w:tc>
          <w:tcPr>
            <w:tcW w:w="2694" w:type="dxa"/>
            <w:shd w:val="clear" w:color="auto" w:fill="auto"/>
          </w:tcPr>
          <w:p w14:paraId="360AED10" w14:textId="14260DF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iCs/>
                <w:sz w:val="20"/>
                <w:szCs w:val="20"/>
                <w:lang w:val="en-AU"/>
              </w:rPr>
              <w:t>Leptoseris scabra</w:t>
            </w:r>
          </w:p>
        </w:tc>
      </w:tr>
      <w:tr w:rsidR="002D2BCB" w:rsidRPr="001F187E" w14:paraId="2C461FF9" w14:textId="77777777" w:rsidTr="00D30414">
        <w:tc>
          <w:tcPr>
            <w:tcW w:w="2553" w:type="dxa"/>
            <w:shd w:val="clear" w:color="auto" w:fill="auto"/>
          </w:tcPr>
          <w:p w14:paraId="019A5E41" w14:textId="7F68266D"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divaricata</w:t>
            </w:r>
          </w:p>
        </w:tc>
        <w:tc>
          <w:tcPr>
            <w:tcW w:w="2693" w:type="dxa"/>
            <w:shd w:val="clear" w:color="auto" w:fill="auto"/>
          </w:tcPr>
          <w:p w14:paraId="1A1E9BD0" w14:textId="0247F96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willisae</w:t>
            </w:r>
          </w:p>
        </w:tc>
        <w:tc>
          <w:tcPr>
            <w:tcW w:w="2551" w:type="dxa"/>
            <w:shd w:val="clear" w:color="auto" w:fill="auto"/>
          </w:tcPr>
          <w:p w14:paraId="234C36E2" w14:textId="3C37A90D"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paraflexuosa  </w:t>
            </w:r>
          </w:p>
        </w:tc>
        <w:tc>
          <w:tcPr>
            <w:tcW w:w="2694" w:type="dxa"/>
            <w:shd w:val="clear" w:color="auto" w:fill="auto"/>
          </w:tcPr>
          <w:p w14:paraId="3DE2438C" w14:textId="0F4AFB2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Lithophyllon edwardsi</w:t>
            </w:r>
          </w:p>
        </w:tc>
      </w:tr>
      <w:tr w:rsidR="002D2BCB" w:rsidRPr="001F187E" w14:paraId="49E0628C" w14:textId="77777777" w:rsidTr="00D30414">
        <w:tc>
          <w:tcPr>
            <w:tcW w:w="2553" w:type="dxa"/>
            <w:shd w:val="clear" w:color="auto" w:fill="auto"/>
          </w:tcPr>
          <w:p w14:paraId="194567FB" w14:textId="50C3B79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donei</w:t>
            </w:r>
            <w:r w:rsidRPr="001F187E">
              <w:rPr>
                <w:rFonts w:eastAsia="Arial Unicode MS" w:cs="Arial Unicode MS"/>
                <w:i/>
                <w:sz w:val="20"/>
                <w:szCs w:val="20"/>
              </w:rPr>
              <w:tab/>
            </w:r>
          </w:p>
        </w:tc>
        <w:tc>
          <w:tcPr>
            <w:tcW w:w="2693" w:type="dxa"/>
            <w:shd w:val="clear" w:color="auto" w:fill="auto"/>
          </w:tcPr>
          <w:p w14:paraId="16B2B777" w14:textId="5EAF977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yongei</w:t>
            </w:r>
          </w:p>
        </w:tc>
        <w:tc>
          <w:tcPr>
            <w:tcW w:w="2551" w:type="dxa"/>
            <w:shd w:val="clear" w:color="auto" w:fill="auto"/>
          </w:tcPr>
          <w:p w14:paraId="61351B4F" w14:textId="17A7F9F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pentagona  </w:t>
            </w:r>
          </w:p>
        </w:tc>
        <w:tc>
          <w:tcPr>
            <w:tcW w:w="2694" w:type="dxa"/>
            <w:shd w:val="clear" w:color="auto" w:fill="auto"/>
          </w:tcPr>
          <w:p w14:paraId="4D657FB0" w14:textId="436A1923" w:rsidR="002D2BCB" w:rsidRPr="001F187E" w:rsidRDefault="002D2BCB" w:rsidP="001F187E">
            <w:pPr>
              <w:spacing w:before="100" w:beforeAutospacing="1" w:after="40"/>
              <w:rPr>
                <w:rFonts w:eastAsia="Arial Unicode MS" w:cs="Arial Unicode MS"/>
                <w:i/>
                <w:sz w:val="20"/>
                <w:szCs w:val="20"/>
              </w:rPr>
            </w:pPr>
            <w:r w:rsidRPr="0099216E">
              <w:rPr>
                <w:rFonts w:eastAsia="Arial Unicode MS" w:cs="Arial Unicode MS"/>
                <w:i/>
                <w:sz w:val="20"/>
                <w:szCs w:val="20"/>
              </w:rPr>
              <w:t>Lithophyllon repanda</w:t>
            </w:r>
          </w:p>
        </w:tc>
      </w:tr>
      <w:tr w:rsidR="002D2BCB" w:rsidRPr="001F187E" w14:paraId="63381D07" w14:textId="77777777" w:rsidTr="00D30414">
        <w:tc>
          <w:tcPr>
            <w:tcW w:w="2553" w:type="dxa"/>
            <w:shd w:val="clear" w:color="auto" w:fill="auto"/>
          </w:tcPr>
          <w:p w14:paraId="40316602" w14:textId="075B331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echinata</w:t>
            </w:r>
          </w:p>
        </w:tc>
        <w:tc>
          <w:tcPr>
            <w:tcW w:w="2693" w:type="dxa"/>
            <w:shd w:val="clear" w:color="auto" w:fill="auto"/>
          </w:tcPr>
          <w:p w14:paraId="422329B4" w14:textId="0137B3F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Alveopora allingi</w:t>
            </w:r>
          </w:p>
        </w:tc>
        <w:tc>
          <w:tcPr>
            <w:tcW w:w="2551" w:type="dxa"/>
            <w:shd w:val="clear" w:color="auto" w:fill="auto"/>
          </w:tcPr>
          <w:p w14:paraId="5A03A319" w14:textId="444EC877" w:rsidR="002D2BCB" w:rsidRPr="001F187E" w:rsidRDefault="002D2BCB" w:rsidP="001F187E">
            <w:pPr>
              <w:spacing w:before="100" w:beforeAutospacing="1" w:after="40"/>
              <w:rPr>
                <w:rFonts w:eastAsia="Arial Unicode MS" w:cs="Arial Unicode MS"/>
                <w:i/>
                <w:sz w:val="20"/>
                <w:szCs w:val="20"/>
              </w:rPr>
            </w:pPr>
            <w:r w:rsidRPr="00D30414">
              <w:rPr>
                <w:rFonts w:eastAsia="Arial Unicode MS" w:cs="Arial Unicode MS"/>
                <w:i/>
                <w:sz w:val="20"/>
                <w:szCs w:val="20"/>
              </w:rPr>
              <w:t>Favites rotundata</w:t>
            </w:r>
          </w:p>
        </w:tc>
        <w:tc>
          <w:tcPr>
            <w:tcW w:w="2694" w:type="dxa"/>
            <w:shd w:val="clear" w:color="auto" w:fill="auto"/>
          </w:tcPr>
          <w:p w14:paraId="5894E593" w14:textId="089782D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Lithophyllon undulatum</w:t>
            </w:r>
          </w:p>
        </w:tc>
      </w:tr>
      <w:tr w:rsidR="002D2BCB" w:rsidRPr="001F187E" w14:paraId="319D4CB1" w14:textId="77777777" w:rsidTr="00D30414">
        <w:tc>
          <w:tcPr>
            <w:tcW w:w="2553" w:type="dxa"/>
            <w:shd w:val="clear" w:color="auto" w:fill="auto"/>
          </w:tcPr>
          <w:p w14:paraId="7ABE9392" w14:textId="67D8E87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efflorescence</w:t>
            </w:r>
          </w:p>
        </w:tc>
        <w:tc>
          <w:tcPr>
            <w:tcW w:w="2693" w:type="dxa"/>
            <w:shd w:val="clear" w:color="auto" w:fill="auto"/>
          </w:tcPr>
          <w:p w14:paraId="7C3035CE" w14:textId="7DE8EC2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Alveopora spongiosa</w:t>
            </w:r>
          </w:p>
        </w:tc>
        <w:tc>
          <w:tcPr>
            <w:tcW w:w="2551" w:type="dxa"/>
            <w:shd w:val="clear" w:color="auto" w:fill="auto"/>
          </w:tcPr>
          <w:p w14:paraId="608D2415" w14:textId="04567A6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Favites russelli  </w:t>
            </w:r>
          </w:p>
        </w:tc>
        <w:tc>
          <w:tcPr>
            <w:tcW w:w="2694" w:type="dxa"/>
            <w:shd w:val="clear" w:color="auto" w:fill="auto"/>
          </w:tcPr>
          <w:p w14:paraId="21AE2A66" w14:textId="1945F56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Lobophyllia corymbosa  </w:t>
            </w:r>
          </w:p>
        </w:tc>
      </w:tr>
      <w:tr w:rsidR="002D2BCB" w:rsidRPr="001F187E" w14:paraId="2F614497" w14:textId="77777777" w:rsidTr="00D30414">
        <w:tc>
          <w:tcPr>
            <w:tcW w:w="2553" w:type="dxa"/>
            <w:shd w:val="clear" w:color="auto" w:fill="auto"/>
          </w:tcPr>
          <w:p w14:paraId="0B0E2E4C" w14:textId="61A0909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elseyi</w:t>
            </w:r>
          </w:p>
        </w:tc>
        <w:tc>
          <w:tcPr>
            <w:tcW w:w="2693" w:type="dxa"/>
            <w:shd w:val="clear" w:color="auto" w:fill="auto"/>
          </w:tcPr>
          <w:p w14:paraId="3A12C9F0" w14:textId="28B851D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Alveopora tizardi</w:t>
            </w:r>
          </w:p>
        </w:tc>
        <w:tc>
          <w:tcPr>
            <w:tcW w:w="2551" w:type="dxa"/>
            <w:shd w:val="clear" w:color="auto" w:fill="auto"/>
          </w:tcPr>
          <w:p w14:paraId="7DD9DC18" w14:textId="3C92345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concinna</w:t>
            </w:r>
          </w:p>
        </w:tc>
        <w:tc>
          <w:tcPr>
            <w:tcW w:w="2694" w:type="dxa"/>
            <w:shd w:val="clear" w:color="auto" w:fill="auto"/>
          </w:tcPr>
          <w:p w14:paraId="29DD71BE" w14:textId="0933F572" w:rsidR="002D2BCB" w:rsidRPr="001F187E" w:rsidRDefault="002D2BCB" w:rsidP="001F187E">
            <w:pPr>
              <w:spacing w:before="100" w:beforeAutospacing="1" w:after="40"/>
              <w:rPr>
                <w:rFonts w:eastAsia="Arial Unicode MS" w:cs="Arial Unicode MS"/>
                <w:i/>
                <w:iCs/>
                <w:sz w:val="20"/>
                <w:szCs w:val="20"/>
                <w:lang w:val="en-AU"/>
              </w:rPr>
            </w:pPr>
            <w:r w:rsidRPr="001F187E">
              <w:rPr>
                <w:rFonts w:eastAsia="Arial Unicode MS" w:cs="Arial Unicode MS"/>
                <w:i/>
                <w:sz w:val="20"/>
                <w:szCs w:val="20"/>
              </w:rPr>
              <w:t xml:space="preserve">Lobophyllia diminuta  </w:t>
            </w:r>
          </w:p>
        </w:tc>
      </w:tr>
      <w:tr w:rsidR="002D2BCB" w:rsidRPr="001F187E" w14:paraId="1E56F203" w14:textId="77777777" w:rsidTr="00D30414">
        <w:tc>
          <w:tcPr>
            <w:tcW w:w="2553" w:type="dxa"/>
            <w:shd w:val="clear" w:color="auto" w:fill="auto"/>
          </w:tcPr>
          <w:p w14:paraId="7A9400A2" w14:textId="4A98C3E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exquisita</w:t>
            </w:r>
          </w:p>
        </w:tc>
        <w:tc>
          <w:tcPr>
            <w:tcW w:w="2693" w:type="dxa"/>
            <w:shd w:val="clear" w:color="auto" w:fill="auto"/>
          </w:tcPr>
          <w:p w14:paraId="1AE93AFE" w14:textId="3BBCA83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Alveopora verrilliana</w:t>
            </w:r>
          </w:p>
        </w:tc>
        <w:tc>
          <w:tcPr>
            <w:tcW w:w="2551" w:type="dxa"/>
            <w:shd w:val="clear" w:color="auto" w:fill="auto"/>
          </w:tcPr>
          <w:p w14:paraId="0088EABC" w14:textId="43DFE651" w:rsidR="002D2BCB" w:rsidRPr="001F187E" w:rsidRDefault="002D2BCB" w:rsidP="001F187E">
            <w:pPr>
              <w:spacing w:before="100" w:beforeAutospacing="1" w:after="40"/>
              <w:rPr>
                <w:rFonts w:eastAsia="Arial Unicode MS" w:cs="Arial Unicode MS"/>
                <w:sz w:val="20"/>
                <w:szCs w:val="20"/>
              </w:rPr>
            </w:pPr>
            <w:r w:rsidRPr="001F187E">
              <w:rPr>
                <w:rFonts w:eastAsia="Arial Unicode MS" w:cs="Arial Unicode MS"/>
                <w:i/>
                <w:sz w:val="20"/>
                <w:szCs w:val="20"/>
              </w:rPr>
              <w:t>Fungia costulata</w:t>
            </w:r>
          </w:p>
        </w:tc>
        <w:tc>
          <w:tcPr>
            <w:tcW w:w="2694" w:type="dxa"/>
            <w:shd w:val="clear" w:color="auto" w:fill="auto"/>
          </w:tcPr>
          <w:p w14:paraId="1FA1D437" w14:textId="40FB45E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Lobophyllia hataii  </w:t>
            </w:r>
          </w:p>
        </w:tc>
      </w:tr>
      <w:tr w:rsidR="002D2BCB" w:rsidRPr="001F187E" w14:paraId="1596C3C5" w14:textId="77777777" w:rsidTr="00D30414">
        <w:tc>
          <w:tcPr>
            <w:tcW w:w="2553" w:type="dxa"/>
            <w:shd w:val="clear" w:color="auto" w:fill="auto"/>
          </w:tcPr>
          <w:p w14:paraId="4EE5DB6B" w14:textId="5831B49B" w:rsidR="002D2BCB" w:rsidRDefault="002D2BCB" w:rsidP="001F187E">
            <w:pPr>
              <w:spacing w:before="100" w:beforeAutospacing="1" w:after="40"/>
              <w:rPr>
                <w:rFonts w:eastAsia="Arial Unicode MS" w:cs="Arial Unicode MS"/>
                <w:sz w:val="20"/>
                <w:szCs w:val="20"/>
                <w:u w:val="single"/>
              </w:rPr>
            </w:pPr>
            <w:r w:rsidRPr="001F187E">
              <w:rPr>
                <w:rFonts w:eastAsia="Arial Unicode MS" w:cs="Arial Unicode MS"/>
                <w:i/>
                <w:sz w:val="20"/>
                <w:szCs w:val="20"/>
              </w:rPr>
              <w:t>Acropora florida</w:t>
            </w:r>
          </w:p>
        </w:tc>
        <w:tc>
          <w:tcPr>
            <w:tcW w:w="2693" w:type="dxa"/>
            <w:shd w:val="clear" w:color="auto" w:fill="auto"/>
          </w:tcPr>
          <w:p w14:paraId="631F777A" w14:textId="2AC32A6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Astreopora expansa</w:t>
            </w:r>
          </w:p>
        </w:tc>
        <w:tc>
          <w:tcPr>
            <w:tcW w:w="2551" w:type="dxa"/>
            <w:shd w:val="clear" w:color="auto" w:fill="auto"/>
          </w:tcPr>
          <w:p w14:paraId="49377AD5" w14:textId="427A606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cyclolites</w:t>
            </w:r>
          </w:p>
        </w:tc>
        <w:tc>
          <w:tcPr>
            <w:tcW w:w="2694" w:type="dxa"/>
            <w:shd w:val="clear" w:color="auto" w:fill="auto"/>
          </w:tcPr>
          <w:p w14:paraId="70700C5A" w14:textId="017BA62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Lobophyllia hemprichii</w:t>
            </w:r>
          </w:p>
        </w:tc>
      </w:tr>
      <w:tr w:rsidR="002D2BCB" w:rsidRPr="001F187E" w14:paraId="51B7ABB3" w14:textId="77777777" w:rsidTr="00D30414">
        <w:tc>
          <w:tcPr>
            <w:tcW w:w="2553" w:type="dxa"/>
            <w:shd w:val="clear" w:color="auto" w:fill="auto"/>
          </w:tcPr>
          <w:p w14:paraId="088F2CA1" w14:textId="0595A04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formosa</w:t>
            </w:r>
          </w:p>
        </w:tc>
        <w:tc>
          <w:tcPr>
            <w:tcW w:w="2693" w:type="dxa"/>
            <w:shd w:val="clear" w:color="auto" w:fill="auto"/>
          </w:tcPr>
          <w:p w14:paraId="77AFDBE9" w14:textId="0E194D0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Astreopora gracilis</w:t>
            </w:r>
          </w:p>
        </w:tc>
        <w:tc>
          <w:tcPr>
            <w:tcW w:w="2551" w:type="dxa"/>
            <w:shd w:val="clear" w:color="auto" w:fill="auto"/>
          </w:tcPr>
          <w:p w14:paraId="309483C7" w14:textId="606576A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distorta</w:t>
            </w:r>
          </w:p>
        </w:tc>
        <w:tc>
          <w:tcPr>
            <w:tcW w:w="2694" w:type="dxa"/>
            <w:shd w:val="clear" w:color="auto" w:fill="auto"/>
          </w:tcPr>
          <w:p w14:paraId="4C902A68" w14:textId="0EFC814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Lobophyllia pachysepta  </w:t>
            </w:r>
          </w:p>
        </w:tc>
      </w:tr>
      <w:tr w:rsidR="002D2BCB" w:rsidRPr="001F187E" w14:paraId="2C5F8399" w14:textId="77777777" w:rsidTr="00D30414">
        <w:tc>
          <w:tcPr>
            <w:tcW w:w="2553" w:type="dxa"/>
            <w:shd w:val="clear" w:color="auto" w:fill="auto"/>
          </w:tcPr>
          <w:p w14:paraId="0E42DCA7" w14:textId="09FB37B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gemmifera</w:t>
            </w:r>
          </w:p>
        </w:tc>
        <w:tc>
          <w:tcPr>
            <w:tcW w:w="2693" w:type="dxa"/>
            <w:shd w:val="clear" w:color="auto" w:fill="auto"/>
          </w:tcPr>
          <w:p w14:paraId="3617B85A" w14:textId="31504C4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Astreopora myriophthalma</w:t>
            </w:r>
          </w:p>
        </w:tc>
        <w:tc>
          <w:tcPr>
            <w:tcW w:w="2551" w:type="dxa"/>
            <w:shd w:val="clear" w:color="auto" w:fill="auto"/>
          </w:tcPr>
          <w:p w14:paraId="47082BB0" w14:textId="48E79ABD"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fragilis</w:t>
            </w:r>
          </w:p>
        </w:tc>
        <w:tc>
          <w:tcPr>
            <w:tcW w:w="2694" w:type="dxa"/>
            <w:shd w:val="clear" w:color="auto" w:fill="auto"/>
          </w:tcPr>
          <w:p w14:paraId="1F80D45C" w14:textId="4584615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Lobophyllia robusta   </w:t>
            </w:r>
          </w:p>
        </w:tc>
      </w:tr>
      <w:tr w:rsidR="002D2BCB" w:rsidRPr="001F187E" w14:paraId="45249A91" w14:textId="77777777" w:rsidTr="00D30414">
        <w:tc>
          <w:tcPr>
            <w:tcW w:w="2553" w:type="dxa"/>
            <w:shd w:val="clear" w:color="auto" w:fill="auto"/>
          </w:tcPr>
          <w:p w14:paraId="67484492" w14:textId="14793BE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glauca</w:t>
            </w:r>
          </w:p>
        </w:tc>
        <w:tc>
          <w:tcPr>
            <w:tcW w:w="2693" w:type="dxa"/>
            <w:shd w:val="clear" w:color="auto" w:fill="auto"/>
          </w:tcPr>
          <w:p w14:paraId="5A7B7386" w14:textId="385CBBF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Astreopora ocellata</w:t>
            </w:r>
            <w:r w:rsidRPr="001F187E">
              <w:rPr>
                <w:rFonts w:eastAsia="Arial Unicode MS" w:cs="Arial Unicode MS"/>
                <w:i/>
                <w:sz w:val="20"/>
                <w:szCs w:val="20"/>
              </w:rPr>
              <w:tab/>
            </w:r>
          </w:p>
        </w:tc>
        <w:tc>
          <w:tcPr>
            <w:tcW w:w="2551" w:type="dxa"/>
            <w:shd w:val="clear" w:color="auto" w:fill="auto"/>
          </w:tcPr>
          <w:p w14:paraId="4D0BB764" w14:textId="3643A4E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fungites</w:t>
            </w:r>
          </w:p>
        </w:tc>
        <w:tc>
          <w:tcPr>
            <w:tcW w:w="2694" w:type="dxa"/>
            <w:shd w:val="clear" w:color="auto" w:fill="auto"/>
          </w:tcPr>
          <w:p w14:paraId="55875DC1" w14:textId="09A81B9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Merulina sp</w:t>
            </w:r>
          </w:p>
        </w:tc>
      </w:tr>
      <w:tr w:rsidR="002D2BCB" w:rsidRPr="001F187E" w14:paraId="2CF1FF66" w14:textId="77777777" w:rsidTr="00D30414">
        <w:tc>
          <w:tcPr>
            <w:tcW w:w="2553" w:type="dxa"/>
            <w:shd w:val="clear" w:color="auto" w:fill="auto"/>
          </w:tcPr>
          <w:p w14:paraId="284A8445" w14:textId="7942D88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grandis</w:t>
            </w:r>
          </w:p>
        </w:tc>
        <w:tc>
          <w:tcPr>
            <w:tcW w:w="2693" w:type="dxa"/>
            <w:shd w:val="clear" w:color="auto" w:fill="auto"/>
          </w:tcPr>
          <w:p w14:paraId="4DC10B81" w14:textId="7E504645"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Astreopora randalli</w:t>
            </w:r>
          </w:p>
        </w:tc>
        <w:tc>
          <w:tcPr>
            <w:tcW w:w="2551" w:type="dxa"/>
            <w:shd w:val="clear" w:color="auto" w:fill="auto"/>
          </w:tcPr>
          <w:p w14:paraId="01E335CC" w14:textId="4B44F62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granulosa</w:t>
            </w:r>
          </w:p>
        </w:tc>
        <w:tc>
          <w:tcPr>
            <w:tcW w:w="2694" w:type="dxa"/>
            <w:shd w:val="clear" w:color="auto" w:fill="auto"/>
          </w:tcPr>
          <w:p w14:paraId="04939619" w14:textId="1FB771B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Micromussa amakusensis </w:t>
            </w:r>
          </w:p>
        </w:tc>
      </w:tr>
      <w:tr w:rsidR="002D2BCB" w:rsidRPr="001F187E" w14:paraId="0EE55747" w14:textId="77777777" w:rsidTr="00D30414">
        <w:tc>
          <w:tcPr>
            <w:tcW w:w="2553" w:type="dxa"/>
            <w:shd w:val="clear" w:color="auto" w:fill="auto"/>
          </w:tcPr>
          <w:p w14:paraId="5ADFAD02" w14:textId="2BFBE31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granulosa</w:t>
            </w:r>
          </w:p>
        </w:tc>
        <w:tc>
          <w:tcPr>
            <w:tcW w:w="2693" w:type="dxa"/>
            <w:shd w:val="clear" w:color="auto" w:fill="auto"/>
          </w:tcPr>
          <w:p w14:paraId="51FD02D3" w14:textId="13DA7DB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Australogyra zelli</w:t>
            </w:r>
          </w:p>
        </w:tc>
        <w:tc>
          <w:tcPr>
            <w:tcW w:w="2551" w:type="dxa"/>
            <w:shd w:val="clear" w:color="auto" w:fill="auto"/>
          </w:tcPr>
          <w:p w14:paraId="726239C2" w14:textId="1FE4CE9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horrida</w:t>
            </w:r>
          </w:p>
        </w:tc>
        <w:tc>
          <w:tcPr>
            <w:tcW w:w="2694" w:type="dxa"/>
            <w:shd w:val="clear" w:color="auto" w:fill="auto"/>
          </w:tcPr>
          <w:p w14:paraId="3D4EB0E7" w14:textId="70EBCFA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Micromussa diminuta</w:t>
            </w:r>
          </w:p>
        </w:tc>
      </w:tr>
      <w:tr w:rsidR="002D2BCB" w:rsidRPr="001F187E" w14:paraId="2FE9FC31" w14:textId="77777777" w:rsidTr="00D30414">
        <w:tc>
          <w:tcPr>
            <w:tcW w:w="2553" w:type="dxa"/>
            <w:shd w:val="clear" w:color="auto" w:fill="auto"/>
          </w:tcPr>
          <w:p w14:paraId="0F51EB9A" w14:textId="34BC044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horrida</w:t>
            </w:r>
          </w:p>
        </w:tc>
        <w:tc>
          <w:tcPr>
            <w:tcW w:w="2693" w:type="dxa"/>
            <w:shd w:val="clear" w:color="auto" w:fill="auto"/>
          </w:tcPr>
          <w:p w14:paraId="54C83E3F" w14:textId="7AB701C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Australomussa rowleyensis</w:t>
            </w:r>
          </w:p>
        </w:tc>
        <w:tc>
          <w:tcPr>
            <w:tcW w:w="2551" w:type="dxa"/>
            <w:shd w:val="clear" w:color="auto" w:fill="auto"/>
          </w:tcPr>
          <w:p w14:paraId="2108E5C8" w14:textId="4540EF2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klunzingeri</w:t>
            </w:r>
          </w:p>
        </w:tc>
        <w:tc>
          <w:tcPr>
            <w:tcW w:w="2694" w:type="dxa"/>
            <w:shd w:val="clear" w:color="auto" w:fill="auto"/>
          </w:tcPr>
          <w:p w14:paraId="6D63FCE6" w14:textId="5C00FA6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Montastrea curta  </w:t>
            </w:r>
          </w:p>
        </w:tc>
      </w:tr>
      <w:tr w:rsidR="002D2BCB" w:rsidRPr="001F187E" w14:paraId="608930CB" w14:textId="77777777" w:rsidTr="00D30414">
        <w:tc>
          <w:tcPr>
            <w:tcW w:w="2553" w:type="dxa"/>
            <w:shd w:val="clear" w:color="auto" w:fill="auto"/>
          </w:tcPr>
          <w:p w14:paraId="3E7CA85C" w14:textId="60F8680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humilis</w:t>
            </w:r>
          </w:p>
        </w:tc>
        <w:tc>
          <w:tcPr>
            <w:tcW w:w="2693" w:type="dxa"/>
            <w:shd w:val="clear" w:color="auto" w:fill="auto"/>
          </w:tcPr>
          <w:p w14:paraId="4F53B2FA" w14:textId="63504235"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Balanophyllia cornu</w:t>
            </w:r>
          </w:p>
        </w:tc>
        <w:tc>
          <w:tcPr>
            <w:tcW w:w="2551" w:type="dxa"/>
            <w:shd w:val="clear" w:color="auto" w:fill="auto"/>
          </w:tcPr>
          <w:p w14:paraId="59060DB1" w14:textId="41E735E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patelliformis</w:t>
            </w:r>
          </w:p>
        </w:tc>
        <w:tc>
          <w:tcPr>
            <w:tcW w:w="2694" w:type="dxa"/>
            <w:shd w:val="clear" w:color="auto" w:fill="auto"/>
          </w:tcPr>
          <w:p w14:paraId="58481637" w14:textId="1483462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Montastrea magnistellata  </w:t>
            </w:r>
          </w:p>
        </w:tc>
      </w:tr>
      <w:tr w:rsidR="002D2BCB" w:rsidRPr="001F187E" w14:paraId="5ED576BC" w14:textId="77777777" w:rsidTr="00D30414">
        <w:tc>
          <w:tcPr>
            <w:tcW w:w="2553" w:type="dxa"/>
            <w:shd w:val="clear" w:color="auto" w:fill="auto"/>
          </w:tcPr>
          <w:p w14:paraId="0A21BC68" w14:textId="2EFAA77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hyacinthus</w:t>
            </w:r>
          </w:p>
        </w:tc>
        <w:tc>
          <w:tcPr>
            <w:tcW w:w="2693" w:type="dxa"/>
            <w:shd w:val="clear" w:color="auto" w:fill="auto"/>
          </w:tcPr>
          <w:p w14:paraId="4B45A165" w14:textId="039FF75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Balanophyllia generatrix</w:t>
            </w:r>
          </w:p>
        </w:tc>
        <w:tc>
          <w:tcPr>
            <w:tcW w:w="2551" w:type="dxa"/>
            <w:shd w:val="clear" w:color="auto" w:fill="auto"/>
          </w:tcPr>
          <w:p w14:paraId="494D81B3" w14:textId="2B4A690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paumotensis</w:t>
            </w:r>
          </w:p>
        </w:tc>
        <w:tc>
          <w:tcPr>
            <w:tcW w:w="2694" w:type="dxa"/>
            <w:shd w:val="clear" w:color="auto" w:fill="auto"/>
          </w:tcPr>
          <w:p w14:paraId="3D7579FB" w14:textId="1A6B06A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Montastrea valenciennesi  </w:t>
            </w:r>
          </w:p>
        </w:tc>
      </w:tr>
      <w:tr w:rsidR="002D2BCB" w:rsidRPr="001F187E" w14:paraId="4778BE2E" w14:textId="77777777" w:rsidTr="00D30414">
        <w:tc>
          <w:tcPr>
            <w:tcW w:w="2553" w:type="dxa"/>
            <w:shd w:val="clear" w:color="auto" w:fill="auto"/>
          </w:tcPr>
          <w:p w14:paraId="3E39015C" w14:textId="56DE735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Indiana</w:t>
            </w:r>
          </w:p>
        </w:tc>
        <w:tc>
          <w:tcPr>
            <w:tcW w:w="2693" w:type="dxa"/>
            <w:shd w:val="clear" w:color="auto" w:fill="auto"/>
          </w:tcPr>
          <w:p w14:paraId="2BF5F1F3" w14:textId="58473DA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Blastomussa merletti</w:t>
            </w:r>
          </w:p>
        </w:tc>
        <w:tc>
          <w:tcPr>
            <w:tcW w:w="2551" w:type="dxa"/>
            <w:shd w:val="clear" w:color="auto" w:fill="auto"/>
          </w:tcPr>
          <w:p w14:paraId="154FD4B7" w14:textId="128505C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scruposa</w:t>
            </w:r>
          </w:p>
        </w:tc>
        <w:tc>
          <w:tcPr>
            <w:tcW w:w="2694" w:type="dxa"/>
            <w:shd w:val="clear" w:color="auto" w:fill="auto"/>
          </w:tcPr>
          <w:p w14:paraId="32A0375D" w14:textId="37803AF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aequituberculata</w:t>
            </w:r>
          </w:p>
        </w:tc>
      </w:tr>
      <w:tr w:rsidR="002D2BCB" w:rsidRPr="001F187E" w14:paraId="193B6D12" w14:textId="77777777" w:rsidTr="00D30414">
        <w:tc>
          <w:tcPr>
            <w:tcW w:w="2553" w:type="dxa"/>
            <w:shd w:val="clear" w:color="auto" w:fill="auto"/>
          </w:tcPr>
          <w:p w14:paraId="7E24CAEA" w14:textId="5D42630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intermedia</w:t>
            </w:r>
          </w:p>
        </w:tc>
        <w:tc>
          <w:tcPr>
            <w:tcW w:w="2693" w:type="dxa"/>
            <w:shd w:val="clear" w:color="auto" w:fill="auto"/>
          </w:tcPr>
          <w:p w14:paraId="64897BE6" w14:textId="70FAF71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Blastomussa wellsi</w:t>
            </w:r>
          </w:p>
        </w:tc>
        <w:tc>
          <w:tcPr>
            <w:tcW w:w="2551" w:type="dxa"/>
            <w:shd w:val="clear" w:color="auto" w:fill="auto"/>
          </w:tcPr>
          <w:p w14:paraId="0963215E" w14:textId="4BB79671"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scutaria</w:t>
            </w:r>
          </w:p>
        </w:tc>
        <w:tc>
          <w:tcPr>
            <w:tcW w:w="2694" w:type="dxa"/>
            <w:shd w:val="clear" w:color="auto" w:fill="auto"/>
          </w:tcPr>
          <w:p w14:paraId="3B03BB76" w14:textId="62F01ADD"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angulata</w:t>
            </w:r>
          </w:p>
        </w:tc>
      </w:tr>
      <w:tr w:rsidR="002D2BCB" w:rsidRPr="001F187E" w14:paraId="0E9F96DC" w14:textId="77777777" w:rsidTr="00D30414">
        <w:tc>
          <w:tcPr>
            <w:tcW w:w="2553" w:type="dxa"/>
            <w:shd w:val="clear" w:color="auto" w:fill="auto"/>
          </w:tcPr>
          <w:p w14:paraId="17D3FECB" w14:textId="0B8A8CA6"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latistella</w:t>
            </w:r>
          </w:p>
        </w:tc>
        <w:tc>
          <w:tcPr>
            <w:tcW w:w="2693" w:type="dxa"/>
            <w:shd w:val="clear" w:color="auto" w:fill="auto"/>
          </w:tcPr>
          <w:p w14:paraId="3AE26E83" w14:textId="4E9035E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iCs/>
                <w:sz w:val="20"/>
                <w:szCs w:val="20"/>
                <w:lang w:val="en-AU"/>
              </w:rPr>
              <w:t>Caulastrea sp</w:t>
            </w:r>
          </w:p>
        </w:tc>
        <w:tc>
          <w:tcPr>
            <w:tcW w:w="2551" w:type="dxa"/>
            <w:shd w:val="clear" w:color="auto" w:fill="auto"/>
          </w:tcPr>
          <w:p w14:paraId="1BB67D58" w14:textId="49007A1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sinensis</w:t>
            </w:r>
          </w:p>
        </w:tc>
        <w:tc>
          <w:tcPr>
            <w:tcW w:w="2694" w:type="dxa"/>
            <w:shd w:val="clear" w:color="auto" w:fill="auto"/>
          </w:tcPr>
          <w:p w14:paraId="42F36612" w14:textId="2617361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australiensis</w:t>
            </w:r>
          </w:p>
        </w:tc>
      </w:tr>
      <w:tr w:rsidR="002D2BCB" w:rsidRPr="001F187E" w14:paraId="60A7B426" w14:textId="77777777" w:rsidTr="00D30414">
        <w:tc>
          <w:tcPr>
            <w:tcW w:w="2553" w:type="dxa"/>
            <w:shd w:val="clear" w:color="auto" w:fill="auto"/>
          </w:tcPr>
          <w:p w14:paraId="1B6B32FE" w14:textId="3BB78C3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listeri</w:t>
            </w:r>
          </w:p>
        </w:tc>
        <w:tc>
          <w:tcPr>
            <w:tcW w:w="2693" w:type="dxa"/>
            <w:shd w:val="clear" w:color="auto" w:fill="auto"/>
          </w:tcPr>
          <w:p w14:paraId="7A8FEF2B" w14:textId="5300AA09"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iCs/>
                <w:sz w:val="20"/>
                <w:szCs w:val="20"/>
                <w:lang w:val="en-AU"/>
              </w:rPr>
              <w:t>Catalaphyllia jardinei</w:t>
            </w:r>
          </w:p>
        </w:tc>
        <w:tc>
          <w:tcPr>
            <w:tcW w:w="2551" w:type="dxa"/>
            <w:shd w:val="clear" w:color="auto" w:fill="auto"/>
          </w:tcPr>
          <w:p w14:paraId="7ED74DF6" w14:textId="77B787CD"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Fungia tenuis</w:t>
            </w:r>
          </w:p>
        </w:tc>
        <w:tc>
          <w:tcPr>
            <w:tcW w:w="2694" w:type="dxa"/>
            <w:shd w:val="clear" w:color="auto" w:fill="auto"/>
          </w:tcPr>
          <w:p w14:paraId="24D6D4A0" w14:textId="54F18C9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calcarea</w:t>
            </w:r>
          </w:p>
        </w:tc>
      </w:tr>
      <w:tr w:rsidR="002D2BCB" w:rsidRPr="001F187E" w14:paraId="6D495B64" w14:textId="77777777" w:rsidTr="00D30414">
        <w:tc>
          <w:tcPr>
            <w:tcW w:w="2553" w:type="dxa"/>
            <w:shd w:val="clear" w:color="auto" w:fill="auto"/>
          </w:tcPr>
          <w:p w14:paraId="1CB6EE39" w14:textId="59FC362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loisetteae</w:t>
            </w:r>
          </w:p>
        </w:tc>
        <w:tc>
          <w:tcPr>
            <w:tcW w:w="2693" w:type="dxa"/>
            <w:shd w:val="clear" w:color="auto" w:fill="auto"/>
          </w:tcPr>
          <w:p w14:paraId="30DDC112" w14:textId="0837F75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Ctenactis albitentaculata</w:t>
            </w:r>
          </w:p>
        </w:tc>
        <w:tc>
          <w:tcPr>
            <w:tcW w:w="2551" w:type="dxa"/>
            <w:shd w:val="clear" w:color="auto" w:fill="auto"/>
          </w:tcPr>
          <w:p w14:paraId="4644AA80" w14:textId="2DF7375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Galaxea astreata </w:t>
            </w:r>
          </w:p>
        </w:tc>
        <w:tc>
          <w:tcPr>
            <w:tcW w:w="2694" w:type="dxa"/>
            <w:shd w:val="clear" w:color="auto" w:fill="auto"/>
          </w:tcPr>
          <w:p w14:paraId="534DDDF8" w14:textId="63D142F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caliculata</w:t>
            </w:r>
          </w:p>
        </w:tc>
      </w:tr>
      <w:tr w:rsidR="002D2BCB" w:rsidRPr="001F187E" w14:paraId="70943327" w14:textId="77777777" w:rsidTr="00D30414">
        <w:tc>
          <w:tcPr>
            <w:tcW w:w="2553" w:type="dxa"/>
            <w:shd w:val="clear" w:color="auto" w:fill="auto"/>
          </w:tcPr>
          <w:p w14:paraId="3244058A" w14:textId="104FA1BB"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longicyathus</w:t>
            </w:r>
          </w:p>
        </w:tc>
        <w:tc>
          <w:tcPr>
            <w:tcW w:w="2693" w:type="dxa"/>
            <w:shd w:val="clear" w:color="auto" w:fill="auto"/>
          </w:tcPr>
          <w:p w14:paraId="76953C7F" w14:textId="55C6182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Ctenactis echinata</w:t>
            </w:r>
            <w:r w:rsidRPr="001F187E">
              <w:rPr>
                <w:rFonts w:eastAsia="Arial Unicode MS" w:cs="Arial Unicode MS"/>
                <w:i/>
                <w:sz w:val="20"/>
                <w:szCs w:val="20"/>
              </w:rPr>
              <w:tab/>
            </w:r>
          </w:p>
        </w:tc>
        <w:tc>
          <w:tcPr>
            <w:tcW w:w="2551" w:type="dxa"/>
            <w:shd w:val="clear" w:color="auto" w:fill="auto"/>
          </w:tcPr>
          <w:p w14:paraId="563ECB46" w14:textId="7EB8F71F"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Galaxea fascicularis</w:t>
            </w:r>
          </w:p>
        </w:tc>
        <w:tc>
          <w:tcPr>
            <w:tcW w:w="2694" w:type="dxa"/>
            <w:shd w:val="clear" w:color="auto" w:fill="auto"/>
          </w:tcPr>
          <w:p w14:paraId="42090F13" w14:textId="1E90B79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capricornis</w:t>
            </w:r>
          </w:p>
        </w:tc>
      </w:tr>
      <w:tr w:rsidR="002D2BCB" w:rsidRPr="001F187E" w14:paraId="6BE4C281" w14:textId="77777777" w:rsidTr="00D30414">
        <w:tc>
          <w:tcPr>
            <w:tcW w:w="2553" w:type="dxa"/>
            <w:shd w:val="clear" w:color="auto" w:fill="auto"/>
          </w:tcPr>
          <w:p w14:paraId="007B448D" w14:textId="36590633"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lovelli</w:t>
            </w:r>
          </w:p>
        </w:tc>
        <w:tc>
          <w:tcPr>
            <w:tcW w:w="2693" w:type="dxa"/>
            <w:shd w:val="clear" w:color="auto" w:fill="auto"/>
          </w:tcPr>
          <w:p w14:paraId="14017F8F" w14:textId="3623104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Cynarina lacrymalis  </w:t>
            </w:r>
          </w:p>
        </w:tc>
        <w:tc>
          <w:tcPr>
            <w:tcW w:w="2551" w:type="dxa"/>
            <w:shd w:val="clear" w:color="auto" w:fill="auto"/>
          </w:tcPr>
          <w:p w14:paraId="18875C7B" w14:textId="64B77EE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aspera  </w:t>
            </w:r>
          </w:p>
        </w:tc>
        <w:tc>
          <w:tcPr>
            <w:tcW w:w="2694" w:type="dxa"/>
            <w:shd w:val="clear" w:color="auto" w:fill="auto"/>
          </w:tcPr>
          <w:p w14:paraId="1BF39D43" w14:textId="7F64BBE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crassituberculata</w:t>
            </w:r>
          </w:p>
        </w:tc>
      </w:tr>
      <w:tr w:rsidR="002D2BCB" w:rsidRPr="001F187E" w14:paraId="7731F1AC" w14:textId="77777777" w:rsidTr="00D30414">
        <w:tc>
          <w:tcPr>
            <w:tcW w:w="2553" w:type="dxa"/>
            <w:shd w:val="clear" w:color="auto" w:fill="auto"/>
          </w:tcPr>
          <w:p w14:paraId="4206C909" w14:textId="2AA5D13E"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lutkeni</w:t>
            </w:r>
          </w:p>
        </w:tc>
        <w:tc>
          <w:tcPr>
            <w:tcW w:w="2693" w:type="dxa"/>
            <w:shd w:val="clear" w:color="auto" w:fill="auto"/>
          </w:tcPr>
          <w:p w14:paraId="195B2B60" w14:textId="6CF954B2"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Cyphastrea chalcidicum</w:t>
            </w:r>
          </w:p>
        </w:tc>
        <w:tc>
          <w:tcPr>
            <w:tcW w:w="2551" w:type="dxa"/>
            <w:shd w:val="clear" w:color="auto" w:fill="auto"/>
          </w:tcPr>
          <w:p w14:paraId="599BB1D4" w14:textId="1A5171CA"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australensis  </w:t>
            </w:r>
          </w:p>
        </w:tc>
        <w:tc>
          <w:tcPr>
            <w:tcW w:w="2694" w:type="dxa"/>
            <w:shd w:val="clear" w:color="auto" w:fill="auto"/>
          </w:tcPr>
          <w:p w14:paraId="4501F572" w14:textId="127727C8"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Montipora danae</w:t>
            </w:r>
          </w:p>
        </w:tc>
      </w:tr>
      <w:tr w:rsidR="002D2BCB" w:rsidRPr="001F187E" w14:paraId="131864AF" w14:textId="77777777" w:rsidTr="00D30414">
        <w:tc>
          <w:tcPr>
            <w:tcW w:w="2553" w:type="dxa"/>
            <w:shd w:val="clear" w:color="auto" w:fill="auto"/>
          </w:tcPr>
          <w:p w14:paraId="52115CD4" w14:textId="52F20B3C"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Acropora microclados</w:t>
            </w:r>
          </w:p>
        </w:tc>
        <w:tc>
          <w:tcPr>
            <w:tcW w:w="2693" w:type="dxa"/>
            <w:shd w:val="clear" w:color="auto" w:fill="auto"/>
          </w:tcPr>
          <w:p w14:paraId="7F2308E7" w14:textId="2A794B50"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Cyphastrea microphthalma</w:t>
            </w:r>
          </w:p>
        </w:tc>
        <w:tc>
          <w:tcPr>
            <w:tcW w:w="2551" w:type="dxa"/>
            <w:shd w:val="clear" w:color="auto" w:fill="auto"/>
          </w:tcPr>
          <w:p w14:paraId="7E198897" w14:textId="77E6AD54"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edwardsi  </w:t>
            </w:r>
          </w:p>
        </w:tc>
        <w:tc>
          <w:tcPr>
            <w:tcW w:w="2694" w:type="dxa"/>
            <w:shd w:val="clear" w:color="auto" w:fill="auto"/>
          </w:tcPr>
          <w:p w14:paraId="349A00AB" w14:textId="6283C1B7" w:rsidR="002D2BCB" w:rsidRPr="001F187E" w:rsidRDefault="002D2BCB" w:rsidP="001F187E">
            <w:pPr>
              <w:spacing w:before="100" w:beforeAutospacing="1" w:after="40"/>
              <w:rPr>
                <w:rFonts w:eastAsia="Arial Unicode MS" w:cs="Arial Unicode MS"/>
                <w:i/>
                <w:sz w:val="20"/>
                <w:szCs w:val="20"/>
              </w:rPr>
            </w:pPr>
            <w:r w:rsidRPr="001F187E">
              <w:rPr>
                <w:rFonts w:eastAsia="Arial Unicode MS" w:cs="Arial Unicode MS"/>
                <w:i/>
              </w:rPr>
              <w:br w:type="page"/>
            </w:r>
            <w:r w:rsidRPr="001F187E">
              <w:rPr>
                <w:rFonts w:eastAsia="Arial Unicode MS" w:cs="Arial Unicode MS"/>
                <w:i/>
                <w:sz w:val="20"/>
                <w:szCs w:val="20"/>
              </w:rPr>
              <w:t>Montipora digitata</w:t>
            </w:r>
          </w:p>
        </w:tc>
      </w:tr>
      <w:tr w:rsidR="002D2BCB" w:rsidRPr="001F187E" w14:paraId="0E574C52" w14:textId="77777777" w:rsidTr="00D30414">
        <w:tc>
          <w:tcPr>
            <w:tcW w:w="2553" w:type="dxa"/>
            <w:shd w:val="clear" w:color="auto" w:fill="auto"/>
          </w:tcPr>
          <w:p w14:paraId="29DB48C5" w14:textId="01CAA732"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Acropora microphthalma</w:t>
            </w:r>
          </w:p>
        </w:tc>
        <w:tc>
          <w:tcPr>
            <w:tcW w:w="2693" w:type="dxa"/>
            <w:shd w:val="clear" w:color="auto" w:fill="auto"/>
          </w:tcPr>
          <w:p w14:paraId="5C837413" w14:textId="7947221E"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Cyphastrea seralia</w:t>
            </w:r>
          </w:p>
        </w:tc>
        <w:tc>
          <w:tcPr>
            <w:tcW w:w="2551" w:type="dxa"/>
            <w:shd w:val="clear" w:color="auto" w:fill="auto"/>
          </w:tcPr>
          <w:p w14:paraId="3A08D3D2" w14:textId="410DDFF1"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favulus  </w:t>
            </w:r>
          </w:p>
        </w:tc>
        <w:tc>
          <w:tcPr>
            <w:tcW w:w="2694" w:type="dxa"/>
            <w:shd w:val="clear" w:color="auto" w:fill="auto"/>
          </w:tcPr>
          <w:p w14:paraId="7FB2EDBC" w14:textId="7C73CE9F"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efflorescens</w:t>
            </w:r>
          </w:p>
        </w:tc>
      </w:tr>
      <w:tr w:rsidR="002D2BCB" w:rsidRPr="001F187E" w14:paraId="41CCC3BB" w14:textId="77777777" w:rsidTr="00D30414">
        <w:tc>
          <w:tcPr>
            <w:tcW w:w="2553" w:type="dxa"/>
            <w:shd w:val="clear" w:color="auto" w:fill="auto"/>
          </w:tcPr>
          <w:p w14:paraId="4617A58E" w14:textId="4C4E8C93"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Acropora millepora</w:t>
            </w:r>
          </w:p>
        </w:tc>
        <w:tc>
          <w:tcPr>
            <w:tcW w:w="2693" w:type="dxa"/>
            <w:shd w:val="clear" w:color="auto" w:fill="auto"/>
          </w:tcPr>
          <w:p w14:paraId="1437022B" w14:textId="24FA239B"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Dendrophyllia arbuscula</w:t>
            </w:r>
          </w:p>
        </w:tc>
        <w:tc>
          <w:tcPr>
            <w:tcW w:w="2551" w:type="dxa"/>
            <w:shd w:val="clear" w:color="auto" w:fill="auto"/>
          </w:tcPr>
          <w:p w14:paraId="1D5AED56" w14:textId="7147D4D2"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palauensis   </w:t>
            </w:r>
          </w:p>
        </w:tc>
        <w:tc>
          <w:tcPr>
            <w:tcW w:w="2694" w:type="dxa"/>
            <w:shd w:val="clear" w:color="auto" w:fill="auto"/>
          </w:tcPr>
          <w:p w14:paraId="444FBB2F" w14:textId="76F26661"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floweri</w:t>
            </w:r>
          </w:p>
        </w:tc>
      </w:tr>
      <w:tr w:rsidR="002D2BCB" w:rsidRPr="001F187E" w14:paraId="105F88ED" w14:textId="77777777" w:rsidTr="00D30414">
        <w:tc>
          <w:tcPr>
            <w:tcW w:w="2553" w:type="dxa"/>
            <w:shd w:val="clear" w:color="auto" w:fill="auto"/>
          </w:tcPr>
          <w:p w14:paraId="677DA59D" w14:textId="42489E6C"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Acropora monticulosa</w:t>
            </w:r>
          </w:p>
        </w:tc>
        <w:tc>
          <w:tcPr>
            <w:tcW w:w="2693" w:type="dxa"/>
            <w:shd w:val="clear" w:color="auto" w:fill="auto"/>
          </w:tcPr>
          <w:p w14:paraId="5A475937" w14:textId="11293B8C"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Duncanopsammia axifuga</w:t>
            </w:r>
          </w:p>
        </w:tc>
        <w:tc>
          <w:tcPr>
            <w:tcW w:w="2551" w:type="dxa"/>
            <w:shd w:val="clear" w:color="auto" w:fill="auto"/>
          </w:tcPr>
          <w:p w14:paraId="7E36835F" w14:textId="7B93FF83"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pectinata  </w:t>
            </w:r>
          </w:p>
        </w:tc>
        <w:tc>
          <w:tcPr>
            <w:tcW w:w="2694" w:type="dxa"/>
            <w:shd w:val="clear" w:color="auto" w:fill="auto"/>
          </w:tcPr>
          <w:p w14:paraId="0C5ABF0A" w14:textId="44B72D10"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foliosa</w:t>
            </w:r>
          </w:p>
        </w:tc>
      </w:tr>
      <w:tr w:rsidR="002D2BCB" w:rsidRPr="001F187E" w14:paraId="14D07D65" w14:textId="77777777" w:rsidTr="00D30414">
        <w:tc>
          <w:tcPr>
            <w:tcW w:w="2553" w:type="dxa"/>
            <w:shd w:val="clear" w:color="auto" w:fill="auto"/>
          </w:tcPr>
          <w:p w14:paraId="3C14989B" w14:textId="166BE830"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Acropora nana</w:t>
            </w:r>
          </w:p>
        </w:tc>
        <w:tc>
          <w:tcPr>
            <w:tcW w:w="2693" w:type="dxa"/>
            <w:shd w:val="clear" w:color="auto" w:fill="auto"/>
          </w:tcPr>
          <w:p w14:paraId="7D2F4819" w14:textId="6374F5B0"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Echinophyllia aspera  </w:t>
            </w:r>
          </w:p>
        </w:tc>
        <w:tc>
          <w:tcPr>
            <w:tcW w:w="2551" w:type="dxa"/>
            <w:shd w:val="clear" w:color="auto" w:fill="auto"/>
          </w:tcPr>
          <w:p w14:paraId="19EDE676" w14:textId="6C008033"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Goniastrea retiformis  </w:t>
            </w:r>
          </w:p>
        </w:tc>
        <w:tc>
          <w:tcPr>
            <w:tcW w:w="2694" w:type="dxa"/>
            <w:shd w:val="clear" w:color="auto" w:fill="auto"/>
          </w:tcPr>
          <w:p w14:paraId="56AF0E9D" w14:textId="50155E0B" w:rsidR="002D2BCB" w:rsidRPr="001F187E" w:rsidRDefault="002D2BCB"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foveolata</w:t>
            </w:r>
          </w:p>
        </w:tc>
      </w:tr>
      <w:tr w:rsidR="00C3560C" w:rsidRPr="001F187E" w14:paraId="00A73F3F" w14:textId="77777777" w:rsidTr="00D30414">
        <w:tc>
          <w:tcPr>
            <w:tcW w:w="2553" w:type="dxa"/>
            <w:shd w:val="clear" w:color="auto" w:fill="auto"/>
          </w:tcPr>
          <w:p w14:paraId="1D6755CC" w14:textId="338CAD99" w:rsidR="00C3560C" w:rsidRPr="001F187E" w:rsidRDefault="00C3560C" w:rsidP="002D2BCB">
            <w:pPr>
              <w:spacing w:before="100" w:beforeAutospacing="1" w:after="40"/>
              <w:rPr>
                <w:rFonts w:eastAsia="Arial Unicode MS" w:cs="Arial Unicode MS"/>
                <w:sz w:val="20"/>
                <w:szCs w:val="20"/>
              </w:rPr>
            </w:pPr>
            <w:r w:rsidRPr="001F187E">
              <w:rPr>
                <w:rFonts w:eastAsia="Arial Unicode MS" w:cs="Arial Unicode MS"/>
                <w:i/>
                <w:sz w:val="20"/>
                <w:szCs w:val="20"/>
              </w:rPr>
              <w:lastRenderedPageBreak/>
              <w:t>Montipora grisea</w:t>
            </w:r>
          </w:p>
        </w:tc>
        <w:tc>
          <w:tcPr>
            <w:tcW w:w="2693" w:type="dxa"/>
            <w:shd w:val="clear" w:color="auto" w:fill="auto"/>
          </w:tcPr>
          <w:p w14:paraId="20533F3D" w14:textId="529B49A0"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Pavona explanata</w:t>
            </w:r>
          </w:p>
        </w:tc>
        <w:tc>
          <w:tcPr>
            <w:tcW w:w="2551" w:type="dxa"/>
            <w:shd w:val="clear" w:color="auto" w:fill="auto"/>
          </w:tcPr>
          <w:p w14:paraId="34ADCF9E" w14:textId="0B7E9C36"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australiensis  </w:t>
            </w:r>
          </w:p>
        </w:tc>
        <w:tc>
          <w:tcPr>
            <w:tcW w:w="2694" w:type="dxa"/>
            <w:shd w:val="clear" w:color="auto" w:fill="auto"/>
          </w:tcPr>
          <w:p w14:paraId="0B02ACAE" w14:textId="5116A802"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Symphyllia radians  </w:t>
            </w:r>
          </w:p>
        </w:tc>
      </w:tr>
      <w:tr w:rsidR="00C3560C" w:rsidRPr="001F187E" w14:paraId="6DA4FA86" w14:textId="77777777" w:rsidTr="00D30414">
        <w:tc>
          <w:tcPr>
            <w:tcW w:w="2553" w:type="dxa"/>
            <w:shd w:val="clear" w:color="auto" w:fill="auto"/>
          </w:tcPr>
          <w:p w14:paraId="2B31F18F" w14:textId="1F351F44"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hispida</w:t>
            </w:r>
          </w:p>
        </w:tc>
        <w:tc>
          <w:tcPr>
            <w:tcW w:w="2693" w:type="dxa"/>
            <w:shd w:val="clear" w:color="auto" w:fill="auto"/>
          </w:tcPr>
          <w:p w14:paraId="360CD218" w14:textId="3B6C527A"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Pavona maldivensis</w:t>
            </w:r>
          </w:p>
        </w:tc>
        <w:tc>
          <w:tcPr>
            <w:tcW w:w="2551" w:type="dxa"/>
            <w:shd w:val="clear" w:color="auto" w:fill="auto"/>
          </w:tcPr>
          <w:p w14:paraId="24E4AB37" w14:textId="133B7AFE"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cylindrica  </w:t>
            </w:r>
          </w:p>
        </w:tc>
        <w:tc>
          <w:tcPr>
            <w:tcW w:w="2694" w:type="dxa"/>
            <w:shd w:val="clear" w:color="auto" w:fill="auto"/>
          </w:tcPr>
          <w:p w14:paraId="73891985" w14:textId="1EFD86BF"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Symphyllia recta  </w:t>
            </w:r>
          </w:p>
        </w:tc>
      </w:tr>
      <w:tr w:rsidR="00C3560C" w:rsidRPr="001F187E" w14:paraId="3F6017D3" w14:textId="77777777" w:rsidTr="00D30414">
        <w:tc>
          <w:tcPr>
            <w:tcW w:w="2553" w:type="dxa"/>
            <w:shd w:val="clear" w:color="auto" w:fill="auto"/>
          </w:tcPr>
          <w:p w14:paraId="6D2BE694" w14:textId="606CA70B"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hoffmeisteri</w:t>
            </w:r>
          </w:p>
        </w:tc>
        <w:tc>
          <w:tcPr>
            <w:tcW w:w="2693" w:type="dxa"/>
            <w:shd w:val="clear" w:color="auto" w:fill="auto"/>
          </w:tcPr>
          <w:p w14:paraId="4839BE5E" w14:textId="45A4E172"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Pavona varians</w:t>
            </w:r>
          </w:p>
        </w:tc>
        <w:tc>
          <w:tcPr>
            <w:tcW w:w="2551" w:type="dxa"/>
            <w:shd w:val="clear" w:color="auto" w:fill="auto"/>
          </w:tcPr>
          <w:p w14:paraId="6A48E6B3" w14:textId="0FA74909"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Porites evermanni</w:t>
            </w:r>
          </w:p>
        </w:tc>
        <w:tc>
          <w:tcPr>
            <w:tcW w:w="2694" w:type="dxa"/>
            <w:shd w:val="clear" w:color="auto" w:fill="auto"/>
          </w:tcPr>
          <w:p w14:paraId="09C756F8" w14:textId="1A07C58A"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Symphyllia valenciennesii  </w:t>
            </w:r>
          </w:p>
        </w:tc>
      </w:tr>
      <w:tr w:rsidR="00C3560C" w:rsidRPr="001F187E" w14:paraId="6FF5A58F" w14:textId="77777777" w:rsidTr="00D30414">
        <w:tc>
          <w:tcPr>
            <w:tcW w:w="2553" w:type="dxa"/>
            <w:shd w:val="clear" w:color="auto" w:fill="auto"/>
          </w:tcPr>
          <w:p w14:paraId="6ED24DF9" w14:textId="2E60AC29"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Montipora incrassata</w:t>
            </w:r>
          </w:p>
        </w:tc>
        <w:tc>
          <w:tcPr>
            <w:tcW w:w="2693" w:type="dxa"/>
            <w:shd w:val="clear" w:color="auto" w:fill="auto"/>
          </w:tcPr>
          <w:p w14:paraId="15062B51" w14:textId="6169A50F"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Pavona venosa</w:t>
            </w:r>
          </w:p>
        </w:tc>
        <w:tc>
          <w:tcPr>
            <w:tcW w:w="2551" w:type="dxa"/>
            <w:shd w:val="clear" w:color="auto" w:fill="auto"/>
          </w:tcPr>
          <w:p w14:paraId="28B87E98" w14:textId="4879D05A"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heronensis   </w:t>
            </w:r>
          </w:p>
        </w:tc>
        <w:tc>
          <w:tcPr>
            <w:tcW w:w="2694" w:type="dxa"/>
            <w:shd w:val="clear" w:color="auto" w:fill="auto"/>
          </w:tcPr>
          <w:p w14:paraId="48DD6196" w14:textId="16906A2B" w:rsidR="00C3560C" w:rsidRPr="001F187E" w:rsidRDefault="00C3560C" w:rsidP="002D2BCB">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Trachyphyllia geoffroyi  </w:t>
            </w:r>
          </w:p>
        </w:tc>
      </w:tr>
      <w:tr w:rsidR="00C3560C" w:rsidRPr="001F187E" w14:paraId="13143D2E" w14:textId="77777777" w:rsidTr="00D30414">
        <w:tc>
          <w:tcPr>
            <w:tcW w:w="2553" w:type="dxa"/>
            <w:shd w:val="clear" w:color="auto" w:fill="auto"/>
          </w:tcPr>
          <w:p w14:paraId="3DDD58A2" w14:textId="69E0293A"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informis</w:t>
            </w:r>
          </w:p>
        </w:tc>
        <w:tc>
          <w:tcPr>
            <w:tcW w:w="2693" w:type="dxa"/>
            <w:shd w:val="clear" w:color="auto" w:fill="auto"/>
          </w:tcPr>
          <w:p w14:paraId="6F9E1817" w14:textId="4510136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Pectinia lactuca  </w:t>
            </w:r>
          </w:p>
        </w:tc>
        <w:tc>
          <w:tcPr>
            <w:tcW w:w="2551" w:type="dxa"/>
            <w:shd w:val="clear" w:color="auto" w:fill="auto"/>
          </w:tcPr>
          <w:p w14:paraId="1F0F1102" w14:textId="606081D2"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Porites lichen</w:t>
            </w:r>
          </w:p>
        </w:tc>
        <w:tc>
          <w:tcPr>
            <w:tcW w:w="2694" w:type="dxa"/>
            <w:shd w:val="clear" w:color="auto" w:fill="auto"/>
          </w:tcPr>
          <w:p w14:paraId="200C4DE0" w14:textId="35EE6752"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Tubastraea diaphana</w:t>
            </w:r>
          </w:p>
        </w:tc>
      </w:tr>
      <w:tr w:rsidR="00C3560C" w:rsidRPr="001F187E" w14:paraId="3D18F5AB" w14:textId="77777777" w:rsidTr="00D30414">
        <w:tc>
          <w:tcPr>
            <w:tcW w:w="2553" w:type="dxa"/>
            <w:shd w:val="clear" w:color="auto" w:fill="auto"/>
          </w:tcPr>
          <w:p w14:paraId="0A7BC709" w14:textId="005FACD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millepora</w:t>
            </w:r>
          </w:p>
        </w:tc>
        <w:tc>
          <w:tcPr>
            <w:tcW w:w="2693" w:type="dxa"/>
            <w:shd w:val="clear" w:color="auto" w:fill="auto"/>
          </w:tcPr>
          <w:p w14:paraId="498F5606" w14:textId="70375357"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Pectinia paeonia  </w:t>
            </w:r>
          </w:p>
        </w:tc>
        <w:tc>
          <w:tcPr>
            <w:tcW w:w="2551" w:type="dxa"/>
            <w:shd w:val="clear" w:color="auto" w:fill="auto"/>
          </w:tcPr>
          <w:p w14:paraId="1AE3EF09" w14:textId="3D89DAE9"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Porites lobata</w:t>
            </w:r>
          </w:p>
        </w:tc>
        <w:tc>
          <w:tcPr>
            <w:tcW w:w="2694" w:type="dxa"/>
            <w:shd w:val="clear" w:color="auto" w:fill="auto"/>
          </w:tcPr>
          <w:p w14:paraId="3555F15B" w14:textId="61C98720"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Tubastraea faulkneri</w:t>
            </w:r>
          </w:p>
        </w:tc>
      </w:tr>
      <w:tr w:rsidR="00C3560C" w:rsidRPr="001F187E" w14:paraId="17004269" w14:textId="77777777" w:rsidTr="00D30414">
        <w:tc>
          <w:tcPr>
            <w:tcW w:w="2553" w:type="dxa"/>
            <w:shd w:val="clear" w:color="auto" w:fill="auto"/>
          </w:tcPr>
          <w:p w14:paraId="01957126" w14:textId="417AA131"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mollis</w:t>
            </w:r>
          </w:p>
        </w:tc>
        <w:tc>
          <w:tcPr>
            <w:tcW w:w="2693" w:type="dxa"/>
            <w:shd w:val="clear" w:color="auto" w:fill="auto"/>
          </w:tcPr>
          <w:p w14:paraId="5D2271FB" w14:textId="2D169BEB"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Pectinia teres  </w:t>
            </w:r>
          </w:p>
        </w:tc>
        <w:tc>
          <w:tcPr>
            <w:tcW w:w="2551" w:type="dxa"/>
            <w:shd w:val="clear" w:color="auto" w:fill="auto"/>
          </w:tcPr>
          <w:p w14:paraId="0D7B865A" w14:textId="51D0ACEC"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lutea  </w:t>
            </w:r>
          </w:p>
        </w:tc>
        <w:tc>
          <w:tcPr>
            <w:tcW w:w="2694" w:type="dxa"/>
            <w:shd w:val="clear" w:color="auto" w:fill="auto"/>
          </w:tcPr>
          <w:p w14:paraId="56DDD34E" w14:textId="58A94E5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Tubastraea micranthus</w:t>
            </w:r>
          </w:p>
        </w:tc>
      </w:tr>
      <w:tr w:rsidR="00C3560C" w:rsidRPr="001F187E" w14:paraId="342D8C5A" w14:textId="77777777" w:rsidTr="00D30414">
        <w:tc>
          <w:tcPr>
            <w:tcW w:w="2553" w:type="dxa"/>
            <w:shd w:val="clear" w:color="auto" w:fill="auto"/>
          </w:tcPr>
          <w:p w14:paraId="00007F47" w14:textId="60C3F84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monasteriata</w:t>
            </w:r>
          </w:p>
        </w:tc>
        <w:tc>
          <w:tcPr>
            <w:tcW w:w="2693" w:type="dxa"/>
            <w:shd w:val="clear" w:color="auto" w:fill="auto"/>
          </w:tcPr>
          <w:p w14:paraId="2E1F850F" w14:textId="5626987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Physogyra lichtensteini</w:t>
            </w:r>
          </w:p>
        </w:tc>
        <w:tc>
          <w:tcPr>
            <w:tcW w:w="2551" w:type="dxa"/>
            <w:shd w:val="clear" w:color="auto" w:fill="auto"/>
          </w:tcPr>
          <w:p w14:paraId="0A40681F" w14:textId="44F15113"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murrayensis  </w:t>
            </w:r>
          </w:p>
        </w:tc>
        <w:tc>
          <w:tcPr>
            <w:tcW w:w="2694" w:type="dxa"/>
            <w:shd w:val="clear" w:color="auto" w:fill="auto"/>
          </w:tcPr>
          <w:p w14:paraId="63E71C17" w14:textId="44E3586C"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Tubipora musica</w:t>
            </w:r>
          </w:p>
        </w:tc>
      </w:tr>
      <w:tr w:rsidR="00C3560C" w:rsidRPr="001F187E" w14:paraId="07294121" w14:textId="77777777" w:rsidTr="00D30414">
        <w:tc>
          <w:tcPr>
            <w:tcW w:w="2553" w:type="dxa"/>
            <w:shd w:val="clear" w:color="auto" w:fill="auto"/>
          </w:tcPr>
          <w:p w14:paraId="526E250C" w14:textId="2C333E22"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nodosa</w:t>
            </w:r>
          </w:p>
        </w:tc>
        <w:tc>
          <w:tcPr>
            <w:tcW w:w="2693" w:type="dxa"/>
            <w:shd w:val="clear" w:color="auto" w:fill="auto"/>
          </w:tcPr>
          <w:p w14:paraId="66901AB8" w14:textId="3714F2A5"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daedalea  </w:t>
            </w:r>
          </w:p>
        </w:tc>
        <w:tc>
          <w:tcPr>
            <w:tcW w:w="2551" w:type="dxa"/>
            <w:shd w:val="clear" w:color="auto" w:fill="auto"/>
          </w:tcPr>
          <w:p w14:paraId="415DEB1F" w14:textId="7AD6ECFD"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nigrescens  </w:t>
            </w:r>
          </w:p>
        </w:tc>
        <w:tc>
          <w:tcPr>
            <w:tcW w:w="2694" w:type="dxa"/>
            <w:shd w:val="clear" w:color="auto" w:fill="auto"/>
          </w:tcPr>
          <w:p w14:paraId="4B11DBC7" w14:textId="7A4E62DA"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Tubipora musica</w:t>
            </w:r>
          </w:p>
        </w:tc>
      </w:tr>
      <w:tr w:rsidR="00C3560C" w:rsidRPr="001F187E" w14:paraId="390593FF" w14:textId="77777777" w:rsidTr="00D30414">
        <w:tc>
          <w:tcPr>
            <w:tcW w:w="2553" w:type="dxa"/>
            <w:shd w:val="clear" w:color="auto" w:fill="auto"/>
          </w:tcPr>
          <w:p w14:paraId="54B44EAD" w14:textId="1B7BE00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peltiformis</w:t>
            </w:r>
          </w:p>
        </w:tc>
        <w:tc>
          <w:tcPr>
            <w:tcW w:w="2693" w:type="dxa"/>
            <w:shd w:val="clear" w:color="auto" w:fill="auto"/>
          </w:tcPr>
          <w:p w14:paraId="243B2BD3" w14:textId="508B4A25"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lamellina  </w:t>
            </w:r>
          </w:p>
        </w:tc>
        <w:tc>
          <w:tcPr>
            <w:tcW w:w="2551" w:type="dxa"/>
            <w:shd w:val="clear" w:color="auto" w:fill="auto"/>
          </w:tcPr>
          <w:p w14:paraId="0D0D037D" w14:textId="3E307951"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rus   </w:t>
            </w:r>
          </w:p>
        </w:tc>
        <w:tc>
          <w:tcPr>
            <w:tcW w:w="2694" w:type="dxa"/>
            <w:shd w:val="clear" w:color="auto" w:fill="auto"/>
          </w:tcPr>
          <w:p w14:paraId="474B90FA" w14:textId="6DE5946C"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bifrons  </w:t>
            </w:r>
          </w:p>
        </w:tc>
      </w:tr>
      <w:tr w:rsidR="00C3560C" w:rsidRPr="001F187E" w14:paraId="19E9A247" w14:textId="77777777" w:rsidTr="00D30414">
        <w:tc>
          <w:tcPr>
            <w:tcW w:w="2553" w:type="dxa"/>
            <w:shd w:val="clear" w:color="auto" w:fill="auto"/>
          </w:tcPr>
          <w:p w14:paraId="260B7AED" w14:textId="67C0E387"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spongodes</w:t>
            </w:r>
          </w:p>
        </w:tc>
        <w:tc>
          <w:tcPr>
            <w:tcW w:w="2693" w:type="dxa"/>
            <w:shd w:val="clear" w:color="auto" w:fill="auto"/>
          </w:tcPr>
          <w:p w14:paraId="21778F0C" w14:textId="76D72EE6"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pini  </w:t>
            </w:r>
          </w:p>
        </w:tc>
        <w:tc>
          <w:tcPr>
            <w:tcW w:w="2551" w:type="dxa"/>
            <w:shd w:val="clear" w:color="auto" w:fill="auto"/>
          </w:tcPr>
          <w:p w14:paraId="02B774A3" w14:textId="0D480A70"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solida  </w:t>
            </w:r>
          </w:p>
        </w:tc>
        <w:tc>
          <w:tcPr>
            <w:tcW w:w="2694" w:type="dxa"/>
            <w:shd w:val="clear" w:color="auto" w:fill="auto"/>
          </w:tcPr>
          <w:p w14:paraId="53024A4F" w14:textId="09E3159D"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conspicua  </w:t>
            </w:r>
          </w:p>
        </w:tc>
      </w:tr>
      <w:tr w:rsidR="00C3560C" w:rsidRPr="001F187E" w14:paraId="5CC71F65" w14:textId="77777777" w:rsidTr="00D30414">
        <w:tc>
          <w:tcPr>
            <w:tcW w:w="2553" w:type="dxa"/>
            <w:shd w:val="clear" w:color="auto" w:fill="auto"/>
          </w:tcPr>
          <w:p w14:paraId="330345A6" w14:textId="17288E2D"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spumosa</w:t>
            </w:r>
          </w:p>
        </w:tc>
        <w:tc>
          <w:tcPr>
            <w:tcW w:w="2693" w:type="dxa"/>
            <w:shd w:val="clear" w:color="auto" w:fill="auto"/>
          </w:tcPr>
          <w:p w14:paraId="1F93D290" w14:textId="05A4D5AC"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ryukyuensis  </w:t>
            </w:r>
          </w:p>
        </w:tc>
        <w:tc>
          <w:tcPr>
            <w:tcW w:w="2551" w:type="dxa"/>
            <w:shd w:val="clear" w:color="auto" w:fill="auto"/>
          </w:tcPr>
          <w:p w14:paraId="0501AF50" w14:textId="6A4DC9F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stephensoni  </w:t>
            </w:r>
          </w:p>
        </w:tc>
        <w:tc>
          <w:tcPr>
            <w:tcW w:w="2694" w:type="dxa"/>
            <w:shd w:val="clear" w:color="auto" w:fill="auto"/>
          </w:tcPr>
          <w:p w14:paraId="2CAF511A" w14:textId="7DE6B7DD"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Turbinaria frondens</w:t>
            </w:r>
          </w:p>
        </w:tc>
      </w:tr>
      <w:tr w:rsidR="00C3560C" w:rsidRPr="001F187E" w14:paraId="042E9CC2" w14:textId="77777777" w:rsidTr="00D30414">
        <w:tc>
          <w:tcPr>
            <w:tcW w:w="2553" w:type="dxa"/>
            <w:shd w:val="clear" w:color="auto" w:fill="auto"/>
          </w:tcPr>
          <w:p w14:paraId="5E0C546F" w14:textId="5373007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stellata</w:t>
            </w:r>
          </w:p>
        </w:tc>
        <w:tc>
          <w:tcPr>
            <w:tcW w:w="2693" w:type="dxa"/>
            <w:shd w:val="clear" w:color="auto" w:fill="auto"/>
          </w:tcPr>
          <w:p w14:paraId="1A101200" w14:textId="38E20022"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sinensis  </w:t>
            </w:r>
          </w:p>
        </w:tc>
        <w:tc>
          <w:tcPr>
            <w:tcW w:w="2551" w:type="dxa"/>
            <w:shd w:val="clear" w:color="auto" w:fill="auto"/>
          </w:tcPr>
          <w:p w14:paraId="758F3E26" w14:textId="45BE198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vaughani  </w:t>
            </w:r>
          </w:p>
        </w:tc>
        <w:tc>
          <w:tcPr>
            <w:tcW w:w="2694" w:type="dxa"/>
            <w:shd w:val="clear" w:color="auto" w:fill="auto"/>
          </w:tcPr>
          <w:p w14:paraId="135021D5" w14:textId="6192AFE6"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mesenterina  </w:t>
            </w:r>
          </w:p>
        </w:tc>
      </w:tr>
      <w:tr w:rsidR="00C3560C" w:rsidRPr="001F187E" w14:paraId="659C35A0" w14:textId="77777777" w:rsidTr="00D30414">
        <w:tc>
          <w:tcPr>
            <w:tcW w:w="2553" w:type="dxa"/>
            <w:shd w:val="clear" w:color="auto" w:fill="auto"/>
          </w:tcPr>
          <w:p w14:paraId="0B4070AF" w14:textId="035B532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tuberculosa</w:t>
            </w:r>
          </w:p>
        </w:tc>
        <w:tc>
          <w:tcPr>
            <w:tcW w:w="2693" w:type="dxa"/>
            <w:shd w:val="clear" w:color="auto" w:fill="auto"/>
          </w:tcPr>
          <w:p w14:paraId="422F9183" w14:textId="1F52E3D4"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Platygyra verweyi  </w:t>
            </w:r>
          </w:p>
        </w:tc>
        <w:tc>
          <w:tcPr>
            <w:tcW w:w="2551" w:type="dxa"/>
            <w:shd w:val="clear" w:color="auto" w:fill="auto"/>
          </w:tcPr>
          <w:p w14:paraId="35EE2150" w14:textId="48A42AD5"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contigua</w:t>
            </w:r>
          </w:p>
        </w:tc>
        <w:tc>
          <w:tcPr>
            <w:tcW w:w="2694" w:type="dxa"/>
            <w:shd w:val="clear" w:color="auto" w:fill="auto"/>
          </w:tcPr>
          <w:p w14:paraId="0B80C1EC" w14:textId="0BDEF4A0"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patula  </w:t>
            </w:r>
          </w:p>
        </w:tc>
      </w:tr>
      <w:tr w:rsidR="00C3560C" w:rsidRPr="001F187E" w14:paraId="3F2244BC" w14:textId="77777777" w:rsidTr="00D30414">
        <w:tc>
          <w:tcPr>
            <w:tcW w:w="2553" w:type="dxa"/>
            <w:shd w:val="clear" w:color="auto" w:fill="auto"/>
          </w:tcPr>
          <w:p w14:paraId="34C2327D" w14:textId="1746A2C4"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turgescens</w:t>
            </w:r>
          </w:p>
        </w:tc>
        <w:tc>
          <w:tcPr>
            <w:tcW w:w="2693" w:type="dxa"/>
            <w:shd w:val="clear" w:color="auto" w:fill="auto"/>
          </w:tcPr>
          <w:p w14:paraId="1917A673" w14:textId="3AB4271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Plerogyra sinuosa</w:t>
            </w:r>
          </w:p>
        </w:tc>
        <w:tc>
          <w:tcPr>
            <w:tcW w:w="2551" w:type="dxa"/>
            <w:shd w:val="clear" w:color="auto" w:fill="auto"/>
          </w:tcPr>
          <w:p w14:paraId="3B5956BB" w14:textId="2F3BFB03"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digitata</w:t>
            </w:r>
          </w:p>
        </w:tc>
        <w:tc>
          <w:tcPr>
            <w:tcW w:w="2694" w:type="dxa"/>
            <w:shd w:val="clear" w:color="auto" w:fill="auto"/>
          </w:tcPr>
          <w:p w14:paraId="6D610C50" w14:textId="69665E90"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Turbinaria peltata</w:t>
            </w:r>
          </w:p>
        </w:tc>
      </w:tr>
      <w:tr w:rsidR="00C3560C" w:rsidRPr="001F187E" w14:paraId="031BC3F7" w14:textId="77777777" w:rsidTr="00D30414">
        <w:tc>
          <w:tcPr>
            <w:tcW w:w="2553" w:type="dxa"/>
            <w:shd w:val="clear" w:color="auto" w:fill="auto"/>
          </w:tcPr>
          <w:p w14:paraId="20B3BAE3" w14:textId="26A6D5D7"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turtlensis</w:t>
            </w:r>
          </w:p>
        </w:tc>
        <w:tc>
          <w:tcPr>
            <w:tcW w:w="2693" w:type="dxa"/>
            <w:shd w:val="clear" w:color="auto" w:fill="auto"/>
          </w:tcPr>
          <w:p w14:paraId="2A156118" w14:textId="0F8AC80D"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Plesiastrea versipora</w:t>
            </w:r>
          </w:p>
        </w:tc>
        <w:tc>
          <w:tcPr>
            <w:tcW w:w="2551" w:type="dxa"/>
            <w:shd w:val="clear" w:color="auto" w:fill="auto"/>
          </w:tcPr>
          <w:p w14:paraId="113AAC44" w14:textId="094A26F1"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explanulata</w:t>
            </w:r>
          </w:p>
        </w:tc>
        <w:tc>
          <w:tcPr>
            <w:tcW w:w="2694" w:type="dxa"/>
            <w:shd w:val="clear" w:color="auto" w:fill="auto"/>
          </w:tcPr>
          <w:p w14:paraId="12EF5851" w14:textId="2135C3D7"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radicalis  </w:t>
            </w:r>
          </w:p>
        </w:tc>
      </w:tr>
      <w:tr w:rsidR="00C3560C" w:rsidRPr="001F187E" w14:paraId="662CF8F4" w14:textId="77777777" w:rsidTr="00D30414">
        <w:tc>
          <w:tcPr>
            <w:tcW w:w="2553" w:type="dxa"/>
            <w:shd w:val="clear" w:color="auto" w:fill="auto"/>
          </w:tcPr>
          <w:p w14:paraId="5B399878" w14:textId="533E89B5"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undata</w:t>
            </w:r>
          </w:p>
        </w:tc>
        <w:tc>
          <w:tcPr>
            <w:tcW w:w="2693" w:type="dxa"/>
            <w:shd w:val="clear" w:color="auto" w:fill="auto"/>
          </w:tcPr>
          <w:p w14:paraId="4B9B2736" w14:textId="7E30E61E"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Pocillopora damicornis </w:t>
            </w:r>
          </w:p>
        </w:tc>
        <w:tc>
          <w:tcPr>
            <w:tcW w:w="2551" w:type="dxa"/>
            <w:shd w:val="clear" w:color="auto" w:fill="auto"/>
          </w:tcPr>
          <w:p w14:paraId="1A3C1783" w14:textId="1E913BA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haimeana</w:t>
            </w:r>
          </w:p>
        </w:tc>
        <w:tc>
          <w:tcPr>
            <w:tcW w:w="2694" w:type="dxa"/>
            <w:shd w:val="clear" w:color="auto" w:fill="auto"/>
          </w:tcPr>
          <w:p w14:paraId="0E5ECEB7" w14:textId="4ED16C8F"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Turbinaria reniformis  </w:t>
            </w:r>
          </w:p>
        </w:tc>
      </w:tr>
      <w:tr w:rsidR="00C3560C" w:rsidRPr="001F187E" w14:paraId="2B1C0915" w14:textId="77777777" w:rsidTr="00D30414">
        <w:tc>
          <w:tcPr>
            <w:tcW w:w="2553" w:type="dxa"/>
            <w:shd w:val="clear" w:color="auto" w:fill="auto"/>
          </w:tcPr>
          <w:p w14:paraId="66578480" w14:textId="2C4E3198"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venosa</w:t>
            </w:r>
          </w:p>
        </w:tc>
        <w:tc>
          <w:tcPr>
            <w:tcW w:w="2693" w:type="dxa"/>
            <w:shd w:val="clear" w:color="auto" w:fill="auto"/>
          </w:tcPr>
          <w:p w14:paraId="468316DD" w14:textId="511F5420"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Pocillopora eydouxi   </w:t>
            </w:r>
          </w:p>
        </w:tc>
        <w:tc>
          <w:tcPr>
            <w:tcW w:w="2551" w:type="dxa"/>
            <w:shd w:val="clear" w:color="auto" w:fill="auto"/>
          </w:tcPr>
          <w:p w14:paraId="2E10F97F" w14:textId="56DB2753"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nierstraszi</w:t>
            </w:r>
          </w:p>
        </w:tc>
        <w:tc>
          <w:tcPr>
            <w:tcW w:w="2694" w:type="dxa"/>
            <w:shd w:val="clear" w:color="auto" w:fill="auto"/>
          </w:tcPr>
          <w:p w14:paraId="5C40557A" w14:textId="59805BCA"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Turbinaria stellulata</w:t>
            </w:r>
          </w:p>
        </w:tc>
      </w:tr>
      <w:tr w:rsidR="00C3560C" w:rsidRPr="001F187E" w14:paraId="3F09A392" w14:textId="77777777" w:rsidTr="00D30414">
        <w:tc>
          <w:tcPr>
            <w:tcW w:w="2553" w:type="dxa"/>
            <w:shd w:val="clear" w:color="auto" w:fill="auto"/>
          </w:tcPr>
          <w:p w14:paraId="6D952359" w14:textId="22881452"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Montipora verrucosa</w:t>
            </w:r>
          </w:p>
        </w:tc>
        <w:tc>
          <w:tcPr>
            <w:tcW w:w="2693" w:type="dxa"/>
            <w:shd w:val="clear" w:color="auto" w:fill="auto"/>
          </w:tcPr>
          <w:p w14:paraId="0D79FA6E" w14:textId="0F7716D3"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Pocillopora meandrina  </w:t>
            </w:r>
          </w:p>
        </w:tc>
        <w:tc>
          <w:tcPr>
            <w:tcW w:w="2551" w:type="dxa"/>
            <w:shd w:val="clear" w:color="auto" w:fill="auto"/>
          </w:tcPr>
          <w:p w14:paraId="1B89136C" w14:textId="4E67DFAA" w:rsidR="00C3560C" w:rsidRPr="001F187E" w:rsidRDefault="00C3560C" w:rsidP="00C3560C">
            <w:pPr>
              <w:spacing w:before="100" w:beforeAutospacing="1" w:after="40"/>
              <w:rPr>
                <w:rFonts w:eastAsia="Arial Unicode MS" w:cs="Arial Unicode MS"/>
                <w:i/>
                <w:sz w:val="20"/>
                <w:szCs w:val="20"/>
              </w:rPr>
            </w:pPr>
            <w:r w:rsidRPr="001F187E">
              <w:rPr>
                <w:rFonts w:eastAsia="Arial Unicode MS" w:cs="Arial Unicode MS"/>
                <w:i/>
                <w:sz w:val="20"/>
                <w:szCs w:val="20"/>
              </w:rPr>
              <w:t>Psammocora profundacella</w:t>
            </w:r>
          </w:p>
        </w:tc>
        <w:tc>
          <w:tcPr>
            <w:tcW w:w="2694" w:type="dxa"/>
            <w:shd w:val="clear" w:color="auto" w:fill="auto"/>
          </w:tcPr>
          <w:p w14:paraId="74BAD851" w14:textId="73551809" w:rsidR="00C3560C" w:rsidRPr="001F187E" w:rsidRDefault="00C3560C" w:rsidP="00C3560C">
            <w:pPr>
              <w:spacing w:before="100" w:beforeAutospacing="1" w:after="40"/>
              <w:rPr>
                <w:rFonts w:eastAsia="Arial Unicode MS" w:cs="Arial Unicode MS"/>
                <w:i/>
                <w:sz w:val="20"/>
                <w:szCs w:val="20"/>
              </w:rPr>
            </w:pPr>
            <w:r w:rsidRPr="002D2BCB">
              <w:rPr>
                <w:rFonts w:eastAsia="Arial Unicode MS" w:cs="Arial Unicode MS"/>
                <w:b/>
                <w:sz w:val="20"/>
                <w:szCs w:val="20"/>
                <w:u w:val="single"/>
              </w:rPr>
              <w:t>Giant clams</w:t>
            </w:r>
          </w:p>
        </w:tc>
      </w:tr>
      <w:tr w:rsidR="002D6236" w:rsidRPr="001F187E" w14:paraId="70F1D081" w14:textId="77777777" w:rsidTr="00D30414">
        <w:tc>
          <w:tcPr>
            <w:tcW w:w="2553" w:type="dxa"/>
            <w:shd w:val="clear" w:color="auto" w:fill="auto"/>
          </w:tcPr>
          <w:p w14:paraId="6FD4F386" w14:textId="3FBDE709"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Moseleya latistellata</w:t>
            </w:r>
          </w:p>
        </w:tc>
        <w:tc>
          <w:tcPr>
            <w:tcW w:w="2693" w:type="dxa"/>
            <w:shd w:val="clear" w:color="auto" w:fill="auto"/>
          </w:tcPr>
          <w:p w14:paraId="578F5390" w14:textId="0AD613FB"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Pocillopora verrucosa  </w:t>
            </w:r>
          </w:p>
        </w:tc>
        <w:tc>
          <w:tcPr>
            <w:tcW w:w="2551" w:type="dxa"/>
            <w:shd w:val="clear" w:color="auto" w:fill="auto"/>
          </w:tcPr>
          <w:p w14:paraId="3085AD21" w14:textId="49ACB094"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Psammocora superficialis</w:t>
            </w:r>
          </w:p>
        </w:tc>
        <w:tc>
          <w:tcPr>
            <w:tcW w:w="2694" w:type="dxa"/>
            <w:shd w:val="clear" w:color="auto" w:fill="auto"/>
          </w:tcPr>
          <w:p w14:paraId="134FA175" w14:textId="2CFBABF4"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Tridacna maxima</w:t>
            </w:r>
          </w:p>
        </w:tc>
      </w:tr>
      <w:tr w:rsidR="002D6236" w:rsidRPr="001F187E" w14:paraId="34049A00" w14:textId="77777777" w:rsidTr="00D30414">
        <w:tc>
          <w:tcPr>
            <w:tcW w:w="2553" w:type="dxa"/>
            <w:shd w:val="clear" w:color="auto" w:fill="auto"/>
          </w:tcPr>
          <w:p w14:paraId="07D8DE40" w14:textId="73E46E08"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Mycedium elephantotus</w:t>
            </w:r>
          </w:p>
        </w:tc>
        <w:tc>
          <w:tcPr>
            <w:tcW w:w="2693" w:type="dxa"/>
            <w:shd w:val="clear" w:color="auto" w:fill="auto"/>
          </w:tcPr>
          <w:p w14:paraId="25D2FA9E" w14:textId="2D8355ED"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Pocillopora woodjonesi  </w:t>
            </w:r>
          </w:p>
        </w:tc>
        <w:tc>
          <w:tcPr>
            <w:tcW w:w="2551" w:type="dxa"/>
            <w:shd w:val="clear" w:color="auto" w:fill="auto"/>
          </w:tcPr>
          <w:p w14:paraId="29E5502C" w14:textId="53143F76"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Scolymia vitiensis</w:t>
            </w:r>
          </w:p>
        </w:tc>
        <w:tc>
          <w:tcPr>
            <w:tcW w:w="2694" w:type="dxa"/>
            <w:shd w:val="clear" w:color="auto" w:fill="auto"/>
          </w:tcPr>
          <w:p w14:paraId="5D417A7B" w14:textId="354EA2B7" w:rsidR="002D6236" w:rsidRPr="002D2BCB" w:rsidRDefault="002D6236" w:rsidP="002D6236">
            <w:pPr>
              <w:spacing w:before="100" w:beforeAutospacing="1" w:after="40"/>
              <w:rPr>
                <w:rFonts w:eastAsia="Arial Unicode MS" w:cs="Arial Unicode MS"/>
                <w:b/>
                <w:i/>
                <w:sz w:val="20"/>
                <w:szCs w:val="20"/>
              </w:rPr>
            </w:pPr>
            <w:r w:rsidRPr="001F187E">
              <w:rPr>
                <w:rFonts w:eastAsia="Arial Unicode MS" w:cs="Arial Unicode MS"/>
                <w:i/>
                <w:sz w:val="20"/>
                <w:szCs w:val="20"/>
              </w:rPr>
              <w:t>Tridacna squamosa</w:t>
            </w:r>
          </w:p>
        </w:tc>
      </w:tr>
      <w:tr w:rsidR="002D6236" w:rsidRPr="001F187E" w14:paraId="79647695" w14:textId="77777777" w:rsidTr="00D30414">
        <w:tc>
          <w:tcPr>
            <w:tcW w:w="2553" w:type="dxa"/>
            <w:shd w:val="clear" w:color="auto" w:fill="auto"/>
          </w:tcPr>
          <w:p w14:paraId="2F94B942" w14:textId="79F689A1"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Oxypora lacera</w:t>
            </w:r>
          </w:p>
        </w:tc>
        <w:tc>
          <w:tcPr>
            <w:tcW w:w="2693" w:type="dxa"/>
            <w:shd w:val="clear" w:color="auto" w:fill="auto"/>
          </w:tcPr>
          <w:p w14:paraId="7793E8D9" w14:textId="418167A2"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Podabacia crustacea</w:t>
            </w:r>
          </w:p>
        </w:tc>
        <w:tc>
          <w:tcPr>
            <w:tcW w:w="2551" w:type="dxa"/>
            <w:shd w:val="clear" w:color="auto" w:fill="auto"/>
          </w:tcPr>
          <w:p w14:paraId="0058BECD" w14:textId="2E252161"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Seriatopora hystrix</w:t>
            </w:r>
          </w:p>
        </w:tc>
        <w:tc>
          <w:tcPr>
            <w:tcW w:w="2694" w:type="dxa"/>
            <w:shd w:val="clear" w:color="auto" w:fill="auto"/>
          </w:tcPr>
          <w:p w14:paraId="679C7C96" w14:textId="4A8DAA98" w:rsidR="002D6236" w:rsidRPr="001F187E" w:rsidRDefault="002D6236" w:rsidP="002D6236">
            <w:pPr>
              <w:spacing w:before="100" w:beforeAutospacing="1" w:after="40"/>
              <w:rPr>
                <w:rFonts w:eastAsia="Arial Unicode MS" w:cs="Arial Unicode MS"/>
                <w:i/>
                <w:sz w:val="20"/>
                <w:szCs w:val="20"/>
              </w:rPr>
            </w:pPr>
            <w:r w:rsidRPr="002D2BCB">
              <w:rPr>
                <w:rFonts w:eastAsia="Arial Unicode MS" w:cs="Arial Unicode MS"/>
                <w:b/>
                <w:sz w:val="20"/>
                <w:szCs w:val="20"/>
                <w:u w:val="single"/>
              </w:rPr>
              <w:t>Live rock</w:t>
            </w:r>
          </w:p>
        </w:tc>
      </w:tr>
      <w:tr w:rsidR="002D6236" w:rsidRPr="001F187E" w14:paraId="7F5F05F5" w14:textId="77777777" w:rsidTr="00D30414">
        <w:tc>
          <w:tcPr>
            <w:tcW w:w="2553" w:type="dxa"/>
            <w:shd w:val="clear" w:color="auto" w:fill="auto"/>
          </w:tcPr>
          <w:p w14:paraId="1E263688" w14:textId="35281AB9"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Oxypora sp</w:t>
            </w:r>
          </w:p>
        </w:tc>
        <w:tc>
          <w:tcPr>
            <w:tcW w:w="2693" w:type="dxa"/>
            <w:shd w:val="clear" w:color="auto" w:fill="auto"/>
          </w:tcPr>
          <w:p w14:paraId="3B06B162" w14:textId="4BE06D46"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Polyphyllia talpina</w:t>
            </w:r>
          </w:p>
        </w:tc>
        <w:tc>
          <w:tcPr>
            <w:tcW w:w="2551" w:type="dxa"/>
            <w:shd w:val="clear" w:color="auto" w:fill="auto"/>
          </w:tcPr>
          <w:p w14:paraId="0ACFDC5D" w14:textId="46D440F9"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Stylophora pistillata  </w:t>
            </w:r>
          </w:p>
        </w:tc>
        <w:tc>
          <w:tcPr>
            <w:tcW w:w="2694" w:type="dxa"/>
            <w:shd w:val="clear" w:color="auto" w:fill="auto"/>
          </w:tcPr>
          <w:p w14:paraId="63459481" w14:textId="2C618B42" w:rsidR="002D6236" w:rsidRPr="001F187E" w:rsidRDefault="002D6236" w:rsidP="002D6236">
            <w:pPr>
              <w:spacing w:before="100" w:beforeAutospacing="1" w:after="40"/>
              <w:rPr>
                <w:rFonts w:eastAsia="Arial Unicode MS" w:cs="Arial Unicode MS"/>
                <w:i/>
                <w:sz w:val="20"/>
                <w:szCs w:val="20"/>
              </w:rPr>
            </w:pPr>
          </w:p>
        </w:tc>
      </w:tr>
      <w:tr w:rsidR="002D6236" w:rsidRPr="001F187E" w14:paraId="4D12BAB2" w14:textId="77777777" w:rsidTr="00D30414">
        <w:tc>
          <w:tcPr>
            <w:tcW w:w="2553" w:type="dxa"/>
            <w:shd w:val="clear" w:color="auto" w:fill="auto"/>
          </w:tcPr>
          <w:p w14:paraId="7B7473D3" w14:textId="4C928768"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Pavona cactus</w:t>
            </w:r>
          </w:p>
        </w:tc>
        <w:tc>
          <w:tcPr>
            <w:tcW w:w="2693" w:type="dxa"/>
            <w:shd w:val="clear" w:color="auto" w:fill="auto"/>
          </w:tcPr>
          <w:p w14:paraId="3D8C4E2E" w14:textId="3C6769A2"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annae   </w:t>
            </w:r>
          </w:p>
        </w:tc>
        <w:tc>
          <w:tcPr>
            <w:tcW w:w="2551" w:type="dxa"/>
            <w:shd w:val="clear" w:color="auto" w:fill="auto"/>
          </w:tcPr>
          <w:p w14:paraId="4A9FFD2C" w14:textId="0039E2DA"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Stylophora subseriata</w:t>
            </w:r>
          </w:p>
        </w:tc>
        <w:tc>
          <w:tcPr>
            <w:tcW w:w="2694" w:type="dxa"/>
            <w:shd w:val="clear" w:color="auto" w:fill="auto"/>
          </w:tcPr>
          <w:p w14:paraId="76C05F3E" w14:textId="5270CDC3" w:rsidR="002D6236" w:rsidRPr="002D2BCB" w:rsidRDefault="002D6236" w:rsidP="002D6236">
            <w:pPr>
              <w:spacing w:before="100" w:beforeAutospacing="1" w:after="40"/>
              <w:rPr>
                <w:rFonts w:eastAsia="Arial Unicode MS" w:cs="Arial Unicode MS"/>
                <w:b/>
                <w:i/>
                <w:sz w:val="20"/>
                <w:szCs w:val="20"/>
              </w:rPr>
            </w:pPr>
          </w:p>
        </w:tc>
      </w:tr>
      <w:tr w:rsidR="002D6236" w:rsidRPr="001F187E" w14:paraId="46725747" w14:textId="77777777" w:rsidTr="00D30414">
        <w:tc>
          <w:tcPr>
            <w:tcW w:w="2553" w:type="dxa"/>
            <w:shd w:val="clear" w:color="auto" w:fill="auto"/>
          </w:tcPr>
          <w:p w14:paraId="62910B2A" w14:textId="572C1D67"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Pavona decussata</w:t>
            </w:r>
          </w:p>
        </w:tc>
        <w:tc>
          <w:tcPr>
            <w:tcW w:w="2693" w:type="dxa"/>
            <w:shd w:val="clear" w:color="auto" w:fill="auto"/>
          </w:tcPr>
          <w:p w14:paraId="7166358D" w14:textId="664C4983"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Porites aranetai  </w:t>
            </w:r>
          </w:p>
        </w:tc>
        <w:tc>
          <w:tcPr>
            <w:tcW w:w="2551" w:type="dxa"/>
            <w:shd w:val="clear" w:color="auto" w:fill="auto"/>
          </w:tcPr>
          <w:p w14:paraId="7921669E" w14:textId="0E10C1B3" w:rsidR="002D6236" w:rsidRPr="001F187E" w:rsidRDefault="002D6236" w:rsidP="002D6236">
            <w:pPr>
              <w:spacing w:before="100" w:beforeAutospacing="1" w:after="40"/>
              <w:rPr>
                <w:rFonts w:eastAsia="Arial Unicode MS" w:cs="Arial Unicode MS"/>
                <w:i/>
                <w:sz w:val="20"/>
                <w:szCs w:val="20"/>
              </w:rPr>
            </w:pPr>
            <w:r w:rsidRPr="001F187E">
              <w:rPr>
                <w:rFonts w:eastAsia="Arial Unicode MS" w:cs="Arial Unicode MS"/>
                <w:i/>
                <w:sz w:val="20"/>
                <w:szCs w:val="20"/>
              </w:rPr>
              <w:t xml:space="preserve">Symphyllia agaricia  </w:t>
            </w:r>
          </w:p>
        </w:tc>
        <w:tc>
          <w:tcPr>
            <w:tcW w:w="2694" w:type="dxa"/>
            <w:shd w:val="clear" w:color="auto" w:fill="auto"/>
          </w:tcPr>
          <w:p w14:paraId="116ABA1B" w14:textId="53D6168E" w:rsidR="002D6236" w:rsidRPr="001F187E" w:rsidRDefault="002D6236" w:rsidP="002D6236">
            <w:pPr>
              <w:spacing w:before="100" w:beforeAutospacing="1" w:after="40"/>
              <w:rPr>
                <w:rFonts w:eastAsia="Arial Unicode MS" w:cs="Arial Unicode MS"/>
                <w:i/>
                <w:sz w:val="20"/>
                <w:szCs w:val="20"/>
              </w:rPr>
            </w:pPr>
          </w:p>
        </w:tc>
      </w:tr>
    </w:tbl>
    <w:p w14:paraId="696D1554" w14:textId="77777777" w:rsidR="001F187E" w:rsidRPr="001F187E" w:rsidRDefault="001F187E" w:rsidP="001F187E">
      <w:pPr>
        <w:spacing w:before="100" w:beforeAutospacing="1" w:after="100" w:afterAutospacing="1"/>
        <w:rPr>
          <w:rFonts w:eastAsia="Arial Unicode MS" w:cs="Arial Unicode MS"/>
          <w:i/>
        </w:rPr>
      </w:pPr>
    </w:p>
    <w:p w14:paraId="5CD4FFB5" w14:textId="7C86F1E4" w:rsidR="00CF5312" w:rsidRPr="00D63915" w:rsidRDefault="00CF5312" w:rsidP="001F187E">
      <w:pPr>
        <w:spacing w:line="276" w:lineRule="auto"/>
        <w:rPr>
          <w:highlight w:val="yellow"/>
        </w:rPr>
      </w:pPr>
    </w:p>
    <w:sectPr w:rsidR="00CF5312" w:rsidRPr="00D63915" w:rsidSect="00456783">
      <w:pgSz w:w="11909" w:h="16834" w:code="9"/>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7DFC" w14:textId="77777777" w:rsidR="00766216" w:rsidRDefault="00766216" w:rsidP="00456783">
      <w:r>
        <w:separator/>
      </w:r>
    </w:p>
  </w:endnote>
  <w:endnote w:type="continuationSeparator" w:id="0">
    <w:p w14:paraId="63E20855" w14:textId="77777777" w:rsidR="00766216" w:rsidRDefault="00766216" w:rsidP="0045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C12F" w14:textId="77777777" w:rsidR="00766216" w:rsidRDefault="00766216" w:rsidP="00456783">
      <w:r>
        <w:separator/>
      </w:r>
    </w:p>
  </w:footnote>
  <w:footnote w:type="continuationSeparator" w:id="0">
    <w:p w14:paraId="2EB9CFC6" w14:textId="77777777" w:rsidR="00766216" w:rsidRDefault="00766216" w:rsidP="0045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7E645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2FDC5FAA"/>
    <w:lvl w:ilvl="0">
      <w:start w:val="1"/>
      <w:numFmt w:val="decimal"/>
      <w:pStyle w:val="ListNumber"/>
      <w:lvlText w:val="%1."/>
      <w:lvlJc w:val="left"/>
      <w:pPr>
        <w:tabs>
          <w:tab w:val="num" w:pos="360"/>
        </w:tabs>
        <w:ind w:left="360" w:hanging="360"/>
      </w:pPr>
    </w:lvl>
  </w:abstractNum>
  <w:abstractNum w:abstractNumId="2"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5C7B93"/>
    <w:multiLevelType w:val="hybridMultilevel"/>
    <w:tmpl w:val="F9AE480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3FFD078F"/>
    <w:multiLevelType w:val="hybridMultilevel"/>
    <w:tmpl w:val="816C9258"/>
    <w:lvl w:ilvl="0" w:tplc="0C09000F">
      <w:start w:val="1"/>
      <w:numFmt w:val="decimal"/>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42947125"/>
    <w:multiLevelType w:val="hybridMultilevel"/>
    <w:tmpl w:val="C94863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910758"/>
    <w:multiLevelType w:val="hybridMultilevel"/>
    <w:tmpl w:val="E3FCE7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4"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8" w15:restartNumberingAfterBreak="0">
    <w:nsid w:val="703152E6"/>
    <w:multiLevelType w:val="hybridMultilevel"/>
    <w:tmpl w:val="135C00D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FD7BFE"/>
    <w:multiLevelType w:val="hybridMultilevel"/>
    <w:tmpl w:val="49604F54"/>
    <w:lvl w:ilvl="0" w:tplc="0C090017">
      <w:start w:val="1"/>
      <w:numFmt w:val="lowerLetter"/>
      <w:lvlText w:val="%1)"/>
      <w:lvlJc w:val="left"/>
      <w:pPr>
        <w:ind w:left="3370" w:hanging="360"/>
      </w:pPr>
    </w:lvl>
    <w:lvl w:ilvl="1" w:tplc="0C090019">
      <w:start w:val="1"/>
      <w:numFmt w:val="lowerLetter"/>
      <w:lvlText w:val="%2."/>
      <w:lvlJc w:val="left"/>
      <w:pPr>
        <w:ind w:left="4090" w:hanging="360"/>
      </w:pPr>
    </w:lvl>
    <w:lvl w:ilvl="2" w:tplc="0C09001B">
      <w:start w:val="1"/>
      <w:numFmt w:val="lowerRoman"/>
      <w:lvlText w:val="%3."/>
      <w:lvlJc w:val="right"/>
      <w:pPr>
        <w:ind w:left="4810" w:hanging="180"/>
      </w:pPr>
    </w:lvl>
    <w:lvl w:ilvl="3" w:tplc="0C09000F">
      <w:start w:val="1"/>
      <w:numFmt w:val="decimal"/>
      <w:lvlText w:val="%4."/>
      <w:lvlJc w:val="left"/>
      <w:pPr>
        <w:ind w:left="5530" w:hanging="360"/>
      </w:pPr>
    </w:lvl>
    <w:lvl w:ilvl="4" w:tplc="0C090019">
      <w:start w:val="1"/>
      <w:numFmt w:val="lowerLetter"/>
      <w:lvlText w:val="%5."/>
      <w:lvlJc w:val="left"/>
      <w:pPr>
        <w:ind w:left="6250" w:hanging="360"/>
      </w:pPr>
    </w:lvl>
    <w:lvl w:ilvl="5" w:tplc="0C09001B">
      <w:start w:val="1"/>
      <w:numFmt w:val="lowerRoman"/>
      <w:lvlText w:val="%6."/>
      <w:lvlJc w:val="right"/>
      <w:pPr>
        <w:ind w:left="6970" w:hanging="180"/>
      </w:pPr>
    </w:lvl>
    <w:lvl w:ilvl="6" w:tplc="0C09000F">
      <w:start w:val="1"/>
      <w:numFmt w:val="decimal"/>
      <w:lvlText w:val="%7."/>
      <w:lvlJc w:val="left"/>
      <w:pPr>
        <w:ind w:left="7690" w:hanging="360"/>
      </w:pPr>
    </w:lvl>
    <w:lvl w:ilvl="7" w:tplc="0C090019">
      <w:start w:val="1"/>
      <w:numFmt w:val="lowerLetter"/>
      <w:lvlText w:val="%8."/>
      <w:lvlJc w:val="left"/>
      <w:pPr>
        <w:ind w:left="8410" w:hanging="360"/>
      </w:pPr>
    </w:lvl>
    <w:lvl w:ilvl="8" w:tplc="0C09001B">
      <w:start w:val="1"/>
      <w:numFmt w:val="lowerRoman"/>
      <w:lvlText w:val="%9."/>
      <w:lvlJc w:val="right"/>
      <w:pPr>
        <w:ind w:left="9130" w:hanging="180"/>
      </w:pPr>
    </w:lvl>
  </w:abstractNum>
  <w:abstractNum w:abstractNumId="20"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13"/>
  </w:num>
  <w:num w:numId="2">
    <w:abstractNumId w:val="17"/>
  </w:num>
  <w:num w:numId="3">
    <w:abstractNumId w:val="15"/>
  </w:num>
  <w:num w:numId="4">
    <w:abstractNumId w:val="16"/>
  </w:num>
  <w:num w:numId="5">
    <w:abstractNumId w:val="12"/>
  </w:num>
  <w:num w:numId="6">
    <w:abstractNumId w:val="20"/>
  </w:num>
  <w:num w:numId="7">
    <w:abstractNumId w:val="2"/>
  </w:num>
  <w:num w:numId="8">
    <w:abstractNumId w:val="3"/>
  </w:num>
  <w:num w:numId="9">
    <w:abstractNumId w:val="8"/>
  </w:num>
  <w:num w:numId="10">
    <w:abstractNumId w:val="4"/>
  </w:num>
  <w:num w:numId="11">
    <w:abstractNumId w:val="2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
  </w:num>
  <w:num w:numId="16">
    <w:abstractNumId w:val="9"/>
  </w:num>
  <w:num w:numId="17">
    <w:abstractNumId w:val="1"/>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
  </w:num>
  <w:num w:numId="23">
    <w:abstractNumId w:val="1"/>
  </w:num>
  <w:num w:numId="24">
    <w:abstractNumId w:val="0"/>
  </w:num>
  <w:num w:numId="25">
    <w:abstractNumId w:val="7"/>
  </w:num>
  <w:num w:numId="26">
    <w:abstractNumId w:val="1"/>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5"/>
  </w:num>
  <w:num w:numId="31">
    <w:abstractNumId w:val="11"/>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3B"/>
    <w:rsid w:val="0009559B"/>
    <w:rsid w:val="000C7FD3"/>
    <w:rsid w:val="000D1D5F"/>
    <w:rsid w:val="00135A54"/>
    <w:rsid w:val="00137A53"/>
    <w:rsid w:val="001437D5"/>
    <w:rsid w:val="001673D0"/>
    <w:rsid w:val="001754B3"/>
    <w:rsid w:val="001903F6"/>
    <w:rsid w:val="001B30E9"/>
    <w:rsid w:val="001B4AC1"/>
    <w:rsid w:val="001C1983"/>
    <w:rsid w:val="001D1440"/>
    <w:rsid w:val="001F187E"/>
    <w:rsid w:val="00270AD3"/>
    <w:rsid w:val="00281A75"/>
    <w:rsid w:val="002D2BCB"/>
    <w:rsid w:val="002D6236"/>
    <w:rsid w:val="0034188A"/>
    <w:rsid w:val="0036450D"/>
    <w:rsid w:val="00397B00"/>
    <w:rsid w:val="003B7508"/>
    <w:rsid w:val="003E5BC9"/>
    <w:rsid w:val="004122AC"/>
    <w:rsid w:val="00424800"/>
    <w:rsid w:val="004346FA"/>
    <w:rsid w:val="004440C2"/>
    <w:rsid w:val="00456783"/>
    <w:rsid w:val="004675F4"/>
    <w:rsid w:val="00481C37"/>
    <w:rsid w:val="004A21DD"/>
    <w:rsid w:val="004B4BEF"/>
    <w:rsid w:val="004C3DEE"/>
    <w:rsid w:val="004D0048"/>
    <w:rsid w:val="004D79A6"/>
    <w:rsid w:val="004E68DD"/>
    <w:rsid w:val="00510651"/>
    <w:rsid w:val="0052489C"/>
    <w:rsid w:val="00527958"/>
    <w:rsid w:val="00561B10"/>
    <w:rsid w:val="005A3DE7"/>
    <w:rsid w:val="005C0302"/>
    <w:rsid w:val="00614914"/>
    <w:rsid w:val="0062178C"/>
    <w:rsid w:val="00636121"/>
    <w:rsid w:val="00645729"/>
    <w:rsid w:val="0067129A"/>
    <w:rsid w:val="00693DD6"/>
    <w:rsid w:val="006A1AFC"/>
    <w:rsid w:val="006F1595"/>
    <w:rsid w:val="006F7D75"/>
    <w:rsid w:val="00714B0D"/>
    <w:rsid w:val="00746C58"/>
    <w:rsid w:val="007556B5"/>
    <w:rsid w:val="00766216"/>
    <w:rsid w:val="00795D59"/>
    <w:rsid w:val="007E085C"/>
    <w:rsid w:val="007F7697"/>
    <w:rsid w:val="00820264"/>
    <w:rsid w:val="008251BE"/>
    <w:rsid w:val="0084723E"/>
    <w:rsid w:val="00850B07"/>
    <w:rsid w:val="00854659"/>
    <w:rsid w:val="008716A9"/>
    <w:rsid w:val="00881248"/>
    <w:rsid w:val="008B57A5"/>
    <w:rsid w:val="008E0CF5"/>
    <w:rsid w:val="008F1868"/>
    <w:rsid w:val="008F2EEC"/>
    <w:rsid w:val="009132FA"/>
    <w:rsid w:val="00916954"/>
    <w:rsid w:val="00923C5D"/>
    <w:rsid w:val="00947478"/>
    <w:rsid w:val="009500FD"/>
    <w:rsid w:val="00954478"/>
    <w:rsid w:val="00970338"/>
    <w:rsid w:val="0099216E"/>
    <w:rsid w:val="00995E72"/>
    <w:rsid w:val="009B0E50"/>
    <w:rsid w:val="009C0419"/>
    <w:rsid w:val="00A1569D"/>
    <w:rsid w:val="00A33DED"/>
    <w:rsid w:val="00A52C02"/>
    <w:rsid w:val="00A61917"/>
    <w:rsid w:val="00A834C5"/>
    <w:rsid w:val="00A86E48"/>
    <w:rsid w:val="00AD5D3C"/>
    <w:rsid w:val="00AE4904"/>
    <w:rsid w:val="00AE5F10"/>
    <w:rsid w:val="00AF78E0"/>
    <w:rsid w:val="00B06522"/>
    <w:rsid w:val="00B11A13"/>
    <w:rsid w:val="00B25ACA"/>
    <w:rsid w:val="00B364D4"/>
    <w:rsid w:val="00B45ECF"/>
    <w:rsid w:val="00BC3821"/>
    <w:rsid w:val="00BE4733"/>
    <w:rsid w:val="00BF533B"/>
    <w:rsid w:val="00BF7A83"/>
    <w:rsid w:val="00C10E3B"/>
    <w:rsid w:val="00C1325A"/>
    <w:rsid w:val="00C26434"/>
    <w:rsid w:val="00C3560C"/>
    <w:rsid w:val="00C40170"/>
    <w:rsid w:val="00C4536F"/>
    <w:rsid w:val="00C646AF"/>
    <w:rsid w:val="00C665C2"/>
    <w:rsid w:val="00C95322"/>
    <w:rsid w:val="00C97B2F"/>
    <w:rsid w:val="00CD3FC8"/>
    <w:rsid w:val="00CF5312"/>
    <w:rsid w:val="00D231C8"/>
    <w:rsid w:val="00D30414"/>
    <w:rsid w:val="00D43A3C"/>
    <w:rsid w:val="00D50212"/>
    <w:rsid w:val="00D63915"/>
    <w:rsid w:val="00D7378E"/>
    <w:rsid w:val="00D75ACB"/>
    <w:rsid w:val="00DA6600"/>
    <w:rsid w:val="00DD274E"/>
    <w:rsid w:val="00DD76D4"/>
    <w:rsid w:val="00E442CE"/>
    <w:rsid w:val="00E46B14"/>
    <w:rsid w:val="00E54D2E"/>
    <w:rsid w:val="00E9064A"/>
    <w:rsid w:val="00EC09A8"/>
    <w:rsid w:val="00ED1E08"/>
    <w:rsid w:val="00ED5A7E"/>
    <w:rsid w:val="00ED66A0"/>
    <w:rsid w:val="00F044EC"/>
    <w:rsid w:val="00F10DF4"/>
    <w:rsid w:val="00F21964"/>
    <w:rsid w:val="00F72E63"/>
    <w:rsid w:val="00F8305C"/>
    <w:rsid w:val="00F96DC0"/>
    <w:rsid w:val="00FA278A"/>
    <w:rsid w:val="00FA51C2"/>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4EB9A2E2-A7BE-4F72-8C7C-CE66A04D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456783"/>
    <w:pPr>
      <w:keepNext/>
      <w:spacing w:line="276" w:lineRule="auto"/>
      <w:jc w:val="center"/>
      <w:outlineLvl w:val="0"/>
    </w:pPr>
    <w:rPr>
      <w:b/>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link w:val="Heading6Char"/>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D63915"/>
    <w:pPr>
      <w:tabs>
        <w:tab w:val="left" w:pos="1096"/>
      </w:tabs>
      <w:spacing w:before="60" w:after="60"/>
      <w:ind w:firstLine="181"/>
    </w:pPr>
    <w:rPr>
      <w:rFonts w:eastAsia="Calibri"/>
      <w:snapToGrid w:val="0"/>
      <w:sz w:val="22"/>
      <w:szCs w:val="22"/>
      <w:lang w:val="en-AU"/>
    </w:rPr>
  </w:style>
  <w:style w:type="paragraph" w:styleId="ListNumber">
    <w:name w:val="List Number"/>
    <w:basedOn w:val="Normal"/>
    <w:rsid w:val="001F187E"/>
    <w:pPr>
      <w:numPr>
        <w:numId w:val="15"/>
      </w:numPr>
      <w:contextualSpacing/>
    </w:pPr>
  </w:style>
  <w:style w:type="paragraph" w:styleId="ListBullet5">
    <w:name w:val="List Bullet 5"/>
    <w:basedOn w:val="Normal"/>
    <w:semiHidden/>
    <w:unhideWhenUsed/>
    <w:rsid w:val="00636121"/>
    <w:pPr>
      <w:numPr>
        <w:numId w:val="24"/>
      </w:numPr>
      <w:contextualSpacing/>
    </w:pPr>
  </w:style>
  <w:style w:type="paragraph" w:styleId="Header">
    <w:name w:val="header"/>
    <w:basedOn w:val="Normal"/>
    <w:link w:val="HeaderChar"/>
    <w:unhideWhenUsed/>
    <w:rsid w:val="00456783"/>
    <w:pPr>
      <w:tabs>
        <w:tab w:val="center" w:pos="4680"/>
        <w:tab w:val="right" w:pos="9360"/>
      </w:tabs>
    </w:pPr>
  </w:style>
  <w:style w:type="character" w:customStyle="1" w:styleId="HeaderChar">
    <w:name w:val="Header Char"/>
    <w:basedOn w:val="DefaultParagraphFont"/>
    <w:link w:val="Header"/>
    <w:rsid w:val="00456783"/>
    <w:rPr>
      <w:sz w:val="24"/>
      <w:szCs w:val="24"/>
      <w:lang w:val="en-US" w:eastAsia="en-US"/>
    </w:rPr>
  </w:style>
  <w:style w:type="paragraph" w:styleId="Footer">
    <w:name w:val="footer"/>
    <w:basedOn w:val="Normal"/>
    <w:link w:val="FooterChar"/>
    <w:unhideWhenUsed/>
    <w:rsid w:val="00456783"/>
    <w:pPr>
      <w:tabs>
        <w:tab w:val="center" w:pos="4680"/>
        <w:tab w:val="right" w:pos="9360"/>
      </w:tabs>
    </w:pPr>
  </w:style>
  <w:style w:type="character" w:customStyle="1" w:styleId="FooterChar">
    <w:name w:val="Footer Char"/>
    <w:basedOn w:val="DefaultParagraphFont"/>
    <w:link w:val="Footer"/>
    <w:rsid w:val="00456783"/>
    <w:rPr>
      <w:sz w:val="24"/>
      <w:szCs w:val="24"/>
      <w:lang w:val="en-US" w:eastAsia="en-US"/>
    </w:rPr>
  </w:style>
  <w:style w:type="character" w:customStyle="1" w:styleId="Heading6Char">
    <w:name w:val="Heading 6 Char"/>
    <w:basedOn w:val="DefaultParagraphFont"/>
    <w:link w:val="Heading6"/>
    <w:rsid w:val="00F21964"/>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Att I - NT Aquarium Fishery - WTO - Instrument</DocumentDescription>
    <RecordNumber xmlns="344c6e69-c594-4ca4-b341-09ae9dfc1422">000109706</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10" ma:contentTypeDescription="SPIRE Document" ma:contentTypeScope="" ma:versionID="bb28a22a6e0e1c217cc74423cd2f104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eeb12a0f9c97487ecd31a4f1b326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2.xml><?xml version="1.0" encoding="utf-8"?>
<ds:datastoreItem xmlns:ds="http://schemas.openxmlformats.org/officeDocument/2006/customXml" ds:itemID="{254F61E2-7DE1-4B0F-A4B3-6DD7DF5A9E1B}">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3.xml><?xml version="1.0" encoding="utf-8"?>
<ds:datastoreItem xmlns:ds="http://schemas.openxmlformats.org/officeDocument/2006/customXml" ds:itemID="{6A75B784-84B8-4E97-A028-EF5AE996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765CE-6DC1-4792-AA46-FBEFD1FF9683}">
  <ds:schemaRefs>
    <ds:schemaRef ds:uri="http://schemas.microsoft.com/office/2006/metadata/customXsn"/>
  </ds:schemaRefs>
</ds:datastoreItem>
</file>

<file path=customXml/itemProps5.xml><?xml version="1.0" encoding="utf-8"?>
<ds:datastoreItem xmlns:ds="http://schemas.openxmlformats.org/officeDocument/2006/customXml" ds:itemID="{553B2BA7-2D8D-4E8A-9DF0-FE0AC89F1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Brief - WTO Declaration - July 2021 - Att C4 NTAF</vt:lpstr>
    </vt:vector>
  </TitlesOfParts>
  <Company>EA</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WTO Declaration - July 2021 - Att C4 NTAF</dc:title>
  <dc:creator>a12990</dc:creator>
  <cp:lastModifiedBy>Shenade Muller</cp:lastModifiedBy>
  <cp:revision>21</cp:revision>
  <cp:lastPrinted>2015-02-25T00:12:00Z</cp:lastPrinted>
  <dcterms:created xsi:type="dcterms:W3CDTF">2021-07-22T02:56:00Z</dcterms:created>
  <dcterms:modified xsi:type="dcterms:W3CDTF">2021-07-29T00:26:00Z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{9e64dea5-a9b0-4412-9157-f343370ca697}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