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18943" w14:textId="77777777" w:rsidR="007225C8" w:rsidRDefault="007225C8">
      <w:pPr>
        <w:pStyle w:val="BodyText"/>
        <w:spacing w:before="8"/>
        <w:rPr>
          <w:rFonts w:ascii="Times New Roman"/>
          <w:sz w:val="20"/>
        </w:rPr>
      </w:pPr>
    </w:p>
    <w:p w14:paraId="33E18944" w14:textId="77777777" w:rsidR="007225C8" w:rsidRDefault="000046A1">
      <w:pPr>
        <w:pStyle w:val="BodyText"/>
        <w:ind w:left="161"/>
        <w:rPr>
          <w:rFonts w:ascii="Times New Roman"/>
          <w:sz w:val="20"/>
        </w:rPr>
      </w:pPr>
      <w:r>
        <w:rPr>
          <w:rFonts w:ascii="Times New Roman"/>
          <w:noProof/>
          <w:sz w:val="20"/>
        </w:rPr>
        <w:drawing>
          <wp:inline distT="0" distB="0" distL="0" distR="0" wp14:anchorId="33E189A8" wp14:editId="33E189A9">
            <wp:extent cx="1383351" cy="10652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383351" cy="1065276"/>
                    </a:xfrm>
                    <a:prstGeom prst="rect">
                      <a:avLst/>
                    </a:prstGeom>
                  </pic:spPr>
                </pic:pic>
              </a:graphicData>
            </a:graphic>
          </wp:inline>
        </w:drawing>
      </w:r>
    </w:p>
    <w:p w14:paraId="33E18945" w14:textId="77777777" w:rsidR="007225C8" w:rsidRDefault="007225C8">
      <w:pPr>
        <w:pStyle w:val="BodyText"/>
        <w:rPr>
          <w:rFonts w:ascii="Times New Roman"/>
          <w:sz w:val="20"/>
        </w:rPr>
      </w:pPr>
    </w:p>
    <w:p w14:paraId="33E18946" w14:textId="77777777" w:rsidR="007225C8" w:rsidRDefault="007225C8">
      <w:pPr>
        <w:pStyle w:val="BodyText"/>
        <w:rPr>
          <w:rFonts w:ascii="Times New Roman"/>
          <w:sz w:val="16"/>
        </w:rPr>
      </w:pPr>
    </w:p>
    <w:p w14:paraId="33E18947" w14:textId="77777777" w:rsidR="007225C8" w:rsidRDefault="000046A1">
      <w:pPr>
        <w:spacing w:before="87"/>
        <w:ind w:left="140"/>
        <w:rPr>
          <w:b/>
          <w:sz w:val="40"/>
        </w:rPr>
      </w:pPr>
      <w:r>
        <w:rPr>
          <w:b/>
          <w:sz w:val="40"/>
        </w:rPr>
        <w:t>Approval to hold a stake of more than 20% in a financial sector company No. 18 of 2021</w:t>
      </w:r>
    </w:p>
    <w:p w14:paraId="33E18948" w14:textId="4398CA2D" w:rsidR="007225C8" w:rsidRDefault="000046A1">
      <w:pPr>
        <w:pBdr>
          <w:bottom w:val="single" w:sz="6" w:space="1" w:color="auto"/>
        </w:pBdr>
        <w:spacing w:before="361"/>
        <w:ind w:left="140"/>
        <w:rPr>
          <w:i/>
          <w:sz w:val="28"/>
        </w:rPr>
      </w:pPr>
      <w:r>
        <w:rPr>
          <w:i/>
          <w:sz w:val="28"/>
        </w:rPr>
        <w:t>Financial Sector (Shareholdings) Act 1998</w:t>
      </w:r>
    </w:p>
    <w:p w14:paraId="33E18949" w14:textId="77777777" w:rsidR="007225C8" w:rsidRDefault="007225C8">
      <w:pPr>
        <w:pStyle w:val="BodyText"/>
        <w:spacing w:before="10"/>
        <w:rPr>
          <w:i/>
          <w:sz w:val="9"/>
        </w:rPr>
      </w:pPr>
      <w:bookmarkStart w:id="0" w:name="_GoBack"/>
      <w:bookmarkEnd w:id="0"/>
    </w:p>
    <w:p w14:paraId="33E1894A" w14:textId="77777777" w:rsidR="007225C8" w:rsidRDefault="000046A1">
      <w:pPr>
        <w:pStyle w:val="BodyText"/>
        <w:tabs>
          <w:tab w:val="left" w:pos="707"/>
        </w:tabs>
        <w:spacing w:before="93"/>
        <w:ind w:left="708" w:right="135" w:hanging="568"/>
      </w:pPr>
      <w:r>
        <w:t>To:</w:t>
      </w:r>
      <w:r>
        <w:tab/>
        <w:t>Liberty Financial Group Limited ABN 59 125 611 574 and the other persons named in the schedule (the</w:t>
      </w:r>
      <w:r>
        <w:rPr>
          <w:spacing w:val="-2"/>
        </w:rPr>
        <w:t xml:space="preserve"> </w:t>
      </w:r>
      <w:r>
        <w:t>applicants)</w:t>
      </w:r>
    </w:p>
    <w:p w14:paraId="33E1894B" w14:textId="77777777" w:rsidR="007225C8" w:rsidRDefault="007225C8">
      <w:pPr>
        <w:pStyle w:val="BodyText"/>
        <w:spacing w:before="9"/>
        <w:rPr>
          <w:sz w:val="20"/>
        </w:rPr>
      </w:pPr>
    </w:p>
    <w:p w14:paraId="33E1894C" w14:textId="77777777" w:rsidR="007225C8" w:rsidRDefault="000046A1">
      <w:pPr>
        <w:pStyle w:val="BodyText"/>
        <w:ind w:left="140"/>
      </w:pPr>
      <w:r>
        <w:t>SINCE:</w:t>
      </w:r>
    </w:p>
    <w:p w14:paraId="33E1894D" w14:textId="77777777" w:rsidR="007225C8" w:rsidRDefault="007225C8">
      <w:pPr>
        <w:pStyle w:val="BodyText"/>
        <w:spacing w:before="1"/>
        <w:rPr>
          <w:sz w:val="24"/>
        </w:rPr>
      </w:pPr>
    </w:p>
    <w:p w14:paraId="33E1894E" w14:textId="77777777" w:rsidR="007225C8" w:rsidRDefault="000046A1">
      <w:pPr>
        <w:pStyle w:val="ListParagraph"/>
        <w:numPr>
          <w:ilvl w:val="0"/>
          <w:numId w:val="4"/>
        </w:numPr>
        <w:tabs>
          <w:tab w:val="left" w:pos="708"/>
        </w:tabs>
        <w:spacing w:before="1"/>
        <w:ind w:right="134"/>
        <w:jc w:val="both"/>
      </w:pPr>
      <w:r>
        <w:t xml:space="preserve">the applicants have applied to the Treasurer under subsection 13(1) of the </w:t>
      </w:r>
      <w:r>
        <w:rPr>
          <w:i/>
        </w:rPr>
        <w:t>Financial Sector</w:t>
      </w:r>
      <w:r>
        <w:rPr>
          <w:i/>
          <w:spacing w:val="-11"/>
        </w:rPr>
        <w:t xml:space="preserve"> </w:t>
      </w:r>
      <w:r>
        <w:rPr>
          <w:i/>
        </w:rPr>
        <w:t>(Shareholdings)</w:t>
      </w:r>
      <w:r>
        <w:rPr>
          <w:i/>
          <w:spacing w:val="-10"/>
        </w:rPr>
        <w:t xml:space="preserve"> </w:t>
      </w:r>
      <w:r>
        <w:rPr>
          <w:i/>
        </w:rPr>
        <w:t>Act</w:t>
      </w:r>
      <w:r>
        <w:rPr>
          <w:i/>
          <w:spacing w:val="-10"/>
        </w:rPr>
        <w:t xml:space="preserve"> </w:t>
      </w:r>
      <w:r>
        <w:rPr>
          <w:i/>
        </w:rPr>
        <w:t>1998</w:t>
      </w:r>
      <w:r>
        <w:rPr>
          <w:i/>
          <w:spacing w:val="-8"/>
        </w:rPr>
        <w:t xml:space="preserve"> </w:t>
      </w:r>
      <w:r>
        <w:t>(the</w:t>
      </w:r>
      <w:r>
        <w:rPr>
          <w:spacing w:val="-9"/>
        </w:rPr>
        <w:t xml:space="preserve"> </w:t>
      </w:r>
      <w:r>
        <w:t>Act)</w:t>
      </w:r>
      <w:r>
        <w:rPr>
          <w:spacing w:val="-11"/>
        </w:rPr>
        <w:t xml:space="preserve"> </w:t>
      </w:r>
      <w:r>
        <w:t>for</w:t>
      </w:r>
      <w:r>
        <w:rPr>
          <w:spacing w:val="-10"/>
        </w:rPr>
        <w:t xml:space="preserve"> </w:t>
      </w:r>
      <w:r>
        <w:t>approval</w:t>
      </w:r>
      <w:r>
        <w:rPr>
          <w:spacing w:val="-7"/>
        </w:rPr>
        <w:t xml:space="preserve"> </w:t>
      </w:r>
      <w:r>
        <w:t>to</w:t>
      </w:r>
      <w:r>
        <w:rPr>
          <w:spacing w:val="-9"/>
        </w:rPr>
        <w:t xml:space="preserve"> </w:t>
      </w:r>
      <w:r>
        <w:t>hold</w:t>
      </w:r>
      <w:r>
        <w:rPr>
          <w:spacing w:val="-10"/>
        </w:rPr>
        <w:t xml:space="preserve"> </w:t>
      </w:r>
      <w:r>
        <w:t>a</w:t>
      </w:r>
      <w:r>
        <w:rPr>
          <w:spacing w:val="-9"/>
        </w:rPr>
        <w:t xml:space="preserve"> </w:t>
      </w:r>
      <w:r>
        <w:t>stake</w:t>
      </w:r>
      <w:r>
        <w:rPr>
          <w:spacing w:val="-10"/>
        </w:rPr>
        <w:t xml:space="preserve"> </w:t>
      </w:r>
      <w:r>
        <w:t>of</w:t>
      </w:r>
      <w:r>
        <w:rPr>
          <w:spacing w:val="-8"/>
        </w:rPr>
        <w:t xml:space="preserve"> </w:t>
      </w:r>
      <w:r>
        <w:t>more</w:t>
      </w:r>
      <w:r>
        <w:rPr>
          <w:spacing w:val="-10"/>
        </w:rPr>
        <w:t xml:space="preserve"> </w:t>
      </w:r>
      <w:r>
        <w:t>than</w:t>
      </w:r>
      <w:r>
        <w:rPr>
          <w:spacing w:val="-9"/>
        </w:rPr>
        <w:t xml:space="preserve"> </w:t>
      </w:r>
      <w:r>
        <w:t>20% in</w:t>
      </w:r>
      <w:r>
        <w:rPr>
          <w:spacing w:val="-10"/>
        </w:rPr>
        <w:t xml:space="preserve"> </w:t>
      </w:r>
      <w:r>
        <w:t>the</w:t>
      </w:r>
      <w:r>
        <w:rPr>
          <w:spacing w:val="-9"/>
        </w:rPr>
        <w:t xml:space="preserve"> </w:t>
      </w:r>
      <w:r>
        <w:t>financial</w:t>
      </w:r>
      <w:r>
        <w:rPr>
          <w:spacing w:val="-9"/>
        </w:rPr>
        <w:t xml:space="preserve"> </w:t>
      </w:r>
      <w:r>
        <w:t>sector</w:t>
      </w:r>
      <w:r>
        <w:rPr>
          <w:spacing w:val="-10"/>
        </w:rPr>
        <w:t xml:space="preserve"> </w:t>
      </w:r>
      <w:r>
        <w:t>company,</w:t>
      </w:r>
      <w:r>
        <w:rPr>
          <w:spacing w:val="-7"/>
        </w:rPr>
        <w:t xml:space="preserve"> </w:t>
      </w:r>
      <w:r>
        <w:t>Avenue</w:t>
      </w:r>
      <w:r>
        <w:rPr>
          <w:spacing w:val="-9"/>
        </w:rPr>
        <w:t xml:space="preserve"> </w:t>
      </w:r>
      <w:r>
        <w:t>Hold</w:t>
      </w:r>
      <w:r>
        <w:rPr>
          <w:spacing w:val="-10"/>
        </w:rPr>
        <w:t xml:space="preserve"> </w:t>
      </w:r>
      <w:r>
        <w:t>Limited</w:t>
      </w:r>
      <w:r>
        <w:rPr>
          <w:spacing w:val="-7"/>
        </w:rPr>
        <w:t xml:space="preserve"> </w:t>
      </w:r>
      <w:r>
        <w:t>ABN</w:t>
      </w:r>
      <w:r>
        <w:rPr>
          <w:spacing w:val="-8"/>
        </w:rPr>
        <w:t xml:space="preserve"> </w:t>
      </w:r>
      <w:r>
        <w:t>50</w:t>
      </w:r>
      <w:r>
        <w:rPr>
          <w:spacing w:val="-9"/>
        </w:rPr>
        <w:t xml:space="preserve"> </w:t>
      </w:r>
      <w:r>
        <w:t>628</w:t>
      </w:r>
      <w:r>
        <w:rPr>
          <w:spacing w:val="-10"/>
        </w:rPr>
        <w:t xml:space="preserve"> </w:t>
      </w:r>
      <w:r>
        <w:t>071</w:t>
      </w:r>
      <w:r>
        <w:rPr>
          <w:spacing w:val="-9"/>
        </w:rPr>
        <w:t xml:space="preserve"> </w:t>
      </w:r>
      <w:r>
        <w:t>198</w:t>
      </w:r>
      <w:r>
        <w:rPr>
          <w:spacing w:val="-7"/>
        </w:rPr>
        <w:t xml:space="preserve"> </w:t>
      </w:r>
      <w:r>
        <w:t>(the</w:t>
      </w:r>
      <w:r>
        <w:rPr>
          <w:spacing w:val="-9"/>
        </w:rPr>
        <w:t xml:space="preserve"> </w:t>
      </w:r>
      <w:r>
        <w:t>NOHC);</w:t>
      </w:r>
    </w:p>
    <w:p w14:paraId="33E1894F" w14:textId="77777777" w:rsidR="007225C8" w:rsidRDefault="007225C8">
      <w:pPr>
        <w:pStyle w:val="BodyText"/>
        <w:spacing w:before="9"/>
        <w:rPr>
          <w:sz w:val="21"/>
        </w:rPr>
      </w:pPr>
    </w:p>
    <w:p w14:paraId="33E18950" w14:textId="77777777" w:rsidR="007225C8" w:rsidRDefault="000046A1">
      <w:pPr>
        <w:pStyle w:val="ListParagraph"/>
        <w:numPr>
          <w:ilvl w:val="0"/>
          <w:numId w:val="4"/>
        </w:numPr>
        <w:tabs>
          <w:tab w:val="left" w:pos="708"/>
        </w:tabs>
        <w:spacing w:line="242" w:lineRule="auto"/>
        <w:ind w:right="136"/>
        <w:jc w:val="both"/>
      </w:pPr>
      <w:r>
        <w:t xml:space="preserve">I have considered the matters prescribed in the </w:t>
      </w:r>
      <w:r>
        <w:rPr>
          <w:i/>
        </w:rPr>
        <w:t>Financial Sector (Shareholdings) Rules 2019</w:t>
      </w:r>
      <w:r>
        <w:t>;</w:t>
      </w:r>
      <w:r>
        <w:rPr>
          <w:spacing w:val="-3"/>
        </w:rPr>
        <w:t xml:space="preserve"> </w:t>
      </w:r>
      <w:r>
        <w:t>and</w:t>
      </w:r>
    </w:p>
    <w:p w14:paraId="33E18951" w14:textId="77777777" w:rsidR="007225C8" w:rsidRDefault="007225C8">
      <w:pPr>
        <w:pStyle w:val="BodyText"/>
        <w:spacing w:before="7"/>
        <w:rPr>
          <w:sz w:val="23"/>
        </w:rPr>
      </w:pPr>
    </w:p>
    <w:p w14:paraId="33E18952" w14:textId="77777777" w:rsidR="007225C8" w:rsidRDefault="000046A1">
      <w:pPr>
        <w:pStyle w:val="ListParagraph"/>
        <w:numPr>
          <w:ilvl w:val="0"/>
          <w:numId w:val="4"/>
        </w:numPr>
        <w:tabs>
          <w:tab w:val="left" w:pos="708"/>
        </w:tabs>
        <w:ind w:right="140"/>
        <w:jc w:val="both"/>
      </w:pPr>
      <w:r>
        <w:t>I am satisfied that the criteria in subsection 14</w:t>
      </w:r>
      <w:proofErr w:type="gramStart"/>
      <w:r>
        <w:t>A(</w:t>
      </w:r>
      <w:proofErr w:type="gramEnd"/>
      <w:r>
        <w:t>1) of the Act are met in relation to the applicants and the</w:t>
      </w:r>
      <w:r>
        <w:rPr>
          <w:spacing w:val="-3"/>
        </w:rPr>
        <w:t xml:space="preserve"> </w:t>
      </w:r>
      <w:r>
        <w:t>NOHC,</w:t>
      </w:r>
    </w:p>
    <w:p w14:paraId="33E18953" w14:textId="77777777" w:rsidR="007225C8" w:rsidRDefault="007225C8">
      <w:pPr>
        <w:pStyle w:val="BodyText"/>
        <w:spacing w:before="5"/>
        <w:rPr>
          <w:sz w:val="31"/>
        </w:rPr>
      </w:pPr>
    </w:p>
    <w:p w14:paraId="33E18954" w14:textId="77777777" w:rsidR="007225C8" w:rsidRDefault="000046A1">
      <w:pPr>
        <w:pStyle w:val="BodyText"/>
        <w:spacing w:before="1"/>
        <w:ind w:left="140" w:right="135"/>
      </w:pPr>
      <w:r>
        <w:t>I, Therese McCarthy Hockey, a delegate of the Treasurer, under paragraph 14(1)(b) of the Act, APPROVE the applicants holding a stake of 70% in the NOHC.</w:t>
      </w:r>
    </w:p>
    <w:p w14:paraId="33E18955" w14:textId="77777777" w:rsidR="007225C8" w:rsidRDefault="007225C8">
      <w:pPr>
        <w:pStyle w:val="BodyText"/>
        <w:spacing w:before="10"/>
        <w:rPr>
          <w:sz w:val="21"/>
        </w:rPr>
      </w:pPr>
    </w:p>
    <w:p w14:paraId="33E18956" w14:textId="77777777" w:rsidR="007225C8" w:rsidRDefault="000046A1">
      <w:pPr>
        <w:pStyle w:val="BodyText"/>
        <w:ind w:left="140"/>
      </w:pPr>
      <w:r>
        <w:t>Under subsection 16(1) of the Act, the approval is subject to the conditions set out in the schedule.</w:t>
      </w:r>
    </w:p>
    <w:p w14:paraId="33E18957" w14:textId="77777777" w:rsidR="007225C8" w:rsidRDefault="007225C8">
      <w:pPr>
        <w:pStyle w:val="BodyText"/>
        <w:spacing w:before="1"/>
      </w:pPr>
    </w:p>
    <w:p w14:paraId="33E18958" w14:textId="77777777" w:rsidR="007225C8" w:rsidRDefault="000046A1">
      <w:pPr>
        <w:pStyle w:val="BodyText"/>
        <w:ind w:left="140" w:right="125"/>
      </w:pPr>
      <w:r>
        <w:t>This instrument commences on the day it is made and remains in force for the period worked out under section 15A of the Act.</w:t>
      </w:r>
    </w:p>
    <w:p w14:paraId="33E18959" w14:textId="77777777" w:rsidR="007225C8" w:rsidRDefault="007225C8">
      <w:pPr>
        <w:pStyle w:val="BodyText"/>
        <w:rPr>
          <w:sz w:val="24"/>
        </w:rPr>
      </w:pPr>
    </w:p>
    <w:p w14:paraId="33E1895A" w14:textId="77777777" w:rsidR="007225C8" w:rsidRDefault="007225C8">
      <w:pPr>
        <w:pStyle w:val="BodyText"/>
        <w:spacing w:before="1"/>
        <w:rPr>
          <w:sz w:val="20"/>
        </w:rPr>
      </w:pPr>
    </w:p>
    <w:p w14:paraId="33E1895B" w14:textId="77777777" w:rsidR="007225C8" w:rsidRDefault="000046A1">
      <w:pPr>
        <w:pStyle w:val="BodyText"/>
        <w:ind w:left="140"/>
      </w:pPr>
      <w:r>
        <w:t>Dated: 7 September 2021</w:t>
      </w:r>
    </w:p>
    <w:p w14:paraId="33E1895C" w14:textId="77777777" w:rsidR="007225C8" w:rsidRDefault="007225C8">
      <w:pPr>
        <w:pStyle w:val="BodyText"/>
        <w:rPr>
          <w:sz w:val="24"/>
        </w:rPr>
      </w:pPr>
    </w:p>
    <w:p w14:paraId="33E1895D" w14:textId="77777777" w:rsidR="007225C8" w:rsidRDefault="007225C8">
      <w:pPr>
        <w:pStyle w:val="BodyText"/>
        <w:rPr>
          <w:sz w:val="24"/>
        </w:rPr>
      </w:pPr>
    </w:p>
    <w:p w14:paraId="33E1895E" w14:textId="77777777" w:rsidR="007225C8" w:rsidRDefault="000046A1">
      <w:pPr>
        <w:pStyle w:val="BodyText"/>
        <w:spacing w:before="205"/>
        <w:ind w:left="140" w:right="6558"/>
      </w:pPr>
      <w:r>
        <w:t>Therese McCarthy Hockey Executive Director Banking</w:t>
      </w:r>
      <w:r>
        <w:rPr>
          <w:spacing w:val="-2"/>
        </w:rPr>
        <w:t xml:space="preserve"> </w:t>
      </w:r>
      <w:r>
        <w:t>Division</w:t>
      </w:r>
    </w:p>
    <w:p w14:paraId="33E1895F" w14:textId="77777777" w:rsidR="007225C8" w:rsidRDefault="007225C8">
      <w:pPr>
        <w:sectPr w:rsidR="007225C8">
          <w:type w:val="continuous"/>
          <w:pgSz w:w="11910" w:h="16840"/>
          <w:pgMar w:top="1580" w:right="1300" w:bottom="280" w:left="1300" w:header="720" w:footer="720" w:gutter="0"/>
          <w:cols w:space="720"/>
        </w:sectPr>
      </w:pPr>
    </w:p>
    <w:p w14:paraId="33E18960" w14:textId="77777777" w:rsidR="007225C8" w:rsidRDefault="000046A1">
      <w:pPr>
        <w:pStyle w:val="Heading2"/>
      </w:pPr>
      <w:r>
        <w:lastRenderedPageBreak/>
        <w:t>Interpretation</w:t>
      </w:r>
    </w:p>
    <w:p w14:paraId="33E18961" w14:textId="77777777" w:rsidR="007225C8" w:rsidRDefault="000046A1">
      <w:pPr>
        <w:pStyle w:val="BodyText"/>
        <w:spacing w:before="120"/>
        <w:ind w:left="140"/>
      </w:pPr>
      <w:r>
        <w:t>In this ins</w:t>
      </w:r>
      <w:r>
        <w:t>trument:</w:t>
      </w:r>
    </w:p>
    <w:p w14:paraId="33E18962" w14:textId="77777777" w:rsidR="007225C8" w:rsidRDefault="000046A1">
      <w:pPr>
        <w:pStyle w:val="BodyText"/>
        <w:spacing w:before="120"/>
        <w:ind w:left="140"/>
      </w:pPr>
      <w:r>
        <w:rPr>
          <w:b/>
          <w:i/>
        </w:rPr>
        <w:t xml:space="preserve">APRA </w:t>
      </w:r>
      <w:r>
        <w:t>means the Australian Prudential Regulation Authority.</w:t>
      </w:r>
    </w:p>
    <w:p w14:paraId="33E18963" w14:textId="77777777" w:rsidR="007225C8" w:rsidRDefault="000046A1">
      <w:pPr>
        <w:spacing w:before="122"/>
        <w:ind w:left="140"/>
      </w:pPr>
      <w:r>
        <w:rPr>
          <w:b/>
          <w:i/>
        </w:rPr>
        <w:t xml:space="preserve">financial sector company </w:t>
      </w:r>
      <w:r>
        <w:t>has the meaning given in section 3 of the Act.</w:t>
      </w:r>
    </w:p>
    <w:p w14:paraId="33E18964" w14:textId="77777777" w:rsidR="007225C8" w:rsidRDefault="000046A1">
      <w:pPr>
        <w:spacing w:before="119"/>
        <w:ind w:left="140"/>
      </w:pPr>
      <w:r>
        <w:rPr>
          <w:b/>
          <w:i/>
        </w:rPr>
        <w:t xml:space="preserve">relevant licensed company </w:t>
      </w:r>
      <w:r>
        <w:t>has the meaning given in section 3 of the Act.</w:t>
      </w:r>
    </w:p>
    <w:p w14:paraId="33E18965" w14:textId="77777777" w:rsidR="007225C8" w:rsidRDefault="000046A1">
      <w:pPr>
        <w:pStyle w:val="BodyText"/>
        <w:spacing w:before="120"/>
        <w:ind w:left="140"/>
      </w:pPr>
      <w:r>
        <w:rPr>
          <w:b/>
          <w:i/>
        </w:rPr>
        <w:t xml:space="preserve">stake </w:t>
      </w:r>
      <w:r>
        <w:t>in relation to a company, has the meaning given in clause 10 of Schedule 1 to the Act.</w:t>
      </w:r>
    </w:p>
    <w:p w14:paraId="33E18966" w14:textId="77777777" w:rsidR="007225C8" w:rsidRDefault="007225C8">
      <w:pPr>
        <w:pStyle w:val="BodyText"/>
        <w:spacing w:before="7"/>
        <w:rPr>
          <w:sz w:val="20"/>
        </w:rPr>
      </w:pPr>
    </w:p>
    <w:p w14:paraId="33E18967" w14:textId="77777777" w:rsidR="007225C8" w:rsidRDefault="000046A1">
      <w:pPr>
        <w:ind w:left="140"/>
        <w:rPr>
          <w:b/>
          <w:sz w:val="18"/>
        </w:rPr>
      </w:pPr>
      <w:r>
        <w:rPr>
          <w:b/>
          <w:sz w:val="18"/>
        </w:rPr>
        <w:t>Notes</w:t>
      </w:r>
    </w:p>
    <w:p w14:paraId="33E18968" w14:textId="77777777" w:rsidR="007225C8" w:rsidRDefault="000046A1">
      <w:pPr>
        <w:spacing w:before="123"/>
        <w:ind w:left="140"/>
        <w:rPr>
          <w:sz w:val="18"/>
        </w:rPr>
      </w:pPr>
      <w:r>
        <w:rPr>
          <w:sz w:val="18"/>
        </w:rPr>
        <w:t>This instrument will be registered on the Federal Register of Legislation as a notifiable instrument.</w:t>
      </w:r>
    </w:p>
    <w:p w14:paraId="33E18969" w14:textId="77777777" w:rsidR="007225C8" w:rsidRDefault="000046A1">
      <w:pPr>
        <w:spacing w:before="121"/>
        <w:ind w:left="140"/>
        <w:rPr>
          <w:sz w:val="18"/>
        </w:rPr>
      </w:pPr>
      <w:r>
        <w:rPr>
          <w:sz w:val="18"/>
        </w:rPr>
        <w:t>The Treasurer or the Treasurer’s delegate is required to giv</w:t>
      </w:r>
      <w:r>
        <w:rPr>
          <w:sz w:val="18"/>
        </w:rPr>
        <w:t>e a copy of this instrument to the financial sector company and, where applicable, the relevant licensed company.</w:t>
      </w:r>
    </w:p>
    <w:p w14:paraId="33E1896A" w14:textId="77777777" w:rsidR="007225C8" w:rsidRDefault="000046A1">
      <w:pPr>
        <w:spacing w:before="118"/>
        <w:ind w:left="140"/>
        <w:rPr>
          <w:sz w:val="18"/>
        </w:rPr>
      </w:pPr>
      <w:r>
        <w:rPr>
          <w:sz w:val="18"/>
        </w:rPr>
        <w:t>Section 16A of the Act sets out conditions that apply to an approval under paragraph 14(1)(b) of the Act.</w:t>
      </w:r>
    </w:p>
    <w:p w14:paraId="33E1896B" w14:textId="77777777" w:rsidR="007225C8" w:rsidRDefault="000046A1">
      <w:pPr>
        <w:spacing w:before="121"/>
        <w:ind w:left="140" w:right="133"/>
        <w:jc w:val="both"/>
        <w:rPr>
          <w:sz w:val="18"/>
        </w:rPr>
      </w:pPr>
      <w:r>
        <w:rPr>
          <w:sz w:val="18"/>
        </w:rPr>
        <w:t xml:space="preserve">Section 19A of the Act provides for </w:t>
      </w:r>
      <w:r>
        <w:rPr>
          <w:sz w:val="18"/>
        </w:rPr>
        <w:t>flow-on approvals for an approval under paragraph 14(1)(b) of the Act. If the approval relates to a financial sector company that is a holding company of the relevant licensed company for the approval, subsection 19A(1)(a) provides for flow-on approvals th</w:t>
      </w:r>
      <w:r>
        <w:rPr>
          <w:sz w:val="18"/>
        </w:rPr>
        <w:t>at relate to the relevant licensed company and to each financial sector company that is both a 100% subsidiary of the holding company and a holding company of the relevant licensed company. If the approval is held by a company, subsection 19</w:t>
      </w:r>
      <w:proofErr w:type="gramStart"/>
      <w:r>
        <w:rPr>
          <w:sz w:val="18"/>
        </w:rPr>
        <w:t>A(</w:t>
      </w:r>
      <w:proofErr w:type="gramEnd"/>
      <w:r>
        <w:rPr>
          <w:sz w:val="18"/>
        </w:rPr>
        <w:t>4) provides f</w:t>
      </w:r>
      <w:r>
        <w:rPr>
          <w:sz w:val="18"/>
        </w:rPr>
        <w:t>or flow-on approvals to be held by each officer of the company.</w:t>
      </w:r>
    </w:p>
    <w:p w14:paraId="33E1896C" w14:textId="77777777" w:rsidR="007225C8" w:rsidRDefault="007225C8">
      <w:pPr>
        <w:pStyle w:val="BodyText"/>
        <w:rPr>
          <w:sz w:val="20"/>
        </w:rPr>
      </w:pPr>
    </w:p>
    <w:p w14:paraId="33E1896D" w14:textId="77777777" w:rsidR="007225C8" w:rsidRDefault="007225C8">
      <w:pPr>
        <w:pStyle w:val="BodyText"/>
        <w:rPr>
          <w:sz w:val="20"/>
        </w:rPr>
      </w:pPr>
    </w:p>
    <w:p w14:paraId="33E1896E" w14:textId="77777777" w:rsidR="007225C8" w:rsidRDefault="000046A1">
      <w:pPr>
        <w:pStyle w:val="Heading1"/>
        <w:spacing w:before="147"/>
      </w:pPr>
      <w:r>
        <w:t>Schedule – the applicants</w:t>
      </w:r>
    </w:p>
    <w:p w14:paraId="33E1896F" w14:textId="77777777" w:rsidR="007225C8" w:rsidRDefault="007225C8">
      <w:pPr>
        <w:pStyle w:val="BodyText"/>
        <w:spacing w:before="1"/>
        <w:rPr>
          <w:b/>
          <w:sz w:val="45"/>
        </w:rPr>
      </w:pPr>
    </w:p>
    <w:p w14:paraId="33E18970" w14:textId="77777777" w:rsidR="007225C8" w:rsidRDefault="000046A1">
      <w:pPr>
        <w:pStyle w:val="ListParagraph"/>
        <w:numPr>
          <w:ilvl w:val="0"/>
          <w:numId w:val="3"/>
        </w:numPr>
        <w:tabs>
          <w:tab w:val="left" w:pos="707"/>
          <w:tab w:val="left" w:pos="708"/>
        </w:tabs>
        <w:spacing w:line="253" w:lineRule="exact"/>
      </w:pPr>
      <w:r>
        <w:t>Liberty Financial Group Limited ABN 59 125 611</w:t>
      </w:r>
      <w:r>
        <w:rPr>
          <w:spacing w:val="-7"/>
        </w:rPr>
        <w:t xml:space="preserve"> </w:t>
      </w:r>
      <w:r>
        <w:t>574</w:t>
      </w:r>
    </w:p>
    <w:p w14:paraId="33E18971" w14:textId="77777777" w:rsidR="007225C8" w:rsidRDefault="000046A1">
      <w:pPr>
        <w:pStyle w:val="ListParagraph"/>
        <w:numPr>
          <w:ilvl w:val="0"/>
          <w:numId w:val="3"/>
        </w:numPr>
        <w:tabs>
          <w:tab w:val="left" w:pos="707"/>
          <w:tab w:val="left" w:pos="708"/>
        </w:tabs>
        <w:ind w:right="135"/>
      </w:pPr>
      <w:r>
        <w:t>US</w:t>
      </w:r>
      <w:r>
        <w:rPr>
          <w:spacing w:val="-7"/>
        </w:rPr>
        <w:t xml:space="preserve"> </w:t>
      </w:r>
      <w:r>
        <w:t>Trust</w:t>
      </w:r>
      <w:r>
        <w:rPr>
          <w:spacing w:val="-9"/>
        </w:rPr>
        <w:t xml:space="preserve"> </w:t>
      </w:r>
      <w:r>
        <w:t>Company</w:t>
      </w:r>
      <w:r>
        <w:rPr>
          <w:spacing w:val="-6"/>
        </w:rPr>
        <w:t xml:space="preserve"> </w:t>
      </w:r>
      <w:r>
        <w:t>of</w:t>
      </w:r>
      <w:r>
        <w:rPr>
          <w:spacing w:val="-6"/>
        </w:rPr>
        <w:t xml:space="preserve"> </w:t>
      </w:r>
      <w:r>
        <w:t>Delaware</w:t>
      </w:r>
      <w:r>
        <w:rPr>
          <w:spacing w:val="-2"/>
        </w:rPr>
        <w:t xml:space="preserve"> </w:t>
      </w:r>
      <w:r>
        <w:t>(3185789,</w:t>
      </w:r>
      <w:r>
        <w:rPr>
          <w:spacing w:val="-6"/>
        </w:rPr>
        <w:t xml:space="preserve"> </w:t>
      </w:r>
      <w:r>
        <w:t>Delaware,</w:t>
      </w:r>
      <w:r>
        <w:rPr>
          <w:spacing w:val="-8"/>
        </w:rPr>
        <w:t xml:space="preserve"> </w:t>
      </w:r>
      <w:r>
        <w:t>USA)</w:t>
      </w:r>
      <w:r>
        <w:rPr>
          <w:spacing w:val="-7"/>
        </w:rPr>
        <w:t xml:space="preserve"> </w:t>
      </w:r>
      <w:r>
        <w:t>as</w:t>
      </w:r>
      <w:r>
        <w:rPr>
          <w:spacing w:val="-3"/>
        </w:rPr>
        <w:t xml:space="preserve"> </w:t>
      </w:r>
      <w:r>
        <w:t>trustee</w:t>
      </w:r>
      <w:r>
        <w:rPr>
          <w:spacing w:val="-4"/>
        </w:rPr>
        <w:t xml:space="preserve"> </w:t>
      </w:r>
      <w:r>
        <w:t>of</w:t>
      </w:r>
      <w:r>
        <w:rPr>
          <w:spacing w:val="-4"/>
        </w:rPr>
        <w:t xml:space="preserve"> </w:t>
      </w:r>
      <w:r>
        <w:t>the</w:t>
      </w:r>
      <w:r>
        <w:rPr>
          <w:spacing w:val="-3"/>
        </w:rPr>
        <w:t xml:space="preserve"> </w:t>
      </w:r>
      <w:r>
        <w:t>Ma</w:t>
      </w:r>
      <w:r>
        <w:rPr>
          <w:spacing w:val="-6"/>
        </w:rPr>
        <w:t xml:space="preserve"> </w:t>
      </w:r>
      <w:r>
        <w:t>Family Trust</w:t>
      </w:r>
    </w:p>
    <w:p w14:paraId="33E18972" w14:textId="77777777" w:rsidR="007225C8" w:rsidRDefault="000046A1">
      <w:pPr>
        <w:pStyle w:val="ListParagraph"/>
        <w:numPr>
          <w:ilvl w:val="0"/>
          <w:numId w:val="3"/>
        </w:numPr>
        <w:tabs>
          <w:tab w:val="left" w:pos="707"/>
          <w:tab w:val="left" w:pos="708"/>
        </w:tabs>
        <w:spacing w:line="252" w:lineRule="exact"/>
      </w:pPr>
      <w:r>
        <w:t>Hestia Vesta LLC (451532</w:t>
      </w:r>
      <w:r>
        <w:t>6, Delaware,</w:t>
      </w:r>
      <w:r>
        <w:rPr>
          <w:spacing w:val="-8"/>
        </w:rPr>
        <w:t xml:space="preserve"> </w:t>
      </w:r>
      <w:r>
        <w:t>USA)</w:t>
      </w:r>
    </w:p>
    <w:p w14:paraId="33E18973" w14:textId="77777777" w:rsidR="007225C8" w:rsidRDefault="000046A1">
      <w:pPr>
        <w:pStyle w:val="ListParagraph"/>
        <w:numPr>
          <w:ilvl w:val="0"/>
          <w:numId w:val="3"/>
        </w:numPr>
        <w:tabs>
          <w:tab w:val="left" w:pos="707"/>
          <w:tab w:val="left" w:pos="708"/>
        </w:tabs>
      </w:pPr>
      <w:proofErr w:type="spellStart"/>
      <w:r>
        <w:t>Zayucel</w:t>
      </w:r>
      <w:proofErr w:type="spellEnd"/>
      <w:r>
        <w:t xml:space="preserve"> Limited (14613, British Virgin</w:t>
      </w:r>
      <w:r>
        <w:rPr>
          <w:spacing w:val="-6"/>
        </w:rPr>
        <w:t xml:space="preserve"> </w:t>
      </w:r>
      <w:r>
        <w:t>Islands)</w:t>
      </w:r>
    </w:p>
    <w:p w14:paraId="33E18974" w14:textId="77777777" w:rsidR="007225C8" w:rsidRDefault="000046A1">
      <w:pPr>
        <w:pStyle w:val="ListParagraph"/>
        <w:numPr>
          <w:ilvl w:val="0"/>
          <w:numId w:val="3"/>
        </w:numPr>
        <w:tabs>
          <w:tab w:val="left" w:pos="707"/>
          <w:tab w:val="left" w:pos="708"/>
        </w:tabs>
        <w:spacing w:before="1" w:line="253" w:lineRule="exact"/>
      </w:pPr>
      <w:r>
        <w:t>Isocrates Limited (123699, British Virgin Islands) as trustee of the Isocrates</w:t>
      </w:r>
      <w:r>
        <w:rPr>
          <w:spacing w:val="-12"/>
        </w:rPr>
        <w:t xml:space="preserve"> </w:t>
      </w:r>
      <w:r>
        <w:t>Trust</w:t>
      </w:r>
    </w:p>
    <w:p w14:paraId="33E18975" w14:textId="77777777" w:rsidR="007225C8" w:rsidRDefault="000046A1">
      <w:pPr>
        <w:pStyle w:val="ListParagraph"/>
        <w:numPr>
          <w:ilvl w:val="0"/>
          <w:numId w:val="3"/>
        </w:numPr>
        <w:tabs>
          <w:tab w:val="left" w:pos="707"/>
          <w:tab w:val="left" w:pos="708"/>
        </w:tabs>
        <w:spacing w:line="253" w:lineRule="exact"/>
      </w:pPr>
      <w:r>
        <w:t>Z-LF Holdco LLC (7701992, Delaware,</w:t>
      </w:r>
      <w:r>
        <w:rPr>
          <w:spacing w:val="-7"/>
        </w:rPr>
        <w:t xml:space="preserve"> </w:t>
      </w:r>
      <w:r>
        <w:t>USA)</w:t>
      </w:r>
    </w:p>
    <w:p w14:paraId="33E18976" w14:textId="77777777" w:rsidR="007225C8" w:rsidRDefault="000046A1">
      <w:pPr>
        <w:pStyle w:val="ListParagraph"/>
        <w:numPr>
          <w:ilvl w:val="0"/>
          <w:numId w:val="3"/>
        </w:numPr>
        <w:tabs>
          <w:tab w:val="left" w:pos="707"/>
          <w:tab w:val="left" w:pos="708"/>
        </w:tabs>
        <w:spacing w:line="253" w:lineRule="exact"/>
      </w:pPr>
      <w:r>
        <w:t>Hestia Holdings BV</w:t>
      </w:r>
      <w:r>
        <w:rPr>
          <w:spacing w:val="-9"/>
        </w:rPr>
        <w:t xml:space="preserve"> </w:t>
      </w:r>
      <w:r>
        <w:t>(Netherlands)</w:t>
      </w:r>
    </w:p>
    <w:p w14:paraId="33E18977" w14:textId="77777777" w:rsidR="007225C8" w:rsidRDefault="000046A1">
      <w:pPr>
        <w:pStyle w:val="ListParagraph"/>
        <w:numPr>
          <w:ilvl w:val="0"/>
          <w:numId w:val="3"/>
        </w:numPr>
        <w:tabs>
          <w:tab w:val="left" w:pos="707"/>
          <w:tab w:val="left" w:pos="708"/>
        </w:tabs>
        <w:spacing w:line="253" w:lineRule="exact"/>
      </w:pPr>
      <w:r>
        <w:t>Vesta Financial BV</w:t>
      </w:r>
      <w:r>
        <w:rPr>
          <w:spacing w:val="-6"/>
        </w:rPr>
        <w:t xml:space="preserve"> </w:t>
      </w:r>
      <w:r>
        <w:t>(Netherlands)</w:t>
      </w:r>
    </w:p>
    <w:p w14:paraId="33E18978" w14:textId="77777777" w:rsidR="007225C8" w:rsidRDefault="000046A1">
      <w:pPr>
        <w:pStyle w:val="ListParagraph"/>
        <w:numPr>
          <w:ilvl w:val="0"/>
          <w:numId w:val="3"/>
        </w:numPr>
        <w:tabs>
          <w:tab w:val="left" w:pos="707"/>
          <w:tab w:val="left" w:pos="708"/>
        </w:tabs>
        <w:spacing w:line="253" w:lineRule="exact"/>
      </w:pPr>
      <w:r>
        <w:t>Vesta Funding BV</w:t>
      </w:r>
      <w:r>
        <w:rPr>
          <w:spacing w:val="-4"/>
        </w:rPr>
        <w:t xml:space="preserve"> </w:t>
      </w:r>
      <w:r>
        <w:t>(Netherlands)</w:t>
      </w:r>
    </w:p>
    <w:p w14:paraId="33E18979" w14:textId="77777777" w:rsidR="007225C8" w:rsidRDefault="000046A1">
      <w:pPr>
        <w:pStyle w:val="ListParagraph"/>
        <w:numPr>
          <w:ilvl w:val="0"/>
          <w:numId w:val="3"/>
        </w:numPr>
        <w:tabs>
          <w:tab w:val="left" w:pos="707"/>
          <w:tab w:val="left" w:pos="708"/>
        </w:tabs>
        <w:spacing w:before="2" w:line="253" w:lineRule="exact"/>
      </w:pPr>
      <w:r>
        <w:t>Sherman</w:t>
      </w:r>
      <w:r>
        <w:rPr>
          <w:spacing w:val="-1"/>
        </w:rPr>
        <w:t xml:space="preserve"> </w:t>
      </w:r>
      <w:r>
        <w:t>Ma</w:t>
      </w:r>
    </w:p>
    <w:p w14:paraId="33E1897A" w14:textId="77777777" w:rsidR="007225C8" w:rsidRDefault="000046A1">
      <w:pPr>
        <w:pStyle w:val="ListParagraph"/>
        <w:numPr>
          <w:ilvl w:val="0"/>
          <w:numId w:val="3"/>
        </w:numPr>
        <w:tabs>
          <w:tab w:val="left" w:pos="707"/>
          <w:tab w:val="left" w:pos="708"/>
        </w:tabs>
        <w:spacing w:line="253" w:lineRule="exact"/>
      </w:pPr>
      <w:r>
        <w:t>Alexandra</w:t>
      </w:r>
      <w:r>
        <w:rPr>
          <w:spacing w:val="-2"/>
        </w:rPr>
        <w:t xml:space="preserve"> </w:t>
      </w:r>
      <w:proofErr w:type="spellStart"/>
      <w:r>
        <w:t>Crammond</w:t>
      </w:r>
      <w:proofErr w:type="spellEnd"/>
    </w:p>
    <w:p w14:paraId="33E1897B" w14:textId="77777777" w:rsidR="007225C8" w:rsidRDefault="000046A1">
      <w:pPr>
        <w:pStyle w:val="ListParagraph"/>
        <w:numPr>
          <w:ilvl w:val="0"/>
          <w:numId w:val="3"/>
        </w:numPr>
        <w:tabs>
          <w:tab w:val="left" w:pos="707"/>
          <w:tab w:val="left" w:pos="708"/>
        </w:tabs>
        <w:spacing w:line="252" w:lineRule="exact"/>
      </w:pPr>
      <w:r>
        <w:t>Colin</w:t>
      </w:r>
      <w:r>
        <w:rPr>
          <w:spacing w:val="-1"/>
        </w:rPr>
        <w:t xml:space="preserve"> </w:t>
      </w:r>
      <w:r>
        <w:t>Morgan</w:t>
      </w:r>
    </w:p>
    <w:p w14:paraId="33E1897C" w14:textId="77777777" w:rsidR="007225C8" w:rsidRDefault="000046A1">
      <w:pPr>
        <w:pStyle w:val="ListParagraph"/>
        <w:numPr>
          <w:ilvl w:val="0"/>
          <w:numId w:val="3"/>
        </w:numPr>
        <w:tabs>
          <w:tab w:val="left" w:pos="707"/>
          <w:tab w:val="left" w:pos="708"/>
        </w:tabs>
        <w:spacing w:line="252" w:lineRule="exact"/>
      </w:pPr>
      <w:r>
        <w:t>George</w:t>
      </w:r>
      <w:r>
        <w:rPr>
          <w:spacing w:val="-2"/>
        </w:rPr>
        <w:t xml:space="preserve"> </w:t>
      </w:r>
      <w:proofErr w:type="spellStart"/>
      <w:r>
        <w:t>Confos</w:t>
      </w:r>
      <w:proofErr w:type="spellEnd"/>
    </w:p>
    <w:p w14:paraId="33E1897D" w14:textId="77777777" w:rsidR="007225C8" w:rsidRDefault="000046A1">
      <w:pPr>
        <w:pStyle w:val="ListParagraph"/>
        <w:numPr>
          <w:ilvl w:val="0"/>
          <w:numId w:val="3"/>
        </w:numPr>
        <w:tabs>
          <w:tab w:val="left" w:pos="707"/>
          <w:tab w:val="left" w:pos="708"/>
        </w:tabs>
      </w:pPr>
      <w:r>
        <w:t>Stephen</w:t>
      </w:r>
      <w:r>
        <w:rPr>
          <w:spacing w:val="-2"/>
        </w:rPr>
        <w:t xml:space="preserve"> </w:t>
      </w:r>
      <w:r>
        <w:t>Rix</w:t>
      </w:r>
    </w:p>
    <w:p w14:paraId="33E1897E" w14:textId="77777777" w:rsidR="007225C8" w:rsidRDefault="007225C8">
      <w:pPr>
        <w:pStyle w:val="BodyText"/>
        <w:spacing w:before="1"/>
        <w:rPr>
          <w:sz w:val="32"/>
        </w:rPr>
      </w:pPr>
    </w:p>
    <w:p w14:paraId="33E1897F" w14:textId="77777777" w:rsidR="007225C8" w:rsidRDefault="000046A1">
      <w:pPr>
        <w:pStyle w:val="Heading1"/>
      </w:pPr>
      <w:r>
        <w:t>Schedule – the conditions</w:t>
      </w:r>
    </w:p>
    <w:p w14:paraId="33E18980" w14:textId="77777777" w:rsidR="007225C8" w:rsidRDefault="000046A1">
      <w:pPr>
        <w:spacing w:before="241"/>
        <w:ind w:left="140"/>
        <w:rPr>
          <w:i/>
        </w:rPr>
      </w:pPr>
      <w:r>
        <w:rPr>
          <w:i/>
        </w:rPr>
        <w:t>Conditions on LFG</w:t>
      </w:r>
    </w:p>
    <w:p w14:paraId="33E18981" w14:textId="77777777" w:rsidR="007225C8" w:rsidRDefault="007225C8">
      <w:pPr>
        <w:pStyle w:val="BodyText"/>
        <w:spacing w:before="10"/>
        <w:rPr>
          <w:i/>
          <w:sz w:val="21"/>
        </w:rPr>
      </w:pPr>
    </w:p>
    <w:p w14:paraId="33E18982" w14:textId="77777777" w:rsidR="007225C8" w:rsidRDefault="000046A1">
      <w:pPr>
        <w:pStyle w:val="ListParagraph"/>
        <w:numPr>
          <w:ilvl w:val="0"/>
          <w:numId w:val="2"/>
        </w:numPr>
        <w:tabs>
          <w:tab w:val="left" w:pos="708"/>
        </w:tabs>
        <w:ind w:right="136"/>
        <w:jc w:val="both"/>
      </w:pPr>
      <w:r>
        <w:t>LFG must not carry on, and must also ensure that no subsidiary of LFG other than the ADI carries</w:t>
      </w:r>
      <w:r>
        <w:t xml:space="preserve"> on, lending business after the end of 2 years after the threshold day</w:t>
      </w:r>
      <w:r>
        <w:rPr>
          <w:spacing w:val="-13"/>
        </w:rPr>
        <w:t xml:space="preserve"> </w:t>
      </w:r>
      <w:r>
        <w:t>if:</w:t>
      </w:r>
    </w:p>
    <w:p w14:paraId="33E18983" w14:textId="77777777" w:rsidR="007225C8" w:rsidRDefault="000046A1">
      <w:pPr>
        <w:pStyle w:val="ListParagraph"/>
        <w:numPr>
          <w:ilvl w:val="1"/>
          <w:numId w:val="2"/>
        </w:numPr>
        <w:tabs>
          <w:tab w:val="left" w:pos="1276"/>
        </w:tabs>
        <w:spacing w:before="122"/>
        <w:ind w:right="134"/>
        <w:jc w:val="both"/>
      </w:pPr>
      <w:r>
        <w:t>the value of the total resident assets of the ADI has exceeded its asset threshold under subsection 14</w:t>
      </w:r>
      <w:proofErr w:type="gramStart"/>
      <w:r>
        <w:t>A(</w:t>
      </w:r>
      <w:proofErr w:type="gramEnd"/>
      <w:r>
        <w:t>6) of the</w:t>
      </w:r>
      <w:r>
        <w:rPr>
          <w:spacing w:val="-5"/>
        </w:rPr>
        <w:t xml:space="preserve"> </w:t>
      </w:r>
      <w:r>
        <w:t>Act;</w:t>
      </w:r>
    </w:p>
    <w:p w14:paraId="33E18984" w14:textId="77777777" w:rsidR="007225C8" w:rsidRDefault="000046A1">
      <w:pPr>
        <w:pStyle w:val="ListParagraph"/>
        <w:numPr>
          <w:ilvl w:val="1"/>
          <w:numId w:val="2"/>
        </w:numPr>
        <w:tabs>
          <w:tab w:val="left" w:pos="1276"/>
        </w:tabs>
        <w:spacing w:before="119"/>
        <w:ind w:right="143"/>
        <w:jc w:val="both"/>
      </w:pPr>
      <w:r>
        <w:t>LFG, in accordance with subsections 15</w:t>
      </w:r>
      <w:proofErr w:type="gramStart"/>
      <w:r>
        <w:t>A(</w:t>
      </w:r>
      <w:proofErr w:type="gramEnd"/>
      <w:r>
        <w:t>2) or 15A(3) of the Act, has applied for approval under paragraph 14(1)(a) of the Act in respect of LFG’s stake in the NOHC;</w:t>
      </w:r>
      <w:r>
        <w:rPr>
          <w:spacing w:val="-3"/>
        </w:rPr>
        <w:t xml:space="preserve"> </w:t>
      </w:r>
      <w:r>
        <w:t>and</w:t>
      </w:r>
    </w:p>
    <w:p w14:paraId="33E18985" w14:textId="77777777" w:rsidR="007225C8" w:rsidRDefault="007225C8">
      <w:pPr>
        <w:jc w:val="both"/>
        <w:sectPr w:rsidR="007225C8">
          <w:footerReference w:type="default" r:id="rId13"/>
          <w:pgSz w:w="11910" w:h="16840"/>
          <w:pgMar w:top="1340" w:right="1300" w:bottom="940" w:left="1300" w:header="0" w:footer="750" w:gutter="0"/>
          <w:pgNumType w:start="2"/>
          <w:cols w:space="720"/>
        </w:sectPr>
      </w:pPr>
    </w:p>
    <w:p w14:paraId="33E18986" w14:textId="77777777" w:rsidR="007225C8" w:rsidRDefault="000046A1">
      <w:pPr>
        <w:pStyle w:val="ListParagraph"/>
        <w:numPr>
          <w:ilvl w:val="1"/>
          <w:numId w:val="2"/>
        </w:numPr>
        <w:tabs>
          <w:tab w:val="left" w:pos="1275"/>
          <w:tab w:val="left" w:pos="1276"/>
        </w:tabs>
        <w:spacing w:before="78"/>
        <w:ind w:right="135"/>
      </w:pPr>
      <w:r>
        <w:lastRenderedPageBreak/>
        <w:t>approval has been granted to LFG under paragraph 14(1)(a) of the Act in respect of LFG’s stake in the</w:t>
      </w:r>
      <w:r>
        <w:rPr>
          <w:spacing w:val="-4"/>
        </w:rPr>
        <w:t xml:space="preserve"> </w:t>
      </w:r>
      <w:r>
        <w:t>NOHC.</w:t>
      </w:r>
    </w:p>
    <w:p w14:paraId="33E18987" w14:textId="77777777" w:rsidR="007225C8" w:rsidRDefault="007225C8">
      <w:pPr>
        <w:pStyle w:val="BodyText"/>
        <w:spacing w:before="2"/>
      </w:pPr>
    </w:p>
    <w:p w14:paraId="33E18988" w14:textId="77777777" w:rsidR="007225C8" w:rsidRDefault="000046A1">
      <w:pPr>
        <w:pStyle w:val="ListParagraph"/>
        <w:numPr>
          <w:ilvl w:val="0"/>
          <w:numId w:val="2"/>
        </w:numPr>
        <w:tabs>
          <w:tab w:val="left" w:pos="707"/>
          <w:tab w:val="left" w:pos="708"/>
        </w:tabs>
        <w:ind w:right="143"/>
      </w:pPr>
      <w:r>
        <w:t>LFG</w:t>
      </w:r>
      <w:r>
        <w:rPr>
          <w:spacing w:val="-6"/>
        </w:rPr>
        <w:t xml:space="preserve"> </w:t>
      </w:r>
      <w:r>
        <w:t>must</w:t>
      </w:r>
      <w:r>
        <w:rPr>
          <w:spacing w:val="-5"/>
        </w:rPr>
        <w:t xml:space="preserve"> </w:t>
      </w:r>
      <w:r>
        <w:t>provide</w:t>
      </w:r>
      <w:r>
        <w:rPr>
          <w:spacing w:val="-3"/>
        </w:rPr>
        <w:t xml:space="preserve"> </w:t>
      </w:r>
      <w:r>
        <w:t>the</w:t>
      </w:r>
      <w:r>
        <w:rPr>
          <w:spacing w:val="-4"/>
        </w:rPr>
        <w:t xml:space="preserve"> </w:t>
      </w:r>
      <w:r>
        <w:t>following</w:t>
      </w:r>
      <w:r>
        <w:rPr>
          <w:spacing w:val="-4"/>
        </w:rPr>
        <w:t xml:space="preserve"> </w:t>
      </w:r>
      <w:r>
        <w:t>information</w:t>
      </w:r>
      <w:r>
        <w:rPr>
          <w:spacing w:val="-3"/>
        </w:rPr>
        <w:t xml:space="preserve"> </w:t>
      </w:r>
      <w:r>
        <w:t>to</w:t>
      </w:r>
      <w:r>
        <w:rPr>
          <w:spacing w:val="-4"/>
        </w:rPr>
        <w:t xml:space="preserve"> </w:t>
      </w:r>
      <w:r>
        <w:t>APRA</w:t>
      </w:r>
      <w:r>
        <w:rPr>
          <w:spacing w:val="-4"/>
        </w:rPr>
        <w:t xml:space="preserve"> </w:t>
      </w:r>
      <w:r>
        <w:t>on</w:t>
      </w:r>
      <w:r>
        <w:rPr>
          <w:spacing w:val="-3"/>
        </w:rPr>
        <w:t xml:space="preserve"> </w:t>
      </w:r>
      <w:r>
        <w:t>APRA’s</w:t>
      </w:r>
      <w:r>
        <w:rPr>
          <w:spacing w:val="-5"/>
        </w:rPr>
        <w:t xml:space="preserve"> </w:t>
      </w:r>
      <w:r>
        <w:t>request</w:t>
      </w:r>
      <w:r>
        <w:rPr>
          <w:spacing w:val="-6"/>
        </w:rPr>
        <w:t xml:space="preserve"> </w:t>
      </w:r>
      <w:r>
        <w:t>within</w:t>
      </w:r>
      <w:r>
        <w:rPr>
          <w:spacing w:val="-3"/>
        </w:rPr>
        <w:t xml:space="preserve"> </w:t>
      </w:r>
      <w:r>
        <w:t>14</w:t>
      </w:r>
      <w:r>
        <w:rPr>
          <w:spacing w:val="-4"/>
        </w:rPr>
        <w:t xml:space="preserve"> </w:t>
      </w:r>
      <w:r>
        <w:t>days of the request or as otherwis</w:t>
      </w:r>
      <w:r>
        <w:t>e agreed with</w:t>
      </w:r>
      <w:r>
        <w:rPr>
          <w:spacing w:val="-3"/>
        </w:rPr>
        <w:t xml:space="preserve"> </w:t>
      </w:r>
      <w:r>
        <w:t>APRA:</w:t>
      </w:r>
    </w:p>
    <w:p w14:paraId="33E18989" w14:textId="77777777" w:rsidR="007225C8" w:rsidRDefault="000046A1">
      <w:pPr>
        <w:pStyle w:val="ListParagraph"/>
        <w:numPr>
          <w:ilvl w:val="1"/>
          <w:numId w:val="2"/>
        </w:numPr>
        <w:tabs>
          <w:tab w:val="left" w:pos="1275"/>
          <w:tab w:val="left" w:pos="1276"/>
        </w:tabs>
        <w:spacing w:before="119"/>
      </w:pPr>
      <w:r>
        <w:t>information relevant to APRA’s prudential assessment of the</w:t>
      </w:r>
      <w:r>
        <w:rPr>
          <w:spacing w:val="-7"/>
        </w:rPr>
        <w:t xml:space="preserve"> </w:t>
      </w:r>
      <w:r>
        <w:t>ADI;</w:t>
      </w:r>
    </w:p>
    <w:p w14:paraId="33E1898A" w14:textId="77777777" w:rsidR="007225C8" w:rsidRDefault="000046A1">
      <w:pPr>
        <w:pStyle w:val="ListParagraph"/>
        <w:numPr>
          <w:ilvl w:val="1"/>
          <w:numId w:val="2"/>
        </w:numPr>
        <w:tabs>
          <w:tab w:val="left" w:pos="1275"/>
          <w:tab w:val="left" w:pos="1276"/>
        </w:tabs>
        <w:spacing w:before="119"/>
        <w:ind w:right="134"/>
      </w:pPr>
      <w:r>
        <w:t>information regarding any matters or issues that may present a risk to the ADI’s financial stability or the viability of the ADI’s banking business;</w:t>
      </w:r>
      <w:r>
        <w:rPr>
          <w:spacing w:val="-11"/>
        </w:rPr>
        <w:t xml:space="preserve"> </w:t>
      </w:r>
      <w:r>
        <w:t>and</w:t>
      </w:r>
    </w:p>
    <w:p w14:paraId="33E1898B" w14:textId="77777777" w:rsidR="007225C8" w:rsidRDefault="000046A1">
      <w:pPr>
        <w:pStyle w:val="ListParagraph"/>
        <w:numPr>
          <w:ilvl w:val="1"/>
          <w:numId w:val="2"/>
        </w:numPr>
        <w:tabs>
          <w:tab w:val="left" w:pos="1275"/>
          <w:tab w:val="left" w:pos="1276"/>
        </w:tabs>
        <w:spacing w:before="122"/>
      </w:pPr>
      <w:r>
        <w:t>details of any material business events relating to the</w:t>
      </w:r>
      <w:r>
        <w:rPr>
          <w:spacing w:val="-6"/>
        </w:rPr>
        <w:t xml:space="preserve"> </w:t>
      </w:r>
      <w:r>
        <w:t>ADI.</w:t>
      </w:r>
    </w:p>
    <w:p w14:paraId="33E1898C" w14:textId="77777777" w:rsidR="007225C8" w:rsidRDefault="007225C8">
      <w:pPr>
        <w:pStyle w:val="BodyText"/>
        <w:spacing w:before="10"/>
        <w:rPr>
          <w:sz w:val="21"/>
        </w:rPr>
      </w:pPr>
    </w:p>
    <w:p w14:paraId="33E1898D" w14:textId="77777777" w:rsidR="007225C8" w:rsidRDefault="000046A1">
      <w:pPr>
        <w:pStyle w:val="ListParagraph"/>
        <w:numPr>
          <w:ilvl w:val="0"/>
          <w:numId w:val="2"/>
        </w:numPr>
        <w:tabs>
          <w:tab w:val="left" w:pos="708"/>
        </w:tabs>
        <w:spacing w:before="1"/>
        <w:ind w:right="132"/>
        <w:jc w:val="both"/>
      </w:pPr>
      <w:r>
        <w:t>LFG must not accept funding from the NOHC, any of the NOHC’s subsidiary entities or any</w:t>
      </w:r>
      <w:r>
        <w:rPr>
          <w:spacing w:val="-10"/>
        </w:rPr>
        <w:t xml:space="preserve"> </w:t>
      </w:r>
      <w:r>
        <w:t>other</w:t>
      </w:r>
      <w:r>
        <w:rPr>
          <w:spacing w:val="-7"/>
        </w:rPr>
        <w:t xml:space="preserve"> </w:t>
      </w:r>
      <w:r>
        <w:t>entity</w:t>
      </w:r>
      <w:r>
        <w:rPr>
          <w:spacing w:val="-9"/>
        </w:rPr>
        <w:t xml:space="preserve"> </w:t>
      </w:r>
      <w:r>
        <w:t>that</w:t>
      </w:r>
      <w:r>
        <w:rPr>
          <w:spacing w:val="-9"/>
        </w:rPr>
        <w:t xml:space="preserve"> </w:t>
      </w:r>
      <w:r>
        <w:t>receives</w:t>
      </w:r>
      <w:r>
        <w:rPr>
          <w:spacing w:val="-9"/>
        </w:rPr>
        <w:t xml:space="preserve"> </w:t>
      </w:r>
      <w:r>
        <w:t>funding</w:t>
      </w:r>
      <w:r>
        <w:rPr>
          <w:spacing w:val="-9"/>
        </w:rPr>
        <w:t xml:space="preserve"> </w:t>
      </w:r>
      <w:r>
        <w:t>from</w:t>
      </w:r>
      <w:r>
        <w:rPr>
          <w:spacing w:val="-5"/>
        </w:rPr>
        <w:t xml:space="preserve"> </w:t>
      </w:r>
      <w:r>
        <w:t>the</w:t>
      </w:r>
      <w:r>
        <w:rPr>
          <w:spacing w:val="-10"/>
        </w:rPr>
        <w:t xml:space="preserve"> </w:t>
      </w:r>
      <w:r>
        <w:t>NOHC’s</w:t>
      </w:r>
      <w:r>
        <w:rPr>
          <w:spacing w:val="-8"/>
        </w:rPr>
        <w:t xml:space="preserve"> </w:t>
      </w:r>
      <w:r>
        <w:t>corporate</w:t>
      </w:r>
      <w:r>
        <w:rPr>
          <w:spacing w:val="-9"/>
        </w:rPr>
        <w:t xml:space="preserve"> </w:t>
      </w:r>
      <w:r>
        <w:t>group,</w:t>
      </w:r>
      <w:r>
        <w:rPr>
          <w:spacing w:val="-8"/>
        </w:rPr>
        <w:t xml:space="preserve"> </w:t>
      </w:r>
      <w:r>
        <w:t>for</w:t>
      </w:r>
      <w:r>
        <w:rPr>
          <w:spacing w:val="-10"/>
        </w:rPr>
        <w:t xml:space="preserve"> </w:t>
      </w:r>
      <w:r>
        <w:t>the</w:t>
      </w:r>
      <w:r>
        <w:rPr>
          <w:spacing w:val="-9"/>
        </w:rPr>
        <w:t xml:space="preserve"> </w:t>
      </w:r>
      <w:r>
        <w:t>purpose of any of LFG’s debt instruments or ‘special purpose vehicles’ (including but not limited to</w:t>
      </w:r>
      <w:r>
        <w:rPr>
          <w:spacing w:val="-15"/>
        </w:rPr>
        <w:t xml:space="preserve"> </w:t>
      </w:r>
      <w:proofErr w:type="spellStart"/>
      <w:r>
        <w:t>securitisation</w:t>
      </w:r>
      <w:proofErr w:type="spellEnd"/>
      <w:r>
        <w:rPr>
          <w:spacing w:val="-14"/>
        </w:rPr>
        <w:t xml:space="preserve"> </w:t>
      </w:r>
      <w:r>
        <w:t>trusts</w:t>
      </w:r>
      <w:r>
        <w:rPr>
          <w:spacing w:val="-14"/>
        </w:rPr>
        <w:t xml:space="preserve"> </w:t>
      </w:r>
      <w:r>
        <w:t>and</w:t>
      </w:r>
      <w:r>
        <w:rPr>
          <w:spacing w:val="-12"/>
        </w:rPr>
        <w:t xml:space="preserve"> </w:t>
      </w:r>
      <w:r>
        <w:t>warehouse</w:t>
      </w:r>
      <w:r>
        <w:rPr>
          <w:spacing w:val="-14"/>
        </w:rPr>
        <w:t xml:space="preserve"> </w:t>
      </w:r>
      <w:r>
        <w:t>facilities)</w:t>
      </w:r>
      <w:r>
        <w:rPr>
          <w:spacing w:val="-15"/>
        </w:rPr>
        <w:t xml:space="preserve"> </w:t>
      </w:r>
      <w:r>
        <w:t>or</w:t>
      </w:r>
      <w:r>
        <w:rPr>
          <w:spacing w:val="-16"/>
        </w:rPr>
        <w:t xml:space="preserve"> </w:t>
      </w:r>
      <w:r>
        <w:t>any</w:t>
      </w:r>
      <w:r>
        <w:rPr>
          <w:spacing w:val="-17"/>
        </w:rPr>
        <w:t xml:space="preserve"> </w:t>
      </w:r>
      <w:r>
        <w:t>other</w:t>
      </w:r>
      <w:r>
        <w:rPr>
          <w:spacing w:val="-15"/>
        </w:rPr>
        <w:t xml:space="preserve"> </w:t>
      </w:r>
      <w:r>
        <w:t>credit/lending</w:t>
      </w:r>
      <w:r>
        <w:rPr>
          <w:spacing w:val="-15"/>
        </w:rPr>
        <w:t xml:space="preserve"> </w:t>
      </w:r>
      <w:r>
        <w:t>arrangement.</w:t>
      </w:r>
    </w:p>
    <w:p w14:paraId="33E1898E" w14:textId="77777777" w:rsidR="007225C8" w:rsidRDefault="007225C8">
      <w:pPr>
        <w:pStyle w:val="BodyText"/>
      </w:pPr>
    </w:p>
    <w:p w14:paraId="33E1898F" w14:textId="77777777" w:rsidR="007225C8" w:rsidRDefault="000046A1">
      <w:pPr>
        <w:pStyle w:val="ListParagraph"/>
        <w:numPr>
          <w:ilvl w:val="0"/>
          <w:numId w:val="2"/>
        </w:numPr>
        <w:tabs>
          <w:tab w:val="left" w:pos="708"/>
        </w:tabs>
        <w:ind w:right="134"/>
        <w:jc w:val="both"/>
      </w:pPr>
      <w:r>
        <w:t>LFG must not vary the Subscription Agreement – Series B entered i</w:t>
      </w:r>
      <w:r>
        <w:t>nto with the NOHC on 3 June 2021 or enter into any other share subscription agreement with the NOHC, unless LFG has obtained prior written approval from APRA to do</w:t>
      </w:r>
      <w:r>
        <w:rPr>
          <w:spacing w:val="-12"/>
        </w:rPr>
        <w:t xml:space="preserve"> </w:t>
      </w:r>
      <w:r>
        <w:t>so.</w:t>
      </w:r>
    </w:p>
    <w:p w14:paraId="33E18990" w14:textId="77777777" w:rsidR="007225C8" w:rsidRDefault="007225C8">
      <w:pPr>
        <w:pStyle w:val="BodyText"/>
        <w:spacing w:before="1"/>
      </w:pPr>
    </w:p>
    <w:p w14:paraId="33E18991" w14:textId="77777777" w:rsidR="007225C8" w:rsidRDefault="000046A1">
      <w:pPr>
        <w:pStyle w:val="ListParagraph"/>
        <w:numPr>
          <w:ilvl w:val="0"/>
          <w:numId w:val="2"/>
        </w:numPr>
        <w:tabs>
          <w:tab w:val="left" w:pos="708"/>
        </w:tabs>
        <w:jc w:val="both"/>
      </w:pPr>
      <w:r>
        <w:t>LFG</w:t>
      </w:r>
      <w:r>
        <w:rPr>
          <w:spacing w:val="-3"/>
        </w:rPr>
        <w:t xml:space="preserve"> </w:t>
      </w:r>
      <w:r>
        <w:t>must:</w:t>
      </w:r>
    </w:p>
    <w:p w14:paraId="33E18992" w14:textId="77777777" w:rsidR="007225C8" w:rsidRDefault="000046A1">
      <w:pPr>
        <w:pStyle w:val="ListParagraph"/>
        <w:numPr>
          <w:ilvl w:val="1"/>
          <w:numId w:val="2"/>
        </w:numPr>
        <w:tabs>
          <w:tab w:val="left" w:pos="1276"/>
        </w:tabs>
        <w:spacing w:before="119"/>
        <w:ind w:right="136"/>
        <w:jc w:val="both"/>
      </w:pPr>
      <w:r>
        <w:t>operate its business activities independently of the NOHC and the NOHC’s subs</w:t>
      </w:r>
      <w:r>
        <w:t>idiaries;</w:t>
      </w:r>
    </w:p>
    <w:p w14:paraId="33E18993" w14:textId="77777777" w:rsidR="007225C8" w:rsidRDefault="000046A1">
      <w:pPr>
        <w:pStyle w:val="ListParagraph"/>
        <w:numPr>
          <w:ilvl w:val="1"/>
          <w:numId w:val="2"/>
        </w:numPr>
        <w:tabs>
          <w:tab w:val="left" w:pos="1276"/>
        </w:tabs>
        <w:spacing w:before="119"/>
        <w:ind w:right="135"/>
        <w:jc w:val="both"/>
      </w:pPr>
      <w:r>
        <w:t>not share any services or staff with the NOHC or any of the NOHC’s</w:t>
      </w:r>
      <w:r>
        <w:rPr>
          <w:spacing w:val="-40"/>
        </w:rPr>
        <w:t xml:space="preserve"> </w:t>
      </w:r>
      <w:r>
        <w:t>subsidiaries; and</w:t>
      </w:r>
    </w:p>
    <w:p w14:paraId="33E18994" w14:textId="77777777" w:rsidR="007225C8" w:rsidRDefault="000046A1">
      <w:pPr>
        <w:pStyle w:val="ListParagraph"/>
        <w:numPr>
          <w:ilvl w:val="1"/>
          <w:numId w:val="2"/>
        </w:numPr>
        <w:tabs>
          <w:tab w:val="left" w:pos="1276"/>
        </w:tabs>
        <w:spacing w:before="122"/>
        <w:ind w:right="137"/>
        <w:jc w:val="both"/>
      </w:pPr>
      <w:r>
        <w:t>not share any management or business strategies with the NOHC or any of the NOHC’s subsidiaries except in relation to the “White Label savings and transactional accounts” specified in the Subscription Agreement – Series B entered into with the NOHC on 3 Ju</w:t>
      </w:r>
      <w:r>
        <w:t>ne</w:t>
      </w:r>
      <w:r>
        <w:rPr>
          <w:spacing w:val="-3"/>
        </w:rPr>
        <w:t xml:space="preserve"> </w:t>
      </w:r>
      <w:r>
        <w:t>2021,</w:t>
      </w:r>
    </w:p>
    <w:p w14:paraId="33E18995" w14:textId="77777777" w:rsidR="007225C8" w:rsidRDefault="000046A1">
      <w:pPr>
        <w:pStyle w:val="BodyText"/>
        <w:spacing w:before="118"/>
        <w:ind w:left="708"/>
        <w:jc w:val="both"/>
      </w:pPr>
      <w:r>
        <w:t>unless LFG obtains APRA’s prior written consent to do otherwise.</w:t>
      </w:r>
    </w:p>
    <w:p w14:paraId="33E18996" w14:textId="77777777" w:rsidR="007225C8" w:rsidRDefault="007225C8">
      <w:pPr>
        <w:pStyle w:val="BodyText"/>
        <w:spacing w:before="1"/>
        <w:rPr>
          <w:sz w:val="24"/>
        </w:rPr>
      </w:pPr>
    </w:p>
    <w:p w14:paraId="33E18997" w14:textId="77777777" w:rsidR="007225C8" w:rsidRDefault="000046A1">
      <w:pPr>
        <w:ind w:left="140"/>
        <w:rPr>
          <w:i/>
        </w:rPr>
      </w:pPr>
      <w:r>
        <w:rPr>
          <w:i/>
        </w:rPr>
        <w:t>Limits on individual shareholdings</w:t>
      </w:r>
    </w:p>
    <w:p w14:paraId="33E18998" w14:textId="77777777" w:rsidR="007225C8" w:rsidRDefault="007225C8">
      <w:pPr>
        <w:pStyle w:val="BodyText"/>
        <w:spacing w:before="11"/>
        <w:rPr>
          <w:i/>
          <w:sz w:val="21"/>
        </w:rPr>
      </w:pPr>
    </w:p>
    <w:p w14:paraId="33E18999" w14:textId="77777777" w:rsidR="007225C8" w:rsidRDefault="000046A1">
      <w:pPr>
        <w:pStyle w:val="ListParagraph"/>
        <w:numPr>
          <w:ilvl w:val="0"/>
          <w:numId w:val="1"/>
        </w:numPr>
        <w:tabs>
          <w:tab w:val="left" w:pos="708"/>
        </w:tabs>
        <w:ind w:right="135"/>
        <w:jc w:val="both"/>
      </w:pPr>
      <w:r>
        <w:t xml:space="preserve">Z-LF Holdco LLC (7701992, Delaware, USA), </w:t>
      </w:r>
      <w:proofErr w:type="spellStart"/>
      <w:r>
        <w:t>Zayucel</w:t>
      </w:r>
      <w:proofErr w:type="spellEnd"/>
      <w:r>
        <w:t xml:space="preserve"> Limited (14613, British Virgin Islands)</w:t>
      </w:r>
      <w:r>
        <w:rPr>
          <w:spacing w:val="-14"/>
        </w:rPr>
        <w:t xml:space="preserve"> </w:t>
      </w:r>
      <w:r>
        <w:t>and</w:t>
      </w:r>
      <w:r>
        <w:rPr>
          <w:spacing w:val="-10"/>
        </w:rPr>
        <w:t xml:space="preserve"> </w:t>
      </w:r>
      <w:r>
        <w:t>Isocrates</w:t>
      </w:r>
      <w:r>
        <w:rPr>
          <w:spacing w:val="-10"/>
        </w:rPr>
        <w:t xml:space="preserve"> </w:t>
      </w:r>
      <w:r>
        <w:t>Limited</w:t>
      </w:r>
      <w:r>
        <w:rPr>
          <w:spacing w:val="-13"/>
        </w:rPr>
        <w:t xml:space="preserve"> </w:t>
      </w:r>
      <w:r>
        <w:t>(123699,</w:t>
      </w:r>
      <w:r>
        <w:rPr>
          <w:spacing w:val="-11"/>
        </w:rPr>
        <w:t xml:space="preserve"> </w:t>
      </w:r>
      <w:r>
        <w:t>British</w:t>
      </w:r>
      <w:r>
        <w:rPr>
          <w:spacing w:val="-13"/>
        </w:rPr>
        <w:t xml:space="preserve"> </w:t>
      </w:r>
      <w:r>
        <w:t>Virgin</w:t>
      </w:r>
      <w:r>
        <w:rPr>
          <w:spacing w:val="-12"/>
        </w:rPr>
        <w:t xml:space="preserve"> </w:t>
      </w:r>
      <w:r>
        <w:t>Islands)</w:t>
      </w:r>
      <w:r>
        <w:rPr>
          <w:spacing w:val="-14"/>
        </w:rPr>
        <w:t xml:space="preserve"> </w:t>
      </w:r>
      <w:r>
        <w:t>as</w:t>
      </w:r>
      <w:r>
        <w:rPr>
          <w:spacing w:val="-9"/>
        </w:rPr>
        <w:t xml:space="preserve"> </w:t>
      </w:r>
      <w:r>
        <w:t>trustee</w:t>
      </w:r>
      <w:r>
        <w:rPr>
          <w:spacing w:val="-10"/>
        </w:rPr>
        <w:t xml:space="preserve"> </w:t>
      </w:r>
      <w:r>
        <w:t>of</w:t>
      </w:r>
      <w:r>
        <w:rPr>
          <w:spacing w:val="-12"/>
        </w:rPr>
        <w:t xml:space="preserve"> </w:t>
      </w:r>
      <w:r>
        <w:t>the</w:t>
      </w:r>
      <w:r>
        <w:rPr>
          <w:spacing w:val="-10"/>
        </w:rPr>
        <w:t xml:space="preserve"> </w:t>
      </w:r>
      <w:r>
        <w:t>Isocrates Trust must not individually hold a direct control interest of more than 25% in the NOHC without prior approval from the Treasurer or a delegate of the</w:t>
      </w:r>
      <w:r>
        <w:rPr>
          <w:spacing w:val="-12"/>
        </w:rPr>
        <w:t xml:space="preserve"> </w:t>
      </w:r>
      <w:r>
        <w:t>Treasurer.</w:t>
      </w:r>
    </w:p>
    <w:p w14:paraId="33E1899A" w14:textId="77777777" w:rsidR="007225C8" w:rsidRDefault="007225C8">
      <w:pPr>
        <w:pStyle w:val="BodyText"/>
        <w:rPr>
          <w:sz w:val="24"/>
        </w:rPr>
      </w:pPr>
    </w:p>
    <w:p w14:paraId="33E1899B" w14:textId="77777777" w:rsidR="007225C8" w:rsidRDefault="000046A1">
      <w:pPr>
        <w:pStyle w:val="ListParagraph"/>
        <w:numPr>
          <w:ilvl w:val="0"/>
          <w:numId w:val="1"/>
        </w:numPr>
        <w:tabs>
          <w:tab w:val="left" w:pos="708"/>
        </w:tabs>
        <w:ind w:right="136"/>
        <w:jc w:val="both"/>
      </w:pPr>
      <w:r>
        <w:t>Sherman Ma, US Trust Company of Delaware (3185789, Delaware, USA)</w:t>
      </w:r>
      <w:r>
        <w:t xml:space="preserve"> as trustee of the Ma Family Trust and Hestia Vesta LLC (4515326, Delaware, USA) must not individually hold a direct control interest of more than 35% in the NOHC without prior approval from the Treasurer or a delegate of the</w:t>
      </w:r>
      <w:r>
        <w:rPr>
          <w:spacing w:val="-5"/>
        </w:rPr>
        <w:t xml:space="preserve"> </w:t>
      </w:r>
      <w:r>
        <w:t>Treasurer.</w:t>
      </w:r>
    </w:p>
    <w:p w14:paraId="33E1899C" w14:textId="77777777" w:rsidR="007225C8" w:rsidRDefault="007225C8">
      <w:pPr>
        <w:pStyle w:val="BodyText"/>
      </w:pPr>
    </w:p>
    <w:p w14:paraId="33E1899D" w14:textId="77777777" w:rsidR="007225C8" w:rsidRDefault="000046A1">
      <w:pPr>
        <w:pStyle w:val="ListParagraph"/>
        <w:numPr>
          <w:ilvl w:val="0"/>
          <w:numId w:val="1"/>
        </w:numPr>
        <w:tabs>
          <w:tab w:val="left" w:pos="708"/>
        </w:tabs>
        <w:ind w:right="138"/>
        <w:jc w:val="both"/>
      </w:pPr>
      <w:r>
        <w:t>Hestia</w:t>
      </w:r>
      <w:r>
        <w:rPr>
          <w:spacing w:val="-15"/>
        </w:rPr>
        <w:t xml:space="preserve"> </w:t>
      </w:r>
      <w:r>
        <w:t>Holdings</w:t>
      </w:r>
      <w:r>
        <w:rPr>
          <w:spacing w:val="-14"/>
        </w:rPr>
        <w:t xml:space="preserve"> </w:t>
      </w:r>
      <w:r>
        <w:t>BV</w:t>
      </w:r>
      <w:r>
        <w:rPr>
          <w:spacing w:val="-14"/>
        </w:rPr>
        <w:t xml:space="preserve"> </w:t>
      </w:r>
      <w:r>
        <w:t>(Netherlands),</w:t>
      </w:r>
      <w:r>
        <w:rPr>
          <w:spacing w:val="-15"/>
        </w:rPr>
        <w:t xml:space="preserve"> </w:t>
      </w:r>
      <w:r>
        <w:t>Vesta</w:t>
      </w:r>
      <w:r>
        <w:rPr>
          <w:spacing w:val="-13"/>
        </w:rPr>
        <w:t xml:space="preserve"> </w:t>
      </w:r>
      <w:r>
        <w:t>Financial</w:t>
      </w:r>
      <w:r>
        <w:rPr>
          <w:spacing w:val="-13"/>
        </w:rPr>
        <w:t xml:space="preserve"> </w:t>
      </w:r>
      <w:r>
        <w:t>BV</w:t>
      </w:r>
      <w:r>
        <w:rPr>
          <w:spacing w:val="-14"/>
        </w:rPr>
        <w:t xml:space="preserve"> </w:t>
      </w:r>
      <w:r>
        <w:t>(Netherlands)</w:t>
      </w:r>
      <w:r>
        <w:rPr>
          <w:spacing w:val="-14"/>
        </w:rPr>
        <w:t xml:space="preserve"> </w:t>
      </w:r>
      <w:r>
        <w:t>and</w:t>
      </w:r>
      <w:r>
        <w:rPr>
          <w:spacing w:val="-11"/>
        </w:rPr>
        <w:t xml:space="preserve"> </w:t>
      </w:r>
      <w:r>
        <w:t>Vesta</w:t>
      </w:r>
      <w:r>
        <w:rPr>
          <w:spacing w:val="-15"/>
        </w:rPr>
        <w:t xml:space="preserve"> </w:t>
      </w:r>
      <w:r>
        <w:t>Funding BV</w:t>
      </w:r>
      <w:r>
        <w:rPr>
          <w:spacing w:val="-7"/>
        </w:rPr>
        <w:t xml:space="preserve"> </w:t>
      </w:r>
      <w:r>
        <w:t>(Netherlands)</w:t>
      </w:r>
      <w:r>
        <w:rPr>
          <w:spacing w:val="-5"/>
        </w:rPr>
        <w:t xml:space="preserve"> </w:t>
      </w:r>
      <w:r>
        <w:t>must</w:t>
      </w:r>
      <w:r>
        <w:rPr>
          <w:spacing w:val="-7"/>
        </w:rPr>
        <w:t xml:space="preserve"> </w:t>
      </w:r>
      <w:r>
        <w:t>not</w:t>
      </w:r>
      <w:r>
        <w:rPr>
          <w:spacing w:val="-9"/>
        </w:rPr>
        <w:t xml:space="preserve"> </w:t>
      </w:r>
      <w:r>
        <w:t>individually</w:t>
      </w:r>
      <w:r>
        <w:rPr>
          <w:spacing w:val="-9"/>
        </w:rPr>
        <w:t xml:space="preserve"> </w:t>
      </w:r>
      <w:r>
        <w:t>hold</w:t>
      </w:r>
      <w:r>
        <w:rPr>
          <w:spacing w:val="-6"/>
        </w:rPr>
        <w:t xml:space="preserve"> </w:t>
      </w:r>
      <w:r>
        <w:t>a</w:t>
      </w:r>
      <w:r>
        <w:rPr>
          <w:spacing w:val="-5"/>
        </w:rPr>
        <w:t xml:space="preserve"> </w:t>
      </w:r>
      <w:r>
        <w:t>direct</w:t>
      </w:r>
      <w:r>
        <w:rPr>
          <w:spacing w:val="-5"/>
        </w:rPr>
        <w:t xml:space="preserve"> </w:t>
      </w:r>
      <w:r>
        <w:t>control</w:t>
      </w:r>
      <w:r>
        <w:rPr>
          <w:spacing w:val="-6"/>
        </w:rPr>
        <w:t xml:space="preserve"> </w:t>
      </w:r>
      <w:r>
        <w:t>interest</w:t>
      </w:r>
      <w:r>
        <w:rPr>
          <w:spacing w:val="-6"/>
        </w:rPr>
        <w:t xml:space="preserve"> </w:t>
      </w:r>
      <w:r>
        <w:t>of</w:t>
      </w:r>
      <w:r>
        <w:rPr>
          <w:spacing w:val="-6"/>
        </w:rPr>
        <w:t xml:space="preserve"> </w:t>
      </w:r>
      <w:r>
        <w:t>more</w:t>
      </w:r>
      <w:r>
        <w:rPr>
          <w:spacing w:val="-4"/>
        </w:rPr>
        <w:t xml:space="preserve"> </w:t>
      </w:r>
      <w:r>
        <w:t>than</w:t>
      </w:r>
      <w:r>
        <w:rPr>
          <w:spacing w:val="-2"/>
        </w:rPr>
        <w:t xml:space="preserve"> </w:t>
      </w:r>
      <w:r>
        <w:t>55%</w:t>
      </w:r>
      <w:r>
        <w:rPr>
          <w:spacing w:val="-8"/>
        </w:rPr>
        <w:t xml:space="preserve"> </w:t>
      </w:r>
      <w:r>
        <w:t>in the NOHC without prior approval from the Treasurer or a delegate of the</w:t>
      </w:r>
      <w:r>
        <w:rPr>
          <w:spacing w:val="-16"/>
        </w:rPr>
        <w:t xml:space="preserve"> </w:t>
      </w:r>
      <w:r>
        <w:t>Treasurer.</w:t>
      </w:r>
    </w:p>
    <w:p w14:paraId="33E1899E" w14:textId="77777777" w:rsidR="007225C8" w:rsidRDefault="007225C8">
      <w:pPr>
        <w:pStyle w:val="BodyText"/>
        <w:spacing w:before="1"/>
      </w:pPr>
    </w:p>
    <w:p w14:paraId="33E1899F" w14:textId="77777777" w:rsidR="007225C8" w:rsidRDefault="000046A1">
      <w:pPr>
        <w:pStyle w:val="ListParagraph"/>
        <w:numPr>
          <w:ilvl w:val="0"/>
          <w:numId w:val="1"/>
        </w:numPr>
        <w:tabs>
          <w:tab w:val="left" w:pos="708"/>
        </w:tabs>
        <w:ind w:right="135"/>
        <w:jc w:val="both"/>
      </w:pPr>
      <w:r>
        <w:t xml:space="preserve">Alexandra </w:t>
      </w:r>
      <w:proofErr w:type="spellStart"/>
      <w:r>
        <w:t>Crammond</w:t>
      </w:r>
      <w:proofErr w:type="spellEnd"/>
      <w:r>
        <w:t xml:space="preserve">, Colin Morgan, George </w:t>
      </w:r>
      <w:proofErr w:type="spellStart"/>
      <w:r>
        <w:t>Confos</w:t>
      </w:r>
      <w:proofErr w:type="spellEnd"/>
      <w:r>
        <w:t xml:space="preserve"> and Stephen Rix must not individually hold a direct control interest of more than 20% in the NOHC without prior approval from the Treasurer or a delegate of the</w:t>
      </w:r>
      <w:r>
        <w:rPr>
          <w:spacing w:val="-4"/>
        </w:rPr>
        <w:t xml:space="preserve"> </w:t>
      </w:r>
      <w:r>
        <w:t>Treasurer.</w:t>
      </w:r>
    </w:p>
    <w:p w14:paraId="33E189A0" w14:textId="77777777" w:rsidR="007225C8" w:rsidRDefault="007225C8">
      <w:pPr>
        <w:jc w:val="both"/>
        <w:sectPr w:rsidR="007225C8">
          <w:pgSz w:w="11910" w:h="16840"/>
          <w:pgMar w:top="1340" w:right="1300" w:bottom="940" w:left="1300" w:header="0" w:footer="750" w:gutter="0"/>
          <w:cols w:space="720"/>
        </w:sectPr>
      </w:pPr>
    </w:p>
    <w:p w14:paraId="33E189A1" w14:textId="77777777" w:rsidR="007225C8" w:rsidRDefault="000046A1">
      <w:pPr>
        <w:pStyle w:val="Heading2"/>
      </w:pPr>
      <w:r>
        <w:lastRenderedPageBreak/>
        <w:t>Interpretation</w:t>
      </w:r>
    </w:p>
    <w:p w14:paraId="33E189A2" w14:textId="77777777" w:rsidR="007225C8" w:rsidRDefault="000046A1">
      <w:pPr>
        <w:pStyle w:val="BodyText"/>
        <w:spacing w:before="120"/>
        <w:ind w:left="140"/>
      </w:pPr>
      <w:r>
        <w:t xml:space="preserve">In </w:t>
      </w:r>
      <w:r>
        <w:t>this schedule:</w:t>
      </w:r>
    </w:p>
    <w:p w14:paraId="33E189A3" w14:textId="77777777" w:rsidR="007225C8" w:rsidRDefault="000046A1">
      <w:pPr>
        <w:spacing w:before="120"/>
        <w:ind w:left="140"/>
        <w:rPr>
          <w:i/>
        </w:rPr>
      </w:pPr>
      <w:r>
        <w:rPr>
          <w:b/>
          <w:i/>
        </w:rPr>
        <w:t xml:space="preserve">banking business </w:t>
      </w:r>
      <w:r>
        <w:t xml:space="preserve">has the meaning given in 5 of the </w:t>
      </w:r>
      <w:r>
        <w:rPr>
          <w:i/>
        </w:rPr>
        <w:t>Banking Act 1959.</w:t>
      </w:r>
    </w:p>
    <w:p w14:paraId="33E189A4" w14:textId="77777777" w:rsidR="007225C8" w:rsidRDefault="000046A1">
      <w:pPr>
        <w:spacing w:before="122"/>
        <w:ind w:left="140"/>
      </w:pPr>
      <w:r>
        <w:rPr>
          <w:b/>
          <w:i/>
        </w:rPr>
        <w:t xml:space="preserve">direct control interest </w:t>
      </w:r>
      <w:r>
        <w:t>has the meaning given in clause 11 of Schedule 1 to the Act.</w:t>
      </w:r>
    </w:p>
    <w:p w14:paraId="33E189A5" w14:textId="77777777" w:rsidR="007225C8" w:rsidRDefault="000046A1">
      <w:pPr>
        <w:pStyle w:val="BodyText"/>
        <w:spacing w:before="119"/>
        <w:ind w:left="140"/>
      </w:pPr>
      <w:r>
        <w:rPr>
          <w:b/>
          <w:i/>
        </w:rPr>
        <w:t xml:space="preserve">LFG </w:t>
      </w:r>
      <w:r>
        <w:t>means Liberty Financial Group Limited.</w:t>
      </w:r>
    </w:p>
    <w:p w14:paraId="33E189A6" w14:textId="77777777" w:rsidR="007225C8" w:rsidRDefault="000046A1">
      <w:pPr>
        <w:spacing w:before="120"/>
        <w:ind w:left="140"/>
      </w:pPr>
      <w:r>
        <w:rPr>
          <w:b/>
          <w:i/>
        </w:rPr>
        <w:t xml:space="preserve">the ADI </w:t>
      </w:r>
      <w:r>
        <w:t>means Avenue Bank Limited.</w:t>
      </w:r>
    </w:p>
    <w:p w14:paraId="33E189A7" w14:textId="77777777" w:rsidR="007225C8" w:rsidRDefault="000046A1">
      <w:pPr>
        <w:pStyle w:val="BodyText"/>
        <w:spacing w:before="119"/>
        <w:ind w:left="140"/>
      </w:pPr>
      <w:r>
        <w:rPr>
          <w:b/>
          <w:i/>
        </w:rPr>
        <w:t xml:space="preserve">threshold day </w:t>
      </w:r>
      <w:r>
        <w:t>means the day that the value of the total resident assets of the ADI first exceeds the assets threshold for the ADI under subsection 14</w:t>
      </w:r>
      <w:proofErr w:type="gramStart"/>
      <w:r>
        <w:t>A(</w:t>
      </w:r>
      <w:proofErr w:type="gramEnd"/>
      <w:r>
        <w:t>6) of the Act.</w:t>
      </w:r>
    </w:p>
    <w:sectPr w:rsidR="007225C8">
      <w:pgSz w:w="11910" w:h="16840"/>
      <w:pgMar w:top="1340" w:right="1300" w:bottom="940" w:left="1300" w:header="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189B0" w14:textId="77777777" w:rsidR="00000000" w:rsidRDefault="000046A1">
      <w:r>
        <w:separator/>
      </w:r>
    </w:p>
  </w:endnote>
  <w:endnote w:type="continuationSeparator" w:id="0">
    <w:p w14:paraId="33E189B2" w14:textId="77777777" w:rsidR="00000000" w:rsidRDefault="0000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189AB" w14:textId="77777777" w:rsidR="007225C8" w:rsidRDefault="000046A1">
    <w:pPr>
      <w:pStyle w:val="BodyText"/>
      <w:spacing w:line="14" w:lineRule="auto"/>
      <w:rPr>
        <w:sz w:val="20"/>
      </w:rPr>
    </w:pPr>
    <w:r>
      <w:pict w14:anchorId="33E189AC">
        <v:shapetype id="_x0000_t202" coordsize="21600,21600" o:spt="202" path="m,l,21600r21600,l21600,xe">
          <v:stroke joinstyle="miter"/>
          <v:path gradientshapeok="t" o:connecttype="rect"/>
        </v:shapetype>
        <v:shape id="_x0000_s2049" type="#_x0000_t202" style="position:absolute;margin-left:481.5pt;margin-top:793.4pt;width:42.95pt;height:10.95pt;z-index:-251658752;mso-position-horizontal-relative:page;mso-position-vertical-relative:page" filled="f" stroked="f">
          <v:textbox inset="0,0,0,0">
            <w:txbxContent>
              <w:p w14:paraId="33E189AD" w14:textId="77777777" w:rsidR="007225C8" w:rsidRDefault="000046A1">
                <w:pPr>
                  <w:spacing w:before="14"/>
                  <w:ind w:left="20"/>
                  <w:rPr>
                    <w:sz w:val="16"/>
                  </w:rPr>
                </w:pPr>
                <w:r>
                  <w:rPr>
                    <w:sz w:val="16"/>
                  </w:rPr>
                  <w:t xml:space="preserve">Page </w:t>
                </w:r>
                <w:r>
                  <w:fldChar w:fldCharType="begin"/>
                </w:r>
                <w:r>
                  <w:rPr>
                    <w:sz w:val="16"/>
                  </w:rPr>
                  <w:instrText xml:space="preserve"> PAGE </w:instrText>
                </w:r>
                <w:r>
                  <w:fldChar w:fldCharType="separate"/>
                </w:r>
                <w:r>
                  <w:t>2</w:t>
                </w:r>
                <w:r>
                  <w:fldChar w:fldCharType="end"/>
                </w:r>
                <w:r>
                  <w:rPr>
                    <w:sz w:val="16"/>
                  </w:rPr>
                  <w:t xml:space="preserve"> of 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189AC" w14:textId="77777777" w:rsidR="00000000" w:rsidRDefault="000046A1">
      <w:r>
        <w:separator/>
      </w:r>
    </w:p>
  </w:footnote>
  <w:footnote w:type="continuationSeparator" w:id="0">
    <w:p w14:paraId="33E189AE" w14:textId="77777777" w:rsidR="00000000" w:rsidRDefault="00004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34D01"/>
    <w:multiLevelType w:val="hybridMultilevel"/>
    <w:tmpl w:val="BB149000"/>
    <w:lvl w:ilvl="0" w:tplc="F2C64922">
      <w:start w:val="1"/>
      <w:numFmt w:val="decimal"/>
      <w:lvlText w:val="%1."/>
      <w:lvlJc w:val="left"/>
      <w:pPr>
        <w:ind w:left="708" w:hanging="568"/>
        <w:jc w:val="left"/>
      </w:pPr>
      <w:rPr>
        <w:rFonts w:ascii="Arial" w:eastAsia="Arial" w:hAnsi="Arial" w:cs="Arial" w:hint="default"/>
        <w:spacing w:val="-2"/>
        <w:w w:val="99"/>
        <w:sz w:val="22"/>
        <w:szCs w:val="22"/>
        <w:lang w:val="en-US" w:eastAsia="en-US" w:bidi="en-US"/>
      </w:rPr>
    </w:lvl>
    <w:lvl w:ilvl="1" w:tplc="ECAC0026">
      <w:start w:val="1"/>
      <w:numFmt w:val="lowerLetter"/>
      <w:lvlText w:val="(%2)"/>
      <w:lvlJc w:val="left"/>
      <w:pPr>
        <w:ind w:left="1275" w:hanging="568"/>
        <w:jc w:val="left"/>
      </w:pPr>
      <w:rPr>
        <w:rFonts w:ascii="Arial" w:eastAsia="Arial" w:hAnsi="Arial" w:cs="Arial" w:hint="default"/>
        <w:spacing w:val="-1"/>
        <w:w w:val="99"/>
        <w:sz w:val="22"/>
        <w:szCs w:val="22"/>
        <w:lang w:val="en-US" w:eastAsia="en-US" w:bidi="en-US"/>
      </w:rPr>
    </w:lvl>
    <w:lvl w:ilvl="2" w:tplc="FA52C19E">
      <w:numFmt w:val="bullet"/>
      <w:lvlText w:val="•"/>
      <w:lvlJc w:val="left"/>
      <w:pPr>
        <w:ind w:left="2171" w:hanging="568"/>
      </w:pPr>
      <w:rPr>
        <w:rFonts w:hint="default"/>
        <w:lang w:val="en-US" w:eastAsia="en-US" w:bidi="en-US"/>
      </w:rPr>
    </w:lvl>
    <w:lvl w:ilvl="3" w:tplc="6E16BAA4">
      <w:numFmt w:val="bullet"/>
      <w:lvlText w:val="•"/>
      <w:lvlJc w:val="left"/>
      <w:pPr>
        <w:ind w:left="3063" w:hanging="568"/>
      </w:pPr>
      <w:rPr>
        <w:rFonts w:hint="default"/>
        <w:lang w:val="en-US" w:eastAsia="en-US" w:bidi="en-US"/>
      </w:rPr>
    </w:lvl>
    <w:lvl w:ilvl="4" w:tplc="9B50D10A">
      <w:numFmt w:val="bullet"/>
      <w:lvlText w:val="•"/>
      <w:lvlJc w:val="left"/>
      <w:pPr>
        <w:ind w:left="3955" w:hanging="568"/>
      </w:pPr>
      <w:rPr>
        <w:rFonts w:hint="default"/>
        <w:lang w:val="en-US" w:eastAsia="en-US" w:bidi="en-US"/>
      </w:rPr>
    </w:lvl>
    <w:lvl w:ilvl="5" w:tplc="1DFCC148">
      <w:numFmt w:val="bullet"/>
      <w:lvlText w:val="•"/>
      <w:lvlJc w:val="left"/>
      <w:pPr>
        <w:ind w:left="4846" w:hanging="568"/>
      </w:pPr>
      <w:rPr>
        <w:rFonts w:hint="default"/>
        <w:lang w:val="en-US" w:eastAsia="en-US" w:bidi="en-US"/>
      </w:rPr>
    </w:lvl>
    <w:lvl w:ilvl="6" w:tplc="9BF8EF16">
      <w:numFmt w:val="bullet"/>
      <w:lvlText w:val="•"/>
      <w:lvlJc w:val="left"/>
      <w:pPr>
        <w:ind w:left="5738" w:hanging="568"/>
      </w:pPr>
      <w:rPr>
        <w:rFonts w:hint="default"/>
        <w:lang w:val="en-US" w:eastAsia="en-US" w:bidi="en-US"/>
      </w:rPr>
    </w:lvl>
    <w:lvl w:ilvl="7" w:tplc="DBEA4A5A">
      <w:numFmt w:val="bullet"/>
      <w:lvlText w:val="•"/>
      <w:lvlJc w:val="left"/>
      <w:pPr>
        <w:ind w:left="6630" w:hanging="568"/>
      </w:pPr>
      <w:rPr>
        <w:rFonts w:hint="default"/>
        <w:lang w:val="en-US" w:eastAsia="en-US" w:bidi="en-US"/>
      </w:rPr>
    </w:lvl>
    <w:lvl w:ilvl="8" w:tplc="CE1A3D78">
      <w:numFmt w:val="bullet"/>
      <w:lvlText w:val="•"/>
      <w:lvlJc w:val="left"/>
      <w:pPr>
        <w:ind w:left="7521" w:hanging="568"/>
      </w:pPr>
      <w:rPr>
        <w:rFonts w:hint="default"/>
        <w:lang w:val="en-US" w:eastAsia="en-US" w:bidi="en-US"/>
      </w:rPr>
    </w:lvl>
  </w:abstractNum>
  <w:abstractNum w:abstractNumId="1" w15:restartNumberingAfterBreak="0">
    <w:nsid w:val="52E865C3"/>
    <w:multiLevelType w:val="hybridMultilevel"/>
    <w:tmpl w:val="78F23F3E"/>
    <w:lvl w:ilvl="0" w:tplc="BC768D38">
      <w:start w:val="1"/>
      <w:numFmt w:val="decimal"/>
      <w:lvlText w:val="%1."/>
      <w:lvlJc w:val="left"/>
      <w:pPr>
        <w:ind w:left="708" w:hanging="568"/>
        <w:jc w:val="left"/>
      </w:pPr>
      <w:rPr>
        <w:rFonts w:ascii="Arial" w:eastAsia="Arial" w:hAnsi="Arial" w:cs="Arial" w:hint="default"/>
        <w:spacing w:val="-2"/>
        <w:w w:val="99"/>
        <w:sz w:val="22"/>
        <w:szCs w:val="22"/>
        <w:lang w:val="en-US" w:eastAsia="en-US" w:bidi="en-US"/>
      </w:rPr>
    </w:lvl>
    <w:lvl w:ilvl="1" w:tplc="0C96519E">
      <w:numFmt w:val="bullet"/>
      <w:lvlText w:val="•"/>
      <w:lvlJc w:val="left"/>
      <w:pPr>
        <w:ind w:left="1560" w:hanging="568"/>
      </w:pPr>
      <w:rPr>
        <w:rFonts w:hint="default"/>
        <w:lang w:val="en-US" w:eastAsia="en-US" w:bidi="en-US"/>
      </w:rPr>
    </w:lvl>
    <w:lvl w:ilvl="2" w:tplc="6DAE1528">
      <w:numFmt w:val="bullet"/>
      <w:lvlText w:val="•"/>
      <w:lvlJc w:val="left"/>
      <w:pPr>
        <w:ind w:left="2421" w:hanging="568"/>
      </w:pPr>
      <w:rPr>
        <w:rFonts w:hint="default"/>
        <w:lang w:val="en-US" w:eastAsia="en-US" w:bidi="en-US"/>
      </w:rPr>
    </w:lvl>
    <w:lvl w:ilvl="3" w:tplc="18E0C82C">
      <w:numFmt w:val="bullet"/>
      <w:lvlText w:val="•"/>
      <w:lvlJc w:val="left"/>
      <w:pPr>
        <w:ind w:left="3281" w:hanging="568"/>
      </w:pPr>
      <w:rPr>
        <w:rFonts w:hint="default"/>
        <w:lang w:val="en-US" w:eastAsia="en-US" w:bidi="en-US"/>
      </w:rPr>
    </w:lvl>
    <w:lvl w:ilvl="4" w:tplc="C9602286">
      <w:numFmt w:val="bullet"/>
      <w:lvlText w:val="•"/>
      <w:lvlJc w:val="left"/>
      <w:pPr>
        <w:ind w:left="4142" w:hanging="568"/>
      </w:pPr>
      <w:rPr>
        <w:rFonts w:hint="default"/>
        <w:lang w:val="en-US" w:eastAsia="en-US" w:bidi="en-US"/>
      </w:rPr>
    </w:lvl>
    <w:lvl w:ilvl="5" w:tplc="BB6A53B8">
      <w:numFmt w:val="bullet"/>
      <w:lvlText w:val="•"/>
      <w:lvlJc w:val="left"/>
      <w:pPr>
        <w:ind w:left="5002" w:hanging="568"/>
      </w:pPr>
      <w:rPr>
        <w:rFonts w:hint="default"/>
        <w:lang w:val="en-US" w:eastAsia="en-US" w:bidi="en-US"/>
      </w:rPr>
    </w:lvl>
    <w:lvl w:ilvl="6" w:tplc="383A9C68">
      <w:numFmt w:val="bullet"/>
      <w:lvlText w:val="•"/>
      <w:lvlJc w:val="left"/>
      <w:pPr>
        <w:ind w:left="5863" w:hanging="568"/>
      </w:pPr>
      <w:rPr>
        <w:rFonts w:hint="default"/>
        <w:lang w:val="en-US" w:eastAsia="en-US" w:bidi="en-US"/>
      </w:rPr>
    </w:lvl>
    <w:lvl w:ilvl="7" w:tplc="F324506A">
      <w:numFmt w:val="bullet"/>
      <w:lvlText w:val="•"/>
      <w:lvlJc w:val="left"/>
      <w:pPr>
        <w:ind w:left="6723" w:hanging="568"/>
      </w:pPr>
      <w:rPr>
        <w:rFonts w:hint="default"/>
        <w:lang w:val="en-US" w:eastAsia="en-US" w:bidi="en-US"/>
      </w:rPr>
    </w:lvl>
    <w:lvl w:ilvl="8" w:tplc="6A326D62">
      <w:numFmt w:val="bullet"/>
      <w:lvlText w:val="•"/>
      <w:lvlJc w:val="left"/>
      <w:pPr>
        <w:ind w:left="7584" w:hanging="568"/>
      </w:pPr>
      <w:rPr>
        <w:rFonts w:hint="default"/>
        <w:lang w:val="en-US" w:eastAsia="en-US" w:bidi="en-US"/>
      </w:rPr>
    </w:lvl>
  </w:abstractNum>
  <w:abstractNum w:abstractNumId="2" w15:restartNumberingAfterBreak="0">
    <w:nsid w:val="6B2A66AA"/>
    <w:multiLevelType w:val="hybridMultilevel"/>
    <w:tmpl w:val="C040FCFA"/>
    <w:lvl w:ilvl="0" w:tplc="91643D86">
      <w:start w:val="1"/>
      <w:numFmt w:val="upperLetter"/>
      <w:lvlText w:val="%1."/>
      <w:lvlJc w:val="left"/>
      <w:pPr>
        <w:ind w:left="708" w:hanging="568"/>
        <w:jc w:val="left"/>
      </w:pPr>
      <w:rPr>
        <w:rFonts w:ascii="Arial" w:eastAsia="Arial" w:hAnsi="Arial" w:cs="Arial" w:hint="default"/>
        <w:w w:val="100"/>
        <w:sz w:val="22"/>
        <w:szCs w:val="22"/>
        <w:lang w:val="en-US" w:eastAsia="en-US" w:bidi="en-US"/>
      </w:rPr>
    </w:lvl>
    <w:lvl w:ilvl="1" w:tplc="C6484420">
      <w:numFmt w:val="bullet"/>
      <w:lvlText w:val="•"/>
      <w:lvlJc w:val="left"/>
      <w:pPr>
        <w:ind w:left="1560" w:hanging="568"/>
      </w:pPr>
      <w:rPr>
        <w:rFonts w:hint="default"/>
        <w:lang w:val="en-US" w:eastAsia="en-US" w:bidi="en-US"/>
      </w:rPr>
    </w:lvl>
    <w:lvl w:ilvl="2" w:tplc="05F26938">
      <w:numFmt w:val="bullet"/>
      <w:lvlText w:val="•"/>
      <w:lvlJc w:val="left"/>
      <w:pPr>
        <w:ind w:left="2421" w:hanging="568"/>
      </w:pPr>
      <w:rPr>
        <w:rFonts w:hint="default"/>
        <w:lang w:val="en-US" w:eastAsia="en-US" w:bidi="en-US"/>
      </w:rPr>
    </w:lvl>
    <w:lvl w:ilvl="3" w:tplc="0F1C1E3C">
      <w:numFmt w:val="bullet"/>
      <w:lvlText w:val="•"/>
      <w:lvlJc w:val="left"/>
      <w:pPr>
        <w:ind w:left="3281" w:hanging="568"/>
      </w:pPr>
      <w:rPr>
        <w:rFonts w:hint="default"/>
        <w:lang w:val="en-US" w:eastAsia="en-US" w:bidi="en-US"/>
      </w:rPr>
    </w:lvl>
    <w:lvl w:ilvl="4" w:tplc="47B456AA">
      <w:numFmt w:val="bullet"/>
      <w:lvlText w:val="•"/>
      <w:lvlJc w:val="left"/>
      <w:pPr>
        <w:ind w:left="4142" w:hanging="568"/>
      </w:pPr>
      <w:rPr>
        <w:rFonts w:hint="default"/>
        <w:lang w:val="en-US" w:eastAsia="en-US" w:bidi="en-US"/>
      </w:rPr>
    </w:lvl>
    <w:lvl w:ilvl="5" w:tplc="4FF61248">
      <w:numFmt w:val="bullet"/>
      <w:lvlText w:val="•"/>
      <w:lvlJc w:val="left"/>
      <w:pPr>
        <w:ind w:left="5002" w:hanging="568"/>
      </w:pPr>
      <w:rPr>
        <w:rFonts w:hint="default"/>
        <w:lang w:val="en-US" w:eastAsia="en-US" w:bidi="en-US"/>
      </w:rPr>
    </w:lvl>
    <w:lvl w:ilvl="6" w:tplc="B712BD7C">
      <w:numFmt w:val="bullet"/>
      <w:lvlText w:val="•"/>
      <w:lvlJc w:val="left"/>
      <w:pPr>
        <w:ind w:left="5863" w:hanging="568"/>
      </w:pPr>
      <w:rPr>
        <w:rFonts w:hint="default"/>
        <w:lang w:val="en-US" w:eastAsia="en-US" w:bidi="en-US"/>
      </w:rPr>
    </w:lvl>
    <w:lvl w:ilvl="7" w:tplc="C35C372A">
      <w:numFmt w:val="bullet"/>
      <w:lvlText w:val="•"/>
      <w:lvlJc w:val="left"/>
      <w:pPr>
        <w:ind w:left="6723" w:hanging="568"/>
      </w:pPr>
      <w:rPr>
        <w:rFonts w:hint="default"/>
        <w:lang w:val="en-US" w:eastAsia="en-US" w:bidi="en-US"/>
      </w:rPr>
    </w:lvl>
    <w:lvl w:ilvl="8" w:tplc="CE9E1F2C">
      <w:numFmt w:val="bullet"/>
      <w:lvlText w:val="•"/>
      <w:lvlJc w:val="left"/>
      <w:pPr>
        <w:ind w:left="7584" w:hanging="568"/>
      </w:pPr>
      <w:rPr>
        <w:rFonts w:hint="default"/>
        <w:lang w:val="en-US" w:eastAsia="en-US" w:bidi="en-US"/>
      </w:rPr>
    </w:lvl>
  </w:abstractNum>
  <w:abstractNum w:abstractNumId="3" w15:restartNumberingAfterBreak="0">
    <w:nsid w:val="6E5A492B"/>
    <w:multiLevelType w:val="hybridMultilevel"/>
    <w:tmpl w:val="73E48E5A"/>
    <w:lvl w:ilvl="0" w:tplc="85F2F640">
      <w:start w:val="1"/>
      <w:numFmt w:val="decimal"/>
      <w:lvlText w:val="%1."/>
      <w:lvlJc w:val="left"/>
      <w:pPr>
        <w:ind w:left="708" w:hanging="568"/>
        <w:jc w:val="left"/>
      </w:pPr>
      <w:rPr>
        <w:rFonts w:ascii="Arial" w:eastAsia="Arial" w:hAnsi="Arial" w:cs="Arial" w:hint="default"/>
        <w:spacing w:val="-31"/>
        <w:w w:val="99"/>
        <w:sz w:val="22"/>
        <w:szCs w:val="22"/>
        <w:lang w:val="en-US" w:eastAsia="en-US" w:bidi="en-US"/>
      </w:rPr>
    </w:lvl>
    <w:lvl w:ilvl="1" w:tplc="A054488A">
      <w:numFmt w:val="bullet"/>
      <w:lvlText w:val="•"/>
      <w:lvlJc w:val="left"/>
      <w:pPr>
        <w:ind w:left="1560" w:hanging="568"/>
      </w:pPr>
      <w:rPr>
        <w:rFonts w:hint="default"/>
        <w:lang w:val="en-US" w:eastAsia="en-US" w:bidi="en-US"/>
      </w:rPr>
    </w:lvl>
    <w:lvl w:ilvl="2" w:tplc="69A09E2E">
      <w:numFmt w:val="bullet"/>
      <w:lvlText w:val="•"/>
      <w:lvlJc w:val="left"/>
      <w:pPr>
        <w:ind w:left="2421" w:hanging="568"/>
      </w:pPr>
      <w:rPr>
        <w:rFonts w:hint="default"/>
        <w:lang w:val="en-US" w:eastAsia="en-US" w:bidi="en-US"/>
      </w:rPr>
    </w:lvl>
    <w:lvl w:ilvl="3" w:tplc="F79CDF64">
      <w:numFmt w:val="bullet"/>
      <w:lvlText w:val="•"/>
      <w:lvlJc w:val="left"/>
      <w:pPr>
        <w:ind w:left="3281" w:hanging="568"/>
      </w:pPr>
      <w:rPr>
        <w:rFonts w:hint="default"/>
        <w:lang w:val="en-US" w:eastAsia="en-US" w:bidi="en-US"/>
      </w:rPr>
    </w:lvl>
    <w:lvl w:ilvl="4" w:tplc="C0D6702C">
      <w:numFmt w:val="bullet"/>
      <w:lvlText w:val="•"/>
      <w:lvlJc w:val="left"/>
      <w:pPr>
        <w:ind w:left="4142" w:hanging="568"/>
      </w:pPr>
      <w:rPr>
        <w:rFonts w:hint="default"/>
        <w:lang w:val="en-US" w:eastAsia="en-US" w:bidi="en-US"/>
      </w:rPr>
    </w:lvl>
    <w:lvl w:ilvl="5" w:tplc="D2E8CBA6">
      <w:numFmt w:val="bullet"/>
      <w:lvlText w:val="•"/>
      <w:lvlJc w:val="left"/>
      <w:pPr>
        <w:ind w:left="5002" w:hanging="568"/>
      </w:pPr>
      <w:rPr>
        <w:rFonts w:hint="default"/>
        <w:lang w:val="en-US" w:eastAsia="en-US" w:bidi="en-US"/>
      </w:rPr>
    </w:lvl>
    <w:lvl w:ilvl="6" w:tplc="27042BF6">
      <w:numFmt w:val="bullet"/>
      <w:lvlText w:val="•"/>
      <w:lvlJc w:val="left"/>
      <w:pPr>
        <w:ind w:left="5863" w:hanging="568"/>
      </w:pPr>
      <w:rPr>
        <w:rFonts w:hint="default"/>
        <w:lang w:val="en-US" w:eastAsia="en-US" w:bidi="en-US"/>
      </w:rPr>
    </w:lvl>
    <w:lvl w:ilvl="7" w:tplc="091AAAEC">
      <w:numFmt w:val="bullet"/>
      <w:lvlText w:val="•"/>
      <w:lvlJc w:val="left"/>
      <w:pPr>
        <w:ind w:left="6723" w:hanging="568"/>
      </w:pPr>
      <w:rPr>
        <w:rFonts w:hint="default"/>
        <w:lang w:val="en-US" w:eastAsia="en-US" w:bidi="en-US"/>
      </w:rPr>
    </w:lvl>
    <w:lvl w:ilvl="8" w:tplc="C91CAA34">
      <w:numFmt w:val="bullet"/>
      <w:lvlText w:val="•"/>
      <w:lvlJc w:val="left"/>
      <w:pPr>
        <w:ind w:left="7584" w:hanging="568"/>
      </w:pPr>
      <w:rPr>
        <w:rFonts w:hint="default"/>
        <w:lang w:val="en-US" w:eastAsia="en-US" w:bidi="en-U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225C8"/>
    <w:rsid w:val="000046A1"/>
    <w:rsid w:val="007225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E18943"/>
  <w15:docId w15:val="{E5A81B92-6402-41A2-A7AB-196890FF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jc w:val="both"/>
      <w:outlineLvl w:val="0"/>
    </w:pPr>
    <w:rPr>
      <w:b/>
      <w:bCs/>
      <w:sz w:val="32"/>
      <w:szCs w:val="32"/>
    </w:rPr>
  </w:style>
  <w:style w:type="paragraph" w:styleId="Heading2">
    <w:name w:val="heading 2"/>
    <w:basedOn w:val="Normal"/>
    <w:uiPriority w:val="9"/>
    <w:unhideWhenUsed/>
    <w:qFormat/>
    <w:pPr>
      <w:spacing w:before="78"/>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08" w:hanging="5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b37d8d7e823543f58f89056343a9035c xmlns="814d62cb-2db6-4c25-ab62-b9075facbc11">
      <Terms xmlns="http://schemas.microsoft.com/office/infopath/2007/PartnerControls"/>
    </b37d8d7e823543f58f89056343a9035c>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_dlc_DocId xmlns="814d62cb-2db6-4c25-ab62-b9075facbc11">5JENXJJSCC7A-445999044-11546</_dlc_DocId>
    <TaxCatchAll xmlns="814d62cb-2db6-4c25-ab62-b9075facbc11">
      <Value>24</Value>
      <Value>83</Value>
      <Value>134</Value>
      <Value>26</Value>
      <Value>109</Value>
      <Value>93</Value>
      <Value>58</Value>
      <Value>230</Value>
      <Value>4</Value>
      <Value>19</Value>
    </TaxCatchAll>
    <_dlc_DocIdUrl xmlns="814d62cb-2db6-4c25-ab62-b9075facbc11">
      <Url>https://im/teams/LEGAL/_layouts/15/DocIdRedir.aspx?ID=5JENXJJSCC7A-445999044-11546</Url>
      <Description>5JENXJJSCC7A-445999044-11546</Description>
    </_dlc_DocIdUr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APRADescription xmlns="814d62cb-2db6-4c25-ab62-b9075facbc11">Approval to hold a stake of more than 20% in a financial sector company No. 18 of 2021</APRADescription>
    <APRAActivityID xmlns="814d62cb-2db6-4c25-ab62-b9075facbc11" xsi:nil="true"/>
    <APRADocScanCheck xmlns="814d62cb-2db6-4c25-ab62-b9075facbc11">false</APRADocScanCheck>
  </documentManagement>
</p:properties>
</file>

<file path=customXml/itemProps1.xml><?xml version="1.0" encoding="utf-8"?>
<ds:datastoreItem xmlns:ds="http://schemas.openxmlformats.org/officeDocument/2006/customXml" ds:itemID="{7351B335-4B44-4057-86A4-F14F435273CB}">
  <ds:schemaRefs>
    <ds:schemaRef ds:uri="http://schemas.microsoft.com/sharepoint/v3/contenttype/forms"/>
  </ds:schemaRefs>
</ds:datastoreItem>
</file>

<file path=customXml/itemProps2.xml><?xml version="1.0" encoding="utf-8"?>
<ds:datastoreItem xmlns:ds="http://schemas.openxmlformats.org/officeDocument/2006/customXml" ds:itemID="{C7F7A0D8-4F5D-40A8-8644-E0E5EC23E520}">
  <ds:schemaRefs>
    <ds:schemaRef ds:uri="http://schemas.microsoft.com/sharepoint/events"/>
  </ds:schemaRefs>
</ds:datastoreItem>
</file>

<file path=customXml/itemProps3.xml><?xml version="1.0" encoding="utf-8"?>
<ds:datastoreItem xmlns:ds="http://schemas.openxmlformats.org/officeDocument/2006/customXml" ds:itemID="{2DB5F8C5-74EE-41E2-8C11-39E0EE056B72}">
  <ds:schemaRefs>
    <ds:schemaRef ds:uri="Microsoft.SharePoint.Taxonomy.ContentTypeSync"/>
  </ds:schemaRefs>
</ds:datastoreItem>
</file>

<file path=customXml/itemProps4.xml><?xml version="1.0" encoding="utf-8"?>
<ds:datastoreItem xmlns:ds="http://schemas.openxmlformats.org/officeDocument/2006/customXml" ds:itemID="{03CDA2AF-1051-49D0-BA0E-AF496FC54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F276A0-18D7-47A0-B684-E0FD7FDC0ED5}">
  <ds:schemaRefs>
    <ds:schemaRef ds:uri="http://schemas.microsoft.com/office/2006/metadata/properties"/>
    <ds:schemaRef ds:uri="814d62cb-2db6-4c25-ab62-b9075facbc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1135</Words>
  <Characters>5669</Characters>
  <Application>Microsoft Office Word</Application>
  <DocSecurity>0</DocSecurity>
  <Lines>145</Lines>
  <Paragraphs>79</Paragraphs>
  <ScaleCrop>false</ScaleCrop>
  <HeadingPairs>
    <vt:vector size="2" baseType="variant">
      <vt:variant>
        <vt:lpstr>Title</vt:lpstr>
      </vt:variant>
      <vt:variant>
        <vt:i4>1</vt:i4>
      </vt:variant>
    </vt:vector>
  </HeadingPairs>
  <TitlesOfParts>
    <vt:vector size="1" baseType="lpstr">
      <vt:lpstr>FSSA s14(1)(b) approval - Avenue Hold Limited</vt:lpstr>
    </vt:vector>
  </TitlesOfParts>
  <Company>APRA</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Avenue Hold Limited - LFGL - 070921</dc:title>
  <dc:creator>Tran, Nicky</dc:creator>
  <cp:keywords> [SEC=OFFICIAL]</cp:keywords>
  <cp:lastModifiedBy>Michalis, Toni</cp:lastModifiedBy>
  <cp:revision>2</cp:revision>
  <dcterms:created xsi:type="dcterms:W3CDTF">2021-09-08T09:00:00Z</dcterms:created>
  <dcterms:modified xsi:type="dcterms:W3CDTF">2021-09-08T09:02:00Z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Creator">
    <vt:lpwstr>Microsoft Word</vt:lpwstr>
  </property>
  <property fmtid="{D5CDD505-2E9C-101B-9397-08002B2CF9AE}" pid="4" name="LastSaved">
    <vt:filetime>2021-09-08T00:00:00Z</vt:filetime>
  </property>
  <property fmtid="{D5CDD505-2E9C-101B-9397-08002B2CF9AE}" pid="5" name="APRAPeriod">
    <vt:lpwstr/>
  </property>
  <property fmtid="{D5CDD505-2E9C-101B-9397-08002B2CF9AE}" pid="6" name="APRACostCentre">
    <vt:lpwstr>24;#Legal - ADI|652d8d2a-ab45-47b4-ac6e-fe6ac9299b39;#83;#Legal - Insurance: Life|56f18b50-6605-4f3f-97e3-cad1cb5394e0;#93;#Legal - Insurance: Health|21611e62-d688-4f0d-8807-02701cc43699;#26;#Legal - Insurance: General|8229dc1a-d7f2-47b2-844a-b026fed0c13d;#134;#Legal - Superannuation|cce3181d-fd23-4eee-94d3-c66abc2350cf;#4;#Legal - Resolution ＆ Corporate|696624b1-19f4-47b2-a07b-57868a922a96</vt:lpwstr>
  </property>
  <property fmtid="{D5CDD505-2E9C-101B-9397-08002B2CF9AE}" pid="7" name="APRALegislation">
    <vt:lpwstr/>
  </property>
  <property fmtid="{D5CDD505-2E9C-101B-9397-08002B2CF9AE}" pid="8" name="APRAYear">
    <vt:lpwstr>230;#2021|0e1e43df-81ea-47af-89d8-970d5d5956ff</vt:lpwstr>
  </property>
  <property fmtid="{D5CDD505-2E9C-101B-9397-08002B2CF9AE}" pid="9" name="APRAIndustry">
    <vt:lpwstr/>
  </property>
  <property fmtid="{D5CDD505-2E9C-101B-9397-08002B2CF9AE}" pid="10" name="ContentTypeId">
    <vt:lpwstr>0x0101008CA7A4F8331B45C7B0D3158B4994D0CA0200577EC0F5A1FBFC498F9A8436B963F8A6</vt:lpwstr>
  </property>
  <property fmtid="{D5CDD505-2E9C-101B-9397-08002B2CF9AE}" pid="11" name="_dlc_DocIdItemGuid">
    <vt:lpwstr>bc39424a-89fb-420c-9e5b-7d22dc38dbf3</vt:lpwstr>
  </property>
  <property fmtid="{D5CDD505-2E9C-101B-9397-08002B2CF9AE}" pid="12" name="APRAPRSG">
    <vt:lpwstr/>
  </property>
  <property fmtid="{D5CDD505-2E9C-101B-9397-08002B2CF9AE}" pid="13" name="IsLocked">
    <vt:lpwstr>False</vt:lpwstr>
  </property>
  <property fmtid="{D5CDD505-2E9C-101B-9397-08002B2CF9AE}" pid="14" name="APRAStatus">
    <vt:lpwstr>19;#Final|84d6b2d0-8498-4d62-bf46-bab38babbe9e</vt:lpwstr>
  </property>
  <property fmtid="{D5CDD505-2E9C-101B-9397-08002B2CF9AE}" pid="15" name="PM_ProtectiveMarkingImage_Header">
    <vt:lpwstr>C:\Program Files\Common Files\janusNET Shared\janusSEAL\Images\DocumentSlashBlue.png</vt:lpwstr>
  </property>
  <property fmtid="{D5CDD505-2E9C-101B-9397-08002B2CF9AE}" pid="16" name="PM_Caveats_Count">
    <vt:lpwstr>0</vt:lpwstr>
  </property>
  <property fmtid="{D5CDD505-2E9C-101B-9397-08002B2CF9AE}" pid="17" name="PM_DisplayValueSecClassificationWithQualifier">
    <vt:lpwstr>OFFICIAL</vt:lpwstr>
  </property>
  <property fmtid="{D5CDD505-2E9C-101B-9397-08002B2CF9AE}" pid="18" name="PM_Qualifier">
    <vt:lpwstr/>
  </property>
  <property fmtid="{D5CDD505-2E9C-101B-9397-08002B2CF9AE}" pid="19" name="PM_SecurityClassification">
    <vt:lpwstr>OFFICIAL</vt:lpwstr>
  </property>
  <property fmtid="{D5CDD505-2E9C-101B-9397-08002B2CF9AE}" pid="20" name="PM_InsertionValue">
    <vt:lpwstr>OFFICIAL</vt:lpwstr>
  </property>
  <property fmtid="{D5CDD505-2E9C-101B-9397-08002B2CF9AE}" pid="21" name="PM_Originating_FileId">
    <vt:lpwstr>870E6815AAFB4068AFC2AED1426F40D4</vt:lpwstr>
  </property>
  <property fmtid="{D5CDD505-2E9C-101B-9397-08002B2CF9AE}" pid="22" name="PM_ProtectiveMarkingValue_Footer">
    <vt:lpwstr>OFFICIAL</vt:lpwstr>
  </property>
  <property fmtid="{D5CDD505-2E9C-101B-9397-08002B2CF9AE}" pid="23" name="PM_Originator_Hash_SHA1">
    <vt:lpwstr>C3AD57350F36D8E1BD75F8F67CB06D435C9C43CA</vt:lpwstr>
  </property>
  <property fmtid="{D5CDD505-2E9C-101B-9397-08002B2CF9AE}" pid="24" name="PM_OriginationTimeStamp">
    <vt:lpwstr>2021-09-08T09:02:39Z</vt:lpwstr>
  </property>
  <property fmtid="{D5CDD505-2E9C-101B-9397-08002B2CF9AE}" pid="25" name="PM_ProtectiveMarkingValue_Header">
    <vt:lpwstr>OFFICIAL</vt:lpwstr>
  </property>
  <property fmtid="{D5CDD505-2E9C-101B-9397-08002B2CF9AE}" pid="26" name="PM_ProtectiveMarkingImage_Footer">
    <vt:lpwstr>C:\Program Files\Common Files\janusNET Shared\janusSEAL\Images\DocumentSlashBlue.png</vt:lpwstr>
  </property>
  <property fmtid="{D5CDD505-2E9C-101B-9397-08002B2CF9AE}" pid="27" name="PM_Namespace">
    <vt:lpwstr>gov.au</vt:lpwstr>
  </property>
  <property fmtid="{D5CDD505-2E9C-101B-9397-08002B2CF9AE}" pid="28" name="PM_Version">
    <vt:lpwstr>2018.3</vt:lpwstr>
  </property>
  <property fmtid="{D5CDD505-2E9C-101B-9397-08002B2CF9AE}" pid="29" name="PM_Note">
    <vt:lpwstr/>
  </property>
  <property fmtid="{D5CDD505-2E9C-101B-9397-08002B2CF9AE}" pid="30" name="PM_Markers">
    <vt:lpwstr/>
  </property>
  <property fmtid="{D5CDD505-2E9C-101B-9397-08002B2CF9AE}" pid="31" name="PM_Hash_Version">
    <vt:lpwstr>2018.0</vt:lpwstr>
  </property>
  <property fmtid="{D5CDD505-2E9C-101B-9397-08002B2CF9AE}" pid="32" name="PM_Hash_Salt_Prev">
    <vt:lpwstr>667966C56FB1FBA0C0DDE0B7BF91C3F5</vt:lpwstr>
  </property>
  <property fmtid="{D5CDD505-2E9C-101B-9397-08002B2CF9AE}" pid="33" name="PM_Hash_Salt">
    <vt:lpwstr>E3F9D705D497F51D28F0BCF995EE80FA</vt:lpwstr>
  </property>
  <property fmtid="{D5CDD505-2E9C-101B-9397-08002B2CF9AE}" pid="34" name="PM_Hash_SHA1">
    <vt:lpwstr>DEADF65412C32BF8999F44CAC3A6264819969443</vt:lpwstr>
  </property>
  <property fmtid="{D5CDD505-2E9C-101B-9397-08002B2CF9AE}" pid="35" name="PM_SecurityClassification_Prev">
    <vt:lpwstr>OFFICIAL</vt:lpwstr>
  </property>
  <property fmtid="{D5CDD505-2E9C-101B-9397-08002B2CF9AE}" pid="36" name="PM_Qualifier_Prev">
    <vt:lpwstr/>
  </property>
  <property fmtid="{D5CDD505-2E9C-101B-9397-08002B2CF9AE}" pid="37" name="IT system type">
    <vt:lpwstr/>
  </property>
  <property fmtid="{D5CDD505-2E9C-101B-9397-08002B2CF9AE}" pid="38" name="APRACategory">
    <vt:lpwstr/>
  </property>
  <property fmtid="{D5CDD505-2E9C-101B-9397-08002B2CF9AE}" pid="39" name="APRADocumentType">
    <vt:lpwstr>58;#Legal instrument|71fd6ed3-d6d6-4975-ba99-bfe45802e734</vt:lpwstr>
  </property>
  <property fmtid="{D5CDD505-2E9C-101B-9397-08002B2CF9AE}" pid="40" name="APRAActivity">
    <vt:lpwstr>109;#Statutory instrument|fe68928c-5a9c-4caf-bc8c-6c18cedcb17f</vt:lpwstr>
  </property>
  <property fmtid="{D5CDD505-2E9C-101B-9397-08002B2CF9AE}" pid="41" name="APRAEntityAdviceSupport">
    <vt:lpwstr/>
  </property>
  <property fmtid="{D5CDD505-2E9C-101B-9397-08002B2CF9AE}" pid="42" name="APRAExternalOrganisation">
    <vt:lpwstr/>
  </property>
  <property fmtid="{D5CDD505-2E9C-101B-9397-08002B2CF9AE}" pid="43" name="APRAIRTR">
    <vt:lpwstr/>
  </property>
  <property fmtid="{D5CDD505-2E9C-101B-9397-08002B2CF9AE}" pid="44" name="RecordPoint_WorkflowType">
    <vt:lpwstr>ActiveSubmitStub</vt:lpwstr>
  </property>
  <property fmtid="{D5CDD505-2E9C-101B-9397-08002B2CF9AE}" pid="45" name="RecordPoint_ActiveItemSiteId">
    <vt:lpwstr>{88691c01-5bbb-4215-adc0-66cb7065b0af}</vt:lpwstr>
  </property>
  <property fmtid="{D5CDD505-2E9C-101B-9397-08002B2CF9AE}" pid="46" name="RecordPoint_ActiveItemListId">
    <vt:lpwstr>{0e59e171-09d8-4401-800a-327154450cb3}</vt:lpwstr>
  </property>
  <property fmtid="{D5CDD505-2E9C-101B-9397-08002B2CF9AE}" pid="47" name="RecordPoint_ActiveItemUniqueId">
    <vt:lpwstr>{bc39424a-89fb-420c-9e5b-7d22dc38dbf3}</vt:lpwstr>
  </property>
  <property fmtid="{D5CDD505-2E9C-101B-9397-08002B2CF9AE}" pid="48" name="RecordPoint_ActiveItemWebId">
    <vt:lpwstr>{75a71c27-8d66-4282-ae60-1bfc22a83be1}</vt:lpwstr>
  </property>
</Properties>
</file>