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CAA66" w14:textId="77777777" w:rsidR="00FA06CA" w:rsidRPr="007276F7" w:rsidRDefault="00FA06CA" w:rsidP="00D63663">
      <w:pPr>
        <w:rPr>
          <w:sz w:val="28"/>
        </w:rPr>
      </w:pPr>
      <w:bookmarkStart w:id="0" w:name="_GoBack"/>
      <w:r w:rsidRPr="007276F7">
        <w:rPr>
          <w:noProof/>
          <w:lang w:eastAsia="en-AU"/>
        </w:rPr>
        <w:drawing>
          <wp:inline distT="0" distB="0" distL="0" distR="0" wp14:anchorId="59ED0F45" wp14:editId="66B0E7B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E71DFB9" w14:textId="77777777" w:rsidR="00FA06CA" w:rsidRPr="007276F7" w:rsidRDefault="00FA06CA" w:rsidP="00D63663">
      <w:pPr>
        <w:rPr>
          <w:sz w:val="19"/>
        </w:rPr>
      </w:pPr>
    </w:p>
    <w:p w14:paraId="31A09FCA" w14:textId="0BF223FE" w:rsidR="00FA06CA" w:rsidRPr="007276F7" w:rsidRDefault="008A3E57" w:rsidP="00D63663">
      <w:pPr>
        <w:pStyle w:val="ShortT"/>
      </w:pPr>
      <w:r w:rsidRPr="007276F7">
        <w:t>Financial Regulator Assessment Authority (</w:t>
      </w:r>
      <w:r w:rsidR="00CD4D13">
        <w:t>Staff and Consultants</w:t>
      </w:r>
      <w:r w:rsidRPr="007276F7">
        <w:t>) Delegations</w:t>
      </w:r>
      <w:r w:rsidR="007276F7" w:rsidRPr="007276F7">
        <w:t> </w:t>
      </w:r>
      <w:r w:rsidRPr="007276F7">
        <w:t>2021</w:t>
      </w:r>
    </w:p>
    <w:p w14:paraId="7A1ECB37" w14:textId="1CAB23DA" w:rsidR="00FA06CA" w:rsidRPr="007276F7" w:rsidRDefault="00CD4D13" w:rsidP="00D63663">
      <w:pPr>
        <w:pStyle w:val="SignCoverPageStart"/>
        <w:spacing w:before="240"/>
        <w:rPr>
          <w:szCs w:val="22"/>
        </w:rPr>
      </w:pPr>
      <w:r w:rsidRPr="00364612">
        <w:rPr>
          <w:szCs w:val="22"/>
        </w:rPr>
        <w:t xml:space="preserve">I, Steven Kennedy, Secretary to the Department of the Treasury, make the following </w:t>
      </w:r>
      <w:r>
        <w:rPr>
          <w:szCs w:val="22"/>
        </w:rPr>
        <w:t>delegations</w:t>
      </w:r>
      <w:r w:rsidRPr="00364612">
        <w:rPr>
          <w:szCs w:val="22"/>
        </w:rPr>
        <w:t>.</w:t>
      </w:r>
    </w:p>
    <w:p w14:paraId="0A66FE16" w14:textId="0B65FBCB" w:rsidR="00FA06CA" w:rsidRPr="007276F7" w:rsidRDefault="00FA06CA" w:rsidP="00D63663">
      <w:pPr>
        <w:keepNext/>
        <w:spacing w:before="720" w:line="240" w:lineRule="atLeast"/>
        <w:ind w:right="397"/>
        <w:jc w:val="both"/>
        <w:rPr>
          <w:szCs w:val="22"/>
        </w:rPr>
      </w:pPr>
      <w:r w:rsidRPr="007276F7">
        <w:rPr>
          <w:szCs w:val="22"/>
        </w:rPr>
        <w:t xml:space="preserve">Dated </w:t>
      </w:r>
      <w:r w:rsidRPr="007276F7">
        <w:rPr>
          <w:szCs w:val="22"/>
        </w:rPr>
        <w:tab/>
      </w:r>
      <w:r w:rsidRPr="007276F7">
        <w:rPr>
          <w:szCs w:val="22"/>
        </w:rPr>
        <w:tab/>
      </w:r>
      <w:r w:rsidR="005E34DB">
        <w:rPr>
          <w:szCs w:val="22"/>
        </w:rPr>
        <w:t xml:space="preserve">4 November </w:t>
      </w:r>
      <w:r w:rsidR="00982634" w:rsidRPr="007276F7">
        <w:rPr>
          <w:szCs w:val="22"/>
        </w:rPr>
        <w:t>2021</w:t>
      </w:r>
    </w:p>
    <w:p w14:paraId="779411D7" w14:textId="014BDA52" w:rsidR="00FA06CA" w:rsidRPr="007276F7" w:rsidRDefault="00FA06CA" w:rsidP="00D6366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067D53B4" w14:textId="0E0B7F80" w:rsidR="00FA06CA" w:rsidRPr="007276F7" w:rsidRDefault="00CD4D13" w:rsidP="00D6366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Steven Kennedy</w:t>
      </w:r>
    </w:p>
    <w:p w14:paraId="1100D7C4" w14:textId="696CF000" w:rsidR="00FA06CA" w:rsidRPr="007276F7" w:rsidRDefault="00CD4D13" w:rsidP="00D63663">
      <w:pPr>
        <w:pStyle w:val="SignCoverPageEnd"/>
        <w:rPr>
          <w:szCs w:val="22"/>
        </w:rPr>
      </w:pPr>
      <w:r>
        <w:rPr>
          <w:szCs w:val="22"/>
        </w:rPr>
        <w:t>Secretary</w:t>
      </w:r>
      <w:r w:rsidR="00982634" w:rsidRPr="007276F7">
        <w:rPr>
          <w:szCs w:val="22"/>
        </w:rPr>
        <w:br/>
      </w:r>
      <w:r>
        <w:rPr>
          <w:szCs w:val="22"/>
        </w:rPr>
        <w:t>Department of the Treasury</w:t>
      </w:r>
    </w:p>
    <w:p w14:paraId="68623698" w14:textId="77777777" w:rsidR="00FA06CA" w:rsidRPr="007276F7" w:rsidRDefault="00FA06CA" w:rsidP="00D63663"/>
    <w:p w14:paraId="1AD54E7F" w14:textId="77777777" w:rsidR="00FA06CA" w:rsidRPr="007276F7" w:rsidRDefault="00FA06CA" w:rsidP="00D63663">
      <w:pPr>
        <w:pStyle w:val="Header"/>
        <w:tabs>
          <w:tab w:val="clear" w:pos="4150"/>
          <w:tab w:val="clear" w:pos="8307"/>
        </w:tabs>
      </w:pPr>
      <w:r w:rsidRPr="007276F7">
        <w:rPr>
          <w:rStyle w:val="CharChapNo"/>
        </w:rPr>
        <w:t xml:space="preserve"> </w:t>
      </w:r>
      <w:r w:rsidRPr="007276F7">
        <w:rPr>
          <w:rStyle w:val="CharChapText"/>
        </w:rPr>
        <w:t xml:space="preserve"> </w:t>
      </w:r>
    </w:p>
    <w:p w14:paraId="0431197C" w14:textId="77777777" w:rsidR="00FA06CA" w:rsidRPr="007276F7" w:rsidRDefault="00FA06CA" w:rsidP="00D63663">
      <w:pPr>
        <w:pStyle w:val="Header"/>
        <w:tabs>
          <w:tab w:val="clear" w:pos="4150"/>
          <w:tab w:val="clear" w:pos="8307"/>
        </w:tabs>
      </w:pPr>
      <w:r w:rsidRPr="007276F7">
        <w:rPr>
          <w:rStyle w:val="CharPartNo"/>
        </w:rPr>
        <w:t xml:space="preserve"> </w:t>
      </w:r>
      <w:r w:rsidRPr="007276F7">
        <w:rPr>
          <w:rStyle w:val="CharPartText"/>
        </w:rPr>
        <w:t xml:space="preserve"> </w:t>
      </w:r>
    </w:p>
    <w:p w14:paraId="6AAB5820" w14:textId="77777777" w:rsidR="00FA06CA" w:rsidRPr="007276F7" w:rsidRDefault="00FA06CA" w:rsidP="00D63663">
      <w:pPr>
        <w:pStyle w:val="Header"/>
        <w:tabs>
          <w:tab w:val="clear" w:pos="4150"/>
          <w:tab w:val="clear" w:pos="8307"/>
        </w:tabs>
      </w:pPr>
      <w:r w:rsidRPr="007276F7">
        <w:rPr>
          <w:rStyle w:val="CharDivNo"/>
        </w:rPr>
        <w:t xml:space="preserve"> </w:t>
      </w:r>
      <w:r w:rsidRPr="007276F7">
        <w:rPr>
          <w:rStyle w:val="CharDivText"/>
        </w:rPr>
        <w:t xml:space="preserve"> </w:t>
      </w:r>
    </w:p>
    <w:p w14:paraId="4A60B8AA" w14:textId="77777777" w:rsidR="00FA06CA" w:rsidRPr="007276F7" w:rsidRDefault="00FA06CA" w:rsidP="00D63663">
      <w:pPr>
        <w:sectPr w:rsidR="00FA06CA" w:rsidRPr="007276F7" w:rsidSect="007276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B9920F4" w14:textId="77777777" w:rsidR="00FA06CA" w:rsidRPr="007276F7" w:rsidRDefault="00FA06CA" w:rsidP="00D63663">
      <w:pPr>
        <w:rPr>
          <w:sz w:val="36"/>
        </w:rPr>
      </w:pPr>
      <w:r w:rsidRPr="007276F7">
        <w:rPr>
          <w:sz w:val="36"/>
        </w:rPr>
        <w:lastRenderedPageBreak/>
        <w:t>Contents</w:t>
      </w:r>
    </w:p>
    <w:p w14:paraId="4665D0EF" w14:textId="0668AA6D" w:rsidR="007905E6" w:rsidRDefault="00FA06CA" w:rsidP="00D6366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276F7">
        <w:fldChar w:fldCharType="begin"/>
      </w:r>
      <w:r w:rsidRPr="007276F7">
        <w:instrText xml:space="preserve"> TOC \o "1-9" </w:instrText>
      </w:r>
      <w:r w:rsidRPr="007276F7">
        <w:fldChar w:fldCharType="separate"/>
      </w:r>
      <w:r w:rsidR="007905E6">
        <w:rPr>
          <w:noProof/>
        </w:rPr>
        <w:t>Part 1—Preliminary</w:t>
      </w:r>
      <w:r w:rsidR="007905E6">
        <w:rPr>
          <w:noProof/>
        </w:rPr>
        <w:tab/>
      </w:r>
      <w:r w:rsidR="007905E6" w:rsidRPr="007905E6">
        <w:rPr>
          <w:b w:val="0"/>
          <w:noProof/>
          <w:sz w:val="18"/>
        </w:rPr>
        <w:fldChar w:fldCharType="begin"/>
      </w:r>
      <w:r w:rsidR="007905E6" w:rsidRPr="007905E6">
        <w:rPr>
          <w:b w:val="0"/>
          <w:noProof/>
          <w:sz w:val="18"/>
        </w:rPr>
        <w:instrText xml:space="preserve"> PAGEREF _Toc80900844 \h </w:instrText>
      </w:r>
      <w:r w:rsidR="007905E6" w:rsidRPr="007905E6">
        <w:rPr>
          <w:b w:val="0"/>
          <w:noProof/>
          <w:sz w:val="18"/>
        </w:rPr>
      </w:r>
      <w:r w:rsidR="007905E6" w:rsidRPr="007905E6">
        <w:rPr>
          <w:b w:val="0"/>
          <w:noProof/>
          <w:sz w:val="18"/>
        </w:rPr>
        <w:fldChar w:fldCharType="separate"/>
      </w:r>
      <w:r w:rsidR="00333E7B">
        <w:rPr>
          <w:b w:val="0"/>
          <w:noProof/>
          <w:sz w:val="18"/>
        </w:rPr>
        <w:t>1</w:t>
      </w:r>
      <w:r w:rsidR="007905E6" w:rsidRPr="007905E6">
        <w:rPr>
          <w:b w:val="0"/>
          <w:noProof/>
          <w:sz w:val="18"/>
        </w:rPr>
        <w:fldChar w:fldCharType="end"/>
      </w:r>
    </w:p>
    <w:p w14:paraId="4B0D2C34" w14:textId="6781CAFF" w:rsidR="007905E6" w:rsidRDefault="007905E6" w:rsidP="00D636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_Toc80900845 \h </w:instrText>
      </w:r>
      <w:r>
        <w:rPr>
          <w:noProof/>
        </w:rPr>
      </w:r>
      <w:r>
        <w:rPr>
          <w:noProof/>
        </w:rPr>
        <w:fldChar w:fldCharType="separate"/>
      </w:r>
      <w:r w:rsidR="00333E7B">
        <w:rPr>
          <w:noProof/>
        </w:rPr>
        <w:t>1</w:t>
      </w:r>
      <w:r>
        <w:rPr>
          <w:noProof/>
        </w:rPr>
        <w:fldChar w:fldCharType="end"/>
      </w:r>
    </w:p>
    <w:p w14:paraId="53659664" w14:textId="5F12789C" w:rsidR="007905E6" w:rsidRDefault="007905E6" w:rsidP="00D636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_Toc80900846 \h </w:instrText>
      </w:r>
      <w:r>
        <w:rPr>
          <w:noProof/>
        </w:rPr>
      </w:r>
      <w:r>
        <w:rPr>
          <w:noProof/>
        </w:rPr>
        <w:fldChar w:fldCharType="separate"/>
      </w:r>
      <w:r w:rsidR="00333E7B">
        <w:rPr>
          <w:noProof/>
        </w:rPr>
        <w:t>1</w:t>
      </w:r>
      <w:r>
        <w:rPr>
          <w:noProof/>
        </w:rPr>
        <w:fldChar w:fldCharType="end"/>
      </w:r>
    </w:p>
    <w:p w14:paraId="7B474973" w14:textId="2B171992" w:rsidR="007905E6" w:rsidRDefault="007905E6" w:rsidP="00D636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_Toc80900847 \h </w:instrText>
      </w:r>
      <w:r>
        <w:rPr>
          <w:noProof/>
        </w:rPr>
      </w:r>
      <w:r>
        <w:rPr>
          <w:noProof/>
        </w:rPr>
        <w:fldChar w:fldCharType="separate"/>
      </w:r>
      <w:r w:rsidR="00333E7B">
        <w:rPr>
          <w:noProof/>
        </w:rPr>
        <w:t>1</w:t>
      </w:r>
      <w:r>
        <w:rPr>
          <w:noProof/>
        </w:rPr>
        <w:fldChar w:fldCharType="end"/>
      </w:r>
    </w:p>
    <w:p w14:paraId="78D9B9C9" w14:textId="24342820" w:rsidR="007905E6" w:rsidRDefault="007905E6" w:rsidP="00D636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_Toc80900848 \h </w:instrText>
      </w:r>
      <w:r>
        <w:rPr>
          <w:noProof/>
        </w:rPr>
      </w:r>
      <w:r>
        <w:rPr>
          <w:noProof/>
        </w:rPr>
        <w:fldChar w:fldCharType="separate"/>
      </w:r>
      <w:r w:rsidR="00333E7B">
        <w:rPr>
          <w:noProof/>
        </w:rPr>
        <w:t>1</w:t>
      </w:r>
      <w:r>
        <w:rPr>
          <w:noProof/>
        </w:rPr>
        <w:fldChar w:fldCharType="end"/>
      </w:r>
    </w:p>
    <w:p w14:paraId="53B93B58" w14:textId="51762E75" w:rsidR="007905E6" w:rsidRDefault="007905E6" w:rsidP="00D6366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2—Delegations</w:t>
      </w:r>
      <w:r>
        <w:rPr>
          <w:noProof/>
        </w:rPr>
        <w:tab/>
      </w:r>
      <w:r w:rsidRPr="007905E6">
        <w:rPr>
          <w:b w:val="0"/>
          <w:noProof/>
          <w:sz w:val="18"/>
        </w:rPr>
        <w:fldChar w:fldCharType="begin"/>
      </w:r>
      <w:r w:rsidRPr="007905E6">
        <w:rPr>
          <w:b w:val="0"/>
          <w:noProof/>
          <w:sz w:val="18"/>
        </w:rPr>
        <w:instrText xml:space="preserve"> PAGEREF _Toc80900849 \h </w:instrText>
      </w:r>
      <w:r w:rsidRPr="007905E6">
        <w:rPr>
          <w:b w:val="0"/>
          <w:noProof/>
          <w:sz w:val="18"/>
        </w:rPr>
      </w:r>
      <w:r w:rsidRPr="007905E6">
        <w:rPr>
          <w:b w:val="0"/>
          <w:noProof/>
          <w:sz w:val="18"/>
        </w:rPr>
        <w:fldChar w:fldCharType="separate"/>
      </w:r>
      <w:r w:rsidR="00333E7B">
        <w:rPr>
          <w:b w:val="0"/>
          <w:noProof/>
          <w:sz w:val="18"/>
        </w:rPr>
        <w:t>2</w:t>
      </w:r>
      <w:r w:rsidRPr="007905E6">
        <w:rPr>
          <w:b w:val="0"/>
          <w:noProof/>
          <w:sz w:val="18"/>
        </w:rPr>
        <w:fldChar w:fldCharType="end"/>
      </w:r>
    </w:p>
    <w:p w14:paraId="04268B65" w14:textId="03410DAC" w:rsidR="007905E6" w:rsidRDefault="007905E6" w:rsidP="00D636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Delegations relating to arrangements for the making of Treasury staff available to assist the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_Toc80900850 \h </w:instrText>
      </w:r>
      <w:r>
        <w:rPr>
          <w:noProof/>
        </w:rPr>
      </w:r>
      <w:r>
        <w:rPr>
          <w:noProof/>
        </w:rPr>
        <w:fldChar w:fldCharType="separate"/>
      </w:r>
      <w:r w:rsidR="00333E7B">
        <w:rPr>
          <w:noProof/>
        </w:rPr>
        <w:t>2</w:t>
      </w:r>
      <w:r>
        <w:rPr>
          <w:noProof/>
        </w:rPr>
        <w:fldChar w:fldCharType="end"/>
      </w:r>
    </w:p>
    <w:p w14:paraId="55BE4ECC" w14:textId="7879FA42" w:rsidR="007905E6" w:rsidRDefault="007905E6" w:rsidP="00D636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Delegations relating to consultants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_Toc80900851 \h </w:instrText>
      </w:r>
      <w:r>
        <w:rPr>
          <w:noProof/>
        </w:rPr>
      </w:r>
      <w:r>
        <w:rPr>
          <w:noProof/>
        </w:rPr>
        <w:fldChar w:fldCharType="separate"/>
      </w:r>
      <w:r w:rsidR="00333E7B">
        <w:rPr>
          <w:noProof/>
        </w:rPr>
        <w:t>2</w:t>
      </w:r>
      <w:r>
        <w:rPr>
          <w:noProof/>
        </w:rPr>
        <w:fldChar w:fldCharType="end"/>
      </w:r>
    </w:p>
    <w:p w14:paraId="7E2F0440" w14:textId="00E1CF4A" w:rsidR="00FA06CA" w:rsidRPr="007276F7" w:rsidRDefault="00FA06CA" w:rsidP="00D63663">
      <w:r w:rsidRPr="007276F7">
        <w:fldChar w:fldCharType="end"/>
      </w:r>
    </w:p>
    <w:p w14:paraId="6CC30CE0" w14:textId="77777777" w:rsidR="00FA06CA" w:rsidRPr="007276F7" w:rsidRDefault="00FA06CA" w:rsidP="00D63663">
      <w:pPr>
        <w:sectPr w:rsidR="00FA06CA" w:rsidRPr="007276F7" w:rsidSect="007276F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1D1D082" w14:textId="5D68919C" w:rsidR="00FA06CA" w:rsidRPr="007276F7" w:rsidRDefault="00FA06CA" w:rsidP="00D63663">
      <w:pPr>
        <w:pStyle w:val="ActHead2"/>
      </w:pPr>
      <w:bookmarkStart w:id="17" w:name="_Toc80900844"/>
      <w:r w:rsidRPr="007276F7">
        <w:rPr>
          <w:rStyle w:val="CharPartNo"/>
        </w:rPr>
        <w:lastRenderedPageBreak/>
        <w:t>Part</w:t>
      </w:r>
      <w:r w:rsidR="007276F7" w:rsidRPr="007276F7">
        <w:rPr>
          <w:rStyle w:val="CharPartNo"/>
        </w:rPr>
        <w:t> </w:t>
      </w:r>
      <w:r w:rsidRPr="007276F7">
        <w:rPr>
          <w:rStyle w:val="CharPartNo"/>
        </w:rPr>
        <w:t>1</w:t>
      </w:r>
      <w:r w:rsidRPr="007276F7">
        <w:t>—</w:t>
      </w:r>
      <w:r w:rsidRPr="007276F7">
        <w:rPr>
          <w:rStyle w:val="CharPartText"/>
        </w:rPr>
        <w:t>Preliminary</w:t>
      </w:r>
      <w:bookmarkEnd w:id="17"/>
    </w:p>
    <w:p w14:paraId="3938CAB1" w14:textId="77777777" w:rsidR="00FA06CA" w:rsidRPr="007276F7" w:rsidRDefault="00FA06CA" w:rsidP="00D63663">
      <w:pPr>
        <w:pStyle w:val="Header"/>
      </w:pPr>
      <w:r w:rsidRPr="007276F7">
        <w:rPr>
          <w:rStyle w:val="CharDivNo"/>
        </w:rPr>
        <w:t xml:space="preserve"> </w:t>
      </w:r>
      <w:r w:rsidRPr="007276F7">
        <w:rPr>
          <w:rStyle w:val="CharDivText"/>
        </w:rPr>
        <w:t xml:space="preserve"> </w:t>
      </w:r>
    </w:p>
    <w:p w14:paraId="52C4BC5F" w14:textId="77777777" w:rsidR="00FA06CA" w:rsidRPr="007276F7" w:rsidRDefault="00FA06CA" w:rsidP="00D63663">
      <w:pPr>
        <w:pStyle w:val="ActHead5"/>
      </w:pPr>
      <w:bookmarkStart w:id="18" w:name="_Toc80900845"/>
      <w:proofErr w:type="gramStart"/>
      <w:r w:rsidRPr="007276F7">
        <w:rPr>
          <w:rStyle w:val="CharSectno"/>
        </w:rPr>
        <w:t>1</w:t>
      </w:r>
      <w:r w:rsidRPr="007276F7">
        <w:t xml:space="preserve">  Name</w:t>
      </w:r>
      <w:bookmarkEnd w:id="18"/>
      <w:proofErr w:type="gramEnd"/>
    </w:p>
    <w:p w14:paraId="607B5AB5" w14:textId="0F82D13D" w:rsidR="00FA06CA" w:rsidRPr="007276F7" w:rsidRDefault="00FA06CA" w:rsidP="00D63663">
      <w:pPr>
        <w:pStyle w:val="subsection"/>
      </w:pPr>
      <w:r w:rsidRPr="007276F7">
        <w:tab/>
      </w:r>
      <w:r w:rsidRPr="007276F7">
        <w:tab/>
        <w:t xml:space="preserve">This instrument is the </w:t>
      </w:r>
      <w:r w:rsidR="00982634" w:rsidRPr="007276F7">
        <w:rPr>
          <w:i/>
          <w:noProof/>
        </w:rPr>
        <w:t>Financial Regulator Assessment Authority (</w:t>
      </w:r>
      <w:r w:rsidR="00CD4D13">
        <w:rPr>
          <w:i/>
          <w:noProof/>
        </w:rPr>
        <w:t>Staff and Consultants</w:t>
      </w:r>
      <w:r w:rsidR="00982634" w:rsidRPr="007276F7">
        <w:rPr>
          <w:i/>
          <w:noProof/>
        </w:rPr>
        <w:t>) Delegations</w:t>
      </w:r>
      <w:r w:rsidR="007276F7" w:rsidRPr="007276F7">
        <w:rPr>
          <w:i/>
          <w:noProof/>
        </w:rPr>
        <w:t> </w:t>
      </w:r>
      <w:r w:rsidR="00982634" w:rsidRPr="007276F7">
        <w:rPr>
          <w:i/>
          <w:noProof/>
        </w:rPr>
        <w:t>2021</w:t>
      </w:r>
      <w:r w:rsidRPr="007276F7">
        <w:t>.</w:t>
      </w:r>
    </w:p>
    <w:p w14:paraId="7753B58E" w14:textId="77777777" w:rsidR="00FA06CA" w:rsidRPr="007276F7" w:rsidRDefault="00FA06CA" w:rsidP="00D63663">
      <w:pPr>
        <w:pStyle w:val="ActHead5"/>
      </w:pPr>
      <w:bookmarkStart w:id="19" w:name="_Toc80900846"/>
      <w:proofErr w:type="gramStart"/>
      <w:r w:rsidRPr="007276F7">
        <w:rPr>
          <w:rStyle w:val="CharSectno"/>
        </w:rPr>
        <w:t>2</w:t>
      </w:r>
      <w:r w:rsidRPr="007276F7">
        <w:t xml:space="preserve">  Commencement</w:t>
      </w:r>
      <w:bookmarkEnd w:id="19"/>
      <w:proofErr w:type="gramEnd"/>
    </w:p>
    <w:p w14:paraId="616906B0" w14:textId="75EF7A37" w:rsidR="00FA06CA" w:rsidRPr="007276F7" w:rsidRDefault="00FA06CA" w:rsidP="00D63663">
      <w:pPr>
        <w:pStyle w:val="subsection"/>
      </w:pPr>
      <w:r w:rsidRPr="007276F7">
        <w:tab/>
        <w:t>(1)</w:t>
      </w:r>
      <w:r w:rsidRPr="007276F7">
        <w:tab/>
        <w:t xml:space="preserve">Each provision of </w:t>
      </w:r>
      <w:r w:rsidR="00982634" w:rsidRPr="007276F7">
        <w:t xml:space="preserve">this </w:t>
      </w:r>
      <w:r w:rsidRPr="007276F7">
        <w:t>instrument specified in column 1 of the table commences, or is taken to have commenced, in accordance with column 2 of the table. Any other statement in column 2 has effect according to its terms.</w:t>
      </w:r>
    </w:p>
    <w:p w14:paraId="153282C1" w14:textId="77777777" w:rsidR="00FA06CA" w:rsidRPr="007276F7" w:rsidRDefault="00FA06CA" w:rsidP="00D63663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:rsidRPr="007276F7" w14:paraId="1483DBC3" w14:textId="77777777" w:rsidTr="00982634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DCEE068" w14:textId="77777777" w:rsidR="00FA06CA" w:rsidRPr="007276F7" w:rsidRDefault="00FA06CA" w:rsidP="00D63663">
            <w:pPr>
              <w:pStyle w:val="TableHeading"/>
            </w:pPr>
            <w:r w:rsidRPr="007276F7">
              <w:t>Commencement information</w:t>
            </w:r>
          </w:p>
        </w:tc>
      </w:tr>
      <w:tr w:rsidR="00FA06CA" w:rsidRPr="007276F7" w14:paraId="45A21249" w14:textId="77777777" w:rsidTr="00982634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192837C" w14:textId="77777777" w:rsidR="00FA06CA" w:rsidRPr="007276F7" w:rsidRDefault="00FA06CA" w:rsidP="00D63663">
            <w:pPr>
              <w:pStyle w:val="TableHeading"/>
            </w:pPr>
            <w:r w:rsidRPr="007276F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CCAF601" w14:textId="77777777" w:rsidR="00FA06CA" w:rsidRPr="007276F7" w:rsidRDefault="00FA06CA" w:rsidP="00D63663">
            <w:pPr>
              <w:pStyle w:val="TableHeading"/>
            </w:pPr>
            <w:r w:rsidRPr="007276F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14C428D" w14:textId="77777777" w:rsidR="00FA06CA" w:rsidRPr="007276F7" w:rsidRDefault="00FA06CA" w:rsidP="00D63663">
            <w:pPr>
              <w:pStyle w:val="TableHeading"/>
            </w:pPr>
            <w:r w:rsidRPr="007276F7">
              <w:t>Column 3</w:t>
            </w:r>
          </w:p>
        </w:tc>
      </w:tr>
      <w:tr w:rsidR="00FA06CA" w:rsidRPr="007276F7" w14:paraId="6631CA8A" w14:textId="77777777" w:rsidTr="00982634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5A4460B" w14:textId="77777777" w:rsidR="00FA06CA" w:rsidRPr="007276F7" w:rsidRDefault="00FA06CA" w:rsidP="00D63663">
            <w:pPr>
              <w:pStyle w:val="TableHeading"/>
            </w:pPr>
            <w:r w:rsidRPr="007276F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A2017CC" w14:textId="77777777" w:rsidR="00FA06CA" w:rsidRPr="007276F7" w:rsidRDefault="00FA06CA" w:rsidP="00D63663">
            <w:pPr>
              <w:pStyle w:val="TableHeading"/>
            </w:pPr>
            <w:r w:rsidRPr="007276F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C3DB410" w14:textId="77777777" w:rsidR="00FA06CA" w:rsidRPr="007276F7" w:rsidRDefault="00FA06CA" w:rsidP="00D63663">
            <w:pPr>
              <w:pStyle w:val="TableHeading"/>
            </w:pPr>
            <w:r w:rsidRPr="007276F7">
              <w:t>Date/Details</w:t>
            </w:r>
          </w:p>
        </w:tc>
      </w:tr>
      <w:tr w:rsidR="00FA06CA" w:rsidRPr="007276F7" w14:paraId="1ED01420" w14:textId="77777777" w:rsidTr="00982634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34D8EB0" w14:textId="6807AD1A" w:rsidR="00FA06CA" w:rsidRPr="007276F7" w:rsidRDefault="00982634" w:rsidP="00D63663">
            <w:pPr>
              <w:pStyle w:val="Tabletext"/>
            </w:pPr>
            <w:r w:rsidRPr="007276F7">
              <w:t>1</w:t>
            </w:r>
            <w:r w:rsidR="00FA06CA" w:rsidRPr="007276F7">
              <w:t xml:space="preserve">.  </w:t>
            </w:r>
            <w:r w:rsidRPr="007276F7"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167D493" w14:textId="4264B248" w:rsidR="00FA06CA" w:rsidRPr="007276F7" w:rsidRDefault="00982634" w:rsidP="00D63663">
            <w:pPr>
              <w:pStyle w:val="Tabletext"/>
            </w:pPr>
            <w:r w:rsidRPr="007276F7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752CEB0" w14:textId="77777777" w:rsidR="00FA06CA" w:rsidRPr="007276F7" w:rsidRDefault="00FA06CA" w:rsidP="00D63663">
            <w:pPr>
              <w:pStyle w:val="Tabletext"/>
            </w:pPr>
          </w:p>
        </w:tc>
      </w:tr>
    </w:tbl>
    <w:p w14:paraId="2FA0CF77" w14:textId="77777777" w:rsidR="00FA06CA" w:rsidRPr="007276F7" w:rsidRDefault="00FA06CA" w:rsidP="00D63663">
      <w:pPr>
        <w:pStyle w:val="notetext"/>
      </w:pPr>
      <w:r w:rsidRPr="007276F7">
        <w:rPr>
          <w:snapToGrid w:val="0"/>
          <w:lang w:eastAsia="en-US"/>
        </w:rPr>
        <w:t>Note:</w:t>
      </w:r>
      <w:r w:rsidRPr="007276F7">
        <w:rPr>
          <w:snapToGrid w:val="0"/>
          <w:lang w:eastAsia="en-US"/>
        </w:rPr>
        <w:tab/>
        <w:t xml:space="preserve">This table relates only to the provisions of this </w:t>
      </w:r>
      <w:r w:rsidRPr="007276F7">
        <w:t xml:space="preserve">instrument </w:t>
      </w:r>
      <w:r w:rsidRPr="007276F7">
        <w:rPr>
          <w:snapToGrid w:val="0"/>
          <w:lang w:eastAsia="en-US"/>
        </w:rPr>
        <w:t>as originally made. It will not be amended to deal with any later amendments of this instrument.</w:t>
      </w:r>
    </w:p>
    <w:p w14:paraId="4743D8C7" w14:textId="77777777" w:rsidR="00FA06CA" w:rsidRPr="007276F7" w:rsidRDefault="00FA06CA" w:rsidP="00D63663">
      <w:pPr>
        <w:pStyle w:val="subsection"/>
      </w:pPr>
      <w:r w:rsidRPr="007276F7">
        <w:tab/>
        <w:t>(2)</w:t>
      </w:r>
      <w:r w:rsidRPr="007276F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0E02E40" w14:textId="77777777" w:rsidR="00FA06CA" w:rsidRPr="007276F7" w:rsidRDefault="00FA06CA" w:rsidP="00D63663">
      <w:pPr>
        <w:pStyle w:val="ActHead5"/>
      </w:pPr>
      <w:bookmarkStart w:id="20" w:name="_Toc80900847"/>
      <w:proofErr w:type="gramStart"/>
      <w:r w:rsidRPr="007276F7">
        <w:rPr>
          <w:rStyle w:val="CharSectno"/>
        </w:rPr>
        <w:t>3</w:t>
      </w:r>
      <w:r w:rsidRPr="007276F7">
        <w:t xml:space="preserve">  Authority</w:t>
      </w:r>
      <w:bookmarkEnd w:id="20"/>
      <w:proofErr w:type="gramEnd"/>
    </w:p>
    <w:p w14:paraId="035B0C92" w14:textId="5D591E74" w:rsidR="00FA06CA" w:rsidRPr="007276F7" w:rsidRDefault="00FA06CA" w:rsidP="00D63663">
      <w:pPr>
        <w:pStyle w:val="subsection"/>
      </w:pPr>
      <w:r w:rsidRPr="007276F7">
        <w:tab/>
      </w:r>
      <w:r w:rsidRPr="007276F7">
        <w:tab/>
        <w:t xml:space="preserve">This instrument is made under the </w:t>
      </w:r>
      <w:r w:rsidR="00982634" w:rsidRPr="007276F7">
        <w:rPr>
          <w:i/>
        </w:rPr>
        <w:t>Financial Regulator Assessment Authority Act</w:t>
      </w:r>
      <w:r w:rsidR="007276F7" w:rsidRPr="007276F7">
        <w:rPr>
          <w:i/>
        </w:rPr>
        <w:t xml:space="preserve"> </w:t>
      </w:r>
      <w:r w:rsidR="00982634" w:rsidRPr="007276F7">
        <w:rPr>
          <w:i/>
        </w:rPr>
        <w:t>2021</w:t>
      </w:r>
      <w:r w:rsidRPr="007276F7">
        <w:t>.</w:t>
      </w:r>
    </w:p>
    <w:p w14:paraId="56FDDCCF" w14:textId="3C67F5C1" w:rsidR="00FA06CA" w:rsidRPr="007276F7" w:rsidRDefault="00FA06CA" w:rsidP="00D63663">
      <w:pPr>
        <w:pStyle w:val="ActHead5"/>
      </w:pPr>
      <w:bookmarkStart w:id="21" w:name="_Toc80900848"/>
      <w:proofErr w:type="gramStart"/>
      <w:r w:rsidRPr="007276F7">
        <w:rPr>
          <w:rStyle w:val="CharSectno"/>
        </w:rPr>
        <w:t>4</w:t>
      </w:r>
      <w:r w:rsidRPr="007276F7">
        <w:t xml:space="preserve">  </w:t>
      </w:r>
      <w:r w:rsidR="00982634" w:rsidRPr="007276F7">
        <w:t>Definitions</w:t>
      </w:r>
      <w:bookmarkEnd w:id="21"/>
      <w:proofErr w:type="gramEnd"/>
    </w:p>
    <w:p w14:paraId="081E2D52" w14:textId="31CBAC97" w:rsidR="00982634" w:rsidRPr="007276F7" w:rsidRDefault="00982634" w:rsidP="00D63663">
      <w:pPr>
        <w:pStyle w:val="notemargin"/>
      </w:pPr>
      <w:r w:rsidRPr="007276F7">
        <w:t>Note:</w:t>
      </w:r>
      <w:r w:rsidRPr="007276F7">
        <w:tab/>
        <w:t xml:space="preserve">Expressions have the same meaning in this instrument as in the </w:t>
      </w:r>
      <w:r w:rsidRPr="007276F7">
        <w:rPr>
          <w:i/>
        </w:rPr>
        <w:t>Financial Regulator Assessment Authority Act</w:t>
      </w:r>
      <w:r w:rsidR="007276F7" w:rsidRPr="007276F7">
        <w:rPr>
          <w:i/>
        </w:rPr>
        <w:t xml:space="preserve"> </w:t>
      </w:r>
      <w:r w:rsidRPr="007276F7">
        <w:rPr>
          <w:i/>
        </w:rPr>
        <w:t xml:space="preserve">2021 </w:t>
      </w:r>
      <w:r w:rsidRPr="007276F7">
        <w:t>as in force from time to time—see paragraph</w:t>
      </w:r>
      <w:r w:rsidR="007276F7" w:rsidRPr="007276F7">
        <w:t> </w:t>
      </w:r>
      <w:r w:rsidRPr="007276F7">
        <w:t xml:space="preserve">13(1)(b) of the </w:t>
      </w:r>
      <w:r w:rsidRPr="007276F7">
        <w:rPr>
          <w:i/>
        </w:rPr>
        <w:t>Legislation Act 2003</w:t>
      </w:r>
      <w:r w:rsidRPr="007276F7">
        <w:t>.</w:t>
      </w:r>
    </w:p>
    <w:p w14:paraId="08BD56B8" w14:textId="77777777" w:rsidR="00982634" w:rsidRPr="007276F7" w:rsidRDefault="00982634" w:rsidP="00D63663">
      <w:pPr>
        <w:pStyle w:val="subsection"/>
      </w:pPr>
      <w:r w:rsidRPr="007276F7">
        <w:tab/>
        <w:t>(1)</w:t>
      </w:r>
      <w:r w:rsidRPr="007276F7">
        <w:tab/>
        <w:t>In this instrument:</w:t>
      </w:r>
    </w:p>
    <w:p w14:paraId="356C7EBF" w14:textId="21C62E1C" w:rsidR="00FA259F" w:rsidRPr="00FA259F" w:rsidRDefault="00FA259F" w:rsidP="00D63663">
      <w:pPr>
        <w:pStyle w:val="Definition"/>
        <w:rPr>
          <w:bCs/>
          <w:iCs/>
        </w:rPr>
      </w:pPr>
      <w:r>
        <w:rPr>
          <w:b/>
          <w:i/>
        </w:rPr>
        <w:t>SES Band 2</w:t>
      </w:r>
      <w:r>
        <w:rPr>
          <w:bCs/>
          <w:iCs/>
        </w:rPr>
        <w:t xml:space="preserve"> means an SES employee </w:t>
      </w:r>
      <w:r w:rsidRPr="007276F7">
        <w:rPr>
          <w:color w:val="000000"/>
          <w:szCs w:val="22"/>
          <w:shd w:val="clear" w:color="auto" w:fill="FFFFFF"/>
        </w:rPr>
        <w:t xml:space="preserve">who has been allocated an </w:t>
      </w:r>
      <w:r>
        <w:rPr>
          <w:color w:val="000000"/>
          <w:szCs w:val="22"/>
          <w:shd w:val="clear" w:color="auto" w:fill="FFFFFF"/>
        </w:rPr>
        <w:t>SES Band</w:t>
      </w:r>
      <w:r w:rsidRPr="007276F7">
        <w:rPr>
          <w:color w:val="000000"/>
          <w:szCs w:val="22"/>
          <w:shd w:val="clear" w:color="auto" w:fill="FFFFFF"/>
        </w:rPr>
        <w:t xml:space="preserve"> 2 classification.</w:t>
      </w:r>
    </w:p>
    <w:p w14:paraId="62B47F99" w14:textId="2F35939B" w:rsidR="00982634" w:rsidRPr="007276F7" w:rsidRDefault="00982634" w:rsidP="00D63663">
      <w:pPr>
        <w:pStyle w:val="Definition"/>
      </w:pPr>
      <w:r w:rsidRPr="007276F7">
        <w:rPr>
          <w:b/>
          <w:i/>
        </w:rPr>
        <w:t>the Act</w:t>
      </w:r>
      <w:r w:rsidRPr="007276F7">
        <w:t xml:space="preserve"> means the </w:t>
      </w:r>
      <w:r w:rsidRPr="007276F7">
        <w:rPr>
          <w:i/>
        </w:rPr>
        <w:t>Financial Regulator Assessment Authority Act 2021</w:t>
      </w:r>
      <w:r w:rsidRPr="007276F7">
        <w:t>.</w:t>
      </w:r>
    </w:p>
    <w:p w14:paraId="4D2F6EFB" w14:textId="77777777" w:rsidR="00EA199B" w:rsidRDefault="00686C8D" w:rsidP="00D63663">
      <w:pPr>
        <w:pStyle w:val="Definition"/>
        <w:rPr>
          <w:bCs/>
          <w:iCs/>
        </w:rPr>
        <w:sectPr w:rsidR="00EA199B" w:rsidSect="007276F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  <w:r w:rsidRPr="007276F7">
        <w:rPr>
          <w:b/>
          <w:i/>
        </w:rPr>
        <w:t xml:space="preserve">the </w:t>
      </w:r>
      <w:r w:rsidR="00CE07B5" w:rsidRPr="007276F7">
        <w:rPr>
          <w:b/>
          <w:i/>
        </w:rPr>
        <w:t>Treasury</w:t>
      </w:r>
      <w:r w:rsidR="00CE07B5" w:rsidRPr="007276F7">
        <w:rPr>
          <w:bCs/>
          <w:iCs/>
        </w:rPr>
        <w:t xml:space="preserve"> means the Department of the Treasury.</w:t>
      </w:r>
    </w:p>
    <w:p w14:paraId="1324B116" w14:textId="023008D4" w:rsidR="00982634" w:rsidRPr="007276F7" w:rsidRDefault="00982634" w:rsidP="00D63663">
      <w:pPr>
        <w:pStyle w:val="ActHead2"/>
        <w:pageBreakBefore/>
      </w:pPr>
      <w:bookmarkStart w:id="34" w:name="_Toc36464566"/>
      <w:bookmarkStart w:id="35" w:name="_Toc59452647"/>
      <w:bookmarkStart w:id="36" w:name="_Toc75175467"/>
      <w:bookmarkStart w:id="37" w:name="_Toc77926439"/>
      <w:bookmarkStart w:id="38" w:name="_Toc80900849"/>
      <w:r w:rsidRPr="007276F7">
        <w:rPr>
          <w:rStyle w:val="CharPartNo"/>
        </w:rPr>
        <w:lastRenderedPageBreak/>
        <w:t>Part</w:t>
      </w:r>
      <w:r w:rsidR="007276F7" w:rsidRPr="007276F7">
        <w:rPr>
          <w:rStyle w:val="CharPartNo"/>
        </w:rPr>
        <w:t> </w:t>
      </w:r>
      <w:r w:rsidRPr="007276F7">
        <w:rPr>
          <w:rStyle w:val="CharPartNo"/>
        </w:rPr>
        <w:t>2</w:t>
      </w:r>
      <w:r w:rsidRPr="007276F7">
        <w:t>—</w:t>
      </w:r>
      <w:r w:rsidRPr="007276F7">
        <w:rPr>
          <w:rStyle w:val="CharPartText"/>
        </w:rPr>
        <w:t>Delegations</w:t>
      </w:r>
      <w:bookmarkEnd w:id="34"/>
      <w:bookmarkEnd w:id="35"/>
      <w:bookmarkEnd w:id="36"/>
      <w:bookmarkEnd w:id="37"/>
      <w:bookmarkEnd w:id="38"/>
    </w:p>
    <w:p w14:paraId="01AA57F0" w14:textId="77777777" w:rsidR="00982634" w:rsidRPr="007276F7" w:rsidRDefault="00982634" w:rsidP="00D63663">
      <w:pPr>
        <w:pStyle w:val="Header"/>
      </w:pPr>
      <w:r w:rsidRPr="007276F7">
        <w:rPr>
          <w:rStyle w:val="CharDivNo"/>
        </w:rPr>
        <w:t xml:space="preserve"> </w:t>
      </w:r>
      <w:r w:rsidRPr="007276F7">
        <w:rPr>
          <w:rStyle w:val="CharDivText"/>
        </w:rPr>
        <w:t xml:space="preserve"> </w:t>
      </w:r>
    </w:p>
    <w:p w14:paraId="67BF1D4A" w14:textId="4EF0B87E" w:rsidR="00686C8D" w:rsidRPr="007276F7" w:rsidRDefault="00982634" w:rsidP="00D63663">
      <w:pPr>
        <w:pStyle w:val="ActHead5"/>
      </w:pPr>
      <w:bookmarkStart w:id="39" w:name="_Toc57360740"/>
      <w:bookmarkStart w:id="40" w:name="_Toc57360769"/>
      <w:bookmarkStart w:id="41" w:name="_Toc59452648"/>
      <w:bookmarkStart w:id="42" w:name="_Toc75175468"/>
      <w:bookmarkStart w:id="43" w:name="_Toc77926440"/>
      <w:bookmarkStart w:id="44" w:name="_Toc80900850"/>
      <w:proofErr w:type="gramStart"/>
      <w:r w:rsidRPr="007276F7">
        <w:rPr>
          <w:rStyle w:val="CharSectno"/>
        </w:rPr>
        <w:t>5</w:t>
      </w:r>
      <w:r w:rsidRPr="007276F7">
        <w:t xml:space="preserve">  Delegations</w:t>
      </w:r>
      <w:bookmarkEnd w:id="39"/>
      <w:bookmarkEnd w:id="40"/>
      <w:bookmarkEnd w:id="41"/>
      <w:bookmarkEnd w:id="42"/>
      <w:bookmarkEnd w:id="43"/>
      <w:proofErr w:type="gramEnd"/>
      <w:r w:rsidR="00507F6A">
        <w:t xml:space="preserve"> relating to arrangements for the making of Treasury staff available to assist the Authority</w:t>
      </w:r>
      <w:bookmarkEnd w:id="44"/>
    </w:p>
    <w:p w14:paraId="266C84AB" w14:textId="38660FE9" w:rsidR="00982634" w:rsidRPr="007276F7" w:rsidRDefault="00982634" w:rsidP="00D63663">
      <w:pPr>
        <w:pStyle w:val="subsection"/>
      </w:pPr>
      <w:r w:rsidRPr="007276F7">
        <w:tab/>
        <w:t>(</w:t>
      </w:r>
      <w:r w:rsidR="00CD4D13">
        <w:t>1</w:t>
      </w:r>
      <w:r w:rsidRPr="007276F7">
        <w:t>)</w:t>
      </w:r>
      <w:r w:rsidRPr="007276F7">
        <w:tab/>
        <w:t>Under subsection</w:t>
      </w:r>
      <w:r w:rsidR="007276F7" w:rsidRPr="007276F7">
        <w:t> </w:t>
      </w:r>
      <w:r w:rsidR="00FB4FC6">
        <w:t>50</w:t>
      </w:r>
      <w:r w:rsidRPr="007276F7">
        <w:t>(1) the Act, each person holding, occupying or performing the duties of each of the following offices or positions in the Treasury</w:t>
      </w:r>
      <w:r w:rsidR="007C2CBD" w:rsidRPr="007276F7">
        <w:t>,</w:t>
      </w:r>
      <w:r w:rsidRPr="007276F7">
        <w:t xml:space="preserve"> </w:t>
      </w:r>
      <w:r w:rsidR="007C2CBD" w:rsidRPr="007276F7">
        <w:t xml:space="preserve">whose services are </w:t>
      </w:r>
      <w:r w:rsidR="00FB4FC6" w:rsidRPr="00FB4FC6">
        <w:rPr>
          <w:i/>
          <w:iCs/>
        </w:rPr>
        <w:t>not</w:t>
      </w:r>
      <w:r w:rsidR="00FB4FC6">
        <w:t xml:space="preserve"> </w:t>
      </w:r>
      <w:r w:rsidR="007C2CBD" w:rsidRPr="007276F7">
        <w:t xml:space="preserve">being made available to assist the Authority in connection with the performance or exercise of the Authority’s functions or powers, </w:t>
      </w:r>
      <w:r w:rsidRPr="007276F7">
        <w:t xml:space="preserve">is delegated the </w:t>
      </w:r>
      <w:r w:rsidR="00FB4FC6">
        <w:t>Secretary’s</w:t>
      </w:r>
      <w:r w:rsidRPr="007276F7">
        <w:t xml:space="preserve"> </w:t>
      </w:r>
      <w:r w:rsidR="00CE07B5" w:rsidRPr="007276F7">
        <w:t>functions</w:t>
      </w:r>
      <w:r w:rsidR="007C2CBD" w:rsidRPr="007276F7">
        <w:t xml:space="preserve"> and </w:t>
      </w:r>
      <w:r w:rsidR="00CE07B5" w:rsidRPr="007276F7">
        <w:t>powers</w:t>
      </w:r>
      <w:r w:rsidRPr="007276F7">
        <w:t xml:space="preserve"> under </w:t>
      </w:r>
      <w:r w:rsidR="00FB4FC6">
        <w:t>section</w:t>
      </w:r>
      <w:r w:rsidR="007276F7" w:rsidRPr="007276F7">
        <w:t> </w:t>
      </w:r>
      <w:r w:rsidR="00FB4FC6">
        <w:t xml:space="preserve">36 </w:t>
      </w:r>
      <w:r w:rsidRPr="007276F7">
        <w:t>of the Act:</w:t>
      </w:r>
    </w:p>
    <w:p w14:paraId="2C2A535D" w14:textId="088286E8" w:rsidR="00982634" w:rsidRPr="007276F7" w:rsidRDefault="00982634" w:rsidP="00D63663">
      <w:pPr>
        <w:pStyle w:val="paragraph"/>
      </w:pPr>
      <w:r w:rsidRPr="007276F7">
        <w:tab/>
        <w:t>(a)</w:t>
      </w:r>
      <w:r w:rsidRPr="007276F7">
        <w:tab/>
      </w:r>
      <w:proofErr w:type="gramStart"/>
      <w:r w:rsidR="00686C8D" w:rsidRPr="007276F7">
        <w:t>a</w:t>
      </w:r>
      <w:proofErr w:type="gramEnd"/>
      <w:r w:rsidR="00686C8D" w:rsidRPr="007276F7">
        <w:t xml:space="preserve"> Deputy Secretary;</w:t>
      </w:r>
    </w:p>
    <w:p w14:paraId="6ECCD5F2" w14:textId="42092079" w:rsidR="00982634" w:rsidRPr="007276F7" w:rsidRDefault="00982634" w:rsidP="00D63663">
      <w:pPr>
        <w:pStyle w:val="paragraph"/>
      </w:pPr>
      <w:r w:rsidRPr="007276F7">
        <w:tab/>
        <w:t>(b)</w:t>
      </w:r>
      <w:r w:rsidRPr="007276F7">
        <w:tab/>
      </w:r>
      <w:r w:rsidR="00686C8D" w:rsidRPr="007276F7">
        <w:t>a</w:t>
      </w:r>
      <w:r w:rsidR="00FA259F">
        <w:t>n SES Band 2</w:t>
      </w:r>
      <w:r w:rsidR="00FF0C2D">
        <w:t xml:space="preserve"> whose responsibilities include providing </w:t>
      </w:r>
      <w:r w:rsidR="0045710E">
        <w:t xml:space="preserve">advice to </w:t>
      </w:r>
      <w:r w:rsidR="00B6623D">
        <w:t xml:space="preserve">the </w:t>
      </w:r>
      <w:r w:rsidR="0045710E">
        <w:t>Minister in relation to the Authority</w:t>
      </w:r>
      <w:r w:rsidR="00FA259F">
        <w:t>.</w:t>
      </w:r>
    </w:p>
    <w:p w14:paraId="5AC41919" w14:textId="51383ADC" w:rsidR="00CD4D13" w:rsidRPr="007276F7" w:rsidRDefault="00CD4D13" w:rsidP="00D63663">
      <w:pPr>
        <w:pStyle w:val="notetext"/>
      </w:pPr>
      <w:r w:rsidRPr="007276F7">
        <w:t>Note:</w:t>
      </w:r>
      <w:r w:rsidRPr="007276F7">
        <w:tab/>
      </w:r>
      <w:r w:rsidR="00FB4FC6">
        <w:t>Section 36</w:t>
      </w:r>
      <w:r w:rsidRPr="007276F7">
        <w:t xml:space="preserve"> of the Act </w:t>
      </w:r>
      <w:r w:rsidR="00FB4FC6">
        <w:t>is about arrangements relating to making Treasury staff available to assist the Authority in connection with the performance or exercise of the Authority’s functions or powers</w:t>
      </w:r>
      <w:r w:rsidRPr="007276F7">
        <w:t>.</w:t>
      </w:r>
    </w:p>
    <w:p w14:paraId="640CCBA3" w14:textId="309AF2B2" w:rsidR="00FA06CA" w:rsidRPr="007276F7" w:rsidRDefault="00454548" w:rsidP="00D63663">
      <w:pPr>
        <w:pStyle w:val="SubsectionHead"/>
      </w:pPr>
      <w:r w:rsidRPr="007276F7">
        <w:t>Directions</w:t>
      </w:r>
    </w:p>
    <w:p w14:paraId="3EE12DDF" w14:textId="77777777" w:rsidR="00F84EAE" w:rsidRDefault="00454548" w:rsidP="00D63663">
      <w:pPr>
        <w:pStyle w:val="subsection"/>
      </w:pPr>
      <w:r w:rsidRPr="007276F7">
        <w:tab/>
        <w:t>(</w:t>
      </w:r>
      <w:r w:rsidR="006172A2">
        <w:t>2</w:t>
      </w:r>
      <w:r w:rsidRPr="007276F7">
        <w:t>)</w:t>
      </w:r>
      <w:r w:rsidRPr="007276F7">
        <w:tab/>
        <w:t>Under subsection</w:t>
      </w:r>
      <w:r w:rsidR="007276F7" w:rsidRPr="007276F7">
        <w:t> </w:t>
      </w:r>
      <w:r w:rsidR="00FB4FC6">
        <w:t>50</w:t>
      </w:r>
      <w:r w:rsidRPr="007276F7">
        <w:t xml:space="preserve">(3) of the Act, a delegate under </w:t>
      </w:r>
      <w:r w:rsidR="007276F7" w:rsidRPr="007276F7">
        <w:t>subsection (</w:t>
      </w:r>
      <w:r w:rsidRPr="007276F7">
        <w:t xml:space="preserve">1) is directed to exercise the function or power </w:t>
      </w:r>
      <w:r w:rsidR="00F84EAE">
        <w:t>in a manner consistent with all of the following:</w:t>
      </w:r>
    </w:p>
    <w:p w14:paraId="3C20F9EB" w14:textId="223BBEFB" w:rsidR="00705437" w:rsidRDefault="00F84EAE" w:rsidP="00D63663">
      <w:pPr>
        <w:pStyle w:val="paragraph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</w:t>
      </w:r>
      <w:r w:rsidRPr="00F84EAE">
        <w:rPr>
          <w:i/>
          <w:iCs/>
        </w:rPr>
        <w:t>Public Service Act 1999</w:t>
      </w:r>
      <w:r>
        <w:t>;</w:t>
      </w:r>
    </w:p>
    <w:p w14:paraId="691A748E" w14:textId="2553E07B" w:rsidR="00F84EAE" w:rsidRDefault="00F84EAE" w:rsidP="00D63663">
      <w:pPr>
        <w:pStyle w:val="paragraph"/>
      </w:pPr>
      <w:r>
        <w:tab/>
        <w:t>(b)</w:t>
      </w:r>
      <w:r>
        <w:tab/>
      </w:r>
      <w:proofErr w:type="gramStart"/>
      <w:r>
        <w:t>any</w:t>
      </w:r>
      <w:proofErr w:type="gramEnd"/>
      <w:r>
        <w:t xml:space="preserve"> instruments made under </w:t>
      </w:r>
      <w:r w:rsidRPr="00F84EAE">
        <w:rPr>
          <w:i/>
          <w:iCs/>
        </w:rPr>
        <w:t>Public Service Act 1999</w:t>
      </w:r>
      <w:r>
        <w:t xml:space="preserve"> as relate to the Treasury;</w:t>
      </w:r>
    </w:p>
    <w:p w14:paraId="1DD79DF6" w14:textId="35C9EE8C" w:rsidR="00F84EAE" w:rsidRDefault="005A2D82" w:rsidP="00D63663">
      <w:pPr>
        <w:pStyle w:val="paragraph"/>
      </w:pPr>
      <w:r>
        <w:tab/>
        <w:t>(c)</w:t>
      </w:r>
      <w:r>
        <w:tab/>
      </w:r>
      <w:proofErr w:type="gramStart"/>
      <w:r w:rsidR="00F84EAE">
        <w:t>the</w:t>
      </w:r>
      <w:proofErr w:type="gramEnd"/>
      <w:r w:rsidR="00F84EAE">
        <w:t xml:space="preserve"> human resource delegations </w:t>
      </w:r>
      <w:r>
        <w:t>of</w:t>
      </w:r>
      <w:r w:rsidR="00F84EAE">
        <w:t xml:space="preserve"> the Secretary</w:t>
      </w:r>
      <w:r>
        <w:t xml:space="preserve"> to the Treasury;</w:t>
      </w:r>
    </w:p>
    <w:p w14:paraId="130FBDAC" w14:textId="3D9B3216" w:rsidR="005A2D82" w:rsidRPr="00F84EAE" w:rsidRDefault="005A2D82" w:rsidP="00D63663">
      <w:pPr>
        <w:pStyle w:val="paragraph"/>
      </w:pPr>
      <w:r>
        <w:tab/>
        <w:t>(d)</w:t>
      </w:r>
      <w:r>
        <w:tab/>
      </w:r>
      <w:proofErr w:type="gramStart"/>
      <w:r>
        <w:t>any</w:t>
      </w:r>
      <w:proofErr w:type="gramEnd"/>
      <w:r>
        <w:t xml:space="preserve"> agreements, policies, manuals and guidelines of the Treasury relating to human resources or employment.</w:t>
      </w:r>
    </w:p>
    <w:p w14:paraId="6BE5BF93" w14:textId="4690B306" w:rsidR="006172A2" w:rsidRPr="007276F7" w:rsidRDefault="006172A2" w:rsidP="00D63663">
      <w:pPr>
        <w:pStyle w:val="ActHead5"/>
      </w:pPr>
      <w:bookmarkStart w:id="45" w:name="_Toc80900851"/>
      <w:proofErr w:type="gramStart"/>
      <w:r>
        <w:rPr>
          <w:rStyle w:val="CharSectno"/>
        </w:rPr>
        <w:t>6</w:t>
      </w:r>
      <w:r w:rsidRPr="007276F7">
        <w:t xml:space="preserve">  Delegations</w:t>
      </w:r>
      <w:proofErr w:type="gramEnd"/>
      <w:r>
        <w:t xml:space="preserve"> relating to consultants</w:t>
      </w:r>
      <w:bookmarkEnd w:id="45"/>
    </w:p>
    <w:p w14:paraId="67F36D86" w14:textId="0F160200" w:rsidR="006172A2" w:rsidRPr="007276F7" w:rsidRDefault="006172A2" w:rsidP="00D63663">
      <w:pPr>
        <w:pStyle w:val="subsection"/>
      </w:pPr>
      <w:r w:rsidRPr="007276F7">
        <w:tab/>
        <w:t>(</w:t>
      </w:r>
      <w:r>
        <w:t>1</w:t>
      </w:r>
      <w:r w:rsidRPr="007276F7">
        <w:t>)</w:t>
      </w:r>
      <w:r w:rsidRPr="007276F7">
        <w:tab/>
        <w:t>Under subsection </w:t>
      </w:r>
      <w:r>
        <w:t>50</w:t>
      </w:r>
      <w:r w:rsidRPr="007276F7">
        <w:t xml:space="preserve">(1) the Act, each person holding, occupying or performing the duties of each of the following offices or positions in the Treasury, is delegated the </w:t>
      </w:r>
      <w:r>
        <w:t>Secretary’s</w:t>
      </w:r>
      <w:r w:rsidRPr="007276F7">
        <w:t xml:space="preserve"> functions and powers under </w:t>
      </w:r>
      <w:r>
        <w:t>section 37</w:t>
      </w:r>
      <w:r w:rsidRPr="007276F7">
        <w:t xml:space="preserve"> of the Act:</w:t>
      </w:r>
    </w:p>
    <w:p w14:paraId="00BDA917" w14:textId="77777777" w:rsidR="006172A2" w:rsidRPr="007276F7" w:rsidRDefault="006172A2" w:rsidP="00D63663">
      <w:pPr>
        <w:pStyle w:val="paragraph"/>
      </w:pPr>
      <w:r w:rsidRPr="007276F7">
        <w:tab/>
        <w:t>(a)</w:t>
      </w:r>
      <w:r w:rsidRPr="007276F7">
        <w:tab/>
      </w:r>
      <w:proofErr w:type="gramStart"/>
      <w:r w:rsidRPr="007276F7">
        <w:t>a</w:t>
      </w:r>
      <w:proofErr w:type="gramEnd"/>
      <w:r w:rsidRPr="007276F7">
        <w:t xml:space="preserve"> Deputy Secretary;</w:t>
      </w:r>
    </w:p>
    <w:p w14:paraId="070C910E" w14:textId="012BBF05" w:rsidR="006172A2" w:rsidRPr="007276F7" w:rsidRDefault="006172A2" w:rsidP="00D63663">
      <w:pPr>
        <w:pStyle w:val="paragraph"/>
      </w:pPr>
      <w:r w:rsidRPr="007276F7">
        <w:tab/>
        <w:t>(b)</w:t>
      </w:r>
      <w:r w:rsidRPr="007276F7">
        <w:tab/>
        <w:t>a</w:t>
      </w:r>
      <w:r>
        <w:t>n SES employee.</w:t>
      </w:r>
    </w:p>
    <w:p w14:paraId="1FEC2F8A" w14:textId="273901A0" w:rsidR="006172A2" w:rsidRDefault="006172A2" w:rsidP="00D63663">
      <w:pPr>
        <w:pStyle w:val="notetext"/>
      </w:pPr>
      <w:r w:rsidRPr="007276F7">
        <w:t>Note:</w:t>
      </w:r>
      <w:r w:rsidRPr="007276F7">
        <w:tab/>
      </w:r>
      <w:r>
        <w:t>Section 37</w:t>
      </w:r>
      <w:r w:rsidRPr="007276F7">
        <w:t xml:space="preserve"> of the Act relates </w:t>
      </w:r>
      <w:r>
        <w:t>engaging consultants to assist in the performance or exercise of the Authority’s functions or powers</w:t>
      </w:r>
      <w:r w:rsidRPr="007276F7">
        <w:t>.</w:t>
      </w:r>
    </w:p>
    <w:p w14:paraId="42E896BD" w14:textId="77777777" w:rsidR="006172A2" w:rsidRPr="007276F7" w:rsidRDefault="006172A2" w:rsidP="00D63663">
      <w:pPr>
        <w:pStyle w:val="SubsectionHead"/>
      </w:pPr>
      <w:r w:rsidRPr="007276F7">
        <w:t>Directions</w:t>
      </w:r>
    </w:p>
    <w:p w14:paraId="163DB37D" w14:textId="1DCA55FE" w:rsidR="006172A2" w:rsidRDefault="006172A2" w:rsidP="00D63663">
      <w:pPr>
        <w:pStyle w:val="subsection"/>
      </w:pPr>
      <w:r w:rsidRPr="007276F7">
        <w:tab/>
        <w:t>(</w:t>
      </w:r>
      <w:r>
        <w:t>2</w:t>
      </w:r>
      <w:r w:rsidRPr="007276F7">
        <w:t>)</w:t>
      </w:r>
      <w:r w:rsidRPr="007276F7">
        <w:tab/>
        <w:t>Under subsection </w:t>
      </w:r>
      <w:r>
        <w:t>50</w:t>
      </w:r>
      <w:r w:rsidRPr="007276F7">
        <w:t xml:space="preserve">(3) of the Act, a delegate under subsection (1) is directed to exercise the function or power </w:t>
      </w:r>
      <w:r w:rsidR="00AA057B">
        <w:t xml:space="preserve">in a manner consistent with </w:t>
      </w:r>
      <w:r w:rsidR="006C63E5">
        <w:t xml:space="preserve">all of </w:t>
      </w:r>
      <w:r w:rsidR="00AA057B">
        <w:t>the following:</w:t>
      </w:r>
    </w:p>
    <w:p w14:paraId="72C1340E" w14:textId="3BFAD825" w:rsidR="00AA057B" w:rsidRDefault="00AA057B" w:rsidP="00D63663">
      <w:pPr>
        <w:pStyle w:val="paragraph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</w:t>
      </w:r>
      <w:r w:rsidRPr="00AA057B">
        <w:rPr>
          <w:i/>
          <w:iCs/>
        </w:rPr>
        <w:t>Public Governance, Performance and Accountability Act 2013</w:t>
      </w:r>
      <w:r w:rsidR="006C63E5">
        <w:t>;</w:t>
      </w:r>
    </w:p>
    <w:p w14:paraId="6EE46A5D" w14:textId="7F92996B" w:rsidR="00AA057B" w:rsidRPr="00AA057B" w:rsidRDefault="00AA057B" w:rsidP="00D63663">
      <w:pPr>
        <w:pStyle w:val="paragraph"/>
      </w:pPr>
      <w:r>
        <w:tab/>
        <w:t>(b)</w:t>
      </w:r>
      <w:r>
        <w:tab/>
      </w:r>
      <w:proofErr w:type="gramStart"/>
      <w:r>
        <w:t>any</w:t>
      </w:r>
      <w:proofErr w:type="gramEnd"/>
      <w:r>
        <w:t xml:space="preserve"> instruments, including rules, instructions, delegations</w:t>
      </w:r>
      <w:r w:rsidR="006C63E5">
        <w:t>, directions</w:t>
      </w:r>
      <w:r>
        <w:t xml:space="preserve"> and operational guidelines, made under the </w:t>
      </w:r>
      <w:r w:rsidRPr="00AA057B">
        <w:rPr>
          <w:i/>
          <w:iCs/>
        </w:rPr>
        <w:t>Public Governance, Performance and Accountability Act 2013</w:t>
      </w:r>
      <w:r>
        <w:rPr>
          <w:i/>
          <w:iCs/>
        </w:rPr>
        <w:t xml:space="preserve"> </w:t>
      </w:r>
      <w:r>
        <w:t xml:space="preserve">or </w:t>
      </w:r>
      <w:r w:rsidR="008E144F" w:rsidRPr="008E144F">
        <w:t xml:space="preserve">made under an </w:t>
      </w:r>
      <w:r>
        <w:t>instrument</w:t>
      </w:r>
      <w:r w:rsidR="006C63E5">
        <w:t xml:space="preserve"> </w:t>
      </w:r>
      <w:r w:rsidR="00FE4702">
        <w:t xml:space="preserve">made </w:t>
      </w:r>
      <w:r w:rsidR="006C63E5">
        <w:t>under that Act</w:t>
      </w:r>
      <w:r w:rsidR="00F84EAE">
        <w:t>, as relate to the Treasury</w:t>
      </w:r>
      <w:r w:rsidR="006C63E5">
        <w:t>.</w:t>
      </w:r>
    </w:p>
    <w:sectPr w:rsidR="00AA057B" w:rsidRPr="00AA057B" w:rsidSect="007905E6">
      <w:headerReference w:type="default" r:id="rId26"/>
      <w:footerReference w:type="default" r:id="rId27"/>
      <w:type w:val="continuous"/>
      <w:pgSz w:w="11907" w:h="16839" w:code="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05C00" w14:textId="77777777" w:rsidR="00205EC8" w:rsidRDefault="00205EC8" w:rsidP="00FA06CA">
      <w:pPr>
        <w:spacing w:line="240" w:lineRule="auto"/>
      </w:pPr>
      <w:r>
        <w:separator/>
      </w:r>
    </w:p>
  </w:endnote>
  <w:endnote w:type="continuationSeparator" w:id="0">
    <w:p w14:paraId="06CFE2CD" w14:textId="77777777" w:rsidR="00205EC8" w:rsidRDefault="00205EC8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507BB" w14:textId="77777777" w:rsidR="007D6F26" w:rsidRDefault="007D6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1CC38" w14:textId="56FE7206" w:rsidR="00F84EAE" w:rsidRDefault="00F84EAE" w:rsidP="00686C8D">
    <w:pPr>
      <w:pStyle w:val="Footer"/>
    </w:pPr>
    <w:bookmarkStart w:id="1" w:name="_Hlk26286429"/>
    <w:bookmarkStart w:id="2" w:name="_Hlk26286430"/>
    <w:bookmarkStart w:id="3" w:name="_Hlk26286433"/>
    <w:bookmarkStart w:id="4" w:name="_Hlk26286434"/>
  </w:p>
  <w:bookmarkEnd w:id="1"/>
  <w:bookmarkEnd w:id="2"/>
  <w:bookmarkEnd w:id="3"/>
  <w:bookmarkEnd w:id="4"/>
  <w:p w14:paraId="24E0D4AC" w14:textId="77777777" w:rsidR="00F84EAE" w:rsidRPr="007500C8" w:rsidRDefault="00F84EAE" w:rsidP="00686C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56F3" w14:textId="77777777" w:rsidR="00F84EAE" w:rsidRPr="00ED79B6" w:rsidRDefault="00F84EAE" w:rsidP="00686C8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7" w:name="_Hlk26286431"/>
    <w:bookmarkStart w:id="8" w:name="_Hlk26286432"/>
    <w:bookmarkStart w:id="9" w:name="_Hlk26286443"/>
    <w:bookmarkStart w:id="10" w:name="_Hlk26286444"/>
    <w:bookmarkEnd w:id="7"/>
    <w:bookmarkEnd w:id="8"/>
    <w:bookmarkEnd w:id="9"/>
    <w:bookmarkEnd w:id="10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78B99" w14:textId="0477AFF3" w:rsidR="00F84EAE" w:rsidRPr="00E33C1C" w:rsidRDefault="00F84EAE" w:rsidP="00686C8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84EAE" w14:paraId="3BC1A430" w14:textId="77777777" w:rsidTr="00CE07B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D33DBB" w14:textId="77777777" w:rsidR="00F84EAE" w:rsidRDefault="00F84EAE" w:rsidP="00686C8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F3FDE8" w14:textId="6544F17A" w:rsidR="00F84EAE" w:rsidRDefault="00F84EAE" w:rsidP="00686C8D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33E7B">
            <w:rPr>
              <w:i/>
              <w:noProof/>
              <w:sz w:val="18"/>
            </w:rPr>
            <w:t>Financial Regulator Assessment Authority (Staff and Consultants) Delegations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60985A" w14:textId="77777777" w:rsidR="00F84EAE" w:rsidRDefault="00F84EAE" w:rsidP="00686C8D">
          <w:pPr>
            <w:spacing w:line="0" w:lineRule="atLeast"/>
            <w:jc w:val="right"/>
            <w:rPr>
              <w:sz w:val="18"/>
            </w:rPr>
          </w:pPr>
        </w:p>
      </w:tc>
    </w:tr>
  </w:tbl>
  <w:p w14:paraId="586196E0" w14:textId="77777777" w:rsidR="00F84EAE" w:rsidRPr="00ED79B6" w:rsidRDefault="00F84EAE" w:rsidP="00686C8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90DCC" w14:textId="73CFEAF7" w:rsidR="00F84EAE" w:rsidRPr="00E33C1C" w:rsidRDefault="00F84EAE" w:rsidP="00686C8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1" w:name="_Hlk26286441"/>
    <w:bookmarkStart w:id="12" w:name="_Hlk26286442"/>
    <w:bookmarkStart w:id="13" w:name="_Hlk26286445"/>
    <w:bookmarkStart w:id="14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84EAE" w14:paraId="4B09FAE9" w14:textId="77777777" w:rsidTr="00686C8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1233043" w14:textId="77777777" w:rsidR="00F84EAE" w:rsidRDefault="00F84EAE" w:rsidP="00686C8D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DFF5C6B" w14:textId="116F2322" w:rsidR="00F84EAE" w:rsidRDefault="00F84EAE" w:rsidP="00686C8D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D6F26">
            <w:rPr>
              <w:i/>
              <w:noProof/>
              <w:sz w:val="18"/>
            </w:rPr>
            <w:t>Financial Regulator Assessment Authority (Staff and Consultants) Delegations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896C3B" w14:textId="721AAB70" w:rsidR="00F84EAE" w:rsidRDefault="00F84EAE" w:rsidP="00686C8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6F2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1"/>
    <w:bookmarkEnd w:id="12"/>
    <w:bookmarkEnd w:id="13"/>
    <w:bookmarkEnd w:id="14"/>
  </w:tbl>
  <w:p w14:paraId="2DF6FCC3" w14:textId="77777777" w:rsidR="00F84EAE" w:rsidRPr="00ED79B6" w:rsidRDefault="00F84EAE" w:rsidP="00686C8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015A0" w14:textId="77F01B60" w:rsidR="00F84EAE" w:rsidRPr="00E33C1C" w:rsidRDefault="00F84EAE" w:rsidP="00686C8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84EAE" w14:paraId="30857DEE" w14:textId="77777777" w:rsidTr="00CE07B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EA478F" w14:textId="224F14F6" w:rsidR="00F84EAE" w:rsidRDefault="00F84EAE" w:rsidP="00686C8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6F2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C81EC6" w14:textId="182F3433" w:rsidR="00F84EAE" w:rsidRDefault="00F84EAE" w:rsidP="00686C8D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D6F26">
            <w:rPr>
              <w:i/>
              <w:noProof/>
              <w:sz w:val="18"/>
            </w:rPr>
            <w:t>Financial Regulator Assessment Authority (Staff and Consultants) Delegations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518C71" w14:textId="77777777" w:rsidR="00F84EAE" w:rsidRDefault="00F84EAE" w:rsidP="00686C8D">
          <w:pPr>
            <w:spacing w:line="0" w:lineRule="atLeast"/>
            <w:jc w:val="right"/>
            <w:rPr>
              <w:sz w:val="18"/>
            </w:rPr>
          </w:pPr>
        </w:p>
      </w:tc>
    </w:tr>
  </w:tbl>
  <w:p w14:paraId="183DE6C4" w14:textId="77777777" w:rsidR="00F84EAE" w:rsidRPr="00ED79B6" w:rsidRDefault="00F84EAE" w:rsidP="00686C8D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F3BDD" w14:textId="3C62D4E0" w:rsidR="00F84EAE" w:rsidRPr="00E33C1C" w:rsidRDefault="00F84EAE" w:rsidP="00686C8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6" w:name="_Hlk26286453"/>
    <w:bookmarkStart w:id="27" w:name="_Hlk26286454"/>
    <w:bookmarkStart w:id="28" w:name="_Hlk26286457"/>
    <w:bookmarkStart w:id="29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F84EAE" w14:paraId="2980A08E" w14:textId="77777777" w:rsidTr="00CE07B5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50983555" w14:textId="77777777" w:rsidR="00F84EAE" w:rsidRDefault="00F84EAE" w:rsidP="00686C8D">
          <w:pPr>
            <w:spacing w:line="0" w:lineRule="atLeast"/>
            <w:rPr>
              <w:sz w:val="18"/>
            </w:rPr>
          </w:pP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7A42EE3B" w14:textId="683D2CC9" w:rsidR="00F84EAE" w:rsidRDefault="00F84EAE" w:rsidP="00686C8D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D6F26">
            <w:rPr>
              <w:i/>
              <w:noProof/>
              <w:sz w:val="18"/>
            </w:rPr>
            <w:t>Financial Regulator Assessment Authority (Staff and Consultants) Delegations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74BA489D" w14:textId="326AB315" w:rsidR="00F84EAE" w:rsidRDefault="00F84EAE" w:rsidP="00686C8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6F2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  <w:bookmarkEnd w:id="28"/>
    <w:bookmarkEnd w:id="29"/>
  </w:tbl>
  <w:p w14:paraId="61B851F0" w14:textId="77777777" w:rsidR="00F84EAE" w:rsidRPr="00ED79B6" w:rsidRDefault="00F84EAE" w:rsidP="00686C8D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30BE9" w14:textId="77777777" w:rsidR="00F84EAE" w:rsidRPr="00E33C1C" w:rsidRDefault="00F84EAE" w:rsidP="00686C8D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2" w:name="_Hlk26286455"/>
    <w:bookmarkStart w:id="33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F84EAE" w14:paraId="06CC7949" w14:textId="77777777" w:rsidTr="00CE07B5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159CE594" w14:textId="77777777" w:rsidR="00F84EAE" w:rsidRDefault="00F84EAE" w:rsidP="00686C8D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3F2022E0" w14:textId="05D88123" w:rsidR="00F84EAE" w:rsidRDefault="00F84EAE" w:rsidP="00686C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3E7B">
            <w:rPr>
              <w:i/>
              <w:sz w:val="18"/>
            </w:rPr>
            <w:t>Financial Regulator Assessment Authority (Consultation and Cooperation with APRA and ASIC) Delegations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4EE6C97C" w14:textId="77777777" w:rsidR="00F84EAE" w:rsidRDefault="00F84EAE" w:rsidP="00686C8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</w:tbl>
  <w:p w14:paraId="484465B5" w14:textId="77777777" w:rsidR="00F84EAE" w:rsidRPr="00ED79B6" w:rsidRDefault="00F84EAE" w:rsidP="00686C8D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5DB24" w14:textId="50A3CA57" w:rsidR="007905E6" w:rsidRPr="00E33C1C" w:rsidRDefault="007905E6" w:rsidP="00686C8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905E6" w14:paraId="5B391613" w14:textId="77777777" w:rsidTr="00CE07B5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0084B6C5" w14:textId="77777777" w:rsidR="007905E6" w:rsidRDefault="007905E6" w:rsidP="00686C8D">
          <w:pPr>
            <w:spacing w:line="0" w:lineRule="atLeast"/>
            <w:rPr>
              <w:sz w:val="18"/>
            </w:rPr>
          </w:pP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7E644A00" w14:textId="0D7699AF" w:rsidR="007905E6" w:rsidRDefault="007905E6" w:rsidP="00686C8D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33E7B">
            <w:rPr>
              <w:i/>
              <w:noProof/>
              <w:sz w:val="18"/>
            </w:rPr>
            <w:t>Financial Regulator Assessment Authority (Staff and Consultants) Delegations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6877E92B" w14:textId="77777777" w:rsidR="007905E6" w:rsidRDefault="007905E6" w:rsidP="00686C8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810AF9E" w14:textId="77777777" w:rsidR="007905E6" w:rsidRPr="00ED79B6" w:rsidRDefault="007905E6" w:rsidP="00686C8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934BE" w14:textId="77777777" w:rsidR="00205EC8" w:rsidRDefault="00205EC8" w:rsidP="00FA06CA">
      <w:pPr>
        <w:spacing w:line="240" w:lineRule="auto"/>
      </w:pPr>
      <w:r>
        <w:separator/>
      </w:r>
    </w:p>
  </w:footnote>
  <w:footnote w:type="continuationSeparator" w:id="0">
    <w:p w14:paraId="2B50CA14" w14:textId="77777777" w:rsidR="00205EC8" w:rsidRDefault="00205EC8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DE768" w14:textId="2EEF7DE1" w:rsidR="00F84EAE" w:rsidRPr="005F1388" w:rsidRDefault="00F84EAE" w:rsidP="00686C8D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E5621" w14:textId="27D50509" w:rsidR="00F84EAE" w:rsidRPr="007A1328" w:rsidRDefault="00F84EAE" w:rsidP="00686C8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6DAFA9E" w14:textId="2B4E885A" w:rsidR="00F84EAE" w:rsidRPr="007A1328" w:rsidRDefault="00F84EAE" w:rsidP="00686C8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333E7B">
      <w:rPr>
        <w:noProof/>
        <w:sz w:val="20"/>
      </w:rPr>
      <w:t>Preliminary</w:t>
    </w:r>
    <w:r w:rsidRPr="007A1328"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333E7B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59CD55F0" w14:textId="0E8F8BDF" w:rsidR="00F84EAE" w:rsidRPr="007A1328" w:rsidRDefault="00F84EAE" w:rsidP="00686C8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566D086" w14:textId="77777777" w:rsidR="00F84EAE" w:rsidRPr="007A1328" w:rsidRDefault="00F84EAE" w:rsidP="00686C8D">
    <w:pPr>
      <w:jc w:val="right"/>
      <w:rPr>
        <w:b/>
        <w:sz w:val="24"/>
      </w:rPr>
    </w:pPr>
  </w:p>
  <w:p w14:paraId="445A7394" w14:textId="066E3801" w:rsidR="00F84EAE" w:rsidRPr="007A1328" w:rsidRDefault="00F84EAE" w:rsidP="00686C8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33E7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33E7B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61F74" w14:textId="6206AC0A" w:rsidR="00F84EAE" w:rsidRPr="005F1388" w:rsidRDefault="00F84EAE" w:rsidP="00686C8D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60BAE" w14:textId="77777777" w:rsidR="00F84EAE" w:rsidRPr="005F1388" w:rsidRDefault="00F84EAE" w:rsidP="00686C8D">
    <w:pPr>
      <w:pStyle w:val="Header"/>
      <w:tabs>
        <w:tab w:val="clear" w:pos="4150"/>
        <w:tab w:val="clear" w:pos="8307"/>
      </w:tabs>
    </w:pPr>
    <w:bookmarkStart w:id="5" w:name="_Hlk26286425"/>
    <w:bookmarkStart w:id="6" w:name="_Hlk26286426"/>
    <w:bookmarkEnd w:id="5"/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7DECF" w14:textId="1303F6FA" w:rsidR="00F84EAE" w:rsidRPr="00ED79B6" w:rsidRDefault="00F84EAE" w:rsidP="00686C8D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DF0FD" w14:textId="07021D87" w:rsidR="00F84EAE" w:rsidRPr="00ED79B6" w:rsidRDefault="00F84EAE" w:rsidP="00686C8D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46F27" w14:textId="77777777" w:rsidR="00F84EAE" w:rsidRPr="00ED79B6" w:rsidRDefault="00F84EAE" w:rsidP="00686C8D">
    <w:pPr>
      <w:pStyle w:val="Header"/>
      <w:tabs>
        <w:tab w:val="clear" w:pos="4150"/>
        <w:tab w:val="clear" w:pos="8307"/>
      </w:tabs>
    </w:pPr>
    <w:bookmarkStart w:id="15" w:name="_Hlk26286437"/>
    <w:bookmarkStart w:id="16" w:name="_Hlk26286438"/>
    <w:bookmarkEnd w:id="15"/>
    <w:bookmarkEnd w:id="16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5CE2E" w14:textId="129764AC" w:rsidR="00F84EAE" w:rsidRDefault="00F84EAE" w:rsidP="00686C8D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2338378" w14:textId="7C21E876" w:rsidR="00F84EAE" w:rsidRDefault="00F84EAE" w:rsidP="00686C8D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7D6F26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7D6F26">
      <w:rPr>
        <w:noProof/>
        <w:sz w:val="20"/>
      </w:rPr>
      <w:t>Delegations</w:t>
    </w:r>
    <w:r>
      <w:rPr>
        <w:sz w:val="20"/>
      </w:rPr>
      <w:fldChar w:fldCharType="end"/>
    </w:r>
  </w:p>
  <w:p w14:paraId="0D475462" w14:textId="675BA123" w:rsidR="00F84EAE" w:rsidRPr="007A1328" w:rsidRDefault="00F84EAE" w:rsidP="00686C8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47CF984" w14:textId="77777777" w:rsidR="00F84EAE" w:rsidRPr="007A1328" w:rsidRDefault="00F84EAE" w:rsidP="00686C8D">
    <w:pPr>
      <w:rPr>
        <w:b/>
        <w:sz w:val="24"/>
      </w:rPr>
    </w:pPr>
  </w:p>
  <w:p w14:paraId="497CF31E" w14:textId="0CD3D199" w:rsidR="00F84EAE" w:rsidRPr="007A1328" w:rsidRDefault="00F84EAE" w:rsidP="00686C8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33E7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D6F26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2" w:name="_Hlk26286447"/>
  <w:bookmarkStart w:id="23" w:name="_Hlk26286448"/>
  <w:bookmarkStart w:id="24" w:name="_Hlk26286451"/>
  <w:bookmarkStart w:id="25" w:name="_Hlk26286452"/>
  <w:p w14:paraId="429EA014" w14:textId="4EA541A6" w:rsidR="00F84EAE" w:rsidRPr="007A1328" w:rsidRDefault="00F84EAE" w:rsidP="00686C8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A6FF701" w14:textId="36E41DCB" w:rsidR="00F84EAE" w:rsidRPr="007A1328" w:rsidRDefault="00F84EAE" w:rsidP="00686C8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7D6F26">
      <w:rPr>
        <w:sz w:val="20"/>
      </w:rPr>
      <w:fldChar w:fldCharType="separate"/>
    </w:r>
    <w:r w:rsidR="007D6F26">
      <w:rPr>
        <w:noProof/>
        <w:sz w:val="20"/>
      </w:rPr>
      <w:t>Preliminary</w:t>
    </w:r>
    <w:r w:rsidRPr="007A1328">
      <w:rPr>
        <w:sz w:val="20"/>
      </w:rPr>
      <w:fldChar w:fldCharType="end"/>
    </w:r>
    <w:r>
      <w:rPr>
        <w:sz w:val="20"/>
      </w:rPr>
      <w:t xml:space="preserve">  </w:t>
    </w:r>
    <w:r w:rsidRPr="0056362D">
      <w:rPr>
        <w:b/>
        <w:bCs/>
        <w:sz w:val="20"/>
      </w:rPr>
      <w:t>Part 1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7D6F26">
      <w:rPr>
        <w:b/>
        <w:sz w:val="20"/>
      </w:rPr>
      <w:fldChar w:fldCharType="separate"/>
    </w:r>
    <w:r w:rsidR="007D6F26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1463D61B" w14:textId="6DDEFF0D" w:rsidR="00F84EAE" w:rsidRPr="007A1328" w:rsidRDefault="00F84EAE" w:rsidP="00686C8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5197D22" w14:textId="77777777" w:rsidR="00F84EAE" w:rsidRPr="007A1328" w:rsidRDefault="00F84EAE" w:rsidP="00686C8D">
    <w:pPr>
      <w:jc w:val="right"/>
      <w:rPr>
        <w:b/>
        <w:sz w:val="24"/>
      </w:rPr>
    </w:pPr>
  </w:p>
  <w:p w14:paraId="4DE26B73" w14:textId="4F874F66" w:rsidR="00F84EAE" w:rsidRPr="007A1328" w:rsidRDefault="00F84EAE" w:rsidP="00686C8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33E7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D6F26">
      <w:rPr>
        <w:noProof/>
        <w:sz w:val="24"/>
      </w:rPr>
      <w:t>1</w:t>
    </w:r>
    <w:r w:rsidRPr="007A1328">
      <w:rPr>
        <w:sz w:val="24"/>
      </w:rPr>
      <w:fldChar w:fldCharType="end"/>
    </w:r>
    <w:bookmarkEnd w:id="22"/>
    <w:bookmarkEnd w:id="23"/>
    <w:bookmarkEnd w:id="24"/>
    <w:bookmarkEnd w:id="25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D7A0D" w14:textId="77777777" w:rsidR="00F84EAE" w:rsidRPr="007A1328" w:rsidRDefault="00F84EAE" w:rsidP="00686C8D">
    <w:bookmarkStart w:id="30" w:name="_Hlk26286449"/>
    <w:bookmarkStart w:id="31" w:name="_Hlk26286450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embedTrueTypeFonts/>
  <w:saveSubsetFont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57"/>
    <w:rsid w:val="000964AD"/>
    <w:rsid w:val="001D32BD"/>
    <w:rsid w:val="00205EC8"/>
    <w:rsid w:val="00333E7B"/>
    <w:rsid w:val="00344382"/>
    <w:rsid w:val="00454548"/>
    <w:rsid w:val="0045710E"/>
    <w:rsid w:val="00507F6A"/>
    <w:rsid w:val="0056362D"/>
    <w:rsid w:val="00566D88"/>
    <w:rsid w:val="005A2D82"/>
    <w:rsid w:val="005E34DB"/>
    <w:rsid w:val="005E49FE"/>
    <w:rsid w:val="006172A2"/>
    <w:rsid w:val="00636078"/>
    <w:rsid w:val="00686C8D"/>
    <w:rsid w:val="00691A7A"/>
    <w:rsid w:val="006C63E5"/>
    <w:rsid w:val="00705437"/>
    <w:rsid w:val="007276F7"/>
    <w:rsid w:val="00776CB0"/>
    <w:rsid w:val="007905E6"/>
    <w:rsid w:val="007C2CBD"/>
    <w:rsid w:val="007D6F26"/>
    <w:rsid w:val="00870429"/>
    <w:rsid w:val="008A3E57"/>
    <w:rsid w:val="008E144F"/>
    <w:rsid w:val="00982634"/>
    <w:rsid w:val="00A02888"/>
    <w:rsid w:val="00AA057B"/>
    <w:rsid w:val="00B6623D"/>
    <w:rsid w:val="00C40712"/>
    <w:rsid w:val="00C64532"/>
    <w:rsid w:val="00C9209D"/>
    <w:rsid w:val="00C9500F"/>
    <w:rsid w:val="00CD4D13"/>
    <w:rsid w:val="00CE07B5"/>
    <w:rsid w:val="00D63663"/>
    <w:rsid w:val="00DF7628"/>
    <w:rsid w:val="00EA199B"/>
    <w:rsid w:val="00F84EAE"/>
    <w:rsid w:val="00FA06CA"/>
    <w:rsid w:val="00FA259F"/>
    <w:rsid w:val="00FB4FC6"/>
    <w:rsid w:val="00FE4702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BB6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276F7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6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6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6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6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6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6F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6F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6F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76F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6F7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6F7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6F7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6F7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6F7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6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6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7276F7"/>
  </w:style>
  <w:style w:type="paragraph" w:customStyle="1" w:styleId="OPCParaBase">
    <w:name w:val="OPCParaBase"/>
    <w:qFormat/>
    <w:rsid w:val="007276F7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7276F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276F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276F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276F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276F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276F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276F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276F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276F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276F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276F7"/>
  </w:style>
  <w:style w:type="paragraph" w:customStyle="1" w:styleId="Blocks">
    <w:name w:val="Blocks"/>
    <w:aliases w:val="bb"/>
    <w:basedOn w:val="OPCParaBase"/>
    <w:qFormat/>
    <w:rsid w:val="007276F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276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276F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276F7"/>
    <w:rPr>
      <w:i/>
    </w:rPr>
  </w:style>
  <w:style w:type="paragraph" w:customStyle="1" w:styleId="BoxList">
    <w:name w:val="BoxList"/>
    <w:aliases w:val="bl"/>
    <w:basedOn w:val="BoxText"/>
    <w:qFormat/>
    <w:rsid w:val="007276F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276F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276F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276F7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276F7"/>
  </w:style>
  <w:style w:type="character" w:customStyle="1" w:styleId="CharAmPartText">
    <w:name w:val="CharAmPartText"/>
    <w:basedOn w:val="OPCCharBase"/>
    <w:uiPriority w:val="1"/>
    <w:qFormat/>
    <w:rsid w:val="007276F7"/>
  </w:style>
  <w:style w:type="character" w:customStyle="1" w:styleId="CharAmSchNo">
    <w:name w:val="CharAmSchNo"/>
    <w:basedOn w:val="OPCCharBase"/>
    <w:uiPriority w:val="1"/>
    <w:qFormat/>
    <w:rsid w:val="007276F7"/>
  </w:style>
  <w:style w:type="character" w:customStyle="1" w:styleId="CharAmSchText">
    <w:name w:val="CharAmSchText"/>
    <w:basedOn w:val="OPCCharBase"/>
    <w:uiPriority w:val="1"/>
    <w:qFormat/>
    <w:rsid w:val="007276F7"/>
  </w:style>
  <w:style w:type="character" w:customStyle="1" w:styleId="CharBoldItalic">
    <w:name w:val="CharBoldItalic"/>
    <w:basedOn w:val="OPCCharBase"/>
    <w:uiPriority w:val="1"/>
    <w:qFormat/>
    <w:rsid w:val="007276F7"/>
    <w:rPr>
      <w:b/>
      <w:i/>
    </w:rPr>
  </w:style>
  <w:style w:type="character" w:customStyle="1" w:styleId="CharChapNo">
    <w:name w:val="CharChapNo"/>
    <w:basedOn w:val="OPCCharBase"/>
    <w:qFormat/>
    <w:rsid w:val="007276F7"/>
  </w:style>
  <w:style w:type="character" w:customStyle="1" w:styleId="CharChapText">
    <w:name w:val="CharChapText"/>
    <w:basedOn w:val="OPCCharBase"/>
    <w:qFormat/>
    <w:rsid w:val="007276F7"/>
  </w:style>
  <w:style w:type="character" w:customStyle="1" w:styleId="CharDivNo">
    <w:name w:val="CharDivNo"/>
    <w:basedOn w:val="OPCCharBase"/>
    <w:qFormat/>
    <w:rsid w:val="007276F7"/>
  </w:style>
  <w:style w:type="character" w:customStyle="1" w:styleId="CharDivText">
    <w:name w:val="CharDivText"/>
    <w:basedOn w:val="OPCCharBase"/>
    <w:qFormat/>
    <w:rsid w:val="007276F7"/>
  </w:style>
  <w:style w:type="character" w:customStyle="1" w:styleId="CharItalic">
    <w:name w:val="CharItalic"/>
    <w:basedOn w:val="OPCCharBase"/>
    <w:uiPriority w:val="1"/>
    <w:qFormat/>
    <w:rsid w:val="007276F7"/>
    <w:rPr>
      <w:i/>
    </w:rPr>
  </w:style>
  <w:style w:type="character" w:customStyle="1" w:styleId="CharPartNo">
    <w:name w:val="CharPartNo"/>
    <w:basedOn w:val="OPCCharBase"/>
    <w:qFormat/>
    <w:rsid w:val="007276F7"/>
  </w:style>
  <w:style w:type="character" w:customStyle="1" w:styleId="CharPartText">
    <w:name w:val="CharPartText"/>
    <w:basedOn w:val="OPCCharBase"/>
    <w:qFormat/>
    <w:rsid w:val="007276F7"/>
  </w:style>
  <w:style w:type="character" w:customStyle="1" w:styleId="CharSectno">
    <w:name w:val="CharSectno"/>
    <w:basedOn w:val="OPCCharBase"/>
    <w:qFormat/>
    <w:rsid w:val="007276F7"/>
  </w:style>
  <w:style w:type="character" w:customStyle="1" w:styleId="CharSubdNo">
    <w:name w:val="CharSubdNo"/>
    <w:basedOn w:val="OPCCharBase"/>
    <w:uiPriority w:val="1"/>
    <w:qFormat/>
    <w:rsid w:val="007276F7"/>
  </w:style>
  <w:style w:type="character" w:customStyle="1" w:styleId="CharSubdText">
    <w:name w:val="CharSubdText"/>
    <w:basedOn w:val="OPCCharBase"/>
    <w:uiPriority w:val="1"/>
    <w:qFormat/>
    <w:rsid w:val="007276F7"/>
  </w:style>
  <w:style w:type="paragraph" w:customStyle="1" w:styleId="CTA--">
    <w:name w:val="CTA --"/>
    <w:basedOn w:val="OPCParaBase"/>
    <w:next w:val="Normal"/>
    <w:rsid w:val="007276F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276F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276F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276F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276F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276F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276F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276F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276F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276F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276F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276F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276F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276F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276F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276F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276F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276F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276F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276F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276F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276F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276F7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7276F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276F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276F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276F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276F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276F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276F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276F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276F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276F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276F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276F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276F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276F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276F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276F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276F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276F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276F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276F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276F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276F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276F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276F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276F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276F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276F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276F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276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276F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276F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276F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276F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276F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276F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276F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276F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276F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276F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276F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7276F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276F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276F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276F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276F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276F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276F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276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276F7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276F7"/>
    <w:rPr>
      <w:sz w:val="16"/>
    </w:rPr>
  </w:style>
  <w:style w:type="table" w:customStyle="1" w:styleId="CFlag">
    <w:name w:val="CFlag"/>
    <w:basedOn w:val="TableNormal"/>
    <w:uiPriority w:val="99"/>
    <w:rsid w:val="00727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276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6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76F7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276F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276F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276F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276F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276F7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276F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276F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276F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276F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276F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276F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276F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276F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276F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276F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276F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276F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276F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276F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276F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276F7"/>
  </w:style>
  <w:style w:type="character" w:customStyle="1" w:styleId="CharSubPartNoCASA">
    <w:name w:val="CharSubPartNo(CASA)"/>
    <w:basedOn w:val="OPCCharBase"/>
    <w:uiPriority w:val="1"/>
    <w:rsid w:val="007276F7"/>
  </w:style>
  <w:style w:type="paragraph" w:customStyle="1" w:styleId="ENoteTTIndentHeadingSub">
    <w:name w:val="ENoteTTIndentHeadingSub"/>
    <w:aliases w:val="enTTHis"/>
    <w:basedOn w:val="OPCParaBase"/>
    <w:rsid w:val="007276F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276F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276F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276F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276F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7276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7276F7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7276F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276F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276F7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7276F7"/>
  </w:style>
  <w:style w:type="paragraph" w:customStyle="1" w:styleId="TableHeading">
    <w:name w:val="TableHeading"/>
    <w:aliases w:val="th"/>
    <w:basedOn w:val="OPCParaBase"/>
    <w:next w:val="Tabletext"/>
    <w:rsid w:val="007276F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276F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276F7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276F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276F7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7276F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276F7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276F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276F7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7276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276F7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7276F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276F7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276F7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CDDD5-6E8B-4F6F-B641-E4DF181F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2021-11-04T23:05:00Z</dcterms:created>
  <dcterms:modified xsi:type="dcterms:W3CDTF">2021-11-04T23:05:00Z</dcterms:modified>
</cp:coreProperties>
</file>