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B80C" w14:textId="77777777" w:rsidR="00AE4E80" w:rsidRDefault="00AE4E80">
      <w:pPr>
        <w:pStyle w:val="BodyText"/>
        <w:rPr>
          <w:rFonts w:ascii="Times New Roman"/>
          <w:sz w:val="20"/>
        </w:rPr>
      </w:pPr>
    </w:p>
    <w:p w14:paraId="4B9DB80D" w14:textId="77777777" w:rsidR="00AE4E80" w:rsidRDefault="00AE4E80">
      <w:pPr>
        <w:pStyle w:val="BodyText"/>
        <w:spacing w:before="8"/>
        <w:rPr>
          <w:rFonts w:ascii="Times New Roman"/>
          <w:sz w:val="10"/>
        </w:rPr>
      </w:pPr>
    </w:p>
    <w:p w14:paraId="4B9DB80E" w14:textId="77777777" w:rsidR="00AE4E80" w:rsidRDefault="009E4188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9DB85F" wp14:editId="6F378906">
            <wp:extent cx="1384146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14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B80F" w14:textId="77777777" w:rsidR="00AE4E80" w:rsidRDefault="00AE4E80">
      <w:pPr>
        <w:pStyle w:val="BodyText"/>
        <w:rPr>
          <w:rFonts w:ascii="Times New Roman"/>
          <w:sz w:val="20"/>
        </w:rPr>
      </w:pPr>
    </w:p>
    <w:p w14:paraId="4B9DB810" w14:textId="77777777" w:rsidR="00AE4E80" w:rsidRDefault="00AE4E80">
      <w:pPr>
        <w:pStyle w:val="BodyText"/>
        <w:rPr>
          <w:rFonts w:ascii="Times New Roman"/>
          <w:sz w:val="16"/>
        </w:rPr>
      </w:pPr>
    </w:p>
    <w:p w14:paraId="4B9DB811" w14:textId="77777777" w:rsidR="00AE4E80" w:rsidRDefault="009E4188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Approval to hold the transferring business of a financial sector company No. 26 of 2021</w:t>
      </w:r>
    </w:p>
    <w:p w14:paraId="4B9DB812" w14:textId="09423DF8" w:rsidR="00AE4E80" w:rsidRDefault="009E4188">
      <w:pPr>
        <w:pBdr>
          <w:bottom w:val="single" w:sz="6" w:space="1" w:color="auto"/>
        </w:pBdr>
        <w:spacing w:before="361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4B9DB813" w14:textId="77777777" w:rsidR="00AE4E80" w:rsidRDefault="00AE4E80">
      <w:pPr>
        <w:pStyle w:val="BodyText"/>
        <w:spacing w:before="10"/>
        <w:rPr>
          <w:i/>
          <w:sz w:val="9"/>
        </w:rPr>
      </w:pPr>
      <w:bookmarkStart w:id="0" w:name="_GoBack"/>
      <w:bookmarkEnd w:id="0"/>
    </w:p>
    <w:p w14:paraId="4B9DB814" w14:textId="77777777" w:rsidR="00AE4E80" w:rsidRDefault="009E4188">
      <w:pPr>
        <w:pStyle w:val="BodyText"/>
        <w:tabs>
          <w:tab w:val="left" w:pos="707"/>
        </w:tabs>
        <w:spacing w:before="93" w:line="470" w:lineRule="auto"/>
        <w:ind w:left="140" w:right="1978"/>
      </w:pPr>
      <w:r>
        <w:t>To:</w:t>
      </w:r>
      <w:r>
        <w:tab/>
        <w:t>National Australia Bank Limited ABN 12 004 044 937 (the applicant) SINCE:</w:t>
      </w:r>
    </w:p>
    <w:p w14:paraId="4B9DB815" w14:textId="77777777" w:rsidR="00AE4E80" w:rsidRDefault="009E4188">
      <w:pPr>
        <w:pStyle w:val="ListParagraph"/>
        <w:numPr>
          <w:ilvl w:val="0"/>
          <w:numId w:val="1"/>
        </w:numPr>
        <w:tabs>
          <w:tab w:val="left" w:pos="708"/>
        </w:tabs>
        <w:spacing w:before="31"/>
        <w:ind w:right="140"/>
        <w:jc w:val="both"/>
      </w:pPr>
      <w:r>
        <w:t>the applicant and 86 400 Ltd ABN 13 621 804 813 (the company) are financial sector companies;</w:t>
      </w:r>
    </w:p>
    <w:p w14:paraId="4B9DB816" w14:textId="77777777" w:rsidR="00AE4E80" w:rsidRDefault="00AE4E80">
      <w:pPr>
        <w:pStyle w:val="BodyText"/>
        <w:spacing w:before="1"/>
      </w:pPr>
    </w:p>
    <w:p w14:paraId="4B9DB817" w14:textId="77777777" w:rsidR="00AE4E80" w:rsidRDefault="009E4188">
      <w:pPr>
        <w:pStyle w:val="ListParagraph"/>
        <w:numPr>
          <w:ilvl w:val="0"/>
          <w:numId w:val="1"/>
        </w:numPr>
        <w:tabs>
          <w:tab w:val="left" w:pos="708"/>
        </w:tabs>
        <w:ind w:right="135"/>
        <w:jc w:val="both"/>
      </w:pPr>
      <w:r>
        <w:t>more than 20% of the gross assets and liabilities of the company (the transferring business)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transferred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Financial</w:t>
      </w:r>
      <w:r>
        <w:rPr>
          <w:i/>
          <w:spacing w:val="-9"/>
        </w:rPr>
        <w:t xml:space="preserve"> </w:t>
      </w:r>
      <w:r>
        <w:rPr>
          <w:i/>
        </w:rPr>
        <w:t>Sector</w:t>
      </w:r>
      <w:r>
        <w:rPr>
          <w:i/>
          <w:spacing w:val="-10"/>
        </w:rPr>
        <w:t xml:space="preserve"> </w:t>
      </w:r>
      <w:r>
        <w:rPr>
          <w:i/>
        </w:rPr>
        <w:t>(T</w:t>
      </w:r>
      <w:r>
        <w:rPr>
          <w:i/>
        </w:rPr>
        <w:t>ransfer</w:t>
      </w:r>
      <w:r>
        <w:rPr>
          <w:i/>
          <w:spacing w:val="-10"/>
        </w:rPr>
        <w:t xml:space="preserve"> </w:t>
      </w:r>
      <w:r>
        <w:rPr>
          <w:i/>
        </w:rPr>
        <w:t>and Restructure) Act</w:t>
      </w:r>
      <w:r>
        <w:rPr>
          <w:i/>
          <w:spacing w:val="-4"/>
        </w:rPr>
        <w:t xml:space="preserve"> </w:t>
      </w:r>
      <w:r>
        <w:rPr>
          <w:i/>
        </w:rPr>
        <w:t>1999</w:t>
      </w:r>
      <w:r>
        <w:t>;</w:t>
      </w:r>
    </w:p>
    <w:p w14:paraId="4B9DB818" w14:textId="77777777" w:rsidR="00AE4E80" w:rsidRDefault="00AE4E80">
      <w:pPr>
        <w:pStyle w:val="BodyText"/>
        <w:spacing w:before="10"/>
        <w:rPr>
          <w:sz w:val="21"/>
        </w:rPr>
      </w:pPr>
    </w:p>
    <w:p w14:paraId="4B9DB819" w14:textId="77777777" w:rsidR="00AE4E80" w:rsidRDefault="009E4188">
      <w:pPr>
        <w:pStyle w:val="ListParagraph"/>
        <w:numPr>
          <w:ilvl w:val="0"/>
          <w:numId w:val="1"/>
        </w:numPr>
        <w:tabs>
          <w:tab w:val="left" w:pos="708"/>
        </w:tabs>
        <w:ind w:right="134"/>
        <w:jc w:val="both"/>
      </w:pPr>
      <w:r>
        <w:t>the applicant has applied to the Treasurer under subsection 13</w:t>
      </w:r>
      <w:proofErr w:type="gramStart"/>
      <w:r>
        <w:t>A(</w:t>
      </w:r>
      <w:proofErr w:type="gramEnd"/>
      <w:r>
        <w:t xml:space="preserve">2) of the </w:t>
      </w:r>
      <w:r>
        <w:rPr>
          <w:i/>
        </w:rPr>
        <w:t>Financial Sector</w:t>
      </w:r>
      <w:r>
        <w:rPr>
          <w:i/>
          <w:spacing w:val="-11"/>
        </w:rPr>
        <w:t xml:space="preserve"> </w:t>
      </w:r>
      <w:r>
        <w:rPr>
          <w:i/>
        </w:rPr>
        <w:t>(Shareholdings)</w:t>
      </w:r>
      <w:r>
        <w:rPr>
          <w:i/>
          <w:spacing w:val="-9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1998</w:t>
      </w:r>
      <w:r>
        <w:rPr>
          <w:i/>
          <w:spacing w:val="-8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Act)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transferring</w:t>
      </w:r>
      <w:r>
        <w:rPr>
          <w:spacing w:val="-6"/>
        </w:rPr>
        <w:t xml:space="preserve"> </w:t>
      </w:r>
      <w:r>
        <w:t>business; and</w:t>
      </w:r>
    </w:p>
    <w:p w14:paraId="4B9DB81A" w14:textId="77777777" w:rsidR="00AE4E80" w:rsidRDefault="00AE4E80">
      <w:pPr>
        <w:pStyle w:val="BodyText"/>
        <w:rPr>
          <w:sz w:val="24"/>
        </w:rPr>
      </w:pPr>
    </w:p>
    <w:p w14:paraId="4B9DB81B" w14:textId="77777777" w:rsidR="00AE4E80" w:rsidRDefault="009E4188">
      <w:pPr>
        <w:pStyle w:val="ListParagraph"/>
        <w:numPr>
          <w:ilvl w:val="0"/>
          <w:numId w:val="1"/>
        </w:numPr>
        <w:tabs>
          <w:tab w:val="left" w:pos="708"/>
        </w:tabs>
        <w:spacing w:line="242" w:lineRule="auto"/>
        <w:jc w:val="both"/>
      </w:pPr>
      <w:r>
        <w:t>I am satisfied that it is in the national interest to approve the applicant holding the transferring</w:t>
      </w:r>
      <w:r>
        <w:rPr>
          <w:spacing w:val="-2"/>
        </w:rPr>
        <w:t xml:space="preserve"> </w:t>
      </w:r>
      <w:r>
        <w:t>business,</w:t>
      </w:r>
    </w:p>
    <w:p w14:paraId="4B9DB81C" w14:textId="77777777" w:rsidR="00AE4E80" w:rsidRDefault="00AE4E80">
      <w:pPr>
        <w:pStyle w:val="BodyText"/>
        <w:rPr>
          <w:sz w:val="31"/>
        </w:rPr>
      </w:pPr>
    </w:p>
    <w:p w14:paraId="4B9DB81D" w14:textId="77777777" w:rsidR="00AE4E80" w:rsidRDefault="009E4188">
      <w:pPr>
        <w:pStyle w:val="BodyText"/>
        <w:ind w:left="140"/>
      </w:pPr>
      <w:r>
        <w:t>I, Lara Douglas, a delegate of the Treasurer, under paragraph 14(1)(a) of the Act, APPROVE the applicant holding a 100% stake in the transferrin</w:t>
      </w:r>
      <w:r>
        <w:t>g business.</w:t>
      </w:r>
    </w:p>
    <w:p w14:paraId="4B9DB81E" w14:textId="77777777" w:rsidR="00AE4E80" w:rsidRDefault="00AE4E80">
      <w:pPr>
        <w:pStyle w:val="BodyText"/>
        <w:spacing w:before="10"/>
        <w:rPr>
          <w:sz w:val="21"/>
        </w:rPr>
      </w:pPr>
    </w:p>
    <w:p w14:paraId="4B9DB81F" w14:textId="77777777" w:rsidR="00AE4E80" w:rsidRDefault="009E4188">
      <w:pPr>
        <w:pStyle w:val="BodyText"/>
        <w:spacing w:line="482" w:lineRule="auto"/>
        <w:ind w:left="140" w:right="1091"/>
      </w:pPr>
      <w:r>
        <w:t>This instrument commences on the day it is made and remains in force indefinitely. Dated: 3 December 2021</w:t>
      </w:r>
    </w:p>
    <w:p w14:paraId="4B9DB820" w14:textId="77777777" w:rsidR="00AE4E80" w:rsidRDefault="00AE4E80">
      <w:pPr>
        <w:pStyle w:val="BodyText"/>
        <w:rPr>
          <w:sz w:val="24"/>
        </w:rPr>
      </w:pPr>
    </w:p>
    <w:p w14:paraId="4B9DB821" w14:textId="77777777" w:rsidR="00AE4E80" w:rsidRDefault="00AE4E80">
      <w:pPr>
        <w:pStyle w:val="BodyText"/>
        <w:rPr>
          <w:sz w:val="24"/>
        </w:rPr>
      </w:pPr>
    </w:p>
    <w:p w14:paraId="4B9DB822" w14:textId="77777777" w:rsidR="00AE4E80" w:rsidRDefault="00AE4E80">
      <w:pPr>
        <w:pStyle w:val="BodyText"/>
        <w:rPr>
          <w:sz w:val="24"/>
        </w:rPr>
      </w:pPr>
    </w:p>
    <w:p w14:paraId="4B9DB823" w14:textId="77777777" w:rsidR="00AE4E80" w:rsidRDefault="00AE4E80">
      <w:pPr>
        <w:pStyle w:val="BodyText"/>
        <w:rPr>
          <w:sz w:val="24"/>
        </w:rPr>
      </w:pPr>
    </w:p>
    <w:p w14:paraId="4B9DB824" w14:textId="77777777" w:rsidR="00AE4E80" w:rsidRDefault="00AE4E80">
      <w:pPr>
        <w:pStyle w:val="BodyText"/>
        <w:spacing w:before="9"/>
        <w:rPr>
          <w:sz w:val="19"/>
        </w:rPr>
      </w:pPr>
    </w:p>
    <w:p w14:paraId="4B9DB825" w14:textId="77777777" w:rsidR="00AE4E80" w:rsidRDefault="009E4188">
      <w:pPr>
        <w:pStyle w:val="BodyText"/>
        <w:ind w:left="140" w:right="7437"/>
      </w:pPr>
      <w:r>
        <w:t>Lara Douglas General Manager Banking Division</w:t>
      </w:r>
    </w:p>
    <w:p w14:paraId="4B9DB826" w14:textId="77777777" w:rsidR="00AE4E80" w:rsidRDefault="00AE4E80">
      <w:pPr>
        <w:sectPr w:rsidR="00AE4E80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4B9DB827" w14:textId="77777777" w:rsidR="00AE4E80" w:rsidRDefault="00AE4E80">
      <w:pPr>
        <w:pStyle w:val="BodyText"/>
        <w:spacing w:before="2"/>
        <w:rPr>
          <w:sz w:val="19"/>
        </w:rPr>
      </w:pPr>
    </w:p>
    <w:p w14:paraId="4B9DB828" w14:textId="77777777" w:rsidR="00AE4E80" w:rsidRDefault="009E4188">
      <w:pPr>
        <w:spacing w:before="93"/>
        <w:ind w:left="140"/>
        <w:rPr>
          <w:b/>
        </w:rPr>
      </w:pPr>
      <w:r>
        <w:rPr>
          <w:b/>
        </w:rPr>
        <w:t>Interpretation</w:t>
      </w:r>
    </w:p>
    <w:p w14:paraId="4B9DB829" w14:textId="77777777" w:rsidR="00AE4E80" w:rsidRDefault="009E4188">
      <w:pPr>
        <w:pStyle w:val="BodyText"/>
        <w:spacing w:before="120"/>
        <w:ind w:left="140"/>
      </w:pPr>
      <w:r>
        <w:t>In this instrument:</w:t>
      </w:r>
    </w:p>
    <w:p w14:paraId="4B9DB82A" w14:textId="77777777" w:rsidR="00AE4E80" w:rsidRDefault="009E4188">
      <w:pPr>
        <w:pStyle w:val="BodyText"/>
        <w:spacing w:before="120"/>
        <w:ind w:left="140"/>
      </w:pPr>
      <w:r>
        <w:rPr>
          <w:b/>
          <w:i/>
        </w:rPr>
        <w:t xml:space="preserve">APRA </w:t>
      </w:r>
      <w:r>
        <w:t>means the Australian Prudenti</w:t>
      </w:r>
      <w:r>
        <w:t>al Regulation Authority.</w:t>
      </w:r>
    </w:p>
    <w:p w14:paraId="4B9DB82B" w14:textId="77777777" w:rsidR="00AE4E80" w:rsidRDefault="009E4188">
      <w:pPr>
        <w:spacing w:before="119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4B9DB82C" w14:textId="77777777" w:rsidR="00AE4E80" w:rsidRDefault="009E4188">
      <w:pPr>
        <w:spacing w:before="120"/>
        <w:ind w:left="140"/>
      </w:pPr>
      <w:r>
        <w:rPr>
          <w:b/>
          <w:i/>
        </w:rPr>
        <w:t xml:space="preserve">transferring business </w:t>
      </w:r>
      <w:r>
        <w:t>has the meaning given in subsection 13A of the Act.</w:t>
      </w:r>
    </w:p>
    <w:p w14:paraId="4B9DB82D" w14:textId="77777777" w:rsidR="00AE4E80" w:rsidRDefault="00AE4E80">
      <w:pPr>
        <w:pStyle w:val="BodyText"/>
        <w:spacing w:before="9"/>
        <w:rPr>
          <w:sz w:val="20"/>
        </w:rPr>
      </w:pPr>
    </w:p>
    <w:p w14:paraId="4B9DB82E" w14:textId="77777777" w:rsidR="00AE4E80" w:rsidRDefault="009E4188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4B9DB82F" w14:textId="77777777" w:rsidR="00AE4E80" w:rsidRDefault="009E4188">
      <w:pPr>
        <w:spacing w:before="121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4B9DB830" w14:textId="77777777" w:rsidR="00AE4E80" w:rsidRDefault="009E4188">
      <w:pPr>
        <w:spacing w:before="120"/>
        <w:ind w:left="14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company.</w:t>
      </w:r>
    </w:p>
    <w:p w14:paraId="4B9DB831" w14:textId="77777777" w:rsidR="00AE4E80" w:rsidRDefault="009E4188">
      <w:pPr>
        <w:spacing w:before="122"/>
        <w:ind w:left="140" w:right="133"/>
        <w:jc w:val="both"/>
        <w:rPr>
          <w:sz w:val="18"/>
        </w:rPr>
      </w:pPr>
      <w:r>
        <w:rPr>
          <w:sz w:val="18"/>
        </w:rPr>
        <w:t>By operation of regulation 8 of t</w:t>
      </w:r>
      <w:r>
        <w:rPr>
          <w:sz w:val="18"/>
        </w:rPr>
        <w:t xml:space="preserve">he </w:t>
      </w:r>
      <w:r>
        <w:rPr>
          <w:i/>
          <w:sz w:val="18"/>
        </w:rPr>
        <w:t>Financial Sector (Transfer and Restructure) Regulations 2018</w:t>
      </w:r>
      <w:r>
        <w:rPr>
          <w:sz w:val="18"/>
        </w:rPr>
        <w:t xml:space="preserve">, the Act applies in relation to a transfer of business under the </w:t>
      </w:r>
      <w:r>
        <w:rPr>
          <w:i/>
          <w:sz w:val="18"/>
        </w:rPr>
        <w:t xml:space="preserve">Financial </w:t>
      </w:r>
      <w:r>
        <w:rPr>
          <w:sz w:val="18"/>
        </w:rPr>
        <w:t xml:space="preserve">Sector </w:t>
      </w:r>
      <w:r>
        <w:rPr>
          <w:i/>
          <w:sz w:val="18"/>
        </w:rPr>
        <w:t xml:space="preserve">(Transfer and Restructure) Act 1999 </w:t>
      </w:r>
      <w:r>
        <w:rPr>
          <w:sz w:val="18"/>
        </w:rPr>
        <w:t>as if section 13A was inserted into the Act.</w:t>
      </w:r>
    </w:p>
    <w:p w14:paraId="4B9DB832" w14:textId="77777777" w:rsidR="00AE4E80" w:rsidRDefault="00AE4E80">
      <w:pPr>
        <w:pStyle w:val="BodyText"/>
        <w:rPr>
          <w:sz w:val="20"/>
        </w:rPr>
      </w:pPr>
    </w:p>
    <w:p w14:paraId="4B9DB833" w14:textId="77777777" w:rsidR="00AE4E80" w:rsidRDefault="00AE4E80">
      <w:pPr>
        <w:pStyle w:val="BodyText"/>
        <w:rPr>
          <w:sz w:val="20"/>
        </w:rPr>
      </w:pPr>
    </w:p>
    <w:p w14:paraId="4B9DB834" w14:textId="77777777" w:rsidR="00AE4E80" w:rsidRDefault="00AE4E80">
      <w:pPr>
        <w:pStyle w:val="BodyText"/>
        <w:rPr>
          <w:sz w:val="20"/>
        </w:rPr>
      </w:pPr>
    </w:p>
    <w:p w14:paraId="4B9DB835" w14:textId="77777777" w:rsidR="00AE4E80" w:rsidRDefault="00AE4E80">
      <w:pPr>
        <w:pStyle w:val="BodyText"/>
        <w:rPr>
          <w:sz w:val="20"/>
        </w:rPr>
      </w:pPr>
    </w:p>
    <w:p w14:paraId="4B9DB836" w14:textId="77777777" w:rsidR="00AE4E80" w:rsidRDefault="00AE4E80">
      <w:pPr>
        <w:pStyle w:val="BodyText"/>
        <w:rPr>
          <w:sz w:val="20"/>
        </w:rPr>
      </w:pPr>
    </w:p>
    <w:p w14:paraId="4B9DB837" w14:textId="77777777" w:rsidR="00AE4E80" w:rsidRDefault="00AE4E80">
      <w:pPr>
        <w:pStyle w:val="BodyText"/>
        <w:rPr>
          <w:sz w:val="20"/>
        </w:rPr>
      </w:pPr>
    </w:p>
    <w:p w14:paraId="4B9DB838" w14:textId="77777777" w:rsidR="00AE4E80" w:rsidRDefault="00AE4E80">
      <w:pPr>
        <w:pStyle w:val="BodyText"/>
        <w:rPr>
          <w:sz w:val="20"/>
        </w:rPr>
      </w:pPr>
    </w:p>
    <w:p w14:paraId="4B9DB839" w14:textId="77777777" w:rsidR="00AE4E80" w:rsidRDefault="00AE4E80">
      <w:pPr>
        <w:pStyle w:val="BodyText"/>
        <w:rPr>
          <w:sz w:val="20"/>
        </w:rPr>
      </w:pPr>
    </w:p>
    <w:p w14:paraId="4B9DB83A" w14:textId="77777777" w:rsidR="00AE4E80" w:rsidRDefault="00AE4E80">
      <w:pPr>
        <w:pStyle w:val="BodyText"/>
        <w:rPr>
          <w:sz w:val="20"/>
        </w:rPr>
      </w:pPr>
    </w:p>
    <w:p w14:paraId="4B9DB83B" w14:textId="77777777" w:rsidR="00AE4E80" w:rsidRDefault="00AE4E80">
      <w:pPr>
        <w:pStyle w:val="BodyText"/>
        <w:rPr>
          <w:sz w:val="20"/>
        </w:rPr>
      </w:pPr>
    </w:p>
    <w:p w14:paraId="4B9DB83C" w14:textId="77777777" w:rsidR="00AE4E80" w:rsidRDefault="00AE4E80">
      <w:pPr>
        <w:pStyle w:val="BodyText"/>
        <w:rPr>
          <w:sz w:val="20"/>
        </w:rPr>
      </w:pPr>
    </w:p>
    <w:p w14:paraId="4B9DB83D" w14:textId="77777777" w:rsidR="00AE4E80" w:rsidRDefault="00AE4E80">
      <w:pPr>
        <w:pStyle w:val="BodyText"/>
        <w:rPr>
          <w:sz w:val="20"/>
        </w:rPr>
      </w:pPr>
    </w:p>
    <w:p w14:paraId="4B9DB83E" w14:textId="77777777" w:rsidR="00AE4E80" w:rsidRDefault="00AE4E80">
      <w:pPr>
        <w:pStyle w:val="BodyText"/>
        <w:rPr>
          <w:sz w:val="20"/>
        </w:rPr>
      </w:pPr>
    </w:p>
    <w:p w14:paraId="4B9DB83F" w14:textId="77777777" w:rsidR="00AE4E80" w:rsidRDefault="00AE4E80">
      <w:pPr>
        <w:pStyle w:val="BodyText"/>
        <w:rPr>
          <w:sz w:val="20"/>
        </w:rPr>
      </w:pPr>
    </w:p>
    <w:p w14:paraId="4B9DB840" w14:textId="77777777" w:rsidR="00AE4E80" w:rsidRDefault="00AE4E80">
      <w:pPr>
        <w:pStyle w:val="BodyText"/>
        <w:rPr>
          <w:sz w:val="20"/>
        </w:rPr>
      </w:pPr>
    </w:p>
    <w:p w14:paraId="4B9DB841" w14:textId="77777777" w:rsidR="00AE4E80" w:rsidRDefault="00AE4E80">
      <w:pPr>
        <w:pStyle w:val="BodyText"/>
        <w:rPr>
          <w:sz w:val="20"/>
        </w:rPr>
      </w:pPr>
    </w:p>
    <w:p w14:paraId="4B9DB842" w14:textId="77777777" w:rsidR="00AE4E80" w:rsidRDefault="00AE4E80">
      <w:pPr>
        <w:pStyle w:val="BodyText"/>
        <w:rPr>
          <w:sz w:val="20"/>
        </w:rPr>
      </w:pPr>
    </w:p>
    <w:p w14:paraId="4B9DB843" w14:textId="77777777" w:rsidR="00AE4E80" w:rsidRDefault="00AE4E80">
      <w:pPr>
        <w:pStyle w:val="BodyText"/>
        <w:rPr>
          <w:sz w:val="20"/>
        </w:rPr>
      </w:pPr>
    </w:p>
    <w:p w14:paraId="4B9DB844" w14:textId="77777777" w:rsidR="00AE4E80" w:rsidRDefault="00AE4E80">
      <w:pPr>
        <w:pStyle w:val="BodyText"/>
        <w:rPr>
          <w:sz w:val="20"/>
        </w:rPr>
      </w:pPr>
    </w:p>
    <w:p w14:paraId="4B9DB845" w14:textId="77777777" w:rsidR="00AE4E80" w:rsidRDefault="00AE4E80">
      <w:pPr>
        <w:pStyle w:val="BodyText"/>
        <w:rPr>
          <w:sz w:val="20"/>
        </w:rPr>
      </w:pPr>
    </w:p>
    <w:p w14:paraId="4B9DB846" w14:textId="77777777" w:rsidR="00AE4E80" w:rsidRDefault="00AE4E80">
      <w:pPr>
        <w:pStyle w:val="BodyText"/>
        <w:rPr>
          <w:sz w:val="20"/>
        </w:rPr>
      </w:pPr>
    </w:p>
    <w:p w14:paraId="4B9DB847" w14:textId="77777777" w:rsidR="00AE4E80" w:rsidRDefault="00AE4E80">
      <w:pPr>
        <w:pStyle w:val="BodyText"/>
        <w:rPr>
          <w:sz w:val="20"/>
        </w:rPr>
      </w:pPr>
    </w:p>
    <w:p w14:paraId="4B9DB848" w14:textId="77777777" w:rsidR="00AE4E80" w:rsidRDefault="00AE4E80">
      <w:pPr>
        <w:pStyle w:val="BodyText"/>
        <w:rPr>
          <w:sz w:val="20"/>
        </w:rPr>
      </w:pPr>
    </w:p>
    <w:p w14:paraId="4B9DB849" w14:textId="77777777" w:rsidR="00AE4E80" w:rsidRDefault="00AE4E80">
      <w:pPr>
        <w:pStyle w:val="BodyText"/>
        <w:rPr>
          <w:sz w:val="20"/>
        </w:rPr>
      </w:pPr>
    </w:p>
    <w:p w14:paraId="4B9DB84A" w14:textId="77777777" w:rsidR="00AE4E80" w:rsidRDefault="00AE4E80">
      <w:pPr>
        <w:pStyle w:val="BodyText"/>
        <w:rPr>
          <w:sz w:val="20"/>
        </w:rPr>
      </w:pPr>
    </w:p>
    <w:p w14:paraId="4B9DB84B" w14:textId="77777777" w:rsidR="00AE4E80" w:rsidRDefault="00AE4E80">
      <w:pPr>
        <w:pStyle w:val="BodyText"/>
        <w:rPr>
          <w:sz w:val="20"/>
        </w:rPr>
      </w:pPr>
    </w:p>
    <w:p w14:paraId="4B9DB84C" w14:textId="77777777" w:rsidR="00AE4E80" w:rsidRDefault="00AE4E80">
      <w:pPr>
        <w:pStyle w:val="BodyText"/>
        <w:rPr>
          <w:sz w:val="20"/>
        </w:rPr>
      </w:pPr>
    </w:p>
    <w:p w14:paraId="4B9DB84D" w14:textId="77777777" w:rsidR="00AE4E80" w:rsidRDefault="00AE4E80">
      <w:pPr>
        <w:pStyle w:val="BodyText"/>
        <w:rPr>
          <w:sz w:val="20"/>
        </w:rPr>
      </w:pPr>
    </w:p>
    <w:p w14:paraId="4B9DB84E" w14:textId="77777777" w:rsidR="00AE4E80" w:rsidRDefault="00AE4E80">
      <w:pPr>
        <w:pStyle w:val="BodyText"/>
        <w:rPr>
          <w:sz w:val="20"/>
        </w:rPr>
      </w:pPr>
    </w:p>
    <w:p w14:paraId="4B9DB84F" w14:textId="77777777" w:rsidR="00AE4E80" w:rsidRDefault="00AE4E80">
      <w:pPr>
        <w:pStyle w:val="BodyText"/>
        <w:rPr>
          <w:sz w:val="20"/>
        </w:rPr>
      </w:pPr>
    </w:p>
    <w:p w14:paraId="4B9DB850" w14:textId="77777777" w:rsidR="00AE4E80" w:rsidRDefault="00AE4E80">
      <w:pPr>
        <w:pStyle w:val="BodyText"/>
        <w:rPr>
          <w:sz w:val="20"/>
        </w:rPr>
      </w:pPr>
    </w:p>
    <w:p w14:paraId="4B9DB851" w14:textId="77777777" w:rsidR="00AE4E80" w:rsidRDefault="00AE4E80">
      <w:pPr>
        <w:pStyle w:val="BodyText"/>
        <w:rPr>
          <w:sz w:val="20"/>
        </w:rPr>
      </w:pPr>
    </w:p>
    <w:p w14:paraId="4B9DB852" w14:textId="77777777" w:rsidR="00AE4E80" w:rsidRDefault="00AE4E80">
      <w:pPr>
        <w:pStyle w:val="BodyText"/>
        <w:rPr>
          <w:sz w:val="20"/>
        </w:rPr>
      </w:pPr>
    </w:p>
    <w:p w14:paraId="4B9DB853" w14:textId="77777777" w:rsidR="00AE4E80" w:rsidRDefault="00AE4E80">
      <w:pPr>
        <w:pStyle w:val="BodyText"/>
        <w:rPr>
          <w:sz w:val="20"/>
        </w:rPr>
      </w:pPr>
    </w:p>
    <w:p w14:paraId="4B9DB854" w14:textId="77777777" w:rsidR="00AE4E80" w:rsidRDefault="00AE4E80">
      <w:pPr>
        <w:pStyle w:val="BodyText"/>
        <w:rPr>
          <w:sz w:val="20"/>
        </w:rPr>
      </w:pPr>
    </w:p>
    <w:p w14:paraId="4B9DB855" w14:textId="77777777" w:rsidR="00AE4E80" w:rsidRDefault="00AE4E80">
      <w:pPr>
        <w:pStyle w:val="BodyText"/>
        <w:rPr>
          <w:sz w:val="20"/>
        </w:rPr>
      </w:pPr>
    </w:p>
    <w:p w14:paraId="4B9DB856" w14:textId="77777777" w:rsidR="00AE4E80" w:rsidRDefault="00AE4E80">
      <w:pPr>
        <w:pStyle w:val="BodyText"/>
        <w:rPr>
          <w:sz w:val="20"/>
        </w:rPr>
      </w:pPr>
    </w:p>
    <w:p w14:paraId="4B9DB857" w14:textId="77777777" w:rsidR="00AE4E80" w:rsidRDefault="00AE4E80">
      <w:pPr>
        <w:pStyle w:val="BodyText"/>
        <w:rPr>
          <w:sz w:val="20"/>
        </w:rPr>
      </w:pPr>
    </w:p>
    <w:p w14:paraId="4B9DB858" w14:textId="77777777" w:rsidR="00AE4E80" w:rsidRDefault="00AE4E80">
      <w:pPr>
        <w:pStyle w:val="BodyText"/>
        <w:rPr>
          <w:sz w:val="20"/>
        </w:rPr>
      </w:pPr>
    </w:p>
    <w:p w14:paraId="4B9DB859" w14:textId="77777777" w:rsidR="00AE4E80" w:rsidRDefault="00AE4E80">
      <w:pPr>
        <w:pStyle w:val="BodyText"/>
        <w:rPr>
          <w:sz w:val="20"/>
        </w:rPr>
      </w:pPr>
    </w:p>
    <w:p w14:paraId="4B9DB85A" w14:textId="77777777" w:rsidR="00AE4E80" w:rsidRDefault="00AE4E80">
      <w:pPr>
        <w:pStyle w:val="BodyText"/>
        <w:rPr>
          <w:sz w:val="20"/>
        </w:rPr>
      </w:pPr>
    </w:p>
    <w:p w14:paraId="4B9DB85B" w14:textId="77777777" w:rsidR="00AE4E80" w:rsidRDefault="00AE4E80">
      <w:pPr>
        <w:pStyle w:val="BodyText"/>
        <w:rPr>
          <w:sz w:val="20"/>
        </w:rPr>
      </w:pPr>
    </w:p>
    <w:p w14:paraId="4B9DB85C" w14:textId="77777777" w:rsidR="00AE4E80" w:rsidRDefault="00AE4E80">
      <w:pPr>
        <w:pStyle w:val="BodyText"/>
        <w:rPr>
          <w:sz w:val="20"/>
        </w:rPr>
      </w:pPr>
    </w:p>
    <w:p w14:paraId="4B9DB85D" w14:textId="77777777" w:rsidR="00AE4E80" w:rsidRDefault="00AE4E80">
      <w:pPr>
        <w:pStyle w:val="BodyText"/>
        <w:spacing w:before="2"/>
        <w:rPr>
          <w:sz w:val="20"/>
        </w:rPr>
      </w:pPr>
    </w:p>
    <w:p w14:paraId="4B9DB85E" w14:textId="77777777" w:rsidR="00AE4E80" w:rsidRDefault="009E4188">
      <w:pPr>
        <w:spacing w:before="94"/>
        <w:ind w:right="133"/>
        <w:jc w:val="right"/>
        <w:rPr>
          <w:sz w:val="18"/>
        </w:rPr>
      </w:pPr>
      <w:r>
        <w:rPr>
          <w:sz w:val="18"/>
        </w:rPr>
        <w:t>Page 2 of 2</w:t>
      </w:r>
    </w:p>
    <w:sectPr w:rsidR="00AE4E80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E4C4" w14:textId="77777777" w:rsidR="009E4188" w:rsidRDefault="009E4188" w:rsidP="009E4188">
      <w:r>
        <w:separator/>
      </w:r>
    </w:p>
  </w:endnote>
  <w:endnote w:type="continuationSeparator" w:id="0">
    <w:p w14:paraId="4914C55E" w14:textId="77777777" w:rsidR="009E4188" w:rsidRDefault="009E4188" w:rsidP="009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BB9A" w14:textId="77777777" w:rsidR="009E4188" w:rsidRDefault="009E4188" w:rsidP="009E4188">
      <w:r>
        <w:separator/>
      </w:r>
    </w:p>
  </w:footnote>
  <w:footnote w:type="continuationSeparator" w:id="0">
    <w:p w14:paraId="591C48FB" w14:textId="77777777" w:rsidR="009E4188" w:rsidRDefault="009E4188" w:rsidP="009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35F9"/>
    <w:multiLevelType w:val="hybridMultilevel"/>
    <w:tmpl w:val="A664EE1E"/>
    <w:lvl w:ilvl="0" w:tplc="95742240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7ADE36B2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B7945E00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BF6C3BEE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674431EC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7FF8BC1E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7CF8A398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9F8EAD72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737E3F2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E80"/>
    <w:rsid w:val="009E4188"/>
    <w:rsid w:val="00A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DB80C"/>
  <w15:docId w15:val="{8AE34E29-312C-47B2-A147-51DEE2B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right="133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5JENXJJSCC7A-445999044-11659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https://im/teams/LEGAL/_layouts/15/DocIdRedir.aspx?ID=5JENXJJSCC7A-445999044-11659</Url>
      <Description>5JENXJJSCC7A-445999044-11659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the transferring business of a financial sector company No. 26 of 2021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8F3B-AEC2-41E5-90D4-FDBD1C0FBD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4FAF24-72B2-40E7-9B65-CB699ABCE9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24CA82-49E1-49E2-A915-F4BD0EB19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8A6C8-7E6F-4F60-9AF3-C1C6EA99372B}">
  <ds:schemaRefs>
    <ds:schemaRef ds:uri="http://schemas.microsoft.com/office/2006/documentManagement/types"/>
    <ds:schemaRef ds:uri="http://purl.org/dc/terms/"/>
    <ds:schemaRef ds:uri="http://www.w3.org/XML/1998/namespace"/>
    <ds:schemaRef ds:uri="814d62cb-2db6-4c25-ab62-b9075facbc11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E71CCB3-5D85-43EB-8C9A-8CD97E088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1551</Characters>
  <Application>Microsoft Office Word</Application>
  <DocSecurity>0</DocSecurity>
  <Lines>98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s14(1)(a) approval - NAB</vt:lpstr>
    </vt:vector>
  </TitlesOfParts>
  <Company>APRA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Australia Bank Limited - FSSA - 031221</dc:title>
  <dc:creator>Tran, Nicky</dc:creator>
  <cp:keywords>[SEC=OFFICIAL]</cp:keywords>
  <cp:lastModifiedBy>Michalis, Toni</cp:lastModifiedBy>
  <cp:revision>2</cp:revision>
  <dcterms:created xsi:type="dcterms:W3CDTF">2021-12-03T04:11:00Z</dcterms:created>
  <dcterms:modified xsi:type="dcterms:W3CDTF">2021-12-03T04:17:00Z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2021-12-03T00:00:00Z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51f76567-5146-4e6d-9f62-444ae452ce07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FF2462AC5B8540BF827FA8F6F75F3B29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2021-12-03T04:17:23Z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_Hash_Version">
    <vt:lpwstr>2018.0</vt:lpwstr>
  </property>
  <property fmtid="{D5CDD505-2E9C-101B-9397-08002B2CF9AE}" pid="33" name="PM_Hash_Salt_Prev">
    <vt:lpwstr>1DC663FDB7C12ED8DD66EA19F590A75B</vt:lpwstr>
  </property>
  <property fmtid="{D5CDD505-2E9C-101B-9397-08002B2CF9AE}" pid="34" name="PM_Hash_Salt">
    <vt:lpwstr>1DC663FDB7C12ED8DD66EA19F590A75B</vt:lpwstr>
  </property>
  <property fmtid="{D5CDD505-2E9C-101B-9397-08002B2CF9AE}" pid="35" name="PM_Hash_SHA1">
    <vt:lpwstr>77DAD7DD9010DDAB6A34789E31F6088FFE39855D</vt:lpwstr>
  </property>
  <property fmtid="{D5CDD505-2E9C-101B-9397-08002B2CF9AE}" pid="36" name="PM_OriginatorUserAccountName_SHA256">
    <vt:lpwstr>6E3018F28A186D2E5FF5207C041E7A82E907C3008E071057026A53705873B72E</vt:lpwstr>
  </property>
  <property fmtid="{D5CDD505-2E9C-101B-9397-08002B2CF9AE}" pid="37" name="PM_OriginatorDomainName_SHA256">
    <vt:lpwstr>ECBDE2B44A971754412B3FB70606937A119CC0D4B6C1B658A40FBD41C30BE3EC</vt:lpwstr>
  </property>
  <property fmtid="{D5CDD505-2E9C-101B-9397-08002B2CF9AE}" pid="38" name="PM_MinimumSecurityClassification">
    <vt:lpwstr/>
  </property>
  <property fmtid="{D5CDD505-2E9C-101B-9397-08002B2CF9AE}" pid="39" name="IT system type">
    <vt:lpwstr/>
  </property>
  <property fmtid="{D5CDD505-2E9C-101B-9397-08002B2CF9AE}" pid="40" name="APRACategory">
    <vt:lpwstr/>
  </property>
  <property fmtid="{D5CDD505-2E9C-101B-9397-08002B2CF9AE}" pid="41" name="APRADocumentType">
    <vt:lpwstr>58;#Legal instrument|71fd6ed3-d6d6-4975-ba99-bfe45802e734</vt:lpwstr>
  </property>
  <property fmtid="{D5CDD505-2E9C-101B-9397-08002B2CF9AE}" pid="42" name="APRAActivity">
    <vt:lpwstr>109;#Statutory instrument|fe68928c-5a9c-4caf-bc8c-6c18cedcb17f</vt:lpwstr>
  </property>
  <property fmtid="{D5CDD505-2E9C-101B-9397-08002B2CF9AE}" pid="43" name="APRAEntityAdviceSupport">
    <vt:lpwstr/>
  </property>
  <property fmtid="{D5CDD505-2E9C-101B-9397-08002B2CF9AE}" pid="44" name="APRAExternalOrganisation">
    <vt:lpwstr/>
  </property>
  <property fmtid="{D5CDD505-2E9C-101B-9397-08002B2CF9AE}" pid="45" name="APRAIRTR">
    <vt:lpwstr/>
  </property>
  <property fmtid="{D5CDD505-2E9C-101B-9397-08002B2CF9AE}" pid="46" name="RecordPoint_WorkflowType">
    <vt:lpwstr>ActiveSubmitStub</vt:lpwstr>
  </property>
  <property fmtid="{D5CDD505-2E9C-101B-9397-08002B2CF9AE}" pid="47" name="RecordPoint_ActiveItemSiteId">
    <vt:lpwstr>{88691c01-5bbb-4215-adc0-66cb7065b0af}</vt:lpwstr>
  </property>
  <property fmtid="{D5CDD505-2E9C-101B-9397-08002B2CF9AE}" pid="48" name="RecordPoint_ActiveItemListId">
    <vt:lpwstr>{0e59e171-09d8-4401-800a-327154450cb3}</vt:lpwstr>
  </property>
  <property fmtid="{D5CDD505-2E9C-101B-9397-08002B2CF9AE}" pid="49" name="RecordPoint_ActiveItemUniqueId">
    <vt:lpwstr>{51f76567-5146-4e6d-9f62-444ae452ce07}</vt:lpwstr>
  </property>
  <property fmtid="{D5CDD505-2E9C-101B-9397-08002B2CF9AE}" pid="50" name="RecordPoint_ActiveItemWebId">
    <vt:lpwstr>{75a71c27-8d66-4282-ae60-1bfc22a83be1}</vt:lpwstr>
  </property>
</Properties>
</file>