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068" w:rsidRDefault="00307068" w:rsidP="00307068">
      <w:pPr>
        <w:rPr>
          <w:sz w:val="28"/>
        </w:rPr>
      </w:pPr>
      <w:r>
        <w:rPr>
          <w:noProof/>
          <w:lang w:eastAsia="en-AU"/>
        </w:rPr>
        <w:drawing>
          <wp:inline distT="0" distB="0" distL="0" distR="0" wp14:anchorId="78B10D41" wp14:editId="3B5674F1">
            <wp:extent cx="1419225" cy="1104900"/>
            <wp:effectExtent l="0" t="0" r="9525" b="0"/>
            <wp:docPr id="5" name="Picture 5" descr="Commonwealth Coat of Arms" title="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1B2B3E" w:rsidRPr="00435B26" w:rsidRDefault="00D03A1F" w:rsidP="005006E0">
      <w:pPr>
        <w:spacing w:before="240" w:line="240" w:lineRule="auto"/>
        <w:rPr>
          <w:b/>
          <w:color w:val="000000" w:themeColor="text1"/>
          <w:sz w:val="40"/>
          <w:szCs w:val="40"/>
        </w:rPr>
      </w:pPr>
      <w:r>
        <w:rPr>
          <w:b/>
          <w:sz w:val="40"/>
          <w:szCs w:val="40"/>
        </w:rPr>
        <w:t xml:space="preserve">Statement of Principles </w:t>
      </w:r>
      <w:r w:rsidRPr="00435B26">
        <w:rPr>
          <w:b/>
          <w:color w:val="000000" w:themeColor="text1"/>
          <w:sz w:val="40"/>
          <w:szCs w:val="40"/>
        </w:rPr>
        <w:t xml:space="preserve">concerning </w:t>
      </w:r>
      <w:r w:rsidR="00435B26" w:rsidRPr="00435B26">
        <w:rPr>
          <w:b/>
          <w:color w:val="000000" w:themeColor="text1"/>
          <w:sz w:val="40"/>
          <w:szCs w:val="40"/>
        </w:rPr>
        <w:t>gingivitis</w:t>
      </w:r>
      <w:r w:rsidRPr="00435B26">
        <w:rPr>
          <w:b/>
          <w:color w:val="000000" w:themeColor="text1"/>
          <w:sz w:val="40"/>
          <w:szCs w:val="40"/>
        </w:rPr>
        <w:t xml:space="preserve"> </w:t>
      </w:r>
      <w:r w:rsidR="001B2B3E" w:rsidRPr="00435B26">
        <w:rPr>
          <w:b/>
          <w:color w:val="000000" w:themeColor="text1"/>
          <w:sz w:val="40"/>
          <w:szCs w:val="40"/>
        </w:rPr>
        <w:t xml:space="preserve">(Reasonable Hypothesis) (No. </w:t>
      </w:r>
      <w:r w:rsidR="00435B26" w:rsidRPr="00435B26">
        <w:rPr>
          <w:b/>
          <w:color w:val="000000" w:themeColor="text1"/>
          <w:sz w:val="40"/>
          <w:szCs w:val="40"/>
        </w:rPr>
        <w:t>17</w:t>
      </w:r>
      <w:r w:rsidR="001B2B3E" w:rsidRPr="00435B26">
        <w:rPr>
          <w:b/>
          <w:color w:val="000000" w:themeColor="text1"/>
          <w:sz w:val="40"/>
          <w:szCs w:val="40"/>
        </w:rPr>
        <w:t xml:space="preserve"> of </w:t>
      </w:r>
      <w:r w:rsidR="00435B26" w:rsidRPr="00435B26">
        <w:rPr>
          <w:b/>
          <w:color w:val="000000" w:themeColor="text1"/>
          <w:sz w:val="40"/>
          <w:szCs w:val="40"/>
        </w:rPr>
        <w:t>2022</w:t>
      </w:r>
      <w:r w:rsidR="001B2B3E" w:rsidRPr="00435B26">
        <w:rPr>
          <w:b/>
          <w:color w:val="000000" w:themeColor="text1"/>
          <w:sz w:val="40"/>
          <w:szCs w:val="40"/>
        </w:rPr>
        <w:t>)</w:t>
      </w:r>
    </w:p>
    <w:p w:rsidR="00307068" w:rsidRPr="00435B26" w:rsidRDefault="00307068" w:rsidP="001B2B3E">
      <w:pPr>
        <w:spacing w:before="240"/>
        <w:rPr>
          <w:color w:val="000000" w:themeColor="text1"/>
        </w:rPr>
      </w:pPr>
      <w:proofErr w:type="gramStart"/>
      <w:r w:rsidRPr="00435B26">
        <w:rPr>
          <w:color w:val="000000" w:themeColor="text1"/>
        </w:rPr>
        <w:t>made</w:t>
      </w:r>
      <w:proofErr w:type="gramEnd"/>
      <w:r w:rsidRPr="00435B26">
        <w:rPr>
          <w:color w:val="000000" w:themeColor="text1"/>
        </w:rPr>
        <w:t xml:space="preserve"> under </w:t>
      </w:r>
      <w:r w:rsidR="00D03A1F" w:rsidRPr="00435B26">
        <w:rPr>
          <w:color w:val="000000" w:themeColor="text1"/>
        </w:rPr>
        <w:t>subsection 196B(2)</w:t>
      </w:r>
      <w:r w:rsidRPr="00435B26">
        <w:rPr>
          <w:color w:val="000000" w:themeColor="text1"/>
        </w:rPr>
        <w:t xml:space="preserve"> of the</w:t>
      </w:r>
    </w:p>
    <w:p w:rsidR="00D03A1F" w:rsidRPr="00435B26" w:rsidRDefault="00D03A1F" w:rsidP="00D03A1F">
      <w:pPr>
        <w:pStyle w:val="CompiledMadeUnder"/>
        <w:spacing w:before="240"/>
        <w:rPr>
          <w:color w:val="000000" w:themeColor="text1"/>
        </w:rPr>
      </w:pPr>
      <w:r w:rsidRPr="00435B26">
        <w:rPr>
          <w:color w:val="000000" w:themeColor="text1"/>
        </w:rPr>
        <w:t>Veterans' Entitlements Act 1986</w:t>
      </w:r>
    </w:p>
    <w:p w:rsidR="00D03A1F" w:rsidRPr="00435B26" w:rsidRDefault="00D03A1F" w:rsidP="00D03A1F">
      <w:pPr>
        <w:spacing w:before="1000"/>
        <w:rPr>
          <w:rFonts w:cs="Arial"/>
          <w:color w:val="000000" w:themeColor="text1"/>
          <w:sz w:val="24"/>
          <w:szCs w:val="24"/>
        </w:rPr>
      </w:pPr>
      <w:r w:rsidRPr="00042EA7">
        <w:rPr>
          <w:rFonts w:cs="Arial"/>
          <w:b/>
          <w:sz w:val="32"/>
          <w:szCs w:val="32"/>
        </w:rPr>
        <w:t>Compilation No</w:t>
      </w:r>
      <w:r w:rsidRPr="00435B26">
        <w:rPr>
          <w:rFonts w:cs="Arial"/>
          <w:b/>
          <w:color w:val="000000" w:themeColor="text1"/>
          <w:sz w:val="32"/>
          <w:szCs w:val="32"/>
        </w:rPr>
        <w:t xml:space="preserve">. </w:t>
      </w:r>
      <w:r w:rsidR="00435B26" w:rsidRPr="00435B26">
        <w:rPr>
          <w:rFonts w:cs="Arial"/>
          <w:b/>
          <w:color w:val="000000" w:themeColor="text1"/>
          <w:sz w:val="32"/>
          <w:szCs w:val="32"/>
        </w:rPr>
        <w:t>1</w:t>
      </w:r>
      <w:r w:rsidRPr="00435B26">
        <w:rPr>
          <w:rFonts w:cs="Arial"/>
          <w:b/>
          <w:color w:val="000000" w:themeColor="text1"/>
          <w:sz w:val="32"/>
          <w:szCs w:val="32"/>
        </w:rPr>
        <w:tab/>
      </w:r>
      <w:r w:rsidRPr="00435B26">
        <w:rPr>
          <w:rFonts w:cs="Arial"/>
          <w:b/>
          <w:color w:val="000000" w:themeColor="text1"/>
          <w:sz w:val="32"/>
          <w:szCs w:val="32"/>
        </w:rPr>
        <w:tab/>
      </w:r>
    </w:p>
    <w:p w:rsidR="00D03A1F" w:rsidRPr="00435B26" w:rsidRDefault="00D03A1F" w:rsidP="00D03A1F">
      <w:pPr>
        <w:spacing w:before="480"/>
        <w:rPr>
          <w:rFonts w:cs="Arial"/>
          <w:color w:val="000000" w:themeColor="text1"/>
          <w:sz w:val="24"/>
        </w:rPr>
      </w:pPr>
      <w:r w:rsidRPr="00435B26">
        <w:rPr>
          <w:rFonts w:cs="Arial"/>
          <w:b/>
          <w:color w:val="000000" w:themeColor="text1"/>
          <w:sz w:val="24"/>
        </w:rPr>
        <w:t>Compilation date:</w:t>
      </w:r>
      <w:r w:rsidRPr="00435B26">
        <w:rPr>
          <w:rFonts w:cs="Arial"/>
          <w:b/>
          <w:color w:val="000000" w:themeColor="text1"/>
          <w:sz w:val="24"/>
        </w:rPr>
        <w:tab/>
      </w:r>
      <w:r w:rsidRPr="00435B26">
        <w:rPr>
          <w:rFonts w:cs="Arial"/>
          <w:b/>
          <w:color w:val="000000" w:themeColor="text1"/>
          <w:sz w:val="24"/>
        </w:rPr>
        <w:tab/>
      </w:r>
      <w:r w:rsidRPr="00435B26">
        <w:rPr>
          <w:rFonts w:cs="Arial"/>
          <w:b/>
          <w:color w:val="000000" w:themeColor="text1"/>
          <w:sz w:val="24"/>
        </w:rPr>
        <w:tab/>
      </w:r>
      <w:r w:rsidR="00435B26" w:rsidRPr="00435B26">
        <w:rPr>
          <w:rFonts w:cs="Arial"/>
          <w:color w:val="000000" w:themeColor="text1"/>
          <w:sz w:val="24"/>
        </w:rPr>
        <w:t>21 November 2022</w:t>
      </w:r>
    </w:p>
    <w:p w:rsidR="00D03A1F" w:rsidRPr="00435B26" w:rsidRDefault="00D03A1F" w:rsidP="00D03A1F">
      <w:pPr>
        <w:spacing w:before="240"/>
        <w:ind w:left="3544" w:hanging="3544"/>
        <w:rPr>
          <w:rFonts w:cs="Arial"/>
          <w:color w:val="000000" w:themeColor="text1"/>
          <w:sz w:val="24"/>
        </w:rPr>
      </w:pPr>
      <w:r w:rsidRPr="00435B26">
        <w:rPr>
          <w:rFonts w:cs="Arial"/>
          <w:b/>
          <w:color w:val="000000" w:themeColor="text1"/>
          <w:sz w:val="24"/>
        </w:rPr>
        <w:t>Includes amendments up to:</w:t>
      </w:r>
      <w:r w:rsidRPr="00435B26">
        <w:rPr>
          <w:rFonts w:cs="Arial"/>
          <w:b/>
          <w:color w:val="000000" w:themeColor="text1"/>
          <w:sz w:val="24"/>
        </w:rPr>
        <w:tab/>
      </w:r>
      <w:r w:rsidRPr="00435B26">
        <w:rPr>
          <w:rFonts w:cs="Arial"/>
          <w:color w:val="000000" w:themeColor="text1"/>
          <w:sz w:val="24"/>
        </w:rPr>
        <w:t xml:space="preserve">Amendment Statement of Principles concerning </w:t>
      </w:r>
      <w:r w:rsidR="00435B26" w:rsidRPr="00435B26">
        <w:rPr>
          <w:rFonts w:cs="Arial"/>
          <w:color w:val="000000" w:themeColor="text1"/>
          <w:sz w:val="24"/>
        </w:rPr>
        <w:t>gingivitis</w:t>
      </w:r>
      <w:r w:rsidRPr="00435B26">
        <w:rPr>
          <w:rFonts w:cs="Arial"/>
          <w:color w:val="000000" w:themeColor="text1"/>
          <w:sz w:val="24"/>
        </w:rPr>
        <w:t xml:space="preserve"> </w:t>
      </w:r>
      <w:r w:rsidR="001B2B3E" w:rsidRPr="00435B26">
        <w:rPr>
          <w:rFonts w:cs="Arial"/>
          <w:color w:val="000000" w:themeColor="text1"/>
          <w:sz w:val="24"/>
        </w:rPr>
        <w:t xml:space="preserve">(Reasonable Hypothesis) (No. </w:t>
      </w:r>
      <w:r w:rsidR="00435B26" w:rsidRPr="00435B26">
        <w:rPr>
          <w:rFonts w:cs="Arial"/>
          <w:color w:val="000000" w:themeColor="text1"/>
          <w:sz w:val="24"/>
        </w:rPr>
        <w:t>115</w:t>
      </w:r>
      <w:r w:rsidR="001B2B3E" w:rsidRPr="00435B26">
        <w:rPr>
          <w:rFonts w:cs="Arial"/>
          <w:color w:val="000000" w:themeColor="text1"/>
          <w:sz w:val="24"/>
        </w:rPr>
        <w:t xml:space="preserve"> of </w:t>
      </w:r>
      <w:r w:rsidR="00435B26" w:rsidRPr="00435B26">
        <w:rPr>
          <w:rFonts w:cs="Arial"/>
          <w:color w:val="000000" w:themeColor="text1"/>
          <w:sz w:val="24"/>
        </w:rPr>
        <w:t>2022</w:t>
      </w:r>
      <w:r w:rsidR="001B2B3E" w:rsidRPr="00435B26">
        <w:rPr>
          <w:rFonts w:cs="Arial"/>
          <w:color w:val="000000" w:themeColor="text1"/>
          <w:sz w:val="24"/>
        </w:rPr>
        <w:t xml:space="preserve">) </w:t>
      </w:r>
      <w:r w:rsidRPr="00435B26">
        <w:rPr>
          <w:rFonts w:cs="Arial"/>
          <w:color w:val="000000" w:themeColor="text1"/>
          <w:sz w:val="24"/>
        </w:rPr>
        <w:t>(</w:t>
      </w:r>
      <w:r w:rsidR="00435B26" w:rsidRPr="00435B26">
        <w:rPr>
          <w:rFonts w:cs="Arial"/>
          <w:color w:val="000000" w:themeColor="text1"/>
          <w:sz w:val="24"/>
        </w:rPr>
        <w:t>F2022</w:t>
      </w:r>
      <w:r w:rsidRPr="00435B26">
        <w:rPr>
          <w:rFonts w:cs="Arial"/>
          <w:color w:val="000000" w:themeColor="text1"/>
          <w:sz w:val="24"/>
        </w:rPr>
        <w:t>L</w:t>
      </w:r>
      <w:r w:rsidR="00435B26" w:rsidRPr="00435B26">
        <w:rPr>
          <w:rFonts w:cs="Arial"/>
          <w:color w:val="000000" w:themeColor="text1"/>
          <w:sz w:val="24"/>
        </w:rPr>
        <w:t>01394</w:t>
      </w:r>
      <w:r w:rsidRPr="00435B26">
        <w:rPr>
          <w:rFonts w:cs="Arial"/>
          <w:color w:val="000000" w:themeColor="text1"/>
          <w:sz w:val="24"/>
        </w:rPr>
        <w:t>)</w:t>
      </w:r>
    </w:p>
    <w:p w:rsidR="00D03A1F" w:rsidRPr="00435B26" w:rsidRDefault="00D03A1F" w:rsidP="00D03A1F">
      <w:pPr>
        <w:spacing w:before="240"/>
        <w:rPr>
          <w:rFonts w:cs="Arial"/>
          <w:color w:val="000000" w:themeColor="text1"/>
          <w:sz w:val="24"/>
        </w:rPr>
      </w:pPr>
      <w:r w:rsidRPr="00435B26">
        <w:rPr>
          <w:rFonts w:cs="Arial"/>
          <w:color w:val="000000" w:themeColor="text1"/>
          <w:sz w:val="24"/>
        </w:rPr>
        <w:t xml:space="preserve">The day of commencement of this Amendment Statement of Principles concerning </w:t>
      </w:r>
      <w:r w:rsidR="00435B26" w:rsidRPr="00435B26">
        <w:rPr>
          <w:rFonts w:cs="Arial"/>
          <w:color w:val="000000" w:themeColor="text1"/>
          <w:sz w:val="24"/>
        </w:rPr>
        <w:t>gingivitis</w:t>
      </w:r>
      <w:r w:rsidRPr="00435B26">
        <w:rPr>
          <w:rFonts w:cs="Arial"/>
          <w:color w:val="000000" w:themeColor="text1"/>
          <w:sz w:val="24"/>
        </w:rPr>
        <w:t xml:space="preserve"> is </w:t>
      </w:r>
      <w:r w:rsidR="00435B26" w:rsidRPr="00435B26">
        <w:rPr>
          <w:rFonts w:cs="Arial"/>
          <w:color w:val="000000" w:themeColor="text1"/>
          <w:sz w:val="24"/>
        </w:rPr>
        <w:t>21 November 2022</w:t>
      </w:r>
      <w:r w:rsidRPr="00435B26">
        <w:rPr>
          <w:rFonts w:cs="Arial"/>
          <w:color w:val="000000" w:themeColor="text1"/>
          <w:sz w:val="24"/>
        </w:rPr>
        <w:t>.</w:t>
      </w:r>
    </w:p>
    <w:p w:rsidR="00307068" w:rsidRDefault="00307068" w:rsidP="00307068">
      <w:pPr>
        <w:spacing w:before="240"/>
        <w:rPr>
          <w:rFonts w:cs="Arial"/>
          <w:sz w:val="24"/>
        </w:rPr>
      </w:pPr>
    </w:p>
    <w:p w:rsidR="00307068" w:rsidRPr="00C27148" w:rsidRDefault="00307068" w:rsidP="00307068">
      <w:pPr>
        <w:pageBreakBefore/>
        <w:rPr>
          <w:rFonts w:cs="Arial"/>
          <w:b/>
          <w:sz w:val="32"/>
          <w:szCs w:val="32"/>
        </w:rPr>
      </w:pPr>
      <w:r w:rsidRPr="00C27148">
        <w:rPr>
          <w:rFonts w:cs="Arial"/>
          <w:b/>
          <w:sz w:val="32"/>
          <w:szCs w:val="32"/>
        </w:rPr>
        <w:lastRenderedPageBreak/>
        <w:t>About this compilation</w:t>
      </w:r>
    </w:p>
    <w:p w:rsidR="00307068" w:rsidRDefault="00307068" w:rsidP="00307068">
      <w:pPr>
        <w:spacing w:after="120"/>
        <w:rPr>
          <w:rFonts w:cs="Arial"/>
          <w:szCs w:val="22"/>
        </w:rPr>
      </w:pPr>
    </w:p>
    <w:p w:rsidR="00307068" w:rsidRPr="00042EA7" w:rsidRDefault="00307068" w:rsidP="00307068">
      <w:pPr>
        <w:spacing w:before="240"/>
        <w:rPr>
          <w:rFonts w:cs="Arial"/>
        </w:rPr>
      </w:pPr>
      <w:r w:rsidRPr="00042EA7">
        <w:rPr>
          <w:rFonts w:cs="Arial"/>
          <w:b/>
          <w:szCs w:val="22"/>
        </w:rPr>
        <w:t>This compilation</w:t>
      </w:r>
    </w:p>
    <w:p w:rsidR="00307068" w:rsidRPr="00042EA7" w:rsidRDefault="00307068" w:rsidP="00307068">
      <w:pPr>
        <w:spacing w:before="120" w:after="120"/>
        <w:rPr>
          <w:rFonts w:cs="Arial"/>
          <w:szCs w:val="22"/>
        </w:rPr>
      </w:pPr>
      <w:r w:rsidRPr="00042EA7">
        <w:rPr>
          <w:rFonts w:cs="Arial"/>
          <w:szCs w:val="22"/>
        </w:rPr>
        <w:t xml:space="preserve">This is a </w:t>
      </w:r>
      <w:r w:rsidRPr="00435B26">
        <w:rPr>
          <w:rFonts w:cs="Arial"/>
          <w:color w:val="000000" w:themeColor="text1"/>
          <w:szCs w:val="22"/>
        </w:rPr>
        <w:t xml:space="preserve">compilation of the </w:t>
      </w:r>
      <w:r w:rsidR="00872162" w:rsidRPr="00435B26">
        <w:rPr>
          <w:rFonts w:cs="Arial"/>
          <w:i/>
          <w:color w:val="000000" w:themeColor="text1"/>
          <w:szCs w:val="22"/>
        </w:rPr>
        <w:t xml:space="preserve">Statement of Principles concerning </w:t>
      </w:r>
      <w:r w:rsidR="00435B26" w:rsidRPr="00435B26">
        <w:rPr>
          <w:rFonts w:cs="Arial"/>
          <w:i/>
          <w:color w:val="000000" w:themeColor="text1"/>
          <w:szCs w:val="22"/>
        </w:rPr>
        <w:t>gingivitis</w:t>
      </w:r>
      <w:r w:rsidR="00872162" w:rsidRPr="00435B26">
        <w:rPr>
          <w:rFonts w:cs="Arial"/>
          <w:i/>
          <w:color w:val="000000" w:themeColor="text1"/>
          <w:szCs w:val="22"/>
        </w:rPr>
        <w:t xml:space="preserve"> </w:t>
      </w:r>
      <w:r w:rsidR="001B2B3E" w:rsidRPr="00435B26">
        <w:rPr>
          <w:rFonts w:cs="Arial"/>
          <w:i/>
          <w:color w:val="000000" w:themeColor="text1"/>
          <w:szCs w:val="22"/>
        </w:rPr>
        <w:t xml:space="preserve">(Reasonable Hypothesis) (No. </w:t>
      </w:r>
      <w:r w:rsidR="00435B26" w:rsidRPr="00435B26">
        <w:rPr>
          <w:rFonts w:cs="Arial"/>
          <w:i/>
          <w:color w:val="000000" w:themeColor="text1"/>
          <w:szCs w:val="22"/>
        </w:rPr>
        <w:t>17</w:t>
      </w:r>
      <w:r w:rsidR="001B2B3E" w:rsidRPr="00435B26">
        <w:rPr>
          <w:rFonts w:cs="Arial"/>
          <w:i/>
          <w:color w:val="000000" w:themeColor="text1"/>
          <w:szCs w:val="22"/>
        </w:rPr>
        <w:t xml:space="preserve"> of </w:t>
      </w:r>
      <w:r w:rsidR="00435B26" w:rsidRPr="00435B26">
        <w:rPr>
          <w:rFonts w:cs="Arial"/>
          <w:i/>
          <w:color w:val="000000" w:themeColor="text1"/>
          <w:szCs w:val="22"/>
        </w:rPr>
        <w:t>2022</w:t>
      </w:r>
      <w:r w:rsidR="001B2B3E" w:rsidRPr="00435B26">
        <w:rPr>
          <w:rFonts w:cs="Arial"/>
          <w:i/>
          <w:color w:val="000000" w:themeColor="text1"/>
          <w:szCs w:val="22"/>
        </w:rPr>
        <w:t xml:space="preserve">) </w:t>
      </w:r>
      <w:r w:rsidRPr="00435B26">
        <w:rPr>
          <w:rFonts w:cs="Arial"/>
          <w:color w:val="000000" w:themeColor="text1"/>
          <w:szCs w:val="22"/>
        </w:rPr>
        <w:t xml:space="preserve">that shows the text of the law as amended and in force on </w:t>
      </w:r>
      <w:r w:rsidR="00435B26" w:rsidRPr="00435B26">
        <w:rPr>
          <w:rFonts w:cs="Arial"/>
          <w:color w:val="000000" w:themeColor="text1"/>
          <w:szCs w:val="22"/>
        </w:rPr>
        <w:t>21 November</w:t>
      </w:r>
      <w:r w:rsidR="001A30B9" w:rsidRPr="00435B26">
        <w:rPr>
          <w:rFonts w:cs="Arial"/>
          <w:color w:val="000000" w:themeColor="text1"/>
          <w:szCs w:val="22"/>
        </w:rPr>
        <w:t> </w:t>
      </w:r>
      <w:r w:rsidR="00435B26" w:rsidRPr="00435B26">
        <w:rPr>
          <w:rFonts w:cs="Arial"/>
          <w:color w:val="000000" w:themeColor="text1"/>
          <w:szCs w:val="22"/>
        </w:rPr>
        <w:t>2022</w:t>
      </w:r>
      <w:r w:rsidRPr="00435B26">
        <w:rPr>
          <w:rFonts w:cs="Arial"/>
          <w:color w:val="000000" w:themeColor="text1"/>
          <w:szCs w:val="22"/>
        </w:rPr>
        <w:t>.</w:t>
      </w:r>
    </w:p>
    <w:p w:rsidR="00307068" w:rsidRPr="00042EA7" w:rsidRDefault="00307068" w:rsidP="00307068">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rsidR="00307068" w:rsidRPr="00042EA7" w:rsidRDefault="00307068" w:rsidP="00307068">
      <w:pPr>
        <w:tabs>
          <w:tab w:val="left" w:pos="5640"/>
        </w:tabs>
        <w:spacing w:before="120" w:after="120"/>
        <w:rPr>
          <w:rFonts w:cs="Arial"/>
          <w:b/>
          <w:szCs w:val="22"/>
        </w:rPr>
      </w:pPr>
      <w:r w:rsidRPr="00042EA7">
        <w:rPr>
          <w:rFonts w:cs="Arial"/>
          <w:b/>
          <w:szCs w:val="22"/>
        </w:rPr>
        <w:t>Uncommenced amendments</w:t>
      </w:r>
    </w:p>
    <w:p w:rsidR="00307068" w:rsidRPr="00042EA7" w:rsidRDefault="00307068" w:rsidP="00307068">
      <w:pPr>
        <w:spacing w:after="120"/>
        <w:rPr>
          <w:rFonts w:cs="Arial"/>
          <w:szCs w:val="22"/>
        </w:rPr>
      </w:pPr>
      <w:r w:rsidRPr="00042EA7">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120" w:after="120"/>
        <w:rPr>
          <w:rFonts w:cs="Arial"/>
          <w:b/>
          <w:szCs w:val="22"/>
        </w:rPr>
      </w:pPr>
      <w:r w:rsidRPr="00042EA7">
        <w:rPr>
          <w:rFonts w:cs="Arial"/>
          <w:b/>
          <w:szCs w:val="22"/>
        </w:rPr>
        <w:t>Application, saving and transitional provisions for provisions and amendments</w:t>
      </w:r>
    </w:p>
    <w:p w:rsidR="00307068" w:rsidRPr="00042EA7" w:rsidRDefault="00307068" w:rsidP="00307068">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rsidR="00307068" w:rsidRPr="00042EA7" w:rsidRDefault="00307068" w:rsidP="00307068">
      <w:pPr>
        <w:spacing w:before="120" w:after="120"/>
        <w:rPr>
          <w:rFonts w:cs="Arial"/>
          <w:b/>
          <w:szCs w:val="22"/>
        </w:rPr>
      </w:pPr>
      <w:r w:rsidRPr="00042EA7">
        <w:rPr>
          <w:rFonts w:cs="Arial"/>
          <w:b/>
          <w:szCs w:val="22"/>
        </w:rPr>
        <w:t>Modifications</w:t>
      </w:r>
    </w:p>
    <w:p w:rsidR="00307068" w:rsidRPr="00042EA7" w:rsidRDefault="00307068" w:rsidP="00307068">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rsidR="00307068" w:rsidRPr="00BC57F4" w:rsidRDefault="00307068" w:rsidP="00307068">
      <w:pPr>
        <w:spacing w:after="120"/>
        <w:rPr>
          <w:rFonts w:cs="Arial"/>
        </w:rPr>
      </w:pPr>
      <w:r w:rsidRPr="00042EA7">
        <w:rPr>
          <w:rFonts w:cs="Arial"/>
          <w:szCs w:val="22"/>
        </w:rPr>
        <w:t>If a provision of the compiled law has been repealed in accordance with a provision of the law, details are included in the endnotes.</w:t>
      </w:r>
    </w:p>
    <w:p w:rsidR="00307068" w:rsidRDefault="00307068" w:rsidP="00307068"/>
    <w:p w:rsidR="00307068" w:rsidRPr="00ED79B6" w:rsidRDefault="00307068" w:rsidP="00307068"/>
    <w:p w:rsidR="00307068" w:rsidRPr="00ED79B6" w:rsidRDefault="00307068" w:rsidP="00307068">
      <w:pPr>
        <w:pStyle w:val="Header"/>
        <w:tabs>
          <w:tab w:val="clear" w:pos="4150"/>
          <w:tab w:val="clear" w:pos="8307"/>
        </w:tabs>
      </w:pPr>
      <w:r w:rsidRPr="00ED79B6">
        <w:rPr>
          <w:rStyle w:val="CharChapNo"/>
        </w:rPr>
        <w:t xml:space="preserve"> </w:t>
      </w:r>
      <w:r w:rsidRPr="00ED79B6">
        <w:rPr>
          <w:rStyle w:val="CharChapText"/>
        </w:rPr>
        <w:t xml:space="preserve"> </w:t>
      </w:r>
    </w:p>
    <w:p w:rsidR="00307068" w:rsidRPr="00ED79B6" w:rsidRDefault="00307068" w:rsidP="00307068">
      <w:pPr>
        <w:pStyle w:val="Header"/>
        <w:tabs>
          <w:tab w:val="clear" w:pos="4150"/>
          <w:tab w:val="clear" w:pos="8307"/>
        </w:tabs>
      </w:pPr>
      <w:r w:rsidRPr="00ED79B6">
        <w:rPr>
          <w:rStyle w:val="CharPartNo"/>
        </w:rPr>
        <w:t xml:space="preserve"> </w:t>
      </w:r>
      <w:r w:rsidRPr="00ED79B6">
        <w:rPr>
          <w:rStyle w:val="CharPartText"/>
        </w:rPr>
        <w:t xml:space="preserve"> </w:t>
      </w:r>
    </w:p>
    <w:p w:rsidR="00307068" w:rsidRPr="00ED79B6" w:rsidRDefault="00307068" w:rsidP="00307068">
      <w:pPr>
        <w:pStyle w:val="Header"/>
        <w:tabs>
          <w:tab w:val="clear" w:pos="4150"/>
          <w:tab w:val="clear" w:pos="8307"/>
        </w:tabs>
      </w:pPr>
      <w:r w:rsidRPr="00ED79B6">
        <w:rPr>
          <w:rStyle w:val="CharDivNo"/>
        </w:rPr>
        <w:t xml:space="preserve"> </w:t>
      </w:r>
      <w:r w:rsidRPr="00ED79B6">
        <w:rPr>
          <w:rStyle w:val="CharDivText"/>
        </w:rPr>
        <w:t xml:space="preserve"> </w:t>
      </w:r>
    </w:p>
    <w:p w:rsidR="00307068" w:rsidRDefault="00307068" w:rsidP="00307068">
      <w:pPr>
        <w:sectPr w:rsidR="00307068" w:rsidSect="00435B26">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3402" w:gutter="0"/>
          <w:cols w:space="708"/>
          <w:titlePg/>
          <w:docGrid w:linePitch="360"/>
        </w:sectPr>
      </w:pPr>
    </w:p>
    <w:p w:rsidR="00435B26" w:rsidRDefault="00435B26" w:rsidP="00435B26">
      <w:pPr>
        <w:pStyle w:val="Header"/>
        <w:tabs>
          <w:tab w:val="clear" w:pos="4150"/>
          <w:tab w:val="clear" w:pos="8307"/>
        </w:tabs>
        <w:rPr>
          <w:rStyle w:val="CharChapText"/>
        </w:rPr>
      </w:pPr>
    </w:p>
    <w:p w:rsidR="00435B26" w:rsidRPr="00435B26" w:rsidRDefault="00435B26" w:rsidP="00435B26">
      <w:pPr>
        <w:keepNext/>
        <w:keepLines/>
        <w:spacing w:line="300" w:lineRule="exact"/>
        <w:rPr>
          <w:rFonts w:eastAsia="Times New Roman" w:cs="Times New Roman"/>
          <w:sz w:val="36"/>
          <w:lang w:eastAsia="en-AU"/>
        </w:rPr>
      </w:pPr>
      <w:r w:rsidRPr="00435B26">
        <w:rPr>
          <w:rFonts w:eastAsia="Times New Roman" w:cs="Times New Roman"/>
          <w:sz w:val="36"/>
          <w:lang w:eastAsia="en-AU"/>
        </w:rPr>
        <w:t>Contents</w:t>
      </w:r>
    </w:p>
    <w:bookmarkStart w:id="0" w:name="BKCheck15B_2"/>
    <w:bookmarkEnd w:id="0"/>
    <w:p w:rsidR="002774B0" w:rsidRPr="002774B0" w:rsidRDefault="00435B26" w:rsidP="002774B0">
      <w:pPr>
        <w:pStyle w:val="TOC1"/>
        <w:tabs>
          <w:tab w:val="left" w:pos="482"/>
          <w:tab w:val="right" w:leader="dot" w:pos="8303"/>
        </w:tabs>
        <w:spacing w:before="120"/>
        <w:ind w:left="1134" w:hanging="567"/>
        <w:rPr>
          <w:rFonts w:asciiTheme="minorHAnsi" w:eastAsiaTheme="minorEastAsia" w:hAnsiTheme="minorHAnsi" w:cstheme="minorBidi"/>
          <w:noProof/>
          <w:sz w:val="18"/>
          <w:szCs w:val="22"/>
        </w:rPr>
      </w:pPr>
      <w:r w:rsidRPr="00435B26">
        <w:rPr>
          <w:b/>
          <w:kern w:val="28"/>
          <w:sz w:val="18"/>
        </w:rPr>
        <w:fldChar w:fldCharType="begin"/>
      </w:r>
      <w:r w:rsidRPr="00435B26">
        <w:rPr>
          <w:b/>
          <w:kern w:val="28"/>
          <w:sz w:val="18"/>
        </w:rPr>
        <w:instrText xml:space="preserve"> TOC \o "3-9" \t "Heading 1,1,Heading 2,2,ActHead 1,1,ActHead 2,2,NotesHeading 1,1,ENotesHeading 1,2,SubPart(CASA),2,LV 1,1,SH 1,1,SH Header,6" </w:instrText>
      </w:r>
      <w:r w:rsidRPr="00435B26">
        <w:rPr>
          <w:b/>
          <w:kern w:val="28"/>
          <w:sz w:val="18"/>
        </w:rPr>
        <w:fldChar w:fldCharType="separate"/>
      </w:r>
      <w:r w:rsidR="002774B0" w:rsidRPr="002774B0">
        <w:rPr>
          <w:noProof/>
          <w:sz w:val="20"/>
        </w:rPr>
        <w:t>1</w:t>
      </w:r>
      <w:r w:rsidR="002774B0" w:rsidRPr="002774B0">
        <w:rPr>
          <w:rFonts w:asciiTheme="minorHAnsi" w:eastAsiaTheme="minorEastAsia" w:hAnsiTheme="minorHAnsi" w:cstheme="minorBidi"/>
          <w:noProof/>
          <w:sz w:val="18"/>
          <w:szCs w:val="22"/>
        </w:rPr>
        <w:tab/>
      </w:r>
      <w:r w:rsidR="002774B0" w:rsidRPr="002774B0">
        <w:rPr>
          <w:noProof/>
          <w:sz w:val="20"/>
        </w:rPr>
        <w:t>Name</w:t>
      </w:r>
      <w:r w:rsidR="002774B0" w:rsidRPr="002774B0">
        <w:rPr>
          <w:noProof/>
          <w:sz w:val="20"/>
        </w:rPr>
        <w:tab/>
      </w:r>
      <w:r w:rsidR="002774B0" w:rsidRPr="002774B0">
        <w:rPr>
          <w:noProof/>
          <w:sz w:val="20"/>
        </w:rPr>
        <w:fldChar w:fldCharType="begin"/>
      </w:r>
      <w:r w:rsidR="002774B0" w:rsidRPr="002774B0">
        <w:rPr>
          <w:noProof/>
          <w:sz w:val="20"/>
        </w:rPr>
        <w:instrText xml:space="preserve"> PAGEREF _Toc118199951 \h </w:instrText>
      </w:r>
      <w:r w:rsidR="002774B0" w:rsidRPr="002774B0">
        <w:rPr>
          <w:noProof/>
          <w:sz w:val="20"/>
        </w:rPr>
      </w:r>
      <w:r w:rsidR="002774B0" w:rsidRPr="002774B0">
        <w:rPr>
          <w:noProof/>
          <w:sz w:val="20"/>
        </w:rPr>
        <w:fldChar w:fldCharType="separate"/>
      </w:r>
      <w:r w:rsidR="002774B0" w:rsidRPr="002774B0">
        <w:rPr>
          <w:noProof/>
          <w:sz w:val="20"/>
        </w:rPr>
        <w:t>2</w:t>
      </w:r>
      <w:r w:rsidR="002774B0" w:rsidRPr="002774B0">
        <w:rPr>
          <w:noProof/>
          <w:sz w:val="20"/>
        </w:rPr>
        <w:fldChar w:fldCharType="end"/>
      </w:r>
    </w:p>
    <w:p w:rsidR="002774B0" w:rsidRPr="002774B0" w:rsidRDefault="002774B0" w:rsidP="002774B0">
      <w:pPr>
        <w:pStyle w:val="TOC1"/>
        <w:tabs>
          <w:tab w:val="left" w:pos="482"/>
          <w:tab w:val="right" w:leader="dot" w:pos="8303"/>
        </w:tabs>
        <w:spacing w:before="120"/>
        <w:ind w:left="1134" w:hanging="567"/>
        <w:rPr>
          <w:rFonts w:asciiTheme="minorHAnsi" w:eastAsiaTheme="minorEastAsia" w:hAnsiTheme="minorHAnsi" w:cstheme="minorBidi"/>
          <w:noProof/>
          <w:sz w:val="18"/>
          <w:szCs w:val="22"/>
        </w:rPr>
      </w:pPr>
      <w:r w:rsidRPr="002774B0">
        <w:rPr>
          <w:noProof/>
          <w:sz w:val="20"/>
        </w:rPr>
        <w:t>3</w:t>
      </w:r>
      <w:r w:rsidRPr="002774B0">
        <w:rPr>
          <w:rFonts w:asciiTheme="minorHAnsi" w:eastAsiaTheme="minorEastAsia" w:hAnsiTheme="minorHAnsi" w:cstheme="minorBidi"/>
          <w:noProof/>
          <w:sz w:val="18"/>
          <w:szCs w:val="22"/>
        </w:rPr>
        <w:tab/>
      </w:r>
      <w:r w:rsidRPr="002774B0">
        <w:rPr>
          <w:noProof/>
          <w:sz w:val="20"/>
        </w:rPr>
        <w:t>Authority</w:t>
      </w:r>
      <w:r w:rsidRPr="002774B0">
        <w:rPr>
          <w:noProof/>
          <w:sz w:val="20"/>
        </w:rPr>
        <w:tab/>
      </w:r>
      <w:r w:rsidRPr="002774B0">
        <w:rPr>
          <w:noProof/>
          <w:sz w:val="20"/>
        </w:rPr>
        <w:fldChar w:fldCharType="begin"/>
      </w:r>
      <w:r w:rsidRPr="002774B0">
        <w:rPr>
          <w:noProof/>
          <w:sz w:val="20"/>
        </w:rPr>
        <w:instrText xml:space="preserve"> PAGEREF _Toc118199952 \h </w:instrText>
      </w:r>
      <w:r w:rsidRPr="002774B0">
        <w:rPr>
          <w:noProof/>
          <w:sz w:val="20"/>
        </w:rPr>
      </w:r>
      <w:r w:rsidRPr="002774B0">
        <w:rPr>
          <w:noProof/>
          <w:sz w:val="20"/>
        </w:rPr>
        <w:fldChar w:fldCharType="separate"/>
      </w:r>
      <w:r w:rsidRPr="002774B0">
        <w:rPr>
          <w:noProof/>
          <w:sz w:val="20"/>
        </w:rPr>
        <w:t>2</w:t>
      </w:r>
      <w:r w:rsidRPr="002774B0">
        <w:rPr>
          <w:noProof/>
          <w:sz w:val="20"/>
        </w:rPr>
        <w:fldChar w:fldCharType="end"/>
      </w:r>
    </w:p>
    <w:p w:rsidR="002774B0" w:rsidRPr="002774B0" w:rsidRDefault="002774B0" w:rsidP="002774B0">
      <w:pPr>
        <w:pStyle w:val="TOC1"/>
        <w:tabs>
          <w:tab w:val="left" w:pos="482"/>
          <w:tab w:val="right" w:leader="dot" w:pos="8303"/>
        </w:tabs>
        <w:spacing w:before="120"/>
        <w:ind w:left="1134" w:hanging="567"/>
        <w:rPr>
          <w:rFonts w:asciiTheme="minorHAnsi" w:eastAsiaTheme="minorEastAsia" w:hAnsiTheme="minorHAnsi" w:cstheme="minorBidi"/>
          <w:noProof/>
          <w:sz w:val="18"/>
          <w:szCs w:val="22"/>
        </w:rPr>
      </w:pPr>
      <w:r w:rsidRPr="002774B0">
        <w:rPr>
          <w:noProof/>
          <w:sz w:val="20"/>
        </w:rPr>
        <w:t>5</w:t>
      </w:r>
      <w:r w:rsidRPr="002774B0">
        <w:rPr>
          <w:rFonts w:asciiTheme="minorHAnsi" w:eastAsiaTheme="minorEastAsia" w:hAnsiTheme="minorHAnsi" w:cstheme="minorBidi"/>
          <w:noProof/>
          <w:sz w:val="18"/>
          <w:szCs w:val="22"/>
        </w:rPr>
        <w:tab/>
      </w:r>
      <w:r w:rsidRPr="002774B0">
        <w:rPr>
          <w:noProof/>
          <w:sz w:val="20"/>
        </w:rPr>
        <w:t>Application</w:t>
      </w:r>
      <w:r w:rsidRPr="002774B0">
        <w:rPr>
          <w:noProof/>
          <w:sz w:val="20"/>
        </w:rPr>
        <w:tab/>
      </w:r>
      <w:r w:rsidRPr="002774B0">
        <w:rPr>
          <w:noProof/>
          <w:sz w:val="20"/>
        </w:rPr>
        <w:fldChar w:fldCharType="begin"/>
      </w:r>
      <w:r w:rsidRPr="002774B0">
        <w:rPr>
          <w:noProof/>
          <w:sz w:val="20"/>
        </w:rPr>
        <w:instrText xml:space="preserve"> PAGEREF _Toc118199953 \h </w:instrText>
      </w:r>
      <w:r w:rsidRPr="002774B0">
        <w:rPr>
          <w:noProof/>
          <w:sz w:val="20"/>
        </w:rPr>
      </w:r>
      <w:r w:rsidRPr="002774B0">
        <w:rPr>
          <w:noProof/>
          <w:sz w:val="20"/>
        </w:rPr>
        <w:fldChar w:fldCharType="separate"/>
      </w:r>
      <w:r w:rsidRPr="002774B0">
        <w:rPr>
          <w:noProof/>
          <w:sz w:val="20"/>
        </w:rPr>
        <w:t>2</w:t>
      </w:r>
      <w:r w:rsidRPr="002774B0">
        <w:rPr>
          <w:noProof/>
          <w:sz w:val="20"/>
        </w:rPr>
        <w:fldChar w:fldCharType="end"/>
      </w:r>
    </w:p>
    <w:p w:rsidR="002774B0" w:rsidRPr="002774B0" w:rsidRDefault="002774B0" w:rsidP="002774B0">
      <w:pPr>
        <w:pStyle w:val="TOC1"/>
        <w:tabs>
          <w:tab w:val="left" w:pos="482"/>
          <w:tab w:val="right" w:leader="dot" w:pos="8303"/>
        </w:tabs>
        <w:spacing w:before="120"/>
        <w:ind w:left="1134" w:hanging="567"/>
        <w:rPr>
          <w:rFonts w:asciiTheme="minorHAnsi" w:eastAsiaTheme="minorEastAsia" w:hAnsiTheme="minorHAnsi" w:cstheme="minorBidi"/>
          <w:noProof/>
          <w:sz w:val="18"/>
          <w:szCs w:val="22"/>
        </w:rPr>
      </w:pPr>
      <w:r w:rsidRPr="002774B0">
        <w:rPr>
          <w:noProof/>
          <w:sz w:val="20"/>
        </w:rPr>
        <w:t>6</w:t>
      </w:r>
      <w:r w:rsidRPr="002774B0">
        <w:rPr>
          <w:rFonts w:asciiTheme="minorHAnsi" w:eastAsiaTheme="minorEastAsia" w:hAnsiTheme="minorHAnsi" w:cstheme="minorBidi"/>
          <w:noProof/>
          <w:sz w:val="18"/>
          <w:szCs w:val="22"/>
        </w:rPr>
        <w:tab/>
      </w:r>
      <w:r w:rsidRPr="002774B0">
        <w:rPr>
          <w:noProof/>
          <w:sz w:val="20"/>
        </w:rPr>
        <w:t>Definitions</w:t>
      </w:r>
      <w:r w:rsidRPr="002774B0">
        <w:rPr>
          <w:noProof/>
          <w:sz w:val="20"/>
        </w:rPr>
        <w:tab/>
      </w:r>
      <w:r w:rsidRPr="002774B0">
        <w:rPr>
          <w:noProof/>
          <w:sz w:val="20"/>
        </w:rPr>
        <w:fldChar w:fldCharType="begin"/>
      </w:r>
      <w:r w:rsidRPr="002774B0">
        <w:rPr>
          <w:noProof/>
          <w:sz w:val="20"/>
        </w:rPr>
        <w:instrText xml:space="preserve"> PAGEREF _Toc118199954 \h </w:instrText>
      </w:r>
      <w:r w:rsidRPr="002774B0">
        <w:rPr>
          <w:noProof/>
          <w:sz w:val="20"/>
        </w:rPr>
      </w:r>
      <w:r w:rsidRPr="002774B0">
        <w:rPr>
          <w:noProof/>
          <w:sz w:val="20"/>
        </w:rPr>
        <w:fldChar w:fldCharType="separate"/>
      </w:r>
      <w:r w:rsidRPr="002774B0">
        <w:rPr>
          <w:noProof/>
          <w:sz w:val="20"/>
        </w:rPr>
        <w:t>2</w:t>
      </w:r>
      <w:r w:rsidRPr="002774B0">
        <w:rPr>
          <w:noProof/>
          <w:sz w:val="20"/>
        </w:rPr>
        <w:fldChar w:fldCharType="end"/>
      </w:r>
    </w:p>
    <w:p w:rsidR="002774B0" w:rsidRPr="002774B0" w:rsidRDefault="002774B0" w:rsidP="002774B0">
      <w:pPr>
        <w:pStyle w:val="TOC1"/>
        <w:tabs>
          <w:tab w:val="left" w:pos="482"/>
          <w:tab w:val="right" w:leader="dot" w:pos="8303"/>
        </w:tabs>
        <w:spacing w:before="120"/>
        <w:ind w:left="1134" w:hanging="567"/>
        <w:rPr>
          <w:rFonts w:asciiTheme="minorHAnsi" w:eastAsiaTheme="minorEastAsia" w:hAnsiTheme="minorHAnsi" w:cstheme="minorBidi"/>
          <w:noProof/>
          <w:sz w:val="18"/>
          <w:szCs w:val="22"/>
        </w:rPr>
      </w:pPr>
      <w:r w:rsidRPr="002774B0">
        <w:rPr>
          <w:noProof/>
          <w:sz w:val="20"/>
        </w:rPr>
        <w:t>7</w:t>
      </w:r>
      <w:r w:rsidRPr="002774B0">
        <w:rPr>
          <w:rFonts w:asciiTheme="minorHAnsi" w:eastAsiaTheme="minorEastAsia" w:hAnsiTheme="minorHAnsi" w:cstheme="minorBidi"/>
          <w:noProof/>
          <w:sz w:val="18"/>
          <w:szCs w:val="22"/>
        </w:rPr>
        <w:tab/>
      </w:r>
      <w:r w:rsidRPr="002774B0">
        <w:rPr>
          <w:noProof/>
          <w:sz w:val="20"/>
        </w:rPr>
        <w:t>Kind of injury, disease or death to which this Statement of Principles relates</w:t>
      </w:r>
      <w:r w:rsidRPr="002774B0">
        <w:rPr>
          <w:noProof/>
          <w:sz w:val="20"/>
        </w:rPr>
        <w:tab/>
      </w:r>
      <w:r w:rsidRPr="002774B0">
        <w:rPr>
          <w:noProof/>
          <w:sz w:val="20"/>
        </w:rPr>
        <w:fldChar w:fldCharType="begin"/>
      </w:r>
      <w:r w:rsidRPr="002774B0">
        <w:rPr>
          <w:noProof/>
          <w:sz w:val="20"/>
        </w:rPr>
        <w:instrText xml:space="preserve"> PAGEREF _Toc118199955 \h </w:instrText>
      </w:r>
      <w:r w:rsidRPr="002774B0">
        <w:rPr>
          <w:noProof/>
          <w:sz w:val="20"/>
        </w:rPr>
      </w:r>
      <w:r w:rsidRPr="002774B0">
        <w:rPr>
          <w:noProof/>
          <w:sz w:val="20"/>
        </w:rPr>
        <w:fldChar w:fldCharType="separate"/>
      </w:r>
      <w:r w:rsidRPr="002774B0">
        <w:rPr>
          <w:noProof/>
          <w:sz w:val="20"/>
        </w:rPr>
        <w:t>2</w:t>
      </w:r>
      <w:r w:rsidRPr="002774B0">
        <w:rPr>
          <w:noProof/>
          <w:sz w:val="20"/>
        </w:rPr>
        <w:fldChar w:fldCharType="end"/>
      </w:r>
    </w:p>
    <w:p w:rsidR="002774B0" w:rsidRPr="002774B0" w:rsidRDefault="002774B0" w:rsidP="002774B0">
      <w:pPr>
        <w:pStyle w:val="TOC1"/>
        <w:tabs>
          <w:tab w:val="left" w:pos="482"/>
          <w:tab w:val="right" w:leader="dot" w:pos="8303"/>
        </w:tabs>
        <w:spacing w:before="120"/>
        <w:ind w:left="1134" w:hanging="567"/>
        <w:rPr>
          <w:rFonts w:asciiTheme="minorHAnsi" w:eastAsiaTheme="minorEastAsia" w:hAnsiTheme="minorHAnsi" w:cstheme="minorBidi"/>
          <w:noProof/>
          <w:sz w:val="18"/>
          <w:szCs w:val="22"/>
        </w:rPr>
      </w:pPr>
      <w:r w:rsidRPr="002774B0">
        <w:rPr>
          <w:noProof/>
          <w:sz w:val="20"/>
        </w:rPr>
        <w:t>8</w:t>
      </w:r>
      <w:r w:rsidRPr="002774B0">
        <w:rPr>
          <w:rFonts w:asciiTheme="minorHAnsi" w:eastAsiaTheme="minorEastAsia" w:hAnsiTheme="minorHAnsi" w:cstheme="minorBidi"/>
          <w:noProof/>
          <w:sz w:val="18"/>
          <w:szCs w:val="22"/>
        </w:rPr>
        <w:tab/>
      </w:r>
      <w:r w:rsidRPr="002774B0">
        <w:rPr>
          <w:noProof/>
          <w:sz w:val="20"/>
        </w:rPr>
        <w:t>Basis for determining the factors</w:t>
      </w:r>
      <w:r w:rsidRPr="002774B0">
        <w:rPr>
          <w:noProof/>
          <w:sz w:val="20"/>
        </w:rPr>
        <w:tab/>
      </w:r>
      <w:r w:rsidRPr="002774B0">
        <w:rPr>
          <w:noProof/>
          <w:sz w:val="20"/>
        </w:rPr>
        <w:fldChar w:fldCharType="begin"/>
      </w:r>
      <w:r w:rsidRPr="002774B0">
        <w:rPr>
          <w:noProof/>
          <w:sz w:val="20"/>
        </w:rPr>
        <w:instrText xml:space="preserve"> PAGEREF _Toc118199956 \h </w:instrText>
      </w:r>
      <w:r w:rsidRPr="002774B0">
        <w:rPr>
          <w:noProof/>
          <w:sz w:val="20"/>
        </w:rPr>
      </w:r>
      <w:r w:rsidRPr="002774B0">
        <w:rPr>
          <w:noProof/>
          <w:sz w:val="20"/>
        </w:rPr>
        <w:fldChar w:fldCharType="separate"/>
      </w:r>
      <w:r w:rsidRPr="002774B0">
        <w:rPr>
          <w:noProof/>
          <w:sz w:val="20"/>
        </w:rPr>
        <w:t>3</w:t>
      </w:r>
      <w:r w:rsidRPr="002774B0">
        <w:rPr>
          <w:noProof/>
          <w:sz w:val="20"/>
        </w:rPr>
        <w:fldChar w:fldCharType="end"/>
      </w:r>
    </w:p>
    <w:p w:rsidR="002774B0" w:rsidRPr="002774B0" w:rsidRDefault="002774B0" w:rsidP="002774B0">
      <w:pPr>
        <w:pStyle w:val="TOC1"/>
        <w:tabs>
          <w:tab w:val="left" w:pos="482"/>
          <w:tab w:val="right" w:leader="dot" w:pos="8303"/>
        </w:tabs>
        <w:spacing w:before="120"/>
        <w:ind w:left="1134" w:hanging="567"/>
        <w:rPr>
          <w:rFonts w:asciiTheme="minorHAnsi" w:eastAsiaTheme="minorEastAsia" w:hAnsiTheme="minorHAnsi" w:cstheme="minorBidi"/>
          <w:noProof/>
          <w:sz w:val="18"/>
          <w:szCs w:val="22"/>
        </w:rPr>
      </w:pPr>
      <w:r w:rsidRPr="002774B0">
        <w:rPr>
          <w:noProof/>
          <w:sz w:val="20"/>
        </w:rPr>
        <w:t>9</w:t>
      </w:r>
      <w:r w:rsidRPr="002774B0">
        <w:rPr>
          <w:rFonts w:asciiTheme="minorHAnsi" w:eastAsiaTheme="minorEastAsia" w:hAnsiTheme="minorHAnsi" w:cstheme="minorBidi"/>
          <w:noProof/>
          <w:sz w:val="18"/>
          <w:szCs w:val="22"/>
        </w:rPr>
        <w:tab/>
      </w:r>
      <w:r w:rsidRPr="002774B0">
        <w:rPr>
          <w:noProof/>
          <w:sz w:val="20"/>
        </w:rPr>
        <w:t>Factors that must exist</w:t>
      </w:r>
      <w:r w:rsidRPr="002774B0">
        <w:rPr>
          <w:noProof/>
          <w:sz w:val="20"/>
        </w:rPr>
        <w:tab/>
      </w:r>
      <w:r w:rsidRPr="002774B0">
        <w:rPr>
          <w:noProof/>
          <w:sz w:val="20"/>
        </w:rPr>
        <w:fldChar w:fldCharType="begin"/>
      </w:r>
      <w:r w:rsidRPr="002774B0">
        <w:rPr>
          <w:noProof/>
          <w:sz w:val="20"/>
        </w:rPr>
        <w:instrText xml:space="preserve"> PAGEREF _Toc118199957 \h </w:instrText>
      </w:r>
      <w:r w:rsidRPr="002774B0">
        <w:rPr>
          <w:noProof/>
          <w:sz w:val="20"/>
        </w:rPr>
      </w:r>
      <w:r w:rsidRPr="002774B0">
        <w:rPr>
          <w:noProof/>
          <w:sz w:val="20"/>
        </w:rPr>
        <w:fldChar w:fldCharType="separate"/>
      </w:r>
      <w:r w:rsidRPr="002774B0">
        <w:rPr>
          <w:noProof/>
          <w:sz w:val="20"/>
        </w:rPr>
        <w:t>3</w:t>
      </w:r>
      <w:r w:rsidRPr="002774B0">
        <w:rPr>
          <w:noProof/>
          <w:sz w:val="20"/>
        </w:rPr>
        <w:fldChar w:fldCharType="end"/>
      </w:r>
    </w:p>
    <w:p w:rsidR="002774B0" w:rsidRPr="002774B0" w:rsidRDefault="002774B0" w:rsidP="002774B0">
      <w:pPr>
        <w:pStyle w:val="TOC1"/>
        <w:tabs>
          <w:tab w:val="left" w:pos="482"/>
          <w:tab w:val="right" w:leader="dot" w:pos="8303"/>
        </w:tabs>
        <w:spacing w:before="120"/>
        <w:ind w:left="1134" w:hanging="567"/>
        <w:rPr>
          <w:rFonts w:asciiTheme="minorHAnsi" w:eastAsiaTheme="minorEastAsia" w:hAnsiTheme="minorHAnsi" w:cstheme="minorBidi"/>
          <w:noProof/>
          <w:sz w:val="18"/>
          <w:szCs w:val="22"/>
        </w:rPr>
      </w:pPr>
      <w:r w:rsidRPr="002774B0">
        <w:rPr>
          <w:noProof/>
          <w:sz w:val="20"/>
        </w:rPr>
        <w:t>10</w:t>
      </w:r>
      <w:r w:rsidRPr="002774B0">
        <w:rPr>
          <w:rFonts w:asciiTheme="minorHAnsi" w:eastAsiaTheme="minorEastAsia" w:hAnsiTheme="minorHAnsi" w:cstheme="minorBidi"/>
          <w:noProof/>
          <w:sz w:val="18"/>
          <w:szCs w:val="22"/>
        </w:rPr>
        <w:tab/>
      </w:r>
      <w:r w:rsidRPr="002774B0">
        <w:rPr>
          <w:noProof/>
          <w:sz w:val="20"/>
        </w:rPr>
        <w:t>Relationship to service</w:t>
      </w:r>
      <w:r w:rsidRPr="002774B0">
        <w:rPr>
          <w:noProof/>
          <w:sz w:val="20"/>
        </w:rPr>
        <w:tab/>
      </w:r>
      <w:r w:rsidRPr="002774B0">
        <w:rPr>
          <w:noProof/>
          <w:sz w:val="20"/>
        </w:rPr>
        <w:fldChar w:fldCharType="begin"/>
      </w:r>
      <w:r w:rsidRPr="002774B0">
        <w:rPr>
          <w:noProof/>
          <w:sz w:val="20"/>
        </w:rPr>
        <w:instrText xml:space="preserve"> PAGEREF _Toc118199958 \h </w:instrText>
      </w:r>
      <w:r w:rsidRPr="002774B0">
        <w:rPr>
          <w:noProof/>
          <w:sz w:val="20"/>
        </w:rPr>
      </w:r>
      <w:r w:rsidRPr="002774B0">
        <w:rPr>
          <w:noProof/>
          <w:sz w:val="20"/>
        </w:rPr>
        <w:fldChar w:fldCharType="separate"/>
      </w:r>
      <w:r w:rsidRPr="002774B0">
        <w:rPr>
          <w:noProof/>
          <w:sz w:val="20"/>
        </w:rPr>
        <w:t>8</w:t>
      </w:r>
      <w:r w:rsidRPr="002774B0">
        <w:rPr>
          <w:noProof/>
          <w:sz w:val="20"/>
        </w:rPr>
        <w:fldChar w:fldCharType="end"/>
      </w:r>
    </w:p>
    <w:p w:rsidR="002774B0" w:rsidRPr="002774B0" w:rsidRDefault="002774B0" w:rsidP="002774B0">
      <w:pPr>
        <w:pStyle w:val="TOC1"/>
        <w:tabs>
          <w:tab w:val="left" w:pos="482"/>
          <w:tab w:val="right" w:leader="dot" w:pos="8303"/>
        </w:tabs>
        <w:spacing w:before="120"/>
        <w:ind w:left="1134" w:hanging="567"/>
        <w:rPr>
          <w:rFonts w:asciiTheme="minorHAnsi" w:eastAsiaTheme="minorEastAsia" w:hAnsiTheme="minorHAnsi" w:cstheme="minorBidi"/>
          <w:noProof/>
          <w:sz w:val="18"/>
          <w:szCs w:val="22"/>
        </w:rPr>
      </w:pPr>
      <w:r w:rsidRPr="002774B0">
        <w:rPr>
          <w:noProof/>
          <w:sz w:val="20"/>
        </w:rPr>
        <w:t>11</w:t>
      </w:r>
      <w:r w:rsidRPr="002774B0">
        <w:rPr>
          <w:rFonts w:asciiTheme="minorHAnsi" w:eastAsiaTheme="minorEastAsia" w:hAnsiTheme="minorHAnsi" w:cstheme="minorBidi"/>
          <w:noProof/>
          <w:sz w:val="18"/>
          <w:szCs w:val="22"/>
        </w:rPr>
        <w:tab/>
      </w:r>
      <w:r w:rsidRPr="002774B0">
        <w:rPr>
          <w:noProof/>
          <w:sz w:val="20"/>
        </w:rPr>
        <w:t>Factors referring to an injury or disease covered by another Statement of Principles</w:t>
      </w:r>
      <w:r w:rsidRPr="002774B0">
        <w:rPr>
          <w:noProof/>
          <w:sz w:val="20"/>
        </w:rPr>
        <w:tab/>
      </w:r>
      <w:r w:rsidRPr="002774B0">
        <w:rPr>
          <w:noProof/>
          <w:sz w:val="20"/>
        </w:rPr>
        <w:fldChar w:fldCharType="begin"/>
      </w:r>
      <w:r w:rsidRPr="002774B0">
        <w:rPr>
          <w:noProof/>
          <w:sz w:val="20"/>
        </w:rPr>
        <w:instrText xml:space="preserve"> PAGEREF _Toc118199959 \h </w:instrText>
      </w:r>
      <w:r w:rsidRPr="002774B0">
        <w:rPr>
          <w:noProof/>
          <w:sz w:val="20"/>
        </w:rPr>
      </w:r>
      <w:r w:rsidRPr="002774B0">
        <w:rPr>
          <w:noProof/>
          <w:sz w:val="20"/>
        </w:rPr>
        <w:fldChar w:fldCharType="separate"/>
      </w:r>
      <w:r w:rsidRPr="002774B0">
        <w:rPr>
          <w:noProof/>
          <w:sz w:val="20"/>
        </w:rPr>
        <w:t>8</w:t>
      </w:r>
      <w:r w:rsidRPr="002774B0">
        <w:rPr>
          <w:noProof/>
          <w:sz w:val="20"/>
        </w:rPr>
        <w:fldChar w:fldCharType="end"/>
      </w:r>
    </w:p>
    <w:p w:rsidR="002774B0" w:rsidRPr="002774B0" w:rsidRDefault="002774B0" w:rsidP="002774B0">
      <w:pPr>
        <w:pStyle w:val="TOC6"/>
        <w:tabs>
          <w:tab w:val="right" w:leader="dot" w:pos="8303"/>
        </w:tabs>
        <w:spacing w:before="120"/>
        <w:ind w:left="0"/>
        <w:rPr>
          <w:rFonts w:asciiTheme="minorHAnsi" w:eastAsiaTheme="minorEastAsia" w:hAnsiTheme="minorHAnsi" w:cstheme="minorBidi"/>
          <w:b/>
          <w:noProof/>
          <w:sz w:val="20"/>
          <w:szCs w:val="22"/>
        </w:rPr>
      </w:pPr>
      <w:r w:rsidRPr="002774B0">
        <w:rPr>
          <w:b/>
          <w:noProof/>
          <w:sz w:val="22"/>
        </w:rPr>
        <w:t>Schedule 1 - Dictionary</w:t>
      </w:r>
      <w:r w:rsidRPr="002774B0">
        <w:rPr>
          <w:b/>
          <w:noProof/>
          <w:sz w:val="22"/>
        </w:rPr>
        <w:tab/>
      </w:r>
      <w:r w:rsidRPr="002774B0">
        <w:rPr>
          <w:b/>
          <w:noProof/>
          <w:sz w:val="22"/>
        </w:rPr>
        <w:fldChar w:fldCharType="begin"/>
      </w:r>
      <w:r w:rsidRPr="002774B0">
        <w:rPr>
          <w:b/>
          <w:noProof/>
          <w:sz w:val="22"/>
        </w:rPr>
        <w:instrText xml:space="preserve"> PAGEREF _Toc118199960 \h </w:instrText>
      </w:r>
      <w:r w:rsidRPr="002774B0">
        <w:rPr>
          <w:b/>
          <w:noProof/>
          <w:sz w:val="22"/>
        </w:rPr>
      </w:r>
      <w:r w:rsidRPr="002774B0">
        <w:rPr>
          <w:b/>
          <w:noProof/>
          <w:sz w:val="22"/>
        </w:rPr>
        <w:fldChar w:fldCharType="separate"/>
      </w:r>
      <w:r w:rsidRPr="002774B0">
        <w:rPr>
          <w:b/>
          <w:noProof/>
          <w:sz w:val="22"/>
        </w:rPr>
        <w:t>9</w:t>
      </w:r>
      <w:r w:rsidRPr="002774B0">
        <w:rPr>
          <w:b/>
          <w:noProof/>
          <w:sz w:val="22"/>
        </w:rPr>
        <w:fldChar w:fldCharType="end"/>
      </w:r>
    </w:p>
    <w:p w:rsidR="002774B0" w:rsidRPr="002774B0" w:rsidRDefault="002774B0" w:rsidP="002774B0">
      <w:pPr>
        <w:pStyle w:val="TOC1"/>
        <w:tabs>
          <w:tab w:val="left" w:pos="482"/>
          <w:tab w:val="right" w:leader="dot" w:pos="8303"/>
        </w:tabs>
        <w:spacing w:before="120"/>
        <w:ind w:left="1134" w:hanging="567"/>
        <w:rPr>
          <w:rFonts w:asciiTheme="minorHAnsi" w:eastAsiaTheme="minorEastAsia" w:hAnsiTheme="minorHAnsi" w:cstheme="minorBidi"/>
          <w:noProof/>
          <w:sz w:val="18"/>
          <w:szCs w:val="22"/>
        </w:rPr>
      </w:pPr>
      <w:r w:rsidRPr="002774B0">
        <w:rPr>
          <w:noProof/>
          <w:sz w:val="20"/>
        </w:rPr>
        <w:t>1</w:t>
      </w:r>
      <w:r w:rsidRPr="002774B0">
        <w:rPr>
          <w:rFonts w:asciiTheme="minorHAnsi" w:eastAsiaTheme="minorEastAsia" w:hAnsiTheme="minorHAnsi" w:cstheme="minorBidi"/>
          <w:noProof/>
          <w:sz w:val="18"/>
          <w:szCs w:val="22"/>
        </w:rPr>
        <w:tab/>
      </w:r>
      <w:r w:rsidRPr="002774B0">
        <w:rPr>
          <w:noProof/>
          <w:sz w:val="20"/>
        </w:rPr>
        <w:t>Definitions</w:t>
      </w:r>
      <w:r w:rsidRPr="002774B0">
        <w:rPr>
          <w:noProof/>
          <w:sz w:val="20"/>
        </w:rPr>
        <w:tab/>
      </w:r>
      <w:r w:rsidRPr="002774B0">
        <w:rPr>
          <w:noProof/>
          <w:sz w:val="20"/>
        </w:rPr>
        <w:fldChar w:fldCharType="begin"/>
      </w:r>
      <w:r w:rsidRPr="002774B0">
        <w:rPr>
          <w:noProof/>
          <w:sz w:val="20"/>
        </w:rPr>
        <w:instrText xml:space="preserve"> PAGEREF _Toc118199961 \h </w:instrText>
      </w:r>
      <w:r w:rsidRPr="002774B0">
        <w:rPr>
          <w:noProof/>
          <w:sz w:val="20"/>
        </w:rPr>
      </w:r>
      <w:r w:rsidRPr="002774B0">
        <w:rPr>
          <w:noProof/>
          <w:sz w:val="20"/>
        </w:rPr>
        <w:fldChar w:fldCharType="separate"/>
      </w:r>
      <w:r w:rsidRPr="002774B0">
        <w:rPr>
          <w:noProof/>
          <w:sz w:val="20"/>
        </w:rPr>
        <w:t>9</w:t>
      </w:r>
      <w:r w:rsidRPr="002774B0">
        <w:rPr>
          <w:noProof/>
          <w:sz w:val="20"/>
        </w:rPr>
        <w:fldChar w:fldCharType="end"/>
      </w:r>
    </w:p>
    <w:p w:rsidR="002774B0" w:rsidRPr="002774B0" w:rsidRDefault="002774B0" w:rsidP="002774B0">
      <w:pPr>
        <w:pStyle w:val="TOC2"/>
        <w:spacing w:before="120"/>
        <w:ind w:left="0"/>
        <w:rPr>
          <w:rFonts w:asciiTheme="minorHAnsi" w:eastAsiaTheme="minorEastAsia" w:hAnsiTheme="minorHAnsi" w:cstheme="minorBidi"/>
          <w:sz w:val="20"/>
          <w:szCs w:val="22"/>
        </w:rPr>
      </w:pPr>
      <w:r w:rsidRPr="002774B0">
        <w:rPr>
          <w:sz w:val="22"/>
        </w:rPr>
        <w:t>Endnotes</w:t>
      </w:r>
      <w:r w:rsidRPr="002774B0">
        <w:rPr>
          <w:sz w:val="22"/>
        </w:rPr>
        <w:tab/>
      </w:r>
      <w:r w:rsidRPr="002774B0">
        <w:rPr>
          <w:sz w:val="22"/>
        </w:rPr>
        <w:fldChar w:fldCharType="begin"/>
      </w:r>
      <w:r w:rsidRPr="002774B0">
        <w:rPr>
          <w:sz w:val="22"/>
        </w:rPr>
        <w:instrText xml:space="preserve"> PAGEREF _Toc118199962 \h </w:instrText>
      </w:r>
      <w:r w:rsidRPr="002774B0">
        <w:rPr>
          <w:sz w:val="22"/>
        </w:rPr>
      </w:r>
      <w:r w:rsidRPr="002774B0">
        <w:rPr>
          <w:sz w:val="22"/>
        </w:rPr>
        <w:fldChar w:fldCharType="separate"/>
      </w:r>
      <w:r w:rsidRPr="002774B0">
        <w:rPr>
          <w:sz w:val="22"/>
        </w:rPr>
        <w:t>13</w:t>
      </w:r>
      <w:r w:rsidRPr="002774B0">
        <w:rPr>
          <w:sz w:val="22"/>
        </w:rPr>
        <w:fldChar w:fldCharType="end"/>
      </w:r>
    </w:p>
    <w:p w:rsidR="002774B0" w:rsidRPr="002774B0" w:rsidRDefault="002774B0" w:rsidP="002774B0">
      <w:pPr>
        <w:pStyle w:val="TOC3"/>
        <w:spacing w:before="120"/>
        <w:ind w:left="1134" w:hanging="567"/>
        <w:rPr>
          <w:rFonts w:asciiTheme="minorHAnsi" w:eastAsiaTheme="minorEastAsia" w:hAnsiTheme="minorHAnsi" w:cstheme="minorBidi"/>
          <w:sz w:val="18"/>
          <w:szCs w:val="22"/>
        </w:rPr>
      </w:pPr>
      <w:r w:rsidRPr="002774B0">
        <w:rPr>
          <w:sz w:val="20"/>
        </w:rPr>
        <w:t>Endnote 1—About the endnotes</w:t>
      </w:r>
      <w:r w:rsidRPr="002774B0">
        <w:rPr>
          <w:sz w:val="20"/>
        </w:rPr>
        <w:tab/>
      </w:r>
      <w:r w:rsidRPr="002774B0">
        <w:rPr>
          <w:sz w:val="20"/>
        </w:rPr>
        <w:fldChar w:fldCharType="begin"/>
      </w:r>
      <w:r w:rsidRPr="002774B0">
        <w:rPr>
          <w:sz w:val="20"/>
        </w:rPr>
        <w:instrText xml:space="preserve"> PAGEREF _Toc118199963 \h </w:instrText>
      </w:r>
      <w:r w:rsidRPr="002774B0">
        <w:rPr>
          <w:sz w:val="20"/>
        </w:rPr>
      </w:r>
      <w:r w:rsidRPr="002774B0">
        <w:rPr>
          <w:sz w:val="20"/>
        </w:rPr>
        <w:fldChar w:fldCharType="separate"/>
      </w:r>
      <w:r w:rsidRPr="002774B0">
        <w:rPr>
          <w:sz w:val="20"/>
        </w:rPr>
        <w:t>13</w:t>
      </w:r>
      <w:r w:rsidRPr="002774B0">
        <w:rPr>
          <w:sz w:val="20"/>
        </w:rPr>
        <w:fldChar w:fldCharType="end"/>
      </w:r>
    </w:p>
    <w:p w:rsidR="002774B0" w:rsidRPr="002774B0" w:rsidRDefault="002774B0" w:rsidP="002774B0">
      <w:pPr>
        <w:pStyle w:val="TOC3"/>
        <w:spacing w:before="120"/>
        <w:ind w:left="1134" w:hanging="567"/>
        <w:rPr>
          <w:rFonts w:asciiTheme="minorHAnsi" w:eastAsiaTheme="minorEastAsia" w:hAnsiTheme="minorHAnsi" w:cstheme="minorBidi"/>
          <w:sz w:val="18"/>
          <w:szCs w:val="22"/>
        </w:rPr>
      </w:pPr>
      <w:r w:rsidRPr="002774B0">
        <w:rPr>
          <w:sz w:val="20"/>
        </w:rPr>
        <w:t>Endnote 2—Abbreviation key</w:t>
      </w:r>
      <w:r w:rsidRPr="002774B0">
        <w:rPr>
          <w:sz w:val="20"/>
        </w:rPr>
        <w:tab/>
      </w:r>
      <w:r w:rsidRPr="002774B0">
        <w:rPr>
          <w:sz w:val="20"/>
        </w:rPr>
        <w:fldChar w:fldCharType="begin"/>
      </w:r>
      <w:r w:rsidRPr="002774B0">
        <w:rPr>
          <w:sz w:val="20"/>
        </w:rPr>
        <w:instrText xml:space="preserve"> PAGEREF _Toc118199964 \h </w:instrText>
      </w:r>
      <w:r w:rsidRPr="002774B0">
        <w:rPr>
          <w:sz w:val="20"/>
        </w:rPr>
      </w:r>
      <w:r w:rsidRPr="002774B0">
        <w:rPr>
          <w:sz w:val="20"/>
        </w:rPr>
        <w:fldChar w:fldCharType="separate"/>
      </w:r>
      <w:r w:rsidRPr="002774B0">
        <w:rPr>
          <w:sz w:val="20"/>
        </w:rPr>
        <w:t>14</w:t>
      </w:r>
      <w:r w:rsidRPr="002774B0">
        <w:rPr>
          <w:sz w:val="20"/>
        </w:rPr>
        <w:fldChar w:fldCharType="end"/>
      </w:r>
    </w:p>
    <w:p w:rsidR="002774B0" w:rsidRPr="002774B0" w:rsidRDefault="002774B0" w:rsidP="002774B0">
      <w:pPr>
        <w:pStyle w:val="TOC3"/>
        <w:spacing w:before="120"/>
        <w:ind w:left="1134" w:hanging="567"/>
        <w:rPr>
          <w:rFonts w:asciiTheme="minorHAnsi" w:eastAsiaTheme="minorEastAsia" w:hAnsiTheme="minorHAnsi" w:cstheme="minorBidi"/>
          <w:sz w:val="18"/>
          <w:szCs w:val="22"/>
        </w:rPr>
      </w:pPr>
      <w:r w:rsidRPr="002774B0">
        <w:rPr>
          <w:sz w:val="20"/>
        </w:rPr>
        <w:t>Endnote 3—Legislation history</w:t>
      </w:r>
      <w:r w:rsidRPr="002774B0">
        <w:rPr>
          <w:sz w:val="20"/>
        </w:rPr>
        <w:tab/>
      </w:r>
      <w:r w:rsidRPr="002774B0">
        <w:rPr>
          <w:sz w:val="20"/>
        </w:rPr>
        <w:fldChar w:fldCharType="begin"/>
      </w:r>
      <w:r w:rsidRPr="002774B0">
        <w:rPr>
          <w:sz w:val="20"/>
        </w:rPr>
        <w:instrText xml:space="preserve"> PAGEREF _Toc118199965 \h </w:instrText>
      </w:r>
      <w:r w:rsidRPr="002774B0">
        <w:rPr>
          <w:sz w:val="20"/>
        </w:rPr>
      </w:r>
      <w:r w:rsidRPr="002774B0">
        <w:rPr>
          <w:sz w:val="20"/>
        </w:rPr>
        <w:fldChar w:fldCharType="separate"/>
      </w:r>
      <w:r w:rsidRPr="002774B0">
        <w:rPr>
          <w:sz w:val="20"/>
        </w:rPr>
        <w:t>15</w:t>
      </w:r>
      <w:r w:rsidRPr="002774B0">
        <w:rPr>
          <w:sz w:val="20"/>
        </w:rPr>
        <w:fldChar w:fldCharType="end"/>
      </w:r>
    </w:p>
    <w:p w:rsidR="002774B0" w:rsidRPr="002774B0" w:rsidRDefault="002774B0" w:rsidP="002774B0">
      <w:pPr>
        <w:pStyle w:val="TOC3"/>
        <w:spacing w:before="120"/>
        <w:ind w:left="1134" w:hanging="567"/>
        <w:rPr>
          <w:rFonts w:asciiTheme="minorHAnsi" w:eastAsiaTheme="minorEastAsia" w:hAnsiTheme="minorHAnsi" w:cstheme="minorBidi"/>
          <w:sz w:val="18"/>
          <w:szCs w:val="22"/>
        </w:rPr>
      </w:pPr>
      <w:r w:rsidRPr="002774B0">
        <w:rPr>
          <w:sz w:val="20"/>
        </w:rPr>
        <w:t>Endnote 4—Amendment history</w:t>
      </w:r>
      <w:r w:rsidRPr="002774B0">
        <w:rPr>
          <w:sz w:val="20"/>
        </w:rPr>
        <w:tab/>
      </w:r>
      <w:r w:rsidRPr="002774B0">
        <w:rPr>
          <w:sz w:val="20"/>
        </w:rPr>
        <w:fldChar w:fldCharType="begin"/>
      </w:r>
      <w:r w:rsidRPr="002774B0">
        <w:rPr>
          <w:sz w:val="20"/>
        </w:rPr>
        <w:instrText xml:space="preserve"> PAGEREF _Toc118199966 \h </w:instrText>
      </w:r>
      <w:r w:rsidRPr="002774B0">
        <w:rPr>
          <w:sz w:val="20"/>
        </w:rPr>
      </w:r>
      <w:r w:rsidRPr="002774B0">
        <w:rPr>
          <w:sz w:val="20"/>
        </w:rPr>
        <w:fldChar w:fldCharType="separate"/>
      </w:r>
      <w:r w:rsidRPr="002774B0">
        <w:rPr>
          <w:sz w:val="20"/>
        </w:rPr>
        <w:t>16</w:t>
      </w:r>
      <w:r w:rsidRPr="002774B0">
        <w:rPr>
          <w:sz w:val="20"/>
        </w:rPr>
        <w:fldChar w:fldCharType="end"/>
      </w:r>
    </w:p>
    <w:p w:rsidR="00435B26" w:rsidRDefault="00435B26" w:rsidP="00435B26">
      <w:r w:rsidRPr="00435B26">
        <w:rPr>
          <w:rFonts w:eastAsia="Times New Roman" w:cs="Times New Roman"/>
          <w:b/>
          <w:kern w:val="28"/>
          <w:sz w:val="18"/>
          <w:lang w:eastAsia="en-AU"/>
        </w:rPr>
        <w:fldChar w:fldCharType="end"/>
      </w:r>
    </w:p>
    <w:p w:rsidR="00435B26" w:rsidRDefault="00435B26" w:rsidP="00435B26">
      <w:pPr>
        <w:tabs>
          <w:tab w:val="left" w:pos="3631"/>
        </w:tabs>
      </w:pPr>
    </w:p>
    <w:p w:rsidR="00435B26" w:rsidRDefault="00435B26" w:rsidP="00435B26">
      <w:pPr>
        <w:spacing w:line="240" w:lineRule="auto"/>
        <w:rPr>
          <w:b/>
          <w:sz w:val="24"/>
          <w:szCs w:val="24"/>
        </w:rPr>
      </w:pPr>
      <w:r>
        <w:br w:type="page"/>
      </w:r>
    </w:p>
    <w:p w:rsidR="00435B26" w:rsidRDefault="00435B26" w:rsidP="002774B0">
      <w:pPr>
        <w:pStyle w:val="LV1"/>
        <w:ind w:left="851"/>
      </w:pPr>
      <w:bookmarkStart w:id="1" w:name="_Toc118199951"/>
      <w:r>
        <w:lastRenderedPageBreak/>
        <w:t>Name</w:t>
      </w:r>
      <w:bookmarkEnd w:id="1"/>
    </w:p>
    <w:p w:rsidR="00435B26" w:rsidRPr="00F97A62" w:rsidRDefault="00435B26" w:rsidP="00435B26">
      <w:pPr>
        <w:pStyle w:val="PlainIndent"/>
      </w:pPr>
      <w:r w:rsidRPr="00F97A62">
        <w:t xml:space="preserve">This is the </w:t>
      </w:r>
      <w:bookmarkStart w:id="2" w:name="BKCheck15B_3"/>
      <w:bookmarkEnd w:id="2"/>
      <w:r w:rsidRPr="00F97A62">
        <w:t xml:space="preserve">Statement of Principles concerning </w:t>
      </w:r>
      <w:bookmarkStart w:id="3" w:name="SoP_Name"/>
      <w:r>
        <w:rPr>
          <w:i/>
        </w:rPr>
        <w:t>gingivitis</w:t>
      </w:r>
      <w:bookmarkEnd w:id="3"/>
      <w:r w:rsidRPr="00F97A62">
        <w:t xml:space="preserve"> </w:t>
      </w:r>
      <w:r>
        <w:rPr>
          <w:i/>
        </w:rPr>
        <w:t xml:space="preserve">(Reasonable Hypothesis) </w:t>
      </w:r>
      <w:r w:rsidRPr="00F97A62">
        <w:t xml:space="preserve">(No. </w:t>
      </w:r>
      <w:r>
        <w:t xml:space="preserve">17 </w:t>
      </w:r>
      <w:r w:rsidRPr="00F97A62">
        <w:t>of</w:t>
      </w:r>
      <w:r>
        <w:t xml:space="preserve"> 2022</w:t>
      </w:r>
      <w:r w:rsidRPr="00F97A62">
        <w:t>).</w:t>
      </w:r>
    </w:p>
    <w:p w:rsidR="00435B26" w:rsidRPr="00684C0E" w:rsidRDefault="00435B26" w:rsidP="002774B0">
      <w:pPr>
        <w:pStyle w:val="LV1"/>
        <w:numPr>
          <w:ilvl w:val="0"/>
          <w:numId w:val="16"/>
        </w:numPr>
        <w:ind w:left="851"/>
      </w:pPr>
      <w:bookmarkStart w:id="4" w:name="_Toc118199952"/>
      <w:r w:rsidRPr="00684C0E">
        <w:t>Authority</w:t>
      </w:r>
      <w:bookmarkEnd w:id="4"/>
    </w:p>
    <w:p w:rsidR="00435B26" w:rsidRDefault="00435B26" w:rsidP="00435B26">
      <w:pPr>
        <w:pStyle w:val="PlainIndent"/>
      </w:pPr>
      <w:r w:rsidRPr="007527C1">
        <w:t>This inst</w:t>
      </w:r>
      <w:r>
        <w:t xml:space="preserve">rument is made under subsection </w:t>
      </w:r>
      <w:proofErr w:type="gramStart"/>
      <w:r>
        <w:t>196B(</w:t>
      </w:r>
      <w:proofErr w:type="gramEnd"/>
      <w:r>
        <w:t>2</w:t>
      </w:r>
      <w:r w:rsidRPr="007527C1">
        <w:t xml:space="preserve">) of the </w:t>
      </w:r>
      <w:r w:rsidRPr="007527C1">
        <w:rPr>
          <w:i/>
        </w:rPr>
        <w:t>Veterans</w:t>
      </w:r>
      <w:r>
        <w:rPr>
          <w:i/>
        </w:rPr>
        <w:t>'</w:t>
      </w:r>
      <w:r w:rsidRPr="007527C1">
        <w:rPr>
          <w:i/>
        </w:rPr>
        <w:t xml:space="preserve"> Entitlements Act 1986</w:t>
      </w:r>
      <w:r w:rsidRPr="007527C1">
        <w:t>.</w:t>
      </w:r>
    </w:p>
    <w:p w:rsidR="00435B26" w:rsidRPr="00684C0E" w:rsidRDefault="00435B26" w:rsidP="002774B0">
      <w:pPr>
        <w:pStyle w:val="LV1"/>
        <w:numPr>
          <w:ilvl w:val="0"/>
          <w:numId w:val="17"/>
        </w:numPr>
        <w:ind w:left="851"/>
      </w:pPr>
      <w:bookmarkStart w:id="5" w:name="_Toc118199953"/>
      <w:r w:rsidRPr="00684C0E">
        <w:t>Application</w:t>
      </w:r>
      <w:bookmarkEnd w:id="5"/>
    </w:p>
    <w:p w:rsidR="00435B26" w:rsidRPr="007527C1" w:rsidRDefault="00435B26" w:rsidP="00435B26">
      <w:pPr>
        <w:pStyle w:val="PlainIndent"/>
      </w:pPr>
      <w:r w:rsidRPr="007527C1">
        <w:t>This instrument applies to a claim to which section </w:t>
      </w:r>
      <w:r>
        <w:t>120A</w:t>
      </w:r>
      <w:r w:rsidRPr="007527C1">
        <w:t xml:space="preserve"> of the </w:t>
      </w:r>
      <w:r>
        <w:t xml:space="preserve">VEA </w:t>
      </w:r>
      <w:r w:rsidRPr="007527C1">
        <w:t>or section </w:t>
      </w:r>
      <w:r>
        <w:t>338</w:t>
      </w:r>
      <w:r w:rsidRPr="007527C1">
        <w:t xml:space="preserve"> of the </w:t>
      </w:r>
      <w:r w:rsidRPr="007527C1">
        <w:rPr>
          <w:i/>
        </w:rPr>
        <w:t>Military Rehabilitation and Compensation Act 2004</w:t>
      </w:r>
      <w:r w:rsidRPr="007527C1">
        <w:t xml:space="preserve"> applies.</w:t>
      </w:r>
    </w:p>
    <w:p w:rsidR="00435B26" w:rsidRPr="00684C0E" w:rsidRDefault="00435B26" w:rsidP="002774B0">
      <w:pPr>
        <w:pStyle w:val="LV1"/>
        <w:ind w:left="851"/>
      </w:pPr>
      <w:bookmarkStart w:id="6" w:name="_Ref410129949"/>
      <w:bookmarkStart w:id="7" w:name="_Toc118199954"/>
      <w:r w:rsidRPr="00684C0E">
        <w:t>Definitions</w:t>
      </w:r>
      <w:bookmarkEnd w:id="6"/>
      <w:bookmarkEnd w:id="7"/>
    </w:p>
    <w:p w:rsidR="00435B26" w:rsidRPr="00D5620B" w:rsidRDefault="00435B26" w:rsidP="00435B26">
      <w:pPr>
        <w:pStyle w:val="PlainIndent"/>
      </w:pPr>
      <w:r w:rsidRPr="007142FB">
        <w:t>The terms defined in the Schedule 1</w:t>
      </w:r>
      <w:r>
        <w:t xml:space="preserve"> </w:t>
      </w:r>
      <w:r w:rsidRPr="007142FB">
        <w:t>-</w:t>
      </w:r>
      <w:r>
        <w:t xml:space="preserve"> </w:t>
      </w:r>
      <w:r w:rsidRPr="007142FB">
        <w:t>Dictionary have the meaning give</w:t>
      </w:r>
      <w:r>
        <w:t>n when used in this instrument</w:t>
      </w:r>
      <w:r w:rsidRPr="00D5620B">
        <w:t>.</w:t>
      </w:r>
    </w:p>
    <w:p w:rsidR="00435B26" w:rsidRPr="00684C0E" w:rsidRDefault="00435B26" w:rsidP="002774B0">
      <w:pPr>
        <w:pStyle w:val="LV1"/>
        <w:ind w:left="851"/>
      </w:pPr>
      <w:bookmarkStart w:id="8" w:name="_Ref409687573"/>
      <w:bookmarkStart w:id="9" w:name="_Ref409687579"/>
      <w:bookmarkStart w:id="10" w:name="_Ref409687725"/>
      <w:bookmarkStart w:id="11" w:name="_Toc118199955"/>
      <w:r w:rsidRPr="00684C0E">
        <w:t>Kind of injury, disease or death to which this Statement of Principles relates</w:t>
      </w:r>
      <w:bookmarkEnd w:id="8"/>
      <w:bookmarkEnd w:id="9"/>
      <w:bookmarkEnd w:id="10"/>
      <w:bookmarkEnd w:id="11"/>
    </w:p>
    <w:p w:rsidR="00435B26" w:rsidRPr="00D5620B" w:rsidRDefault="00435B26" w:rsidP="00435B26">
      <w:pPr>
        <w:pStyle w:val="LV2"/>
      </w:pPr>
      <w:bookmarkStart w:id="12" w:name="_Ref403053584"/>
      <w:r w:rsidRPr="00D5620B">
        <w:t xml:space="preserve">This Statement of Principles is </w:t>
      </w:r>
      <w:r w:rsidRPr="002F77A1">
        <w:t xml:space="preserve">about </w:t>
      </w:r>
      <w:r w:rsidRPr="00494A89">
        <w:t>gingivitis</w:t>
      </w:r>
      <w:r w:rsidRPr="002F77A1">
        <w:t xml:space="preserve"> and death</w:t>
      </w:r>
      <w:r w:rsidRPr="00D5620B">
        <w:t xml:space="preserve"> from</w:t>
      </w:r>
      <w:r>
        <w:t xml:space="preserve"> </w:t>
      </w:r>
      <w:r w:rsidRPr="00494A89">
        <w:t>gingivitis</w:t>
      </w:r>
      <w:r w:rsidRPr="00D5620B">
        <w:t>.</w:t>
      </w:r>
      <w:bookmarkEnd w:id="12"/>
    </w:p>
    <w:p w:rsidR="00435B26" w:rsidRPr="00C670B0" w:rsidRDefault="00435B26" w:rsidP="00435B26">
      <w:pPr>
        <w:pStyle w:val="LVtext"/>
      </w:pPr>
      <w:r w:rsidRPr="00C670B0">
        <w:t xml:space="preserve">Meaning of </w:t>
      </w:r>
      <w:r w:rsidRPr="00494A89">
        <w:rPr>
          <w:b/>
        </w:rPr>
        <w:t>gingivitis</w:t>
      </w:r>
    </w:p>
    <w:p w:rsidR="00435B26" w:rsidRPr="00237BAF" w:rsidRDefault="00435B26" w:rsidP="00435B26">
      <w:pPr>
        <w:pStyle w:val="LV2"/>
      </w:pPr>
      <w:bookmarkStart w:id="13" w:name="_Ref409598124"/>
      <w:bookmarkStart w:id="14" w:name="_Ref402529683"/>
      <w:r w:rsidRPr="00237BAF">
        <w:t>For the purposes of this Statement of Principles,</w:t>
      </w:r>
      <w:r w:rsidRPr="002F77A1">
        <w:t xml:space="preserve"> </w:t>
      </w:r>
      <w:r w:rsidRPr="00494A89">
        <w:t>gingivitis</w:t>
      </w:r>
      <w:r w:rsidRPr="00237BAF">
        <w:t>:</w:t>
      </w:r>
      <w:bookmarkEnd w:id="13"/>
    </w:p>
    <w:bookmarkEnd w:id="14"/>
    <w:p w:rsidR="00435B26" w:rsidRPr="008E76DC" w:rsidRDefault="00435B26" w:rsidP="00435B26">
      <w:pPr>
        <w:pStyle w:val="LV3"/>
      </w:pPr>
      <w:r>
        <w:t xml:space="preserve">means </w:t>
      </w:r>
      <w:r w:rsidRPr="00CE5235">
        <w:t>an acute or chronic inflammation of the gums, limited to the mucosal epithelial tissue overlying the alveolar ridge and surroun</w:t>
      </w:r>
      <w:r>
        <w:t>ding the necks of erupted teeth</w:t>
      </w:r>
      <w:r w:rsidRPr="008E76DC">
        <w:t>; and</w:t>
      </w:r>
    </w:p>
    <w:p w:rsidR="00435B26" w:rsidRDefault="00435B26" w:rsidP="00435B26">
      <w:pPr>
        <w:pStyle w:val="LV3"/>
      </w:pPr>
      <w:r w:rsidRPr="008E76DC">
        <w:t>includes</w:t>
      </w:r>
      <w:r>
        <w:t>:</w:t>
      </w:r>
      <w:r w:rsidRPr="008E76DC">
        <w:t xml:space="preserve"> </w:t>
      </w:r>
    </w:p>
    <w:p w:rsidR="00435B26" w:rsidRDefault="00435B26" w:rsidP="00435B26">
      <w:pPr>
        <w:pStyle w:val="LV4"/>
        <w:ind w:left="2552"/>
      </w:pPr>
      <w:r>
        <w:t>acute necrotising ulcerative gingivitis;</w:t>
      </w:r>
    </w:p>
    <w:p w:rsidR="00435B26" w:rsidRDefault="00435B26" w:rsidP="00435B26">
      <w:pPr>
        <w:pStyle w:val="LV4"/>
        <w:ind w:left="2552"/>
      </w:pPr>
      <w:r>
        <w:t>desquamative gingivitis;</w:t>
      </w:r>
    </w:p>
    <w:p w:rsidR="00435B26" w:rsidRDefault="00435B26" w:rsidP="00435B26">
      <w:pPr>
        <w:pStyle w:val="LV4"/>
        <w:ind w:left="2552"/>
      </w:pPr>
      <w:r>
        <w:t>gingival abscess;</w:t>
      </w:r>
    </w:p>
    <w:p w:rsidR="00435B26" w:rsidRDefault="00435B26" w:rsidP="00435B26">
      <w:pPr>
        <w:pStyle w:val="LV4"/>
        <w:ind w:left="2552"/>
      </w:pPr>
      <w:r>
        <w:t>linear gingival erythema;</w:t>
      </w:r>
    </w:p>
    <w:p w:rsidR="00435B26" w:rsidRDefault="00435B26" w:rsidP="00435B26">
      <w:pPr>
        <w:pStyle w:val="LV4"/>
        <w:ind w:left="2552"/>
      </w:pPr>
      <w:r>
        <w:t>peri-implant mucositis; and</w:t>
      </w:r>
    </w:p>
    <w:p w:rsidR="00435B26" w:rsidRDefault="00435B26" w:rsidP="00435B26">
      <w:pPr>
        <w:pStyle w:val="LV4"/>
        <w:ind w:left="2552"/>
      </w:pPr>
      <w:r>
        <w:t>plasma cell gingivitis; and</w:t>
      </w:r>
    </w:p>
    <w:p w:rsidR="00435B26" w:rsidRDefault="00435B26" w:rsidP="00435B26">
      <w:pPr>
        <w:pStyle w:val="LV3"/>
      </w:pPr>
      <w:r>
        <w:t>excludes:</w:t>
      </w:r>
    </w:p>
    <w:p w:rsidR="00435B26" w:rsidRDefault="00435B26" w:rsidP="00435B26">
      <w:pPr>
        <w:pStyle w:val="LV4"/>
        <w:ind w:left="2552"/>
      </w:pPr>
      <w:r>
        <w:t xml:space="preserve">destructive gingival inflammation extending beyond the gums into the underlying supporting structures of the teeth; </w:t>
      </w:r>
    </w:p>
    <w:p w:rsidR="00435B26" w:rsidRDefault="00435B26" w:rsidP="00435B26">
      <w:pPr>
        <w:pStyle w:val="LV4"/>
        <w:ind w:left="2552"/>
      </w:pPr>
      <w:r>
        <w:t>gingival hyperplasia and overgrowth;</w:t>
      </w:r>
    </w:p>
    <w:p w:rsidR="00435B26" w:rsidRDefault="00435B26" w:rsidP="00435B26">
      <w:pPr>
        <w:pStyle w:val="LV4"/>
        <w:ind w:left="2552"/>
      </w:pPr>
      <w:r>
        <w:t>gingival recession; and</w:t>
      </w:r>
    </w:p>
    <w:p w:rsidR="00435B26" w:rsidRDefault="00435B26" w:rsidP="00435B26">
      <w:pPr>
        <w:pStyle w:val="LV4"/>
        <w:ind w:left="2552"/>
      </w:pPr>
      <w:proofErr w:type="gramStart"/>
      <w:r>
        <w:lastRenderedPageBreak/>
        <w:t>oral</w:t>
      </w:r>
      <w:proofErr w:type="gramEnd"/>
      <w:r>
        <w:t xml:space="preserve"> aphthae.</w:t>
      </w:r>
    </w:p>
    <w:p w:rsidR="00435B26" w:rsidRPr="00237BAF" w:rsidRDefault="00435B26" w:rsidP="00435B26">
      <w:pPr>
        <w:pStyle w:val="LV2"/>
      </w:pPr>
      <w:r w:rsidRPr="00237BAF">
        <w:t xml:space="preserve">While </w:t>
      </w:r>
      <w:r w:rsidRPr="00494A89">
        <w:t>gingivitis</w:t>
      </w:r>
      <w:r>
        <w:t xml:space="preserve"> </w:t>
      </w:r>
      <w:r w:rsidRPr="00237BAF">
        <w:t>attracts ICD</w:t>
      </w:r>
      <w:r w:rsidRPr="00237BAF">
        <w:noBreakHyphen/>
        <w:t>10</w:t>
      </w:r>
      <w:r w:rsidRPr="00237BAF">
        <w:noBreakHyphen/>
        <w:t xml:space="preserve">AM </w:t>
      </w:r>
      <w:r w:rsidRPr="00EB2BC4">
        <w:t xml:space="preserve">code </w:t>
      </w:r>
      <w:r w:rsidRPr="00CE5235">
        <w:t>A69.1, K05.0 or K05.1</w:t>
      </w:r>
      <w:r w:rsidRPr="00EB2BC4">
        <w:t>,</w:t>
      </w:r>
      <w:r w:rsidRPr="00237BAF">
        <w:t xml:space="preserve"> in applying this Statement of Principles the </w:t>
      </w:r>
      <w:r w:rsidRPr="00D5620B">
        <w:t xml:space="preserve">meaning of </w:t>
      </w:r>
      <w:r w:rsidRPr="00494A89">
        <w:t>gingivitis</w:t>
      </w:r>
      <w:r>
        <w:t xml:space="preserve"> </w:t>
      </w:r>
      <w:r w:rsidRPr="00D5620B">
        <w:t>is that</w:t>
      </w:r>
      <w:r w:rsidRPr="00237BAF">
        <w:t xml:space="preserve"> given in subsection (2).</w:t>
      </w:r>
    </w:p>
    <w:p w:rsidR="00435B26" w:rsidRPr="0053697E" w:rsidRDefault="00435B26" w:rsidP="00435B26">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435B26" w:rsidRDefault="00435B26" w:rsidP="00435B26">
      <w:pPr>
        <w:pStyle w:val="LVtext"/>
      </w:pPr>
      <w:r w:rsidRPr="003A5C26">
        <w:t>Death from</w:t>
      </w:r>
      <w:r w:rsidRPr="00237BAF">
        <w:t xml:space="preserve"> </w:t>
      </w:r>
      <w:r w:rsidRPr="00494A89">
        <w:rPr>
          <w:b/>
        </w:rPr>
        <w:t>gingivitis</w:t>
      </w:r>
    </w:p>
    <w:p w:rsidR="00435B26" w:rsidRPr="00237BAF" w:rsidRDefault="00435B26" w:rsidP="00435B26">
      <w:pPr>
        <w:pStyle w:val="LV2"/>
      </w:pPr>
      <w:r w:rsidRPr="00237BAF">
        <w:t xml:space="preserve">For the purposes of this Statement of </w:t>
      </w:r>
      <w:r>
        <w:t xml:space="preserve">Principles, </w:t>
      </w:r>
      <w:r w:rsidRPr="00494A89">
        <w:t>gingivitis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t>'</w:t>
      </w:r>
      <w:r w:rsidRPr="00D5620B">
        <w:t>s</w:t>
      </w:r>
      <w:r>
        <w:t xml:space="preserve"> </w:t>
      </w:r>
      <w:r w:rsidRPr="00494A89">
        <w:t>gingivitis</w:t>
      </w:r>
      <w:r w:rsidRPr="00D5620B">
        <w:t>.</w:t>
      </w:r>
    </w:p>
    <w:p w:rsidR="00435B26" w:rsidRPr="00046E67" w:rsidRDefault="00435B26" w:rsidP="00243759">
      <w:pPr>
        <w:pStyle w:val="Note2"/>
        <w:ind w:left="1984"/>
      </w:pPr>
      <w:r>
        <w:t xml:space="preserve">Note: </w:t>
      </w:r>
      <w:r>
        <w:rPr>
          <w:b/>
          <w:i/>
        </w:rPr>
        <w:t>t</w:t>
      </w:r>
      <w:r w:rsidRPr="00FA33FB">
        <w:rPr>
          <w:b/>
          <w:i/>
        </w:rPr>
        <w:t>erminal event</w:t>
      </w:r>
      <w:r w:rsidRPr="00FA33FB">
        <w:t xml:space="preserve"> </w:t>
      </w:r>
      <w:r w:rsidRPr="00046E67">
        <w:t xml:space="preserve">is defined in the </w:t>
      </w:r>
      <w:r>
        <w:t xml:space="preserve">Schedule 1 - </w:t>
      </w:r>
      <w:r w:rsidRPr="00046E67">
        <w:t>Dictionary</w:t>
      </w:r>
      <w:r>
        <w:t>.</w:t>
      </w:r>
    </w:p>
    <w:p w:rsidR="00435B26" w:rsidRPr="00A20CA1" w:rsidRDefault="00435B26" w:rsidP="002774B0">
      <w:pPr>
        <w:pStyle w:val="LV1"/>
        <w:ind w:left="851"/>
      </w:pPr>
      <w:bookmarkStart w:id="15" w:name="_Toc118199956"/>
      <w:r w:rsidRPr="00A20CA1">
        <w:t>Basis for determining the factors</w:t>
      </w:r>
      <w:bookmarkEnd w:id="15"/>
    </w:p>
    <w:p w:rsidR="00435B26" w:rsidRPr="00237BAF" w:rsidRDefault="00435B26" w:rsidP="00435B26">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Pr="00494A89">
        <w:t>gingivitis</w:t>
      </w:r>
      <w:r>
        <w:t xml:space="preserve"> </w:t>
      </w:r>
      <w:r w:rsidRPr="00D5620B">
        <w:t>and death from</w:t>
      </w:r>
      <w:r>
        <w:t xml:space="preserve"> </w:t>
      </w:r>
      <w:r w:rsidRPr="00494A89">
        <w:t>gingivitis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435B26" w:rsidRPr="00046E67" w:rsidRDefault="00435B26" w:rsidP="00435B26">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435B26" w:rsidRPr="00301C54" w:rsidRDefault="00435B26" w:rsidP="002774B0">
      <w:pPr>
        <w:pStyle w:val="LV1"/>
        <w:ind w:left="851"/>
      </w:pPr>
      <w:bookmarkStart w:id="16" w:name="_Ref411946955"/>
      <w:bookmarkStart w:id="17" w:name="_Ref411946997"/>
      <w:bookmarkStart w:id="18" w:name="_Ref412032503"/>
      <w:bookmarkStart w:id="19" w:name="_Toc118199957"/>
      <w:r w:rsidRPr="00301C54">
        <w:t xml:space="preserve">Factors that must </w:t>
      </w:r>
      <w:r>
        <w:t>exist</w:t>
      </w:r>
      <w:bookmarkEnd w:id="16"/>
      <w:bookmarkEnd w:id="17"/>
      <w:bookmarkEnd w:id="18"/>
      <w:bookmarkEnd w:id="19"/>
    </w:p>
    <w:p w:rsidR="00435B26" w:rsidRPr="00AA6D8B" w:rsidRDefault="00435B26" w:rsidP="00435B26">
      <w:pPr>
        <w:pStyle w:val="PlainIndent"/>
      </w:pPr>
      <w:bookmarkStart w:id="20" w:name="_Ref402530190"/>
      <w:r w:rsidRPr="00AA6D8B">
        <w:t xml:space="preserve">At least one of the following factors must </w:t>
      </w:r>
      <w:r w:rsidRPr="00283A64">
        <w:t xml:space="preserve">as a minimum </w:t>
      </w:r>
      <w:r w:rsidRPr="00AA6D8B">
        <w:t>exist before it can be said that</w:t>
      </w:r>
      <w:r>
        <w:t xml:space="preserve"> </w:t>
      </w:r>
      <w:r w:rsidRPr="00283A64">
        <w:t>a reasonable hypothesis has been raised connecting</w:t>
      </w:r>
      <w:r w:rsidRPr="00AA6D8B">
        <w:t xml:space="preserve"> </w:t>
      </w:r>
      <w:r w:rsidRPr="00494A89">
        <w:t>gingivitis</w:t>
      </w:r>
      <w:r>
        <w:t xml:space="preserve"> </w:t>
      </w:r>
      <w:r w:rsidRPr="00AA6D8B">
        <w:t xml:space="preserve">or death from </w:t>
      </w:r>
      <w:r w:rsidRPr="00494A89">
        <w:t>gingivitis</w:t>
      </w:r>
      <w:r>
        <w:t xml:space="preserve"> </w:t>
      </w:r>
      <w:r w:rsidRPr="00AA6D8B">
        <w:t>with the circumstances of a person</w:t>
      </w:r>
      <w:r>
        <w:t>'</w:t>
      </w:r>
      <w:r w:rsidRPr="00AA6D8B">
        <w:t>s relevant service:</w:t>
      </w:r>
      <w:bookmarkEnd w:id="20"/>
    </w:p>
    <w:p w:rsidR="00435B26" w:rsidRDefault="00435B26" w:rsidP="00435B26">
      <w:pPr>
        <w:pStyle w:val="LV2"/>
      </w:pPr>
      <w:bookmarkStart w:id="21" w:name="_Ref402530260"/>
      <w:bookmarkStart w:id="22" w:name="_Ref409598844"/>
      <w:r w:rsidRPr="00CE5235">
        <w:t>being prevented from cleaning the teeth, including toothbrushing and interdental cleansing, for a continuous period of at least 14 days, within the 30 days before the clinical onset of gingivitis;</w:t>
      </w:r>
    </w:p>
    <w:p w:rsidR="00435B26" w:rsidRDefault="00435B26" w:rsidP="00435B26">
      <w:pPr>
        <w:pStyle w:val="LV2"/>
        <w:keepNext/>
      </w:pPr>
      <w:r w:rsidRPr="00CE5235">
        <w:t>having a foreign body embedded in the affected region of the gums at the time of the clinical onset of gingivitis;</w:t>
      </w:r>
    </w:p>
    <w:p w:rsidR="00435B26" w:rsidRDefault="00435B26" w:rsidP="00243759">
      <w:pPr>
        <w:pStyle w:val="Note2"/>
        <w:ind w:hanging="454"/>
      </w:pPr>
      <w:r w:rsidRPr="00CE5235">
        <w:t xml:space="preserve">Note: Examples of a foreign body embedded in the gums include a fixed orthodontic appliance, an </w:t>
      </w:r>
      <w:proofErr w:type="spellStart"/>
      <w:r w:rsidRPr="00CE5235">
        <w:t>osseointegrated</w:t>
      </w:r>
      <w:proofErr w:type="spellEnd"/>
      <w:r w:rsidRPr="00CE5235">
        <w:t xml:space="preserve"> implant or dental prosthesis, particulate materials derived from dental procedures and shrapnel.</w:t>
      </w:r>
    </w:p>
    <w:p w:rsidR="00435B26" w:rsidRDefault="00435B26" w:rsidP="00435B26">
      <w:pPr>
        <w:pStyle w:val="LV2"/>
      </w:pPr>
      <w:r w:rsidRPr="007E79D2">
        <w:t>having trauma to the affected region of the gums within the 2 weeks before the clinical onset of gingivitis;</w:t>
      </w:r>
    </w:p>
    <w:p w:rsidR="00435B26" w:rsidRDefault="00435B26" w:rsidP="00243759">
      <w:pPr>
        <w:pStyle w:val="Note2"/>
        <w:ind w:left="1984"/>
      </w:pPr>
      <w:r w:rsidRPr="007E79D2">
        <w:lastRenderedPageBreak/>
        <w:t xml:space="preserve">Note: </w:t>
      </w:r>
      <w:r w:rsidRPr="007E79D2">
        <w:rPr>
          <w:b/>
          <w:i/>
        </w:rPr>
        <w:t>trauma to the affected region of the gums</w:t>
      </w:r>
      <w:r w:rsidRPr="007E79D2">
        <w:t xml:space="preserve"> is defined in the Schedule 1 - Dictionary.</w:t>
      </w:r>
    </w:p>
    <w:p w:rsidR="00435B26" w:rsidRDefault="00435B26" w:rsidP="00435B26">
      <w:pPr>
        <w:pStyle w:val="LV2"/>
      </w:pPr>
      <w:r w:rsidRPr="003B68E9">
        <w:t>having direct exposure of the affected area to an irritant substance within the 3 days before the clinical onset of gingivitis;</w:t>
      </w:r>
    </w:p>
    <w:p w:rsidR="00435B26" w:rsidRDefault="00435B26" w:rsidP="00243759">
      <w:pPr>
        <w:pStyle w:val="Note2"/>
        <w:ind w:left="1984"/>
      </w:pPr>
      <w:r w:rsidRPr="003B68E9">
        <w:t xml:space="preserve">Note: </w:t>
      </w:r>
      <w:r w:rsidRPr="003B68E9">
        <w:rPr>
          <w:b/>
          <w:i/>
        </w:rPr>
        <w:t>irritant substance</w:t>
      </w:r>
      <w:r w:rsidRPr="003B68E9">
        <w:t xml:space="preserve"> is defined in the Schedule 1 - Dictionary.</w:t>
      </w:r>
    </w:p>
    <w:p w:rsidR="00435B26" w:rsidRDefault="00435B26" w:rsidP="00435B26">
      <w:pPr>
        <w:pStyle w:val="LV2"/>
      </w:pPr>
      <w:r w:rsidRPr="009C4982">
        <w:t>having direct exposure of the affected area to an allergen within the 3</w:t>
      </w:r>
      <w:r>
        <w:t> </w:t>
      </w:r>
      <w:r w:rsidRPr="009C4982">
        <w:t>days before the clinical onset</w:t>
      </w:r>
      <w:r w:rsidRPr="009C4982">
        <w:rPr>
          <w:color w:val="7030A0"/>
        </w:rPr>
        <w:t xml:space="preserve"> </w:t>
      </w:r>
      <w:r w:rsidRPr="009C4982">
        <w:t>of gingivitis;</w:t>
      </w:r>
    </w:p>
    <w:p w:rsidR="00435B26" w:rsidRDefault="00435B26" w:rsidP="00243759">
      <w:pPr>
        <w:pStyle w:val="Note2"/>
        <w:ind w:left="1984"/>
      </w:pPr>
      <w:r w:rsidRPr="009C4982">
        <w:t xml:space="preserve">Note: </w:t>
      </w:r>
      <w:r w:rsidRPr="009C4982">
        <w:rPr>
          <w:b/>
          <w:i/>
        </w:rPr>
        <w:t>allergen</w:t>
      </w:r>
      <w:r w:rsidRPr="009C4982">
        <w:t xml:space="preserve"> is defined in the Schedule 1 - Dictionary.</w:t>
      </w:r>
    </w:p>
    <w:p w:rsidR="00435B26" w:rsidRDefault="00435B26" w:rsidP="00435B26">
      <w:pPr>
        <w:pStyle w:val="LV2"/>
      </w:pPr>
      <w:r w:rsidRPr="009C4982">
        <w:t>having infection with human immunodeficiency virus at the time of the clinical onset of gingivitis;</w:t>
      </w:r>
    </w:p>
    <w:p w:rsidR="00435B26" w:rsidRDefault="00435B26" w:rsidP="00435B26">
      <w:pPr>
        <w:pStyle w:val="LV2"/>
      </w:pPr>
      <w:r w:rsidRPr="009C4982">
        <w:t>having chronic renal failure at the time of the clinical onset</w:t>
      </w:r>
      <w:r w:rsidRPr="009C4982">
        <w:rPr>
          <w:color w:val="7030A0"/>
        </w:rPr>
        <w:t xml:space="preserve"> </w:t>
      </w:r>
      <w:r w:rsidRPr="009C4982">
        <w:t>of gingivitis;</w:t>
      </w:r>
    </w:p>
    <w:p w:rsidR="00435B26" w:rsidRDefault="00435B26" w:rsidP="00243759">
      <w:pPr>
        <w:pStyle w:val="Note2"/>
        <w:ind w:left="1984"/>
      </w:pPr>
      <w:r w:rsidRPr="009C4982">
        <w:t xml:space="preserve">Note: </w:t>
      </w:r>
      <w:r w:rsidRPr="009C4982">
        <w:rPr>
          <w:b/>
          <w:i/>
        </w:rPr>
        <w:t>chronic renal failure</w:t>
      </w:r>
      <w:r w:rsidRPr="009C4982">
        <w:t xml:space="preserve"> is defined in the Schedule 1 - Dictionary.</w:t>
      </w:r>
    </w:p>
    <w:p w:rsidR="00435B26" w:rsidRDefault="00435B26" w:rsidP="00435B26">
      <w:pPr>
        <w:pStyle w:val="LV2"/>
      </w:pPr>
      <w:r w:rsidRPr="004D7870">
        <w:t>having leukaemia or lymphoma at the time of the clinical onset of gingivitis;</w:t>
      </w:r>
    </w:p>
    <w:p w:rsidR="00435B26" w:rsidRDefault="00435B26" w:rsidP="00435B26">
      <w:pPr>
        <w:pStyle w:val="LV2"/>
      </w:pPr>
      <w:r w:rsidRPr="004D7870">
        <w:t>taking a drug that causes neutropenia or agranulocytosis, at the time of the clinical onset</w:t>
      </w:r>
      <w:r w:rsidRPr="00B21195">
        <w:rPr>
          <w:color w:val="7030A0"/>
        </w:rPr>
        <w:t xml:space="preserve"> </w:t>
      </w:r>
      <w:r w:rsidRPr="004D7870">
        <w:t>of gingivitis;</w:t>
      </w:r>
    </w:p>
    <w:p w:rsidR="00435B26" w:rsidRDefault="00435B26" w:rsidP="00243759">
      <w:pPr>
        <w:pStyle w:val="Note2"/>
        <w:ind w:hanging="454"/>
      </w:pPr>
      <w:r w:rsidRPr="004D7870">
        <w:t>Note: Examples of drugs that cause neutropenia or agranulocytosis include clozapine, sulfasalazine, ticlopidine and thioamides such as methimazole, carbimazole and propylthiouracil.</w:t>
      </w:r>
    </w:p>
    <w:p w:rsidR="00435B26" w:rsidRDefault="00435B26" w:rsidP="00435B26">
      <w:pPr>
        <w:pStyle w:val="LV2"/>
      </w:pPr>
      <w:r w:rsidRPr="00B21195">
        <w:t xml:space="preserve">having severe vitamin C deficiency at the time of </w:t>
      </w:r>
      <w:r>
        <w:t xml:space="preserve">the </w:t>
      </w:r>
      <w:r w:rsidRPr="00B21195">
        <w:t>clinical onset of gingivitis;</w:t>
      </w:r>
    </w:p>
    <w:p w:rsidR="00435B26" w:rsidRDefault="00435B26" w:rsidP="00243759">
      <w:pPr>
        <w:pStyle w:val="Note2"/>
        <w:ind w:left="1984"/>
      </w:pPr>
      <w:r w:rsidRPr="00B21195">
        <w:t xml:space="preserve">Note: </w:t>
      </w:r>
      <w:r w:rsidRPr="00B21195">
        <w:rPr>
          <w:b/>
          <w:i/>
        </w:rPr>
        <w:t>severe vitamin C deficiency</w:t>
      </w:r>
      <w:r>
        <w:t xml:space="preserve"> is defined in the Schedule 1 -</w:t>
      </w:r>
      <w:r w:rsidRPr="00B21195">
        <w:t xml:space="preserve"> Dictionary.</w:t>
      </w:r>
    </w:p>
    <w:p w:rsidR="00435B26" w:rsidRDefault="00435B26" w:rsidP="00435B26">
      <w:pPr>
        <w:pStyle w:val="LV2"/>
      </w:pPr>
      <w:r w:rsidRPr="000C4B83">
        <w:t xml:space="preserve">having a solid organ transplant, stem </w:t>
      </w:r>
      <w:r w:rsidRPr="009273C6">
        <w:t>cell transplant or bone marrow trans</w:t>
      </w:r>
      <w:r>
        <w:t>plant before the clinical onset</w:t>
      </w:r>
      <w:r w:rsidRPr="009273C6">
        <w:t xml:space="preserve"> of gingivitis;</w:t>
      </w:r>
    </w:p>
    <w:p w:rsidR="00435B26" w:rsidRDefault="00435B26" w:rsidP="00435B26">
      <w:pPr>
        <w:pStyle w:val="LV2"/>
      </w:pPr>
      <w:r w:rsidRPr="009273C6">
        <w:t>being pregnant at the time of the clinical onset</w:t>
      </w:r>
      <w:r w:rsidRPr="009273C6">
        <w:rPr>
          <w:color w:val="7030A0"/>
        </w:rPr>
        <w:t xml:space="preserve"> </w:t>
      </w:r>
      <w:r w:rsidRPr="009273C6">
        <w:t>of gingivitis;</w:t>
      </w:r>
    </w:p>
    <w:p w:rsidR="00435B26" w:rsidRDefault="00435B26" w:rsidP="00435B26">
      <w:pPr>
        <w:pStyle w:val="LV2"/>
      </w:pPr>
      <w:r w:rsidRPr="00764ED2">
        <w:t>using the combined oral contraceptive pill as specified for a continuous period of at least the 4 weeks before the clinical onset of gingivitis;</w:t>
      </w:r>
    </w:p>
    <w:p w:rsidR="00435B26" w:rsidRDefault="00435B26" w:rsidP="00243759">
      <w:pPr>
        <w:pStyle w:val="Note2"/>
        <w:ind w:left="1984"/>
      </w:pPr>
      <w:r w:rsidRPr="00D46E0C">
        <w:t xml:space="preserve">Note: </w:t>
      </w:r>
      <w:r w:rsidRPr="00D46E0C">
        <w:rPr>
          <w:b/>
          <w:i/>
        </w:rPr>
        <w:t>combined oral contraceptive pill as specified</w:t>
      </w:r>
      <w:r>
        <w:t xml:space="preserve"> is defined in the Schedule 1 -</w:t>
      </w:r>
      <w:r w:rsidRPr="00D46E0C">
        <w:t xml:space="preserve"> Dictionary.</w:t>
      </w:r>
    </w:p>
    <w:p w:rsidR="00435B26" w:rsidRDefault="00435B26" w:rsidP="00435B26">
      <w:pPr>
        <w:pStyle w:val="LV2"/>
        <w:keepNext/>
      </w:pPr>
      <w:r w:rsidRPr="00706FDA">
        <w:t>having an autoimmune or mucocutaneous disease from the specified list of autoimmune or mucocutaneous diseases at the time of the clinical onset</w:t>
      </w:r>
      <w:r w:rsidRPr="00706FDA">
        <w:rPr>
          <w:color w:val="7030A0"/>
        </w:rPr>
        <w:t xml:space="preserve"> </w:t>
      </w:r>
      <w:r w:rsidRPr="00706FDA">
        <w:t xml:space="preserve">of gingivitis; </w:t>
      </w:r>
    </w:p>
    <w:p w:rsidR="00435B26" w:rsidRDefault="00435B26" w:rsidP="00243759">
      <w:pPr>
        <w:pStyle w:val="Note2"/>
        <w:ind w:hanging="454"/>
      </w:pPr>
      <w:r w:rsidRPr="003B1A80">
        <w:t xml:space="preserve">Note: </w:t>
      </w:r>
      <w:r w:rsidRPr="000A75A0">
        <w:rPr>
          <w:b/>
          <w:i/>
        </w:rPr>
        <w:t>specified list</w:t>
      </w:r>
      <w:r>
        <w:rPr>
          <w:b/>
          <w:i/>
        </w:rPr>
        <w:t xml:space="preserve"> of autoimmune or</w:t>
      </w:r>
      <w:r w:rsidRPr="000A75A0">
        <w:rPr>
          <w:b/>
          <w:i/>
        </w:rPr>
        <w:t xml:space="preserve"> mucocutaneous diseases</w:t>
      </w:r>
      <w:r>
        <w:t xml:space="preserve"> is defined in the Schedule 1 - </w:t>
      </w:r>
      <w:r w:rsidRPr="003B1A80">
        <w:t>Dictionary.</w:t>
      </w:r>
    </w:p>
    <w:p w:rsidR="00435B26" w:rsidRDefault="00435B26" w:rsidP="00435B26">
      <w:pPr>
        <w:pStyle w:val="LV2"/>
      </w:pPr>
      <w:r w:rsidRPr="000A75A0">
        <w:t>having diabetes mellitus at the time of the clinical onset of gingivitis;</w:t>
      </w:r>
    </w:p>
    <w:p w:rsidR="00435B26" w:rsidRDefault="00435B26" w:rsidP="00435B26">
      <w:pPr>
        <w:pStyle w:val="LV2"/>
      </w:pPr>
      <w:r w:rsidRPr="002D634A">
        <w:lastRenderedPageBreak/>
        <w:t>having infection involving the affected region of the gums at the time of the clinical onset of gingivitis;</w:t>
      </w:r>
    </w:p>
    <w:p w:rsidR="00435B26" w:rsidRPr="001D5F54" w:rsidRDefault="00435B26" w:rsidP="00243759">
      <w:pPr>
        <w:pStyle w:val="Note2"/>
        <w:ind w:hanging="454"/>
      </w:pPr>
      <w:r w:rsidRPr="002D634A">
        <w:t xml:space="preserve">Note: Examples of infections that may involve the gums include tuberculosis, gonorrhoea, syphilis, chickenpox, candidiasis, histoplasmosis, herpes simplex and hand, foot and </w:t>
      </w:r>
      <w:r w:rsidRPr="001D5F54">
        <w:t>mouth disease.</w:t>
      </w:r>
    </w:p>
    <w:p w:rsidR="00435B26" w:rsidRPr="001D5F54" w:rsidRDefault="00435B26" w:rsidP="00435B26">
      <w:pPr>
        <w:pStyle w:val="LV2"/>
      </w:pPr>
      <w:r w:rsidRPr="001D5F54">
        <w:t>experiencing a category 1A stressor or a category 1B stressor within the 14 days before the clinical onset of gingivitis;</w:t>
      </w:r>
    </w:p>
    <w:p w:rsidR="00435B26" w:rsidRPr="001D5F54" w:rsidRDefault="00435B26" w:rsidP="00243759">
      <w:pPr>
        <w:pStyle w:val="Note2"/>
        <w:ind w:hanging="454"/>
      </w:pPr>
      <w:r w:rsidRPr="001D5F54">
        <w:t xml:space="preserve">Note: </w:t>
      </w:r>
      <w:r w:rsidRPr="001D5F54">
        <w:rPr>
          <w:b/>
          <w:i/>
        </w:rPr>
        <w:t>category 1A stressor</w:t>
      </w:r>
      <w:r w:rsidRPr="001D5F54">
        <w:t xml:space="preserve"> and </w:t>
      </w:r>
      <w:r w:rsidRPr="001D5F54">
        <w:rPr>
          <w:b/>
          <w:i/>
        </w:rPr>
        <w:t>category 1B stressor</w:t>
      </w:r>
      <w:r w:rsidRPr="001D5F54">
        <w:t xml:space="preserve"> are defined in the Schedule</w:t>
      </w:r>
      <w:r>
        <w:t> </w:t>
      </w:r>
      <w:r w:rsidRPr="001D5F54">
        <w:t>1</w:t>
      </w:r>
      <w:r>
        <w:t> </w:t>
      </w:r>
      <w:r w:rsidRPr="001D5F54">
        <w:t>-</w:t>
      </w:r>
      <w:r>
        <w:t> </w:t>
      </w:r>
      <w:r w:rsidRPr="001D5F54">
        <w:t>Dictionary.</w:t>
      </w:r>
    </w:p>
    <w:p w:rsidR="00435B26" w:rsidRPr="001D5F54" w:rsidRDefault="00435B26" w:rsidP="00435B26">
      <w:pPr>
        <w:pStyle w:val="LV2"/>
      </w:pPr>
      <w:r w:rsidRPr="001D5F54">
        <w:t xml:space="preserve">for acute necrotising ulcerative gingivitis only: </w:t>
      </w:r>
    </w:p>
    <w:p w:rsidR="00435B26" w:rsidRDefault="00435B26" w:rsidP="00435B26">
      <w:pPr>
        <w:pStyle w:val="LV3"/>
      </w:pPr>
      <w:r w:rsidRPr="001D5F54">
        <w:t xml:space="preserve">having severe malnutrition at the time of </w:t>
      </w:r>
      <w:r>
        <w:t xml:space="preserve">the </w:t>
      </w:r>
      <w:r w:rsidRPr="001D5F54">
        <w:t xml:space="preserve">clinical onset of acute necrotising </w:t>
      </w:r>
      <w:r w:rsidRPr="00B21195">
        <w:t>ulcerative gingivitis;</w:t>
      </w:r>
    </w:p>
    <w:p w:rsidR="00435B26" w:rsidRDefault="00435B26" w:rsidP="00435B26">
      <w:pPr>
        <w:pStyle w:val="LV3"/>
      </w:pPr>
      <w:r w:rsidRPr="005E707C">
        <w:t>having smoked tobacco products:</w:t>
      </w:r>
    </w:p>
    <w:p w:rsidR="00435B26" w:rsidRDefault="00435B26" w:rsidP="00435B26">
      <w:pPr>
        <w:pStyle w:val="LV4"/>
        <w:ind w:left="2552"/>
      </w:pPr>
      <w:r>
        <w:t>in an amount of at least 2 pack-years before the clinical onset of acute necrotising ulcerative gingivitis; and</w:t>
      </w:r>
    </w:p>
    <w:p w:rsidR="00435B26" w:rsidRDefault="00435B26" w:rsidP="00435B26">
      <w:pPr>
        <w:pStyle w:val="LV4"/>
        <w:ind w:left="2552"/>
      </w:pPr>
      <w:r>
        <w:t>if smoking has ceased before the clinical onset of acute necrotising ulcerative gingivitis, then that onset occurred within 3 months of cessation; or</w:t>
      </w:r>
    </w:p>
    <w:p w:rsidR="00435B26" w:rsidRDefault="00435B26" w:rsidP="00435B26">
      <w:pPr>
        <w:pStyle w:val="LV3"/>
      </w:pPr>
      <w:r w:rsidRPr="00C341A9">
        <w:t>experiencing a category 2 stressor within the 6 months before the clinical onset</w:t>
      </w:r>
      <w:r w:rsidRPr="00C341A9">
        <w:rPr>
          <w:color w:val="7030A0"/>
        </w:rPr>
        <w:t xml:space="preserve"> </w:t>
      </w:r>
      <w:r w:rsidRPr="00C341A9">
        <w:t>of acute nec</w:t>
      </w:r>
      <w:r>
        <w:t>rotising ulcerative gingivitis;</w:t>
      </w:r>
    </w:p>
    <w:p w:rsidR="00435B26" w:rsidRDefault="00435B26" w:rsidP="00243759">
      <w:pPr>
        <w:pStyle w:val="Note2"/>
        <w:ind w:left="2064" w:hanging="590"/>
      </w:pPr>
      <w:r w:rsidRPr="00C341A9">
        <w:t>Note 1: A category 2 stressor can arise in a variety of circumstances connected with service. Such circumstances can arise during the course of service, as a result of separation from service and the conditions associated with that separation, and in the transition to civilian life in the years following separation.</w:t>
      </w:r>
    </w:p>
    <w:p w:rsidR="00435B26" w:rsidRDefault="00435B26" w:rsidP="00243759">
      <w:pPr>
        <w:pStyle w:val="Note2"/>
        <w:ind w:left="2064" w:hanging="590"/>
      </w:pPr>
      <w:r w:rsidRPr="00B21195">
        <w:t>Note</w:t>
      </w:r>
      <w:r>
        <w:t xml:space="preserve"> 2</w:t>
      </w:r>
      <w:r w:rsidRPr="00B21195">
        <w:t xml:space="preserve">: </w:t>
      </w:r>
      <w:r w:rsidRPr="00B21195">
        <w:rPr>
          <w:b/>
          <w:i/>
        </w:rPr>
        <w:t>acute necrotising ulcerative gingivitis</w:t>
      </w:r>
      <w:r w:rsidRPr="00C341A9">
        <w:t>,</w:t>
      </w:r>
      <w:r>
        <w:rPr>
          <w:b/>
          <w:i/>
        </w:rPr>
        <w:t xml:space="preserve"> </w:t>
      </w:r>
      <w:r w:rsidRPr="00C341A9">
        <w:rPr>
          <w:b/>
          <w:i/>
        </w:rPr>
        <w:t>category 2 stressor</w:t>
      </w:r>
      <w:r>
        <w:rPr>
          <w:b/>
          <w:i/>
        </w:rPr>
        <w:t xml:space="preserve"> </w:t>
      </w:r>
      <w:r>
        <w:t xml:space="preserve">and </w:t>
      </w:r>
      <w:r>
        <w:rPr>
          <w:b/>
          <w:i/>
        </w:rPr>
        <w:t xml:space="preserve">one pack-year </w:t>
      </w:r>
      <w:r>
        <w:t>are</w:t>
      </w:r>
      <w:r w:rsidRPr="00B21195">
        <w:t xml:space="preserve"> defined in the Schedule 1 </w:t>
      </w:r>
      <w:r>
        <w:t>-</w:t>
      </w:r>
      <w:r w:rsidRPr="00B21195">
        <w:t xml:space="preserve"> Dictionary.</w:t>
      </w:r>
    </w:p>
    <w:p w:rsidR="00435B26" w:rsidRDefault="00435B26" w:rsidP="00435B26">
      <w:pPr>
        <w:pStyle w:val="LV2"/>
      </w:pPr>
      <w:r w:rsidRPr="00BC11B0">
        <w:t>having depressive disorder at the time of the clinical onset</w:t>
      </w:r>
      <w:r w:rsidRPr="00BC11B0">
        <w:rPr>
          <w:color w:val="7030A0"/>
        </w:rPr>
        <w:t xml:space="preserve"> </w:t>
      </w:r>
      <w:r w:rsidRPr="00BC11B0">
        <w:t>of gingivitis;</w:t>
      </w:r>
      <w:r>
        <w:t xml:space="preserve"> </w:t>
      </w:r>
    </w:p>
    <w:p w:rsidR="00435B26" w:rsidRPr="00BC11B0" w:rsidRDefault="00435B26" w:rsidP="00435B26">
      <w:pPr>
        <w:pStyle w:val="LV2"/>
      </w:pPr>
      <w:r w:rsidRPr="00BC11B0">
        <w:t>having drug-induced gingival overgrowth at the time of the clinical onset of gingivitis;</w:t>
      </w:r>
    </w:p>
    <w:p w:rsidR="00435B26" w:rsidRPr="00BC11B0" w:rsidRDefault="00435B26" w:rsidP="00243759">
      <w:pPr>
        <w:pStyle w:val="Note2"/>
        <w:ind w:hanging="454"/>
      </w:pPr>
      <w:r w:rsidRPr="00BC11B0">
        <w:t>Note: Examples of drugs that cause gingival overgrowth include phenytoin, cyclosporine and calcium channel blockers such as nifedipine, diltiazem and verapamil.</w:t>
      </w:r>
    </w:p>
    <w:p w:rsidR="00435B26" w:rsidRPr="002D634A" w:rsidRDefault="00435B26" w:rsidP="00435B26">
      <w:pPr>
        <w:pStyle w:val="LV2"/>
      </w:pPr>
      <w:r w:rsidRPr="002D634A">
        <w:t>being obese at the time of the clinical onset of gingivitis;</w:t>
      </w:r>
    </w:p>
    <w:p w:rsidR="00435B26" w:rsidRDefault="00435B26" w:rsidP="00243759">
      <w:pPr>
        <w:pStyle w:val="Note2"/>
        <w:ind w:left="1984"/>
      </w:pPr>
      <w:r w:rsidRPr="002D634A">
        <w:t xml:space="preserve">Note: </w:t>
      </w:r>
      <w:r w:rsidRPr="002D634A">
        <w:rPr>
          <w:b/>
          <w:i/>
        </w:rPr>
        <w:t>being obese</w:t>
      </w:r>
      <w:r w:rsidRPr="002D634A">
        <w:t xml:space="preserve"> is defined in the Schedule 1 </w:t>
      </w:r>
      <w:r>
        <w:t>-</w:t>
      </w:r>
      <w:r w:rsidRPr="002D634A">
        <w:t xml:space="preserve"> Dictionary.</w:t>
      </w:r>
    </w:p>
    <w:p w:rsidR="00435B26" w:rsidRPr="000C4B83" w:rsidRDefault="00435B26" w:rsidP="00435B26">
      <w:pPr>
        <w:pStyle w:val="LV2"/>
      </w:pPr>
      <w:r w:rsidRPr="00CE5235">
        <w:t>being prevented from cleaning the teeth, including toothbrushing and interdental cleansing, for a continuous period of at least 14 days, within the 30</w:t>
      </w:r>
      <w:r>
        <w:t xml:space="preserve"> days before the clinical </w:t>
      </w:r>
      <w:r w:rsidRPr="000C4B83">
        <w:t>worsening of gingivitis;</w:t>
      </w:r>
    </w:p>
    <w:p w:rsidR="00435B26" w:rsidRDefault="00435B26" w:rsidP="00435B26">
      <w:pPr>
        <w:pStyle w:val="LV2"/>
      </w:pPr>
      <w:r w:rsidRPr="000C4B83">
        <w:lastRenderedPageBreak/>
        <w:t xml:space="preserve">having a foreign body embedded in the affected region of the gums at the time of the clinical worsening </w:t>
      </w:r>
      <w:r w:rsidRPr="00CE5235">
        <w:t>of gingivitis;</w:t>
      </w:r>
    </w:p>
    <w:p w:rsidR="00435B26" w:rsidRDefault="00435B26" w:rsidP="00243759">
      <w:pPr>
        <w:pStyle w:val="Note2"/>
        <w:ind w:hanging="454"/>
      </w:pPr>
      <w:r w:rsidRPr="00CE5235">
        <w:t xml:space="preserve">Note: Examples of a foreign body embedded in the gums include a fixed orthodontic appliance, an </w:t>
      </w:r>
      <w:proofErr w:type="spellStart"/>
      <w:r w:rsidRPr="00CE5235">
        <w:t>osseointegrated</w:t>
      </w:r>
      <w:proofErr w:type="spellEnd"/>
      <w:r w:rsidRPr="00CE5235">
        <w:t xml:space="preserve"> implant or dental prosthesis, particulate materials derived from dental procedures and shrapnel.</w:t>
      </w:r>
    </w:p>
    <w:p w:rsidR="00435B26" w:rsidRDefault="00435B26" w:rsidP="00435B26">
      <w:pPr>
        <w:pStyle w:val="LV2"/>
        <w:keepNext/>
      </w:pPr>
      <w:r w:rsidRPr="007E79D2">
        <w:t xml:space="preserve">having trauma to the affected region of the gums within the 2 weeks before the clinical </w:t>
      </w:r>
      <w:r w:rsidRPr="000C4B83">
        <w:t xml:space="preserve">worsening </w:t>
      </w:r>
      <w:r w:rsidRPr="007E79D2">
        <w:t>of gingivitis;</w:t>
      </w:r>
    </w:p>
    <w:p w:rsidR="00435B26" w:rsidRDefault="00435B26" w:rsidP="00243759">
      <w:pPr>
        <w:pStyle w:val="Note2"/>
        <w:ind w:left="1984"/>
      </w:pPr>
      <w:r w:rsidRPr="007E79D2">
        <w:t xml:space="preserve">Note: </w:t>
      </w:r>
      <w:r w:rsidRPr="007E79D2">
        <w:rPr>
          <w:b/>
          <w:i/>
        </w:rPr>
        <w:t>trauma to the affected region of the gums</w:t>
      </w:r>
      <w:r w:rsidRPr="007E79D2">
        <w:t xml:space="preserve"> is defined in the Schedule 1 - Dictionary.</w:t>
      </w:r>
    </w:p>
    <w:p w:rsidR="00435B26" w:rsidRDefault="00435B26" w:rsidP="00435B26">
      <w:pPr>
        <w:pStyle w:val="LV2"/>
      </w:pPr>
      <w:r w:rsidRPr="003B68E9">
        <w:t xml:space="preserve">having direct exposure of the affected area to an irritant substance within the 3 days before the clinical </w:t>
      </w:r>
      <w:r w:rsidRPr="000C4B83">
        <w:t xml:space="preserve">worsening </w:t>
      </w:r>
      <w:r w:rsidRPr="003B68E9">
        <w:t>of gingivitis;</w:t>
      </w:r>
    </w:p>
    <w:p w:rsidR="00435B26" w:rsidRDefault="00435B26" w:rsidP="00243759">
      <w:pPr>
        <w:pStyle w:val="Note2"/>
        <w:ind w:left="1984"/>
      </w:pPr>
      <w:r w:rsidRPr="003B68E9">
        <w:t xml:space="preserve">Note: </w:t>
      </w:r>
      <w:r w:rsidRPr="003B68E9">
        <w:rPr>
          <w:b/>
          <w:i/>
        </w:rPr>
        <w:t>irritant substance</w:t>
      </w:r>
      <w:r w:rsidRPr="003B68E9">
        <w:t xml:space="preserve"> is defined in the Schedule 1 - Dictionary.</w:t>
      </w:r>
    </w:p>
    <w:p w:rsidR="00435B26" w:rsidRDefault="00435B26" w:rsidP="00435B26">
      <w:pPr>
        <w:pStyle w:val="LV2"/>
      </w:pPr>
      <w:r w:rsidRPr="009C4982">
        <w:t>having direct exposure of the affected area to an allergen within the 3</w:t>
      </w:r>
      <w:r>
        <w:t> </w:t>
      </w:r>
      <w:r w:rsidRPr="009C4982">
        <w:t xml:space="preserve">days before the clinical </w:t>
      </w:r>
      <w:r w:rsidRPr="000C4B83">
        <w:t xml:space="preserve">worsening </w:t>
      </w:r>
      <w:r w:rsidRPr="009C4982">
        <w:t>of gingivitis;</w:t>
      </w:r>
    </w:p>
    <w:p w:rsidR="00435B26" w:rsidRDefault="00435B26" w:rsidP="00243759">
      <w:pPr>
        <w:pStyle w:val="Note2"/>
        <w:ind w:left="1984"/>
      </w:pPr>
      <w:r w:rsidRPr="009C4982">
        <w:t xml:space="preserve">Note: </w:t>
      </w:r>
      <w:r w:rsidRPr="009C4982">
        <w:rPr>
          <w:b/>
          <w:i/>
        </w:rPr>
        <w:t>allergen</w:t>
      </w:r>
      <w:r w:rsidRPr="009C4982">
        <w:t xml:space="preserve"> is defined in the Schedule 1 - Dictionary.</w:t>
      </w:r>
    </w:p>
    <w:p w:rsidR="00435B26" w:rsidRDefault="00435B26" w:rsidP="00435B26">
      <w:pPr>
        <w:pStyle w:val="LV2"/>
      </w:pPr>
      <w:r w:rsidRPr="009C4982">
        <w:t xml:space="preserve">having infection with human immunodeficiency virus at the time of the clinical </w:t>
      </w:r>
      <w:r w:rsidRPr="000C4B83">
        <w:t xml:space="preserve">worsening </w:t>
      </w:r>
      <w:r w:rsidRPr="009C4982">
        <w:t>of gingivitis;</w:t>
      </w:r>
    </w:p>
    <w:p w:rsidR="00435B26" w:rsidRPr="000C4B83" w:rsidRDefault="00435B26" w:rsidP="00435B26">
      <w:pPr>
        <w:pStyle w:val="LV2"/>
      </w:pPr>
      <w:r w:rsidRPr="009C4982">
        <w:t xml:space="preserve">having chronic renal failure at the time of the clinical </w:t>
      </w:r>
      <w:r w:rsidRPr="000C4B83">
        <w:t>worsening of gingivitis;</w:t>
      </w:r>
    </w:p>
    <w:p w:rsidR="00435B26" w:rsidRPr="000C4B83" w:rsidRDefault="00435B26" w:rsidP="00243759">
      <w:pPr>
        <w:pStyle w:val="Note2"/>
        <w:ind w:left="1984"/>
      </w:pPr>
      <w:r w:rsidRPr="000C4B83">
        <w:t xml:space="preserve">Note: </w:t>
      </w:r>
      <w:r w:rsidRPr="000C4B83">
        <w:rPr>
          <w:b/>
          <w:i/>
        </w:rPr>
        <w:t>chronic renal failure</w:t>
      </w:r>
      <w:r w:rsidRPr="000C4B83">
        <w:t xml:space="preserve"> is defined in the Schedule 1 - Dictionary.</w:t>
      </w:r>
    </w:p>
    <w:p w:rsidR="00435B26" w:rsidRPr="000C4B83" w:rsidRDefault="00435B26" w:rsidP="00435B26">
      <w:pPr>
        <w:pStyle w:val="LV2"/>
      </w:pPr>
      <w:r w:rsidRPr="000C4B83">
        <w:t>having leukaemia or lymphoma at the time of the clinical worsening of gingivitis;</w:t>
      </w:r>
    </w:p>
    <w:p w:rsidR="00435B26" w:rsidRPr="000C4B83" w:rsidRDefault="00435B26" w:rsidP="00435B26">
      <w:pPr>
        <w:pStyle w:val="LV2"/>
      </w:pPr>
      <w:r w:rsidRPr="000C4B83">
        <w:t>taking a drug that causes neutropenia or agranulocytosis, at the time of the clinical worsening of gingivitis;</w:t>
      </w:r>
    </w:p>
    <w:p w:rsidR="00435B26" w:rsidRPr="000C4B83" w:rsidRDefault="00435B26" w:rsidP="00243759">
      <w:pPr>
        <w:pStyle w:val="Note2"/>
        <w:ind w:hanging="454"/>
      </w:pPr>
      <w:r w:rsidRPr="000C4B83">
        <w:t>Note: Examples of drugs that cause neutropenia or agranulocytosis include clozapine, sulfasalazine, ticlopidine and thioamides such as methimazole, carbimazole and propylthiouracil.</w:t>
      </w:r>
    </w:p>
    <w:p w:rsidR="00435B26" w:rsidRDefault="00435B26" w:rsidP="00435B26">
      <w:pPr>
        <w:pStyle w:val="LV2"/>
      </w:pPr>
      <w:r w:rsidRPr="000C4B83">
        <w:t xml:space="preserve">having severe vitamin C deficiency at the time of </w:t>
      </w:r>
      <w:r>
        <w:t xml:space="preserve">the </w:t>
      </w:r>
      <w:r w:rsidRPr="000C4B83">
        <w:t xml:space="preserve">clinical worsening of </w:t>
      </w:r>
      <w:r w:rsidRPr="00B21195">
        <w:t>gingivitis;</w:t>
      </w:r>
    </w:p>
    <w:p w:rsidR="00435B26" w:rsidRDefault="00435B26" w:rsidP="00243759">
      <w:pPr>
        <w:pStyle w:val="Note2"/>
        <w:ind w:left="1984"/>
      </w:pPr>
      <w:r w:rsidRPr="00B21195">
        <w:t xml:space="preserve">Note: </w:t>
      </w:r>
      <w:r w:rsidRPr="00B21195">
        <w:rPr>
          <w:b/>
          <w:i/>
        </w:rPr>
        <w:t>severe vitamin C deficiency</w:t>
      </w:r>
      <w:r w:rsidRPr="00B21195">
        <w:t xml:space="preserve"> is defined in the Schedule 1 </w:t>
      </w:r>
      <w:r>
        <w:t>-</w:t>
      </w:r>
      <w:r w:rsidRPr="00B21195">
        <w:t xml:space="preserve"> Dictionary.</w:t>
      </w:r>
    </w:p>
    <w:p w:rsidR="00435B26" w:rsidRPr="000C4B83" w:rsidRDefault="00435B26" w:rsidP="00435B26">
      <w:pPr>
        <w:pStyle w:val="LV2"/>
      </w:pPr>
      <w:r w:rsidRPr="000C4B83">
        <w:t>having a solid organ transplant, stem cell transplant or bone marrow transplant before the clinical worsening of gingivitis;</w:t>
      </w:r>
    </w:p>
    <w:p w:rsidR="00435B26" w:rsidRPr="000C4B83" w:rsidRDefault="00435B26" w:rsidP="00435B26">
      <w:pPr>
        <w:pStyle w:val="LV2"/>
      </w:pPr>
      <w:r w:rsidRPr="000C4B83">
        <w:t>being pregnant at the time of the clinical worsening of gingivitis;</w:t>
      </w:r>
    </w:p>
    <w:p w:rsidR="00435B26" w:rsidRPr="000C4B83" w:rsidRDefault="00435B26" w:rsidP="00435B26">
      <w:pPr>
        <w:pStyle w:val="LV2"/>
      </w:pPr>
      <w:r w:rsidRPr="000C4B83">
        <w:t>using the combined oral contraceptive pill as specified for a continuous period of at least the 4 weeks before the clinical worsening of gingivitis;</w:t>
      </w:r>
    </w:p>
    <w:p w:rsidR="00435B26" w:rsidRPr="000C4B83" w:rsidRDefault="00435B26" w:rsidP="00243759">
      <w:pPr>
        <w:pStyle w:val="Note2"/>
        <w:ind w:left="1984"/>
      </w:pPr>
      <w:r w:rsidRPr="000C4B83">
        <w:t xml:space="preserve">Note: </w:t>
      </w:r>
      <w:r w:rsidRPr="000C4B83">
        <w:rPr>
          <w:b/>
          <w:i/>
        </w:rPr>
        <w:t>combined oral contraceptive pill as specified</w:t>
      </w:r>
      <w:r w:rsidRPr="000C4B83">
        <w:t xml:space="preserve"> is defined in the Schedule 1 - Dictionary.</w:t>
      </w:r>
    </w:p>
    <w:p w:rsidR="00435B26" w:rsidRDefault="00435B26" w:rsidP="00435B26">
      <w:pPr>
        <w:pStyle w:val="LV2"/>
      </w:pPr>
      <w:r w:rsidRPr="000C4B83">
        <w:lastRenderedPageBreak/>
        <w:t xml:space="preserve">having an autoimmune or mucocutaneous disease from the specified list of autoimmune or mucocutaneous diseases at the time of the clinical worsening </w:t>
      </w:r>
      <w:r w:rsidRPr="00706FDA">
        <w:t xml:space="preserve">of gingivitis; </w:t>
      </w:r>
    </w:p>
    <w:p w:rsidR="00435B26" w:rsidRDefault="00435B26" w:rsidP="00243759">
      <w:pPr>
        <w:pStyle w:val="Note2"/>
        <w:ind w:hanging="454"/>
      </w:pPr>
      <w:r w:rsidRPr="003B1A80">
        <w:t xml:space="preserve">Note: </w:t>
      </w:r>
      <w:r w:rsidRPr="000A75A0">
        <w:rPr>
          <w:b/>
          <w:i/>
        </w:rPr>
        <w:t>specified list</w:t>
      </w:r>
      <w:r>
        <w:rPr>
          <w:b/>
          <w:i/>
        </w:rPr>
        <w:t xml:space="preserve"> of autoimmune or</w:t>
      </w:r>
      <w:r w:rsidRPr="000A75A0">
        <w:rPr>
          <w:b/>
          <w:i/>
        </w:rPr>
        <w:t xml:space="preserve"> mucocutaneous diseases</w:t>
      </w:r>
      <w:r w:rsidRPr="003B1A80">
        <w:t xml:space="preserve"> is defined in the Schedule</w:t>
      </w:r>
      <w:r>
        <w:t> </w:t>
      </w:r>
      <w:r w:rsidRPr="003B1A80">
        <w:t>1</w:t>
      </w:r>
      <w:r>
        <w:t> - </w:t>
      </w:r>
      <w:r w:rsidRPr="003B1A80">
        <w:t>Dictionary.</w:t>
      </w:r>
    </w:p>
    <w:p w:rsidR="00435B26" w:rsidRPr="000C4B83" w:rsidRDefault="00435B26" w:rsidP="00435B26">
      <w:pPr>
        <w:pStyle w:val="LV2"/>
      </w:pPr>
      <w:r w:rsidRPr="000A75A0">
        <w:t xml:space="preserve">having diabetes mellitus at the time of the </w:t>
      </w:r>
      <w:r w:rsidRPr="000C4B83">
        <w:t>clinical worsening of gingivitis;</w:t>
      </w:r>
    </w:p>
    <w:p w:rsidR="00435B26" w:rsidRPr="000C4B83" w:rsidRDefault="00435B26" w:rsidP="00435B26">
      <w:pPr>
        <w:pStyle w:val="LV2"/>
      </w:pPr>
      <w:r w:rsidRPr="000C4B83">
        <w:t>having infection involving the affected region of the gums at the time of the clinical worsening of gingivitis;</w:t>
      </w:r>
    </w:p>
    <w:p w:rsidR="00435B26" w:rsidRPr="000C4B83" w:rsidRDefault="00435B26" w:rsidP="00243759">
      <w:pPr>
        <w:pStyle w:val="Note2"/>
        <w:ind w:hanging="454"/>
      </w:pPr>
      <w:r w:rsidRPr="000C4B83">
        <w:t>Note: Examples of infections that may involve the gums include tuberculosis, gonorrhoea, syphilis, chickenpox, candidiasis, histoplasmosis, herpes simplex and hand, foot and mouth disease.</w:t>
      </w:r>
    </w:p>
    <w:p w:rsidR="00435B26" w:rsidRPr="00A76E9F" w:rsidRDefault="00435B26" w:rsidP="00435B26">
      <w:pPr>
        <w:pStyle w:val="LV2"/>
      </w:pPr>
      <w:r w:rsidRPr="00A76E9F">
        <w:t>experiencing a category 1A stressor or a category 1B stressor within the 14 days before the clinical worsening of gingivitis;</w:t>
      </w:r>
    </w:p>
    <w:p w:rsidR="00435B26" w:rsidRPr="00A76E9F" w:rsidRDefault="00435B26" w:rsidP="00243759">
      <w:pPr>
        <w:pStyle w:val="Note2"/>
        <w:ind w:hanging="454"/>
      </w:pPr>
      <w:r w:rsidRPr="00A76E9F">
        <w:t xml:space="preserve">Note: </w:t>
      </w:r>
      <w:r w:rsidRPr="00A76E9F">
        <w:rPr>
          <w:b/>
          <w:i/>
        </w:rPr>
        <w:t>category 1A stressor</w:t>
      </w:r>
      <w:r w:rsidRPr="00A76E9F">
        <w:t xml:space="preserve"> and </w:t>
      </w:r>
      <w:r w:rsidRPr="00A76E9F">
        <w:rPr>
          <w:b/>
          <w:i/>
        </w:rPr>
        <w:t>category 1B stressor</w:t>
      </w:r>
      <w:r w:rsidRPr="00A76E9F">
        <w:t xml:space="preserve"> are defined in the Schedule</w:t>
      </w:r>
      <w:r>
        <w:t> </w:t>
      </w:r>
      <w:r w:rsidRPr="00A76E9F">
        <w:t>1</w:t>
      </w:r>
      <w:r>
        <w:t> </w:t>
      </w:r>
      <w:r w:rsidRPr="00A76E9F">
        <w:t>-</w:t>
      </w:r>
      <w:r>
        <w:t> </w:t>
      </w:r>
      <w:r w:rsidRPr="00A76E9F">
        <w:t>Dictionary.</w:t>
      </w:r>
    </w:p>
    <w:p w:rsidR="00435B26" w:rsidRPr="00A76E9F" w:rsidRDefault="00435B26" w:rsidP="00435B26">
      <w:pPr>
        <w:pStyle w:val="LV2"/>
      </w:pPr>
      <w:r w:rsidRPr="00A76E9F">
        <w:t xml:space="preserve">for acute necrotising ulcerative gingivitis only: </w:t>
      </w:r>
    </w:p>
    <w:p w:rsidR="00435B26" w:rsidRPr="000C4B83" w:rsidRDefault="00435B26" w:rsidP="00435B26">
      <w:pPr>
        <w:pStyle w:val="LV3"/>
      </w:pPr>
      <w:r w:rsidRPr="00A76E9F">
        <w:t xml:space="preserve">having </w:t>
      </w:r>
      <w:r w:rsidRPr="000C4B83">
        <w:t xml:space="preserve">severe malnutrition at the time of </w:t>
      </w:r>
      <w:r>
        <w:t xml:space="preserve">the </w:t>
      </w:r>
      <w:r w:rsidRPr="000C4B83">
        <w:t>clinical worsening of acute necrotising ulcerative gingivitis;</w:t>
      </w:r>
      <w:r>
        <w:t xml:space="preserve"> </w:t>
      </w:r>
    </w:p>
    <w:p w:rsidR="00435B26" w:rsidRPr="000C4B83" w:rsidRDefault="00435B26" w:rsidP="00435B26">
      <w:pPr>
        <w:pStyle w:val="LV3"/>
      </w:pPr>
      <w:r w:rsidRPr="000C4B83">
        <w:t>having smoked tobacco products:</w:t>
      </w:r>
    </w:p>
    <w:p w:rsidR="00435B26" w:rsidRPr="000C4B83" w:rsidRDefault="00435B26" w:rsidP="00435B26">
      <w:pPr>
        <w:pStyle w:val="LV4"/>
        <w:ind w:left="2552"/>
      </w:pPr>
      <w:r w:rsidRPr="000C4B83">
        <w:t>in an amount of at least 2 pack-years before the clinical worsening of acute necrotising ulcerative gingivitis; and</w:t>
      </w:r>
    </w:p>
    <w:p w:rsidR="00435B26" w:rsidRPr="000C4B83" w:rsidRDefault="00435B26" w:rsidP="00435B26">
      <w:pPr>
        <w:pStyle w:val="LV4"/>
        <w:ind w:left="2552"/>
      </w:pPr>
      <w:r w:rsidRPr="000C4B83">
        <w:t>if smoking has ceased before the clinical worsening of acute necrotising ulcerative gingivitis, then that worsening occurred within 3 months of cessation;</w:t>
      </w:r>
      <w:r>
        <w:t xml:space="preserve"> or</w:t>
      </w:r>
    </w:p>
    <w:p w:rsidR="00435B26" w:rsidRPr="000C4B83" w:rsidRDefault="00435B26" w:rsidP="00435B26">
      <w:pPr>
        <w:pStyle w:val="LV3"/>
      </w:pPr>
      <w:r w:rsidRPr="000C4B83">
        <w:t>experiencing a category 2 stressor within the 6 months before the clinical worsening of acute necrotising ulcerative gingivitis;</w:t>
      </w:r>
    </w:p>
    <w:p w:rsidR="00435B26" w:rsidRDefault="00435B26" w:rsidP="00243759">
      <w:pPr>
        <w:pStyle w:val="Note2"/>
        <w:ind w:left="2064" w:hanging="590"/>
      </w:pPr>
      <w:r w:rsidRPr="000C4B83">
        <w:t xml:space="preserve">Note 1: A category 2 stressor can arise in a variety of circumstances connected with service. Such circumstances can arise </w:t>
      </w:r>
      <w:r w:rsidRPr="00C341A9">
        <w:t>during the course of service, as a result of separation from service and the conditions associated with that separation, and in the transition to civilian life in the years following separation.</w:t>
      </w:r>
    </w:p>
    <w:p w:rsidR="00435B26" w:rsidRPr="000C4B83" w:rsidRDefault="00435B26" w:rsidP="00243759">
      <w:pPr>
        <w:pStyle w:val="Note2"/>
        <w:ind w:left="2064" w:hanging="590"/>
      </w:pPr>
      <w:r w:rsidRPr="00B21195">
        <w:t>Note</w:t>
      </w:r>
      <w:r>
        <w:t xml:space="preserve"> 2</w:t>
      </w:r>
      <w:r w:rsidRPr="00B21195">
        <w:t xml:space="preserve">: </w:t>
      </w:r>
      <w:r w:rsidRPr="00B21195">
        <w:rPr>
          <w:b/>
          <w:i/>
        </w:rPr>
        <w:t xml:space="preserve">acute necrotising ulcerative </w:t>
      </w:r>
      <w:r w:rsidRPr="000C4B83">
        <w:rPr>
          <w:b/>
          <w:i/>
        </w:rPr>
        <w:t>gingivitis</w:t>
      </w:r>
      <w:r w:rsidRPr="000C4B83">
        <w:t>,</w:t>
      </w:r>
      <w:r w:rsidRPr="000C4B83">
        <w:rPr>
          <w:b/>
          <w:i/>
        </w:rPr>
        <w:t xml:space="preserve"> category 2 stressor </w:t>
      </w:r>
      <w:r w:rsidRPr="000C4B83">
        <w:t xml:space="preserve">and </w:t>
      </w:r>
      <w:r w:rsidRPr="000C4B83">
        <w:rPr>
          <w:b/>
          <w:i/>
        </w:rPr>
        <w:t xml:space="preserve">one pack-year </w:t>
      </w:r>
      <w:r w:rsidRPr="000C4B83">
        <w:t>are defined in the Schedule 1 - Dictionary.</w:t>
      </w:r>
    </w:p>
    <w:p w:rsidR="00435B26" w:rsidRPr="000C4B83" w:rsidRDefault="00435B26" w:rsidP="00435B26">
      <w:pPr>
        <w:pStyle w:val="LV2"/>
      </w:pPr>
      <w:r w:rsidRPr="000C4B83">
        <w:t xml:space="preserve">having depressive disorder at the time of the clinical worsening of gingivitis; </w:t>
      </w:r>
    </w:p>
    <w:p w:rsidR="00435B26" w:rsidRPr="000C4B83" w:rsidRDefault="00435B26" w:rsidP="00435B26">
      <w:pPr>
        <w:pStyle w:val="LV2"/>
      </w:pPr>
      <w:r w:rsidRPr="000C4B83">
        <w:t xml:space="preserve">having drug-induced gingival overgrowth at the time of the clinical worsening of gingivitis; </w:t>
      </w:r>
    </w:p>
    <w:p w:rsidR="00435B26" w:rsidRPr="000C4B83" w:rsidRDefault="00435B26" w:rsidP="00243759">
      <w:pPr>
        <w:pStyle w:val="Note2"/>
        <w:ind w:hanging="454"/>
      </w:pPr>
      <w:r w:rsidRPr="000C4B83">
        <w:t>Note: Examples of drugs that cause gingival overgrowth include phenytoin, cyclosporine and calcium channel blockers such as nifedipine, diltiazem and verapamil.</w:t>
      </w:r>
    </w:p>
    <w:p w:rsidR="00435B26" w:rsidRPr="000C4B83" w:rsidRDefault="00435B26" w:rsidP="00435B26">
      <w:pPr>
        <w:pStyle w:val="LV2"/>
      </w:pPr>
      <w:r w:rsidRPr="000C4B83">
        <w:lastRenderedPageBreak/>
        <w:t xml:space="preserve">being obese at the time of the clinical worsening of gingivitis; </w:t>
      </w:r>
    </w:p>
    <w:p w:rsidR="00435B26" w:rsidRPr="000C4B83" w:rsidRDefault="00435B26" w:rsidP="00243759">
      <w:pPr>
        <w:pStyle w:val="Note2"/>
        <w:ind w:left="1984"/>
      </w:pPr>
      <w:r w:rsidRPr="000C4B83">
        <w:t xml:space="preserve">Note: </w:t>
      </w:r>
      <w:r w:rsidRPr="000C4B83">
        <w:rPr>
          <w:b/>
          <w:i/>
        </w:rPr>
        <w:t>being obese</w:t>
      </w:r>
      <w:r w:rsidRPr="000C4B83">
        <w:t xml:space="preserve"> is defined in the Schedule 1 - Dictionary.</w:t>
      </w:r>
    </w:p>
    <w:p w:rsidR="00435B26" w:rsidRPr="008D1B8B" w:rsidRDefault="00435B26" w:rsidP="00435B26">
      <w:pPr>
        <w:pStyle w:val="LV2"/>
      </w:pPr>
      <w:proofErr w:type="gramStart"/>
      <w:r w:rsidRPr="000C4B83">
        <w:t>inability</w:t>
      </w:r>
      <w:proofErr w:type="gramEnd"/>
      <w:r w:rsidRPr="000C4B83">
        <w:t xml:space="preserve"> to obtain appropriate clinical management </w:t>
      </w:r>
      <w:r w:rsidRPr="008D1B8B">
        <w:t>for</w:t>
      </w:r>
      <w:bookmarkEnd w:id="21"/>
      <w:r>
        <w:t xml:space="preserve"> </w:t>
      </w:r>
      <w:r w:rsidRPr="00494A89">
        <w:t>gingivitis</w:t>
      </w:r>
      <w:r w:rsidRPr="008D1B8B">
        <w:t>.</w:t>
      </w:r>
      <w:bookmarkEnd w:id="22"/>
    </w:p>
    <w:p w:rsidR="00435B26" w:rsidRPr="00684C0E" w:rsidRDefault="00435B26" w:rsidP="002774B0">
      <w:pPr>
        <w:pStyle w:val="LV1"/>
        <w:ind w:left="851"/>
      </w:pPr>
      <w:bookmarkStart w:id="23" w:name="_Ref402530057"/>
      <w:bookmarkStart w:id="24" w:name="_Toc118199958"/>
      <w:r>
        <w:t>Relationship to s</w:t>
      </w:r>
      <w:r w:rsidRPr="00684C0E">
        <w:t>ervice</w:t>
      </w:r>
      <w:bookmarkEnd w:id="24"/>
    </w:p>
    <w:p w:rsidR="00435B26" w:rsidRPr="00187DE1" w:rsidRDefault="00435B26" w:rsidP="00435B26">
      <w:pPr>
        <w:pStyle w:val="LV2"/>
      </w:pPr>
      <w:r w:rsidRPr="00187DE1">
        <w:t xml:space="preserve">The existence </w:t>
      </w:r>
      <w:r>
        <w:t xml:space="preserve">in a person </w:t>
      </w:r>
      <w:r w:rsidRPr="00187DE1">
        <w:t xml:space="preserve">of any factor referred to in </w:t>
      </w:r>
      <w:r>
        <w:t>section 9</w:t>
      </w:r>
      <w:r w:rsidRPr="00187DE1">
        <w:t>, must be related to the relevant service rendered by the person.</w:t>
      </w:r>
    </w:p>
    <w:bookmarkEnd w:id="23"/>
    <w:p w:rsidR="00435B26" w:rsidRPr="00187DE1" w:rsidRDefault="00435B26" w:rsidP="00435B26">
      <w:pPr>
        <w:pStyle w:val="LV2"/>
      </w:pPr>
      <w:r w:rsidRPr="00187DE1">
        <w:t>The factor</w:t>
      </w:r>
      <w:r>
        <w:t>s</w:t>
      </w:r>
      <w:r w:rsidRPr="00187DE1">
        <w:t xml:space="preserve"> set out in </w:t>
      </w:r>
      <w:r>
        <w:t xml:space="preserve">subsections 9(22) to 9(43) </w:t>
      </w:r>
      <w:r w:rsidRPr="00187DE1">
        <w:t>appl</w:t>
      </w:r>
      <w:r>
        <w:t>y</w:t>
      </w:r>
      <w:r w:rsidRPr="00187DE1">
        <w:t xml:space="preserve"> only to material contribution to, or aggravation of, </w:t>
      </w:r>
      <w:r w:rsidRPr="00494A89">
        <w:t>gingivitis</w:t>
      </w:r>
      <w:r>
        <w:t xml:space="preserve"> </w:t>
      </w:r>
      <w:r w:rsidRPr="00187DE1">
        <w:t>where the person</w:t>
      </w:r>
      <w:r>
        <w:t>'</w:t>
      </w:r>
      <w:r w:rsidRPr="00187DE1">
        <w:t xml:space="preserve">s </w:t>
      </w:r>
      <w:r w:rsidRPr="00494A89">
        <w:t>gingivitis</w:t>
      </w:r>
      <w:r>
        <w:t xml:space="preserve"> </w:t>
      </w:r>
      <w:r w:rsidRPr="00187DE1">
        <w:t>was suffered or contracted before or during (but did not arise out of) the person</w:t>
      </w:r>
      <w:r>
        <w:t>'</w:t>
      </w:r>
      <w:r w:rsidRPr="00187DE1">
        <w:t xml:space="preserve">s relevant service. </w:t>
      </w:r>
    </w:p>
    <w:p w:rsidR="00435B26" w:rsidRPr="00301C54" w:rsidRDefault="00435B26" w:rsidP="002774B0">
      <w:pPr>
        <w:pStyle w:val="LV1"/>
        <w:ind w:left="851"/>
      </w:pPr>
      <w:bookmarkStart w:id="25" w:name="_Toc118199959"/>
      <w:r w:rsidRPr="00301C54">
        <w:t>Factors referring to an injury or disea</w:t>
      </w:r>
      <w:r>
        <w:t>se covered by another Statement</w:t>
      </w:r>
      <w:r w:rsidRPr="00301C54">
        <w:t xml:space="preserve"> of Principles</w:t>
      </w:r>
      <w:bookmarkEnd w:id="25"/>
    </w:p>
    <w:p w:rsidR="00435B26" w:rsidRPr="00E64EE4" w:rsidRDefault="00435B26" w:rsidP="00435B26">
      <w:pPr>
        <w:pStyle w:val="PlainIndent"/>
      </w:pPr>
      <w:r w:rsidRPr="00E64EE4">
        <w:t>In this Statement of Principles:</w:t>
      </w:r>
    </w:p>
    <w:p w:rsidR="00435B26" w:rsidRPr="00E64EE4" w:rsidRDefault="00435B26" w:rsidP="00435B26">
      <w:pPr>
        <w:pStyle w:val="LV2"/>
      </w:pPr>
      <w:r w:rsidRPr="00E64EE4">
        <w:t>if a f</w:t>
      </w:r>
      <w:r>
        <w:t>actor referred to in section 9</w:t>
      </w:r>
      <w:r w:rsidRPr="00E64EE4">
        <w:t xml:space="preserve"> applies in relation to a person; and </w:t>
      </w:r>
    </w:p>
    <w:p w:rsidR="00435B26" w:rsidRPr="00E64EE4" w:rsidRDefault="00435B26" w:rsidP="00435B26">
      <w:pPr>
        <w:pStyle w:val="LV2"/>
      </w:pPr>
      <w:r w:rsidRPr="00E64EE4">
        <w:t xml:space="preserve">that factor </w:t>
      </w:r>
      <w:r>
        <w:t xml:space="preserve">refers to an injury or disease </w:t>
      </w:r>
      <w:r w:rsidRPr="00E64EE4">
        <w:t>in respect of which a Statement of Principles has been de</w:t>
      </w:r>
      <w:r>
        <w:t>termined under subsection 196B(2</w:t>
      </w:r>
      <w:r w:rsidRPr="00E64EE4">
        <w:t>) of the VEA;</w:t>
      </w:r>
    </w:p>
    <w:p w:rsidR="00435B26" w:rsidRDefault="00435B26" w:rsidP="00435B26">
      <w:pPr>
        <w:pStyle w:val="PlainIndent"/>
      </w:pPr>
      <w:proofErr w:type="gramStart"/>
      <w:r w:rsidRPr="00E64EE4">
        <w:t>then</w:t>
      </w:r>
      <w:proofErr w:type="gramEnd"/>
      <w:r w:rsidRPr="00E64EE4">
        <w:t xml:space="preserve"> the factors in that Statement of Principles apply in accordance with the terms of that Statement of Principles as in force from time to time.</w:t>
      </w:r>
    </w:p>
    <w:p w:rsidR="00435B26" w:rsidRPr="00E64EE4" w:rsidRDefault="00435B26" w:rsidP="00435B26">
      <w:pPr>
        <w:pStyle w:val="PlainIndent"/>
      </w:pPr>
    </w:p>
    <w:p w:rsidR="00435B26" w:rsidRPr="00FA33FB" w:rsidRDefault="00435B26" w:rsidP="00435B26">
      <w:pPr>
        <w:pStyle w:val="PlainIndent"/>
        <w:sectPr w:rsidR="00435B26" w:rsidRPr="00FA33FB" w:rsidSect="00435B26">
          <w:footerReference w:type="default" r:id="rId14"/>
          <w:headerReference w:type="first" r:id="rId15"/>
          <w:footerReference w:type="first" r:id="rId16"/>
          <w:pgSz w:w="11907" w:h="16839" w:code="9"/>
          <w:pgMar w:top="1843" w:right="1797" w:bottom="1440" w:left="1797" w:header="720" w:footer="709" w:gutter="0"/>
          <w:pgNumType w:start="1"/>
          <w:cols w:space="708"/>
          <w:titlePg/>
          <w:docGrid w:linePitch="360"/>
        </w:sectPr>
      </w:pPr>
    </w:p>
    <w:p w:rsidR="00435B26" w:rsidRDefault="00435B26" w:rsidP="00435B26">
      <w:pPr>
        <w:pStyle w:val="PlainIndent"/>
      </w:pPr>
    </w:p>
    <w:p w:rsidR="00435B26" w:rsidRPr="00FA33FB" w:rsidRDefault="00435B26" w:rsidP="00435B26">
      <w:pPr>
        <w:pStyle w:val="SHHeader"/>
      </w:pPr>
      <w:bookmarkStart w:id="26" w:name="opcAmSched"/>
      <w:bookmarkStart w:id="27" w:name="opcCurrentFind"/>
      <w:bookmarkStart w:id="28" w:name="_Toc118199960"/>
      <w:r w:rsidRPr="00FA33FB">
        <w:rPr>
          <w:rStyle w:val="CharAmSchNo"/>
        </w:rPr>
        <w:t>Schedule 1</w:t>
      </w:r>
      <w:r>
        <w:rPr>
          <w:rStyle w:val="CharAmSchNo"/>
        </w:rPr>
        <w:t xml:space="preserve"> </w:t>
      </w:r>
      <w:r>
        <w:t xml:space="preserve">- </w:t>
      </w:r>
      <w:r w:rsidRPr="00FA33FB">
        <w:rPr>
          <w:rStyle w:val="CharAmSchText"/>
        </w:rPr>
        <w:t>Dictionary</w:t>
      </w:r>
      <w:bookmarkEnd w:id="26"/>
      <w:bookmarkEnd w:id="27"/>
      <w:bookmarkEnd w:id="28"/>
      <w:r w:rsidRPr="00FA33FB">
        <w:rPr>
          <w:rStyle w:val="CharAmPartNo"/>
        </w:rPr>
        <w:t xml:space="preserve"> </w:t>
      </w:r>
      <w:r w:rsidRPr="00FA33FB">
        <w:rPr>
          <w:rStyle w:val="CharAmPartText"/>
        </w:rPr>
        <w:t xml:space="preserve"> </w:t>
      </w:r>
    </w:p>
    <w:p w:rsidR="00435B26" w:rsidRPr="003F39C0" w:rsidRDefault="004C33B8" w:rsidP="00435B26">
      <w:pPr>
        <w:pStyle w:val="NOTEScheduleonly"/>
      </w:pPr>
      <w:r>
        <w:t>Note:</w:t>
      </w:r>
      <w:bookmarkStart w:id="29" w:name="_GoBack"/>
      <w:bookmarkEnd w:id="29"/>
      <w:r w:rsidR="00435B26">
        <w:t xml:space="preserve"> </w:t>
      </w:r>
      <w:r w:rsidR="00435B26" w:rsidRPr="003F39C0">
        <w:t>See Section</w:t>
      </w:r>
      <w:r w:rsidR="00435B26">
        <w:t xml:space="preserve"> 6</w:t>
      </w:r>
    </w:p>
    <w:p w:rsidR="00435B26" w:rsidRDefault="00435B26" w:rsidP="00435B26">
      <w:pPr>
        <w:pStyle w:val="SH1"/>
      </w:pPr>
      <w:bookmarkStart w:id="30" w:name="_Toc405472918"/>
      <w:bookmarkStart w:id="31" w:name="_Toc118199961"/>
      <w:r w:rsidRPr="00D97BB3">
        <w:t>Definitions</w:t>
      </w:r>
      <w:bookmarkEnd w:id="30"/>
      <w:bookmarkEnd w:id="31"/>
    </w:p>
    <w:p w:rsidR="00435B26" w:rsidRPr="000B28F9" w:rsidRDefault="00435B26" w:rsidP="002774B0">
      <w:pPr>
        <w:pStyle w:val="SH2"/>
        <w:numPr>
          <w:ilvl w:val="0"/>
          <w:numId w:val="0"/>
        </w:numPr>
        <w:ind w:left="340"/>
      </w:pPr>
      <w:r w:rsidRPr="00516768">
        <w:t xml:space="preserve">In this </w:t>
      </w:r>
      <w:r w:rsidRPr="000B28F9">
        <w:t>instrument:</w:t>
      </w:r>
    </w:p>
    <w:p w:rsidR="00435B26" w:rsidRPr="000B28F9" w:rsidRDefault="00435B26" w:rsidP="00435B26">
      <w:pPr>
        <w:pStyle w:val="SH3"/>
      </w:pPr>
      <w:bookmarkStart w:id="32" w:name="_Ref402530810"/>
      <w:proofErr w:type="gramStart"/>
      <w:r w:rsidRPr="000B28F9">
        <w:rPr>
          <w:b/>
          <w:i/>
        </w:rPr>
        <w:t>acute</w:t>
      </w:r>
      <w:proofErr w:type="gramEnd"/>
      <w:r w:rsidRPr="000B28F9">
        <w:rPr>
          <w:b/>
          <w:i/>
        </w:rPr>
        <w:t xml:space="preserve"> necrotising ulcerative gingivitis</w:t>
      </w:r>
      <w:r w:rsidRPr="000B28F9">
        <w:t xml:space="preserve"> means a painful and rapidly progressive inflammation of the gums characterised by gingival bleeding with interdental soft tissue necrosis and ulceration.</w:t>
      </w:r>
    </w:p>
    <w:p w:rsidR="00435B26" w:rsidRPr="000B28F9" w:rsidRDefault="00435B26" w:rsidP="00435B26">
      <w:pPr>
        <w:pStyle w:val="ScheduleNote"/>
      </w:pPr>
      <w:r w:rsidRPr="000B28F9">
        <w:t>Note: Acute necrotising ulcerative gingivitis is also known as Vincent gingivitis and trench mouth.</w:t>
      </w:r>
    </w:p>
    <w:p w:rsidR="00435B26" w:rsidRPr="000B28F9" w:rsidRDefault="00435B26" w:rsidP="00435B26">
      <w:pPr>
        <w:pStyle w:val="SH3"/>
      </w:pPr>
      <w:proofErr w:type="gramStart"/>
      <w:r w:rsidRPr="000B28F9">
        <w:rPr>
          <w:b/>
          <w:i/>
        </w:rPr>
        <w:t>allergen</w:t>
      </w:r>
      <w:proofErr w:type="gramEnd"/>
      <w:r w:rsidRPr="000B28F9">
        <w:t xml:space="preserve"> means an antigenic substance capable of producing an immune response.</w:t>
      </w:r>
    </w:p>
    <w:p w:rsidR="00435B26" w:rsidRPr="000B28F9" w:rsidRDefault="00435B26" w:rsidP="00435B26">
      <w:pPr>
        <w:pStyle w:val="SH3"/>
      </w:pPr>
      <w:r w:rsidRPr="000B28F9">
        <w:rPr>
          <w:b/>
          <w:i/>
        </w:rPr>
        <w:t>being obese</w:t>
      </w:r>
      <w:r w:rsidRPr="000B28F9">
        <w:t xml:space="preserve"> means:</w:t>
      </w:r>
    </w:p>
    <w:p w:rsidR="00435B26" w:rsidRPr="000B28F9" w:rsidRDefault="00435B26" w:rsidP="00435B26">
      <w:pPr>
        <w:pStyle w:val="SH4"/>
      </w:pPr>
      <w:r w:rsidRPr="000B28F9">
        <w:t>having a Body Mass Index (BMI) of 30 or greater; or</w:t>
      </w:r>
    </w:p>
    <w:p w:rsidR="00435B26" w:rsidRPr="000B28F9" w:rsidRDefault="00435B26" w:rsidP="00435B26">
      <w:pPr>
        <w:pStyle w:val="SH4"/>
      </w:pPr>
      <w:r w:rsidRPr="000B28F9">
        <w:t>for males, having a waist circumference exceeding 102 centimetres; or</w:t>
      </w:r>
    </w:p>
    <w:p w:rsidR="00435B26" w:rsidRPr="000B28F9" w:rsidRDefault="00435B26" w:rsidP="00435B26">
      <w:pPr>
        <w:pStyle w:val="SH4"/>
      </w:pPr>
      <w:proofErr w:type="gramStart"/>
      <w:r w:rsidRPr="000B28F9">
        <w:t>for</w:t>
      </w:r>
      <w:proofErr w:type="gramEnd"/>
      <w:r w:rsidRPr="000B28F9">
        <w:t xml:space="preserve"> females, having a waist circumference exceeding 88 centimetres.</w:t>
      </w:r>
    </w:p>
    <w:p w:rsidR="00435B26" w:rsidRPr="000B28F9" w:rsidRDefault="00435B26" w:rsidP="00435B26">
      <w:pPr>
        <w:pStyle w:val="ScheduleNote"/>
      </w:pPr>
      <w:r w:rsidRPr="000B28F9">
        <w:t xml:space="preserve">Note: </w:t>
      </w:r>
      <w:r w:rsidRPr="000B28F9">
        <w:rPr>
          <w:b/>
          <w:i/>
        </w:rPr>
        <w:t>BMI</w:t>
      </w:r>
      <w:r w:rsidRPr="000B28F9">
        <w:t xml:space="preserve"> is also defined in the Schedule 1 - Dictionary.</w:t>
      </w:r>
    </w:p>
    <w:p w:rsidR="00435B26" w:rsidRPr="000B28F9" w:rsidRDefault="00435B26" w:rsidP="00435B26">
      <w:pPr>
        <w:pStyle w:val="SH3"/>
      </w:pPr>
      <w:r w:rsidRPr="000B28F9">
        <w:rPr>
          <w:b/>
          <w:i/>
        </w:rPr>
        <w:t>BMI</w:t>
      </w:r>
      <w:r w:rsidRPr="000B28F9">
        <w:t xml:space="preserve"> means W/H</w:t>
      </w:r>
      <w:r w:rsidRPr="000B28F9">
        <w:rPr>
          <w:vertAlign w:val="superscript"/>
        </w:rPr>
        <w:t>2</w:t>
      </w:r>
      <w:r w:rsidRPr="000B28F9">
        <w:t xml:space="preserve"> where:</w:t>
      </w:r>
    </w:p>
    <w:p w:rsidR="00435B26" w:rsidRPr="000B28F9" w:rsidRDefault="00435B26" w:rsidP="00435B26">
      <w:pPr>
        <w:pStyle w:val="SH4"/>
      </w:pPr>
      <w:r w:rsidRPr="000B28F9">
        <w:t xml:space="preserve">W is the person's weight in kilograms; and </w:t>
      </w:r>
    </w:p>
    <w:p w:rsidR="00435B26" w:rsidRPr="000B28F9" w:rsidRDefault="00435B26" w:rsidP="00435B26">
      <w:pPr>
        <w:pStyle w:val="SH4"/>
      </w:pPr>
      <w:r w:rsidRPr="000B28F9">
        <w:t>H is the person's height in metres.</w:t>
      </w:r>
    </w:p>
    <w:p w:rsidR="00435B26" w:rsidRPr="000B28F9" w:rsidRDefault="00435B26" w:rsidP="00435B26">
      <w:pPr>
        <w:pStyle w:val="SH3"/>
      </w:pPr>
      <w:r w:rsidRPr="000B28F9">
        <w:rPr>
          <w:b/>
          <w:i/>
        </w:rPr>
        <w:t>category 1A stressor</w:t>
      </w:r>
      <w:r w:rsidRPr="000B28F9">
        <w:t xml:space="preserve"> means one of the following severe traumatic events:</w:t>
      </w:r>
    </w:p>
    <w:p w:rsidR="00435B26" w:rsidRPr="000B28F9" w:rsidRDefault="00435B26" w:rsidP="00435B26">
      <w:pPr>
        <w:pStyle w:val="SH4"/>
      </w:pPr>
      <w:r w:rsidRPr="000B28F9">
        <w:t xml:space="preserve">experiencing a life-threatening event; </w:t>
      </w:r>
    </w:p>
    <w:p w:rsidR="00435B26" w:rsidRPr="000B28F9" w:rsidRDefault="00435B26" w:rsidP="00435B26">
      <w:pPr>
        <w:pStyle w:val="SH4"/>
      </w:pPr>
      <w:r w:rsidRPr="000B28F9">
        <w:t xml:space="preserve">being subject to a serious physical attack or assault including rape and sexual molestation; or </w:t>
      </w:r>
    </w:p>
    <w:p w:rsidR="00435B26" w:rsidRPr="000B28F9" w:rsidRDefault="00435B26" w:rsidP="00435B26">
      <w:pPr>
        <w:pStyle w:val="SH4"/>
      </w:pPr>
      <w:proofErr w:type="gramStart"/>
      <w:r w:rsidRPr="000B28F9">
        <w:t>being</w:t>
      </w:r>
      <w:proofErr w:type="gramEnd"/>
      <w:r w:rsidRPr="000B28F9">
        <w:t xml:space="preserve"> threatened with a weapon, being held captive, being kidnapped or being tortured.</w:t>
      </w:r>
    </w:p>
    <w:p w:rsidR="00435B26" w:rsidRPr="000B28F9" w:rsidRDefault="00435B26" w:rsidP="00435B26">
      <w:pPr>
        <w:pStyle w:val="SH3"/>
      </w:pPr>
      <w:r w:rsidRPr="000B28F9">
        <w:rPr>
          <w:b/>
          <w:i/>
        </w:rPr>
        <w:t>category 1B stressor</w:t>
      </w:r>
      <w:r w:rsidRPr="000B28F9">
        <w:t xml:space="preserve"> means one of the following severe traumatic events:</w:t>
      </w:r>
    </w:p>
    <w:p w:rsidR="00435B26" w:rsidRPr="000B28F9" w:rsidRDefault="00435B26" w:rsidP="00435B26">
      <w:pPr>
        <w:pStyle w:val="SH4"/>
      </w:pPr>
      <w:r w:rsidRPr="000B28F9">
        <w:t xml:space="preserve">killing or maiming a person; </w:t>
      </w:r>
    </w:p>
    <w:p w:rsidR="00435B26" w:rsidRPr="000B28F9" w:rsidRDefault="00435B26" w:rsidP="00435B26">
      <w:pPr>
        <w:pStyle w:val="SH4"/>
      </w:pPr>
      <w:r w:rsidRPr="000B28F9">
        <w:t xml:space="preserve">being an eyewitness to a person being killed or critically injured; </w:t>
      </w:r>
    </w:p>
    <w:p w:rsidR="00435B26" w:rsidRPr="000B28F9" w:rsidRDefault="00435B26" w:rsidP="00435B26">
      <w:pPr>
        <w:pStyle w:val="SH4"/>
      </w:pPr>
      <w:r w:rsidRPr="000B28F9">
        <w:t xml:space="preserve">being an eyewitness to atrocities inflicted on another person; </w:t>
      </w:r>
    </w:p>
    <w:p w:rsidR="00435B26" w:rsidRPr="000B28F9" w:rsidRDefault="00435B26" w:rsidP="00435B26">
      <w:pPr>
        <w:pStyle w:val="SH4"/>
      </w:pPr>
      <w:r w:rsidRPr="000B28F9">
        <w:t xml:space="preserve">participating in the clearance of a corpse or a critically injured casualty; or </w:t>
      </w:r>
    </w:p>
    <w:p w:rsidR="00435B26" w:rsidRPr="000B28F9" w:rsidRDefault="00435B26" w:rsidP="00435B26">
      <w:pPr>
        <w:pStyle w:val="SH4"/>
      </w:pPr>
      <w:proofErr w:type="gramStart"/>
      <w:r w:rsidRPr="000B28F9">
        <w:t>viewing</w:t>
      </w:r>
      <w:proofErr w:type="gramEnd"/>
      <w:r w:rsidRPr="000B28F9">
        <w:t xml:space="preserve"> a corpse or a critically injured casualty as an eyewitness.</w:t>
      </w:r>
    </w:p>
    <w:p w:rsidR="00435B26" w:rsidRPr="000B28F9" w:rsidRDefault="00435B26" w:rsidP="00435B26">
      <w:pPr>
        <w:pStyle w:val="ScheduleNote"/>
      </w:pPr>
      <w:r w:rsidRPr="000B28F9">
        <w:t xml:space="preserve">Note: </w:t>
      </w:r>
      <w:r w:rsidRPr="000B28F9">
        <w:rPr>
          <w:b/>
          <w:i/>
        </w:rPr>
        <w:t>corpse</w:t>
      </w:r>
      <w:r w:rsidRPr="000B28F9">
        <w:t xml:space="preserve"> and </w:t>
      </w:r>
      <w:r w:rsidRPr="000B28F9">
        <w:rPr>
          <w:b/>
          <w:i/>
        </w:rPr>
        <w:t>eyewitness</w:t>
      </w:r>
      <w:r w:rsidRPr="000B28F9">
        <w:t xml:space="preserve"> are also defined in the Schedule 1 - Dictionary.</w:t>
      </w:r>
    </w:p>
    <w:p w:rsidR="00435B26" w:rsidRPr="000B28F9" w:rsidRDefault="00435B26" w:rsidP="00435B26">
      <w:pPr>
        <w:pStyle w:val="SH3"/>
      </w:pPr>
      <w:r w:rsidRPr="000B28F9">
        <w:rPr>
          <w:b/>
          <w:i/>
        </w:rPr>
        <w:t>category 2 stressor</w:t>
      </w:r>
      <w:r w:rsidRPr="000B28F9">
        <w:t xml:space="preserve"> means one of the following negative life events, the effects of which are chronic in nature and cause the person to feel ongoing distress, concern or worry:</w:t>
      </w:r>
    </w:p>
    <w:p w:rsidR="00435B26" w:rsidRPr="000B28F9" w:rsidRDefault="00435B26" w:rsidP="00435B26">
      <w:pPr>
        <w:pStyle w:val="SH4"/>
      </w:pPr>
      <w:r w:rsidRPr="000B28F9">
        <w:t>being socially isolated and unable to maintain friendships or family relationships, due to physical location, language barriers, disability, or medical or psychiatric illness;</w:t>
      </w:r>
    </w:p>
    <w:p w:rsidR="00435B26" w:rsidRPr="000B28F9" w:rsidRDefault="00435B26" w:rsidP="00435B26">
      <w:pPr>
        <w:pStyle w:val="SH4"/>
      </w:pPr>
      <w:r w:rsidRPr="000B28F9">
        <w:lastRenderedPageBreak/>
        <w:t>experiencing a problem with a long-term relationship including the break-up of a close personal relationship, the need for marital or relationship counselling, marital separation or divorce;</w:t>
      </w:r>
    </w:p>
    <w:p w:rsidR="00435B26" w:rsidRPr="000B28F9" w:rsidRDefault="00435B26" w:rsidP="00435B26">
      <w:pPr>
        <w:pStyle w:val="SH4"/>
      </w:pPr>
      <w:r w:rsidRPr="000B28F9">
        <w:t>having concerns in the work or school environment including ongoing disharmony with fellow work or school colleagues, perceived lack of social support within the work or school environment, perceived lack of control over tasks performed and stressful workloads, or experiencing bullying in the workplace or school environment;</w:t>
      </w:r>
    </w:p>
    <w:p w:rsidR="00435B26" w:rsidRPr="000B28F9" w:rsidRDefault="00435B26" w:rsidP="00435B26">
      <w:pPr>
        <w:pStyle w:val="SH4"/>
      </w:pPr>
      <w:r w:rsidRPr="000B28F9">
        <w:t>experiencing serious legal issues including being detained or held in custody, ongoing involvement with the police concerning violations of the law, or court appearances associated with personal legal problems;</w:t>
      </w:r>
    </w:p>
    <w:p w:rsidR="00435B26" w:rsidRPr="000B28F9" w:rsidRDefault="00435B26" w:rsidP="00435B26">
      <w:pPr>
        <w:pStyle w:val="SH4"/>
      </w:pPr>
      <w:r w:rsidRPr="000B28F9">
        <w:t>having severe financial hardship including loss of employment, long periods of unemployment, foreclosure on a property or bankruptcy;</w:t>
      </w:r>
    </w:p>
    <w:p w:rsidR="00435B26" w:rsidRPr="000B28F9" w:rsidRDefault="00435B26" w:rsidP="00435B26">
      <w:pPr>
        <w:pStyle w:val="SH4"/>
      </w:pPr>
      <w:r w:rsidRPr="000B28F9">
        <w:t>having a family member or significant other experience a major deterioration in their health; or</w:t>
      </w:r>
    </w:p>
    <w:p w:rsidR="00435B26" w:rsidRPr="000B28F9" w:rsidRDefault="00435B26" w:rsidP="00435B26">
      <w:pPr>
        <w:pStyle w:val="SH4"/>
      </w:pPr>
      <w:proofErr w:type="gramStart"/>
      <w:r w:rsidRPr="000B28F9">
        <w:t>being</w:t>
      </w:r>
      <w:proofErr w:type="gramEnd"/>
      <w:r w:rsidRPr="000B28F9">
        <w:t xml:space="preserve"> a full-time caregiver to a family member or significant other with a severe physical, mental or developmental disability.</w:t>
      </w:r>
    </w:p>
    <w:p w:rsidR="00435B26" w:rsidRPr="000B28F9" w:rsidRDefault="00435B26" w:rsidP="00435B26">
      <w:pPr>
        <w:pStyle w:val="ScheduleNote"/>
      </w:pPr>
      <w:r w:rsidRPr="000B28F9">
        <w:t xml:space="preserve">Note: </w:t>
      </w:r>
      <w:r w:rsidRPr="000B28F9">
        <w:rPr>
          <w:b/>
          <w:i/>
        </w:rPr>
        <w:t>significant other</w:t>
      </w:r>
      <w:r w:rsidRPr="000B28F9">
        <w:t xml:space="preserve"> is also defined in the Schedule 1 - Dictionary.</w:t>
      </w:r>
    </w:p>
    <w:p w:rsidR="00435B26" w:rsidRPr="000B28F9" w:rsidRDefault="00435B26" w:rsidP="00435B26">
      <w:pPr>
        <w:pStyle w:val="SH3"/>
      </w:pPr>
      <w:r w:rsidRPr="000B28F9">
        <w:rPr>
          <w:b/>
          <w:i/>
        </w:rPr>
        <w:t>chronic renal failure</w:t>
      </w:r>
      <w:r w:rsidRPr="000B28F9">
        <w:t xml:space="preserve"> means:</w:t>
      </w:r>
    </w:p>
    <w:p w:rsidR="00435B26" w:rsidRPr="000B28F9" w:rsidRDefault="00435B26" w:rsidP="00435B26">
      <w:pPr>
        <w:pStyle w:val="SH4"/>
      </w:pPr>
      <w:r w:rsidRPr="000B28F9">
        <w:t>having a glomerular filtration rate of less than 15 mL/min/1.73 m</w:t>
      </w:r>
      <w:r w:rsidRPr="000B28F9">
        <w:rPr>
          <w:vertAlign w:val="superscript"/>
        </w:rPr>
        <w:t>2</w:t>
      </w:r>
      <w:r w:rsidRPr="000B28F9">
        <w:t xml:space="preserve"> for a period of at least 3 months; or </w:t>
      </w:r>
    </w:p>
    <w:p w:rsidR="00435B26" w:rsidRPr="000B28F9" w:rsidRDefault="00435B26" w:rsidP="00435B26">
      <w:pPr>
        <w:pStyle w:val="SH4"/>
      </w:pPr>
      <w:r w:rsidRPr="000B28F9">
        <w:t>a need for renal replacement therapy (dialysis or transplantation) for treatment of complications of decreased glomerular filtration rate which would otherwise increase the risk of morbidity and mortality; or</w:t>
      </w:r>
    </w:p>
    <w:p w:rsidR="00435B26" w:rsidRPr="000B28F9" w:rsidRDefault="00435B26" w:rsidP="00435B26">
      <w:pPr>
        <w:pStyle w:val="SH4"/>
      </w:pPr>
      <w:proofErr w:type="gramStart"/>
      <w:r w:rsidRPr="000B28F9">
        <w:t>undergoing</w:t>
      </w:r>
      <w:proofErr w:type="gramEnd"/>
      <w:r w:rsidRPr="000B28F9">
        <w:t xml:space="preserve"> chronic dialysis.</w:t>
      </w:r>
    </w:p>
    <w:p w:rsidR="00435B26" w:rsidRPr="000B28F9" w:rsidRDefault="00435B26" w:rsidP="00435B26">
      <w:pPr>
        <w:pStyle w:val="SH3"/>
      </w:pPr>
      <w:proofErr w:type="gramStart"/>
      <w:r w:rsidRPr="000B28F9">
        <w:rPr>
          <w:b/>
          <w:i/>
        </w:rPr>
        <w:t>combined</w:t>
      </w:r>
      <w:proofErr w:type="gramEnd"/>
      <w:r w:rsidRPr="000B28F9">
        <w:rPr>
          <w:b/>
          <w:i/>
        </w:rPr>
        <w:t xml:space="preserve"> oral contraceptive pill as specified</w:t>
      </w:r>
      <w:r w:rsidRPr="000B28F9">
        <w:t xml:space="preserve"> </w:t>
      </w:r>
      <w:r w:rsidR="00935CA5" w:rsidRPr="00B61A7A">
        <w:t xml:space="preserve">means an oral contraceptive pill containing </w:t>
      </w:r>
      <w:proofErr w:type="spellStart"/>
      <w:r w:rsidR="00935CA5" w:rsidRPr="00B61A7A">
        <w:t>estrogen</w:t>
      </w:r>
      <w:proofErr w:type="spellEnd"/>
      <w:r w:rsidR="00935CA5" w:rsidRPr="00B61A7A">
        <w:t xml:space="preserve"> at a minimum dose of 50 micrograms and a progestogen</w:t>
      </w:r>
      <w:r w:rsidRPr="000B28F9">
        <w:t>.</w:t>
      </w:r>
    </w:p>
    <w:p w:rsidR="00435B26" w:rsidRPr="000B28F9" w:rsidRDefault="00435B26" w:rsidP="00435B26">
      <w:pPr>
        <w:pStyle w:val="SH3"/>
      </w:pPr>
      <w:proofErr w:type="gramStart"/>
      <w:r w:rsidRPr="000B28F9">
        <w:rPr>
          <w:b/>
          <w:i/>
        </w:rPr>
        <w:t>corpse</w:t>
      </w:r>
      <w:proofErr w:type="gramEnd"/>
      <w:r w:rsidRPr="000B28F9">
        <w:t xml:space="preserve"> means the human remains or body parts of one or more persons who have met a violent or horrific death.</w:t>
      </w:r>
    </w:p>
    <w:p w:rsidR="00435B26" w:rsidRPr="000B28F9" w:rsidRDefault="00435B26" w:rsidP="00435B26">
      <w:pPr>
        <w:pStyle w:val="ScheduleNote"/>
        <w:ind w:left="1305" w:hanging="454"/>
      </w:pPr>
      <w:r w:rsidRPr="000B28F9">
        <w:t>Note: Examples of a violent or horrific death may include death due to suicide, gunshot, improvised explosive devices, natural and technological disasters, terrorist attacks or motor vehicle accidents. Seeing a closed body bag or viewing a body in an open-casket coffin are excluded from this definition.</w:t>
      </w:r>
    </w:p>
    <w:p w:rsidR="00435B26" w:rsidRPr="000B28F9" w:rsidRDefault="00435B26" w:rsidP="00435B26">
      <w:pPr>
        <w:pStyle w:val="SH3"/>
      </w:pPr>
      <w:proofErr w:type="gramStart"/>
      <w:r w:rsidRPr="000B28F9">
        <w:rPr>
          <w:b/>
          <w:i/>
        </w:rPr>
        <w:t>eyewitness</w:t>
      </w:r>
      <w:proofErr w:type="gramEnd"/>
      <w:r w:rsidRPr="000B28F9">
        <w:t xml:space="preserve"> means a person who experiences an incident first hand and can give direct evidence of it. This excludes persons exposed only to public broadcasting or mass media coverage of the incident.</w:t>
      </w:r>
    </w:p>
    <w:p w:rsidR="00435B26" w:rsidRPr="000B28F9" w:rsidRDefault="00435B26" w:rsidP="00435B26">
      <w:pPr>
        <w:pStyle w:val="SH3"/>
      </w:pPr>
      <w:proofErr w:type="gramStart"/>
      <w:r w:rsidRPr="00494A89">
        <w:rPr>
          <w:b/>
          <w:i/>
        </w:rPr>
        <w:t>gingivitis</w:t>
      </w:r>
      <w:r w:rsidRPr="000B28F9">
        <w:t>—</w:t>
      </w:r>
      <w:proofErr w:type="gramEnd"/>
      <w:r w:rsidRPr="000B28F9">
        <w:t>see subsection 7(2).</w:t>
      </w:r>
    </w:p>
    <w:p w:rsidR="00435B26" w:rsidRPr="000B28F9" w:rsidRDefault="00435B26" w:rsidP="00435B26">
      <w:pPr>
        <w:pStyle w:val="SH3"/>
      </w:pPr>
      <w:proofErr w:type="gramStart"/>
      <w:r w:rsidRPr="000B28F9">
        <w:rPr>
          <w:b/>
          <w:i/>
        </w:rPr>
        <w:t>irritant</w:t>
      </w:r>
      <w:proofErr w:type="gramEnd"/>
      <w:r w:rsidRPr="000B28F9">
        <w:rPr>
          <w:b/>
          <w:i/>
        </w:rPr>
        <w:t xml:space="preserve"> substance</w:t>
      </w:r>
      <w:r w:rsidRPr="000B28F9">
        <w:t xml:space="preserve"> means a chemical which causes an inflammatory effect on living tissue by chemical action at the site of contact.</w:t>
      </w:r>
    </w:p>
    <w:p w:rsidR="00435B26" w:rsidRPr="000B28F9" w:rsidRDefault="00435B26" w:rsidP="00435B26">
      <w:pPr>
        <w:pStyle w:val="ScheduleNote"/>
      </w:pPr>
      <w:r w:rsidRPr="000B28F9">
        <w:t xml:space="preserve">Note: Examples of irritant substances include tooth whitening products, </w:t>
      </w:r>
      <w:proofErr w:type="spellStart"/>
      <w:r w:rsidRPr="000B28F9">
        <w:t>dentrifices</w:t>
      </w:r>
      <w:proofErr w:type="spellEnd"/>
      <w:r w:rsidRPr="000B28F9">
        <w:t xml:space="preserve"> and mouthwashes.</w:t>
      </w:r>
    </w:p>
    <w:p w:rsidR="00435B26" w:rsidRPr="000B28F9" w:rsidRDefault="00435B26" w:rsidP="00435B26">
      <w:pPr>
        <w:pStyle w:val="SH3"/>
      </w:pPr>
      <w:r w:rsidRPr="000B28F9">
        <w:rPr>
          <w:b/>
          <w:i/>
        </w:rPr>
        <w:t>MRCA</w:t>
      </w:r>
      <w:r w:rsidRPr="000B28F9">
        <w:rPr>
          <w:b/>
        </w:rPr>
        <w:t xml:space="preserve"> </w:t>
      </w:r>
      <w:r w:rsidRPr="000B28F9">
        <w:t>me</w:t>
      </w:r>
      <w:r w:rsidRPr="000B28F9">
        <w:rPr>
          <w:rStyle w:val="SH3nospaceChar"/>
        </w:rPr>
        <w:t>a</w:t>
      </w:r>
      <w:r w:rsidRPr="000B28F9">
        <w:t xml:space="preserve">ns the </w:t>
      </w:r>
      <w:r w:rsidRPr="000B28F9">
        <w:rPr>
          <w:i/>
        </w:rPr>
        <w:t>Military Rehabilitation and Compensation Act 2004</w:t>
      </w:r>
      <w:r w:rsidRPr="000B28F9">
        <w:t>.</w:t>
      </w:r>
    </w:p>
    <w:p w:rsidR="00435B26" w:rsidRPr="000B28F9" w:rsidRDefault="00435B26" w:rsidP="00435B26">
      <w:pPr>
        <w:pStyle w:val="SH3"/>
      </w:pPr>
      <w:bookmarkStart w:id="33" w:name="_Ref402529607"/>
      <w:bookmarkEnd w:id="32"/>
      <w:proofErr w:type="gramStart"/>
      <w:r w:rsidRPr="000B28F9">
        <w:rPr>
          <w:b/>
          <w:i/>
        </w:rPr>
        <w:lastRenderedPageBreak/>
        <w:t>one</w:t>
      </w:r>
      <w:proofErr w:type="gramEnd"/>
      <w:r w:rsidRPr="000B28F9">
        <w:rPr>
          <w:b/>
          <w:i/>
        </w:rPr>
        <w:t xml:space="preserve"> pack-year </w:t>
      </w:r>
      <w:r w:rsidRPr="000B28F9">
        <w:t>means the amount of tobacco consumed in smoking 20</w:t>
      </w:r>
      <w:r>
        <w:t> </w:t>
      </w:r>
      <w:r w:rsidRPr="000B28F9">
        <w:t>cigarettes per day for a period of 1 year, or an equivalent amount of tobacco products.</w:t>
      </w:r>
    </w:p>
    <w:p w:rsidR="00435B26" w:rsidRPr="000B28F9" w:rsidRDefault="00435B26" w:rsidP="00435B26">
      <w:pPr>
        <w:pStyle w:val="ScheduleNote"/>
        <w:ind w:left="1446" w:hanging="595"/>
      </w:pPr>
      <w:r w:rsidRPr="000B28F9">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435B26" w:rsidRPr="000B28F9" w:rsidRDefault="00435B26" w:rsidP="00435B26">
      <w:pPr>
        <w:pStyle w:val="ScheduleNote"/>
        <w:ind w:left="1446" w:hanging="595"/>
      </w:pPr>
      <w:r w:rsidRPr="000B28F9">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435B26" w:rsidRPr="000B28F9" w:rsidRDefault="00435B26" w:rsidP="00435B26">
      <w:pPr>
        <w:pStyle w:val="SH3"/>
      </w:pPr>
      <w:r w:rsidRPr="000B28F9">
        <w:rPr>
          <w:b/>
          <w:i/>
        </w:rPr>
        <w:t>relevant service</w:t>
      </w:r>
      <w:r w:rsidRPr="000B28F9">
        <w:t xml:space="preserve"> means:</w:t>
      </w:r>
    </w:p>
    <w:p w:rsidR="00435B26" w:rsidRPr="000B28F9" w:rsidRDefault="00435B26" w:rsidP="00435B26">
      <w:pPr>
        <w:pStyle w:val="SH4"/>
        <w:ind w:left="1418"/>
      </w:pPr>
      <w:r w:rsidRPr="000B28F9">
        <w:t xml:space="preserve">operational service under the VEA; </w:t>
      </w:r>
    </w:p>
    <w:p w:rsidR="00435B26" w:rsidRPr="000B28F9" w:rsidRDefault="00435B26" w:rsidP="00435B26">
      <w:pPr>
        <w:pStyle w:val="SH4"/>
        <w:ind w:left="1418"/>
      </w:pPr>
      <w:r w:rsidRPr="000B28F9">
        <w:t xml:space="preserve">peacekeeping service under the VEA; </w:t>
      </w:r>
    </w:p>
    <w:p w:rsidR="00435B26" w:rsidRPr="000B28F9" w:rsidRDefault="00435B26" w:rsidP="00435B26">
      <w:pPr>
        <w:pStyle w:val="SH4"/>
        <w:ind w:left="1418"/>
      </w:pPr>
      <w:r w:rsidRPr="000B28F9">
        <w:t xml:space="preserve">hazardous service under the VEA; </w:t>
      </w:r>
    </w:p>
    <w:p w:rsidR="00435B26" w:rsidRPr="000B28F9" w:rsidRDefault="00435B26" w:rsidP="00435B26">
      <w:pPr>
        <w:pStyle w:val="SH4"/>
        <w:ind w:left="1418"/>
      </w:pPr>
      <w:r w:rsidRPr="000B28F9">
        <w:t>British nuclear test defence service under the VEA;</w:t>
      </w:r>
    </w:p>
    <w:p w:rsidR="00435B26" w:rsidRPr="000B28F9" w:rsidRDefault="00435B26" w:rsidP="00435B26">
      <w:pPr>
        <w:pStyle w:val="SH4"/>
        <w:ind w:left="1418"/>
      </w:pPr>
      <w:r w:rsidRPr="000B28F9">
        <w:t>warlike service under the MRCA; or</w:t>
      </w:r>
    </w:p>
    <w:p w:rsidR="00435B26" w:rsidRPr="000B28F9" w:rsidRDefault="00435B26" w:rsidP="00435B26">
      <w:pPr>
        <w:pStyle w:val="SH4"/>
        <w:ind w:left="1418"/>
      </w:pPr>
      <w:proofErr w:type="gramStart"/>
      <w:r w:rsidRPr="000B28F9">
        <w:t>non-warlike</w:t>
      </w:r>
      <w:proofErr w:type="gramEnd"/>
      <w:r w:rsidRPr="000B28F9">
        <w:t xml:space="preserve"> service under the MRCA.</w:t>
      </w:r>
    </w:p>
    <w:p w:rsidR="00435B26" w:rsidRPr="000B28F9" w:rsidRDefault="00435B26" w:rsidP="00435B26">
      <w:pPr>
        <w:pStyle w:val="ScheduleNote"/>
      </w:pPr>
      <w:r w:rsidRPr="000B28F9">
        <w:t xml:space="preserve">Note: </w:t>
      </w:r>
      <w:r w:rsidRPr="000B28F9">
        <w:rPr>
          <w:b/>
          <w:i/>
        </w:rPr>
        <w:t>MRCA</w:t>
      </w:r>
      <w:r w:rsidRPr="000B28F9">
        <w:t xml:space="preserve"> and </w:t>
      </w:r>
      <w:r w:rsidRPr="000B28F9">
        <w:rPr>
          <w:b/>
          <w:i/>
        </w:rPr>
        <w:t>VEA</w:t>
      </w:r>
      <w:r w:rsidRPr="000B28F9">
        <w:t xml:space="preserve"> are also defined in the Schedule 1 - Dictionary.</w:t>
      </w:r>
    </w:p>
    <w:p w:rsidR="00435B26" w:rsidRPr="000B28F9" w:rsidRDefault="00435B26" w:rsidP="00435B26">
      <w:pPr>
        <w:pStyle w:val="SH3"/>
      </w:pPr>
      <w:proofErr w:type="gramStart"/>
      <w:r w:rsidRPr="000B28F9">
        <w:rPr>
          <w:b/>
          <w:i/>
        </w:rPr>
        <w:t>severe</w:t>
      </w:r>
      <w:proofErr w:type="gramEnd"/>
      <w:r w:rsidRPr="000B28F9">
        <w:rPr>
          <w:b/>
          <w:i/>
        </w:rPr>
        <w:t xml:space="preserve"> vitamin C deficiency</w:t>
      </w:r>
      <w:r w:rsidRPr="000B28F9">
        <w:t xml:space="preserve"> means symptoms of scurvy or a serum ascorbic acid level of less than 2.5 milligrams per litre.</w:t>
      </w:r>
    </w:p>
    <w:p w:rsidR="00435B26" w:rsidRPr="000B28F9" w:rsidRDefault="00435B26" w:rsidP="00435B26">
      <w:pPr>
        <w:pStyle w:val="SH3"/>
      </w:pPr>
      <w:proofErr w:type="gramStart"/>
      <w:r w:rsidRPr="000B28F9">
        <w:rPr>
          <w:b/>
          <w:i/>
        </w:rPr>
        <w:t>significant</w:t>
      </w:r>
      <w:proofErr w:type="gramEnd"/>
      <w:r w:rsidRPr="000B28F9">
        <w:rPr>
          <w:b/>
          <w:i/>
        </w:rPr>
        <w:t xml:space="preserve"> other</w:t>
      </w:r>
      <w:r w:rsidRPr="000B28F9">
        <w:t xml:space="preserve"> means a person who has a close family bond or a close personal relationship and is important or influential in one's life.</w:t>
      </w:r>
    </w:p>
    <w:p w:rsidR="00435B26" w:rsidRPr="000B28F9" w:rsidRDefault="00435B26" w:rsidP="00435B26">
      <w:pPr>
        <w:pStyle w:val="SH3"/>
      </w:pPr>
      <w:r w:rsidRPr="000B28F9">
        <w:rPr>
          <w:b/>
          <w:i/>
        </w:rPr>
        <w:t>specified list of autoimmune or mucocutaneous diseases</w:t>
      </w:r>
      <w:r w:rsidRPr="000B28F9">
        <w:t xml:space="preserve"> means:</w:t>
      </w:r>
    </w:p>
    <w:p w:rsidR="00435B26" w:rsidRPr="000B28F9" w:rsidRDefault="00435B26" w:rsidP="00435B26">
      <w:pPr>
        <w:pStyle w:val="SH4"/>
      </w:pPr>
      <w:r w:rsidRPr="000B28F9">
        <w:t xml:space="preserve">bullous pemphigoid; </w:t>
      </w:r>
    </w:p>
    <w:p w:rsidR="00435B26" w:rsidRPr="000B28F9" w:rsidRDefault="00435B26" w:rsidP="00435B26">
      <w:pPr>
        <w:pStyle w:val="SH4"/>
      </w:pPr>
      <w:r w:rsidRPr="000B28F9">
        <w:t xml:space="preserve">chronic ulcerative stomatitis; </w:t>
      </w:r>
    </w:p>
    <w:p w:rsidR="00435B26" w:rsidRPr="000B28F9" w:rsidRDefault="00435B26" w:rsidP="00435B26">
      <w:pPr>
        <w:pStyle w:val="SH4"/>
      </w:pPr>
      <w:r w:rsidRPr="000B28F9">
        <w:t xml:space="preserve">dermatomyositis; </w:t>
      </w:r>
    </w:p>
    <w:p w:rsidR="00435B26" w:rsidRPr="000B28F9" w:rsidRDefault="00435B26" w:rsidP="00435B26">
      <w:pPr>
        <w:pStyle w:val="SH4"/>
      </w:pPr>
      <w:r w:rsidRPr="000B28F9">
        <w:t>discoid lupus erythematosus;</w:t>
      </w:r>
    </w:p>
    <w:p w:rsidR="00435B26" w:rsidRPr="000B28F9" w:rsidRDefault="00435B26" w:rsidP="00435B26">
      <w:pPr>
        <w:pStyle w:val="SH4"/>
      </w:pPr>
      <w:r w:rsidRPr="000B28F9">
        <w:t xml:space="preserve">epidermolysis bullosa acquisita; </w:t>
      </w:r>
    </w:p>
    <w:p w:rsidR="00435B26" w:rsidRPr="000B28F9" w:rsidRDefault="00435B26" w:rsidP="00435B26">
      <w:pPr>
        <w:pStyle w:val="SH4"/>
      </w:pPr>
      <w:r w:rsidRPr="000B28F9">
        <w:t xml:space="preserve">erythema multiforme; </w:t>
      </w:r>
    </w:p>
    <w:p w:rsidR="00435B26" w:rsidRPr="000B28F9" w:rsidRDefault="00435B26" w:rsidP="00435B26">
      <w:pPr>
        <w:pStyle w:val="SH4"/>
      </w:pPr>
      <w:r w:rsidRPr="000B28F9">
        <w:t xml:space="preserve">linear IgA disease; </w:t>
      </w:r>
    </w:p>
    <w:p w:rsidR="00435B26" w:rsidRPr="000B28F9" w:rsidRDefault="00435B26" w:rsidP="00435B26">
      <w:pPr>
        <w:pStyle w:val="SH4"/>
      </w:pPr>
      <w:r w:rsidRPr="000B28F9">
        <w:t xml:space="preserve">mixed connective tissue disease; </w:t>
      </w:r>
    </w:p>
    <w:p w:rsidR="00435B26" w:rsidRPr="000B28F9" w:rsidRDefault="00435B26" w:rsidP="00435B26">
      <w:pPr>
        <w:pStyle w:val="SH4"/>
      </w:pPr>
      <w:r w:rsidRPr="000B28F9">
        <w:t xml:space="preserve">mucous membrane pemphigoid; </w:t>
      </w:r>
    </w:p>
    <w:p w:rsidR="00435B26" w:rsidRPr="000B28F9" w:rsidRDefault="00435B26" w:rsidP="00435B26">
      <w:pPr>
        <w:pStyle w:val="SH4"/>
      </w:pPr>
      <w:r w:rsidRPr="000B28F9">
        <w:t>oral lichen planus;</w:t>
      </w:r>
    </w:p>
    <w:p w:rsidR="00435B26" w:rsidRPr="000B28F9" w:rsidRDefault="00435B26" w:rsidP="00435B26">
      <w:pPr>
        <w:pStyle w:val="SH4"/>
      </w:pPr>
      <w:r w:rsidRPr="000B28F9">
        <w:t>oral lichenoid lesions;</w:t>
      </w:r>
    </w:p>
    <w:p w:rsidR="00435B26" w:rsidRPr="000B28F9" w:rsidRDefault="00435B26" w:rsidP="00435B26">
      <w:pPr>
        <w:pStyle w:val="SH4"/>
      </w:pPr>
      <w:r w:rsidRPr="000B28F9">
        <w:t xml:space="preserve">pemphigus vulgaris; </w:t>
      </w:r>
    </w:p>
    <w:p w:rsidR="00435B26" w:rsidRPr="000B28F9" w:rsidRDefault="00435B26" w:rsidP="00435B26">
      <w:pPr>
        <w:pStyle w:val="SH4"/>
      </w:pPr>
      <w:r w:rsidRPr="000B28F9">
        <w:t xml:space="preserve">psoriasis; </w:t>
      </w:r>
    </w:p>
    <w:p w:rsidR="00435B26" w:rsidRPr="000B28F9" w:rsidRDefault="00435B26" w:rsidP="00435B26">
      <w:pPr>
        <w:pStyle w:val="SH4"/>
      </w:pPr>
      <w:proofErr w:type="spellStart"/>
      <w:r>
        <w:t>Sj</w:t>
      </w:r>
      <w:r>
        <w:rPr>
          <w:color w:val="000000" w:themeColor="text1"/>
        </w:rPr>
        <w:t>ö</w:t>
      </w:r>
      <w:r>
        <w:t>gren</w:t>
      </w:r>
      <w:proofErr w:type="spellEnd"/>
      <w:r w:rsidRPr="000B28F9">
        <w:t xml:space="preserve"> syndrome; or </w:t>
      </w:r>
    </w:p>
    <w:p w:rsidR="00435B26" w:rsidRPr="000B28F9" w:rsidRDefault="00435B26" w:rsidP="00435B26">
      <w:pPr>
        <w:pStyle w:val="SH4"/>
      </w:pPr>
      <w:proofErr w:type="gramStart"/>
      <w:r w:rsidRPr="000B28F9">
        <w:t>systemic</w:t>
      </w:r>
      <w:proofErr w:type="gramEnd"/>
      <w:r w:rsidRPr="000B28F9">
        <w:t xml:space="preserve"> lupus erythematosus.</w:t>
      </w:r>
    </w:p>
    <w:p w:rsidR="00435B26" w:rsidRPr="000B28F9" w:rsidRDefault="00435B26" w:rsidP="00435B26">
      <w:pPr>
        <w:pStyle w:val="SH3"/>
      </w:pPr>
      <w:r w:rsidRPr="000B28F9">
        <w:rPr>
          <w:b/>
          <w:i/>
        </w:rPr>
        <w:t>terminal event</w:t>
      </w:r>
      <w:r w:rsidRPr="000B28F9">
        <w:t xml:space="preserve"> means the proximate or ultimate cause of death and includes</w:t>
      </w:r>
      <w:bookmarkEnd w:id="33"/>
      <w:r w:rsidRPr="000B28F9">
        <w:t xml:space="preserve"> the following:</w:t>
      </w:r>
    </w:p>
    <w:p w:rsidR="00435B26" w:rsidRPr="000B28F9" w:rsidRDefault="00435B26" w:rsidP="00435B26">
      <w:pPr>
        <w:pStyle w:val="SH4"/>
        <w:ind w:left="1418"/>
      </w:pPr>
      <w:r w:rsidRPr="000B28F9">
        <w:tab/>
        <w:t>pneumonia;</w:t>
      </w:r>
    </w:p>
    <w:p w:rsidR="00435B26" w:rsidRPr="000B28F9" w:rsidRDefault="00435B26" w:rsidP="00435B26">
      <w:pPr>
        <w:pStyle w:val="SH4"/>
        <w:ind w:left="1418"/>
      </w:pPr>
      <w:r w:rsidRPr="000B28F9">
        <w:tab/>
        <w:t>respiratory failure;</w:t>
      </w:r>
    </w:p>
    <w:p w:rsidR="00435B26" w:rsidRPr="000B28F9" w:rsidRDefault="00435B26" w:rsidP="00435B26">
      <w:pPr>
        <w:pStyle w:val="SH4"/>
        <w:ind w:left="1418"/>
      </w:pPr>
      <w:r w:rsidRPr="000B28F9">
        <w:tab/>
        <w:t>cardiac arrest;</w:t>
      </w:r>
    </w:p>
    <w:p w:rsidR="00435B26" w:rsidRPr="000B28F9" w:rsidRDefault="00435B26" w:rsidP="00435B26">
      <w:pPr>
        <w:pStyle w:val="SH4"/>
        <w:ind w:left="1418"/>
      </w:pPr>
      <w:r w:rsidRPr="000B28F9">
        <w:tab/>
        <w:t>circulatory failure; or</w:t>
      </w:r>
    </w:p>
    <w:p w:rsidR="00435B26" w:rsidRPr="000B28F9" w:rsidRDefault="00435B26" w:rsidP="00435B26">
      <w:pPr>
        <w:pStyle w:val="SH4"/>
        <w:ind w:left="1418"/>
      </w:pPr>
      <w:r w:rsidRPr="000B28F9">
        <w:lastRenderedPageBreak/>
        <w:tab/>
      </w:r>
      <w:proofErr w:type="gramStart"/>
      <w:r w:rsidRPr="000B28F9">
        <w:t>cessation</w:t>
      </w:r>
      <w:proofErr w:type="gramEnd"/>
      <w:r w:rsidRPr="000B28F9">
        <w:t xml:space="preserve"> of brain function.</w:t>
      </w:r>
    </w:p>
    <w:p w:rsidR="00435B26" w:rsidRDefault="00435B26" w:rsidP="00435B26">
      <w:pPr>
        <w:pStyle w:val="SH3"/>
      </w:pPr>
      <w:proofErr w:type="gramStart"/>
      <w:r w:rsidRPr="000B28F9">
        <w:rPr>
          <w:b/>
          <w:i/>
        </w:rPr>
        <w:t>trauma</w:t>
      </w:r>
      <w:proofErr w:type="gramEnd"/>
      <w:r w:rsidRPr="000B28F9">
        <w:rPr>
          <w:b/>
          <w:i/>
        </w:rPr>
        <w:t xml:space="preserve"> to the affected region of the gums</w:t>
      </w:r>
      <w:r w:rsidRPr="000B28F9">
        <w:t xml:space="preserve"> means physical injury to the gingival tissues by various mechanisms including</w:t>
      </w:r>
      <w:r w:rsidRPr="009F444C">
        <w:t xml:space="preserve"> thermal, electrical and chemical burns, abrasion, and blunt or penetrating trauma.</w:t>
      </w:r>
    </w:p>
    <w:p w:rsidR="00435B26" w:rsidRPr="009F444C" w:rsidRDefault="00435B26" w:rsidP="00435B26">
      <w:pPr>
        <w:pStyle w:val="ScheduleNote"/>
        <w:ind w:left="1305" w:hanging="454"/>
      </w:pPr>
      <w:r w:rsidRPr="009F444C">
        <w:t xml:space="preserve">Note: Examples of trauma to the gums include tooth fractures, inappropriate teeth cleaning (including toothbrushing or dental flossing), </w:t>
      </w:r>
      <w:proofErr w:type="gramStart"/>
      <w:r w:rsidRPr="009F444C">
        <w:t>damage</w:t>
      </w:r>
      <w:proofErr w:type="gramEnd"/>
      <w:r w:rsidRPr="009F444C">
        <w:t xml:space="preserve"> to the gums with sharp instruments and thermal burns from the consumption of hot foods or beverages.</w:t>
      </w:r>
    </w:p>
    <w:p w:rsidR="00435B26" w:rsidRPr="0019084F" w:rsidRDefault="00435B26" w:rsidP="00435B26">
      <w:pPr>
        <w:pStyle w:val="SH3"/>
      </w:pPr>
      <w:r w:rsidRPr="00576E99">
        <w:rPr>
          <w:b/>
          <w:i/>
        </w:rPr>
        <w:t>VEA</w:t>
      </w:r>
      <w:r w:rsidRPr="0019084F">
        <w:t xml:space="preserve"> means the </w:t>
      </w:r>
      <w:r w:rsidRPr="002702BE">
        <w:rPr>
          <w:i/>
        </w:rPr>
        <w:t>Veterans' Entitlements Act 1986</w:t>
      </w:r>
      <w:r w:rsidRPr="0019084F">
        <w:t>.</w:t>
      </w:r>
    </w:p>
    <w:p w:rsidR="00435B26" w:rsidRPr="00FA33FB" w:rsidRDefault="00435B26" w:rsidP="00435B26"/>
    <w:p w:rsidR="00435B26" w:rsidRPr="00FA33FB" w:rsidRDefault="00435B26" w:rsidP="00435B26">
      <w:pPr>
        <w:sectPr w:rsidR="00435B26" w:rsidRPr="00FA33FB" w:rsidSect="00435B26">
          <w:headerReference w:type="even" r:id="rId17"/>
          <w:headerReference w:type="default" r:id="rId18"/>
          <w:footerReference w:type="even" r:id="rId19"/>
          <w:headerReference w:type="first" r:id="rId20"/>
          <w:footerReference w:type="first" r:id="rId21"/>
          <w:pgSz w:w="11907" w:h="16839" w:code="9"/>
          <w:pgMar w:top="1440" w:right="1797" w:bottom="1440" w:left="1797" w:header="720" w:footer="709" w:gutter="0"/>
          <w:cols w:space="720"/>
          <w:docGrid w:linePitch="299"/>
        </w:sectPr>
      </w:pPr>
    </w:p>
    <w:p w:rsidR="00307068" w:rsidRPr="001778F8" w:rsidRDefault="00307068" w:rsidP="00307068">
      <w:pPr>
        <w:pStyle w:val="ENotesHeading1"/>
      </w:pPr>
      <w:bookmarkStart w:id="34" w:name="_Toc118199962"/>
      <w:r>
        <w:lastRenderedPageBreak/>
        <w:t>Endnotes</w:t>
      </w:r>
      <w:bookmarkEnd w:id="34"/>
    </w:p>
    <w:p w:rsidR="00307068" w:rsidRPr="00BC57F4" w:rsidRDefault="00307068" w:rsidP="00307068">
      <w:pPr>
        <w:pStyle w:val="ENotesHeading2"/>
      </w:pPr>
      <w:bookmarkStart w:id="35" w:name="_Toc118199963"/>
      <w:r w:rsidRPr="00BC57F4">
        <w:t>Endnote 1—</w:t>
      </w:r>
      <w:proofErr w:type="gramStart"/>
      <w:r w:rsidRPr="00BC57F4">
        <w:t>About</w:t>
      </w:r>
      <w:proofErr w:type="gramEnd"/>
      <w:r w:rsidRPr="00BC57F4">
        <w:t xml:space="preserve"> the endnotes</w:t>
      </w:r>
      <w:bookmarkEnd w:id="35"/>
    </w:p>
    <w:p w:rsidR="00307068" w:rsidRPr="00042EA7" w:rsidRDefault="00307068" w:rsidP="00307068">
      <w:pPr>
        <w:spacing w:after="120"/>
      </w:pPr>
      <w:r w:rsidRPr="00042EA7">
        <w:t>The endnotes provide information about this compilation and the compiled law.</w:t>
      </w:r>
    </w:p>
    <w:p w:rsidR="00307068" w:rsidRPr="00042EA7" w:rsidRDefault="00307068" w:rsidP="00307068">
      <w:pPr>
        <w:spacing w:after="120"/>
      </w:pPr>
      <w:r w:rsidRPr="00042EA7">
        <w:t>The following endnotes are included in every compilation:</w:t>
      </w:r>
    </w:p>
    <w:p w:rsidR="00307068" w:rsidRPr="00042EA7" w:rsidRDefault="00307068" w:rsidP="00307068">
      <w:r w:rsidRPr="00042EA7">
        <w:t>Endnote 1—</w:t>
      </w:r>
      <w:proofErr w:type="gramStart"/>
      <w:r w:rsidRPr="00042EA7">
        <w:t>About</w:t>
      </w:r>
      <w:proofErr w:type="gramEnd"/>
      <w:r w:rsidRPr="00042EA7">
        <w:t xml:space="preserve"> the endnotes</w:t>
      </w:r>
    </w:p>
    <w:p w:rsidR="00307068" w:rsidRPr="00042EA7" w:rsidRDefault="00307068" w:rsidP="00307068">
      <w:r w:rsidRPr="00042EA7">
        <w:t>Endnote 2—Abbreviation key</w:t>
      </w:r>
    </w:p>
    <w:p w:rsidR="00307068" w:rsidRPr="00042EA7" w:rsidRDefault="00307068" w:rsidP="00307068">
      <w:r w:rsidRPr="00042EA7">
        <w:t>Endnote 3—Legislation history</w:t>
      </w:r>
    </w:p>
    <w:p w:rsidR="00307068" w:rsidRPr="00042EA7" w:rsidRDefault="00307068" w:rsidP="00307068">
      <w:pPr>
        <w:spacing w:after="120"/>
      </w:pPr>
      <w:r w:rsidRPr="00042EA7">
        <w:t>Endnote 4—Amendment history</w:t>
      </w:r>
    </w:p>
    <w:p w:rsidR="00307068" w:rsidRPr="00042EA7" w:rsidRDefault="00307068" w:rsidP="00307068">
      <w:r w:rsidRPr="00042EA7">
        <w:rPr>
          <w:b/>
        </w:rPr>
        <w:t>Abbreviation key—Endnote 2</w:t>
      </w:r>
    </w:p>
    <w:p w:rsidR="00307068" w:rsidRPr="00042EA7" w:rsidRDefault="00307068" w:rsidP="00307068">
      <w:pPr>
        <w:spacing w:after="120"/>
      </w:pPr>
      <w:r w:rsidRPr="00042EA7">
        <w:t>The abbreviation key sets out abbreviations that may be used in the endnotes.</w:t>
      </w:r>
    </w:p>
    <w:p w:rsidR="00307068" w:rsidRPr="00042EA7" w:rsidRDefault="00307068" w:rsidP="00307068">
      <w:pPr>
        <w:rPr>
          <w:b/>
        </w:rPr>
      </w:pPr>
      <w:r w:rsidRPr="00042EA7">
        <w:rPr>
          <w:b/>
        </w:rPr>
        <w:t>Legislation history and amendment history—Endnotes 3 and 4</w:t>
      </w:r>
    </w:p>
    <w:p w:rsidR="00307068" w:rsidRPr="00042EA7" w:rsidRDefault="00307068" w:rsidP="00307068">
      <w:pPr>
        <w:spacing w:after="120"/>
      </w:pPr>
      <w:r w:rsidRPr="00042EA7">
        <w:t>Amending laws are annotated in the legislation history and amendment history.</w:t>
      </w:r>
    </w:p>
    <w:p w:rsidR="00307068" w:rsidRPr="00042EA7" w:rsidRDefault="00307068" w:rsidP="00307068">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07068" w:rsidRPr="00042EA7" w:rsidRDefault="00307068" w:rsidP="00307068">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07068" w:rsidRPr="00042EA7" w:rsidRDefault="00307068" w:rsidP="00307068">
      <w:pPr>
        <w:keepNext/>
      </w:pPr>
      <w:r w:rsidRPr="00042EA7">
        <w:rPr>
          <w:b/>
        </w:rPr>
        <w:t>Misdescribed amendments</w:t>
      </w:r>
    </w:p>
    <w:p w:rsidR="006C3DF2" w:rsidRDefault="006C3DF2" w:rsidP="006C3DF2">
      <w:pPr>
        <w:spacing w:after="120"/>
      </w:pPr>
      <w:r>
        <w:t xml:space="preserve">A </w:t>
      </w:r>
      <w:proofErr w:type="spellStart"/>
      <w:r>
        <w:t>misdescribed</w:t>
      </w:r>
      <w:proofErr w:type="spellEnd"/>
      <w:r>
        <w:t xml:space="preserve"> amendment is an amendment that does not accurately describe how an amendment is to be made. If, despite the </w:t>
      </w:r>
      <w:proofErr w:type="spellStart"/>
      <w:r>
        <w:t>misdescription</w:t>
      </w:r>
      <w:proofErr w:type="spellEnd"/>
      <w:r>
        <w:t xml:space="preserve">, the amendment can be given effect as intended, then the </w:t>
      </w:r>
      <w:proofErr w:type="spellStart"/>
      <w:r>
        <w:t>misdescribed</w:t>
      </w:r>
      <w:proofErr w:type="spellEnd"/>
      <w:r>
        <w:t xml:space="preserve"> amendment can be incorporated through an editorial change made under section 15V of the </w:t>
      </w:r>
      <w:r>
        <w:rPr>
          <w:i/>
        </w:rPr>
        <w:t>Legislation Act 2003</w:t>
      </w:r>
      <w:r>
        <w:t>.</w:t>
      </w:r>
    </w:p>
    <w:p w:rsidR="006C3DF2" w:rsidRDefault="006C3DF2" w:rsidP="006C3DF2">
      <w:pPr>
        <w:spacing w:before="120"/>
      </w:pPr>
      <w:r>
        <w:t xml:space="preserve">If a </w:t>
      </w:r>
      <w:proofErr w:type="spellStart"/>
      <w:r>
        <w:t>misdescribed</w:t>
      </w:r>
      <w:proofErr w:type="spellEnd"/>
      <w:r>
        <w:t xml:space="preserve"> amendment cannot be given effect as intended, the amendment is not incorporated and “(md not </w:t>
      </w:r>
      <w:proofErr w:type="spellStart"/>
      <w:r>
        <w:t>incorp</w:t>
      </w:r>
      <w:proofErr w:type="spellEnd"/>
      <w:r>
        <w:t>)” is added to the amendment history.</w:t>
      </w:r>
    </w:p>
    <w:p w:rsidR="006C3DF2" w:rsidRDefault="006C3DF2" w:rsidP="006C3DF2"/>
    <w:p w:rsidR="00307068" w:rsidRDefault="00307068" w:rsidP="00307068">
      <w:pPr>
        <w:pStyle w:val="ENotesHeading2"/>
        <w:pageBreakBefore/>
        <w:outlineLvl w:val="9"/>
      </w:pPr>
      <w:bookmarkStart w:id="36" w:name="_Toc118199964"/>
      <w:r w:rsidRPr="00BC57F4">
        <w:lastRenderedPageBreak/>
        <w:t>Endnote 2—Abbreviation key</w:t>
      </w:r>
      <w:bookmarkEnd w:id="36"/>
    </w:p>
    <w:p w:rsidR="00225772" w:rsidRPr="00225772" w:rsidRDefault="00225772" w:rsidP="00225772">
      <w:pPr>
        <w:rPr>
          <w:lang w:eastAsia="en-AU"/>
        </w:rPr>
      </w:pPr>
    </w:p>
    <w:tbl>
      <w:tblPr>
        <w:tblW w:w="7939" w:type="dxa"/>
        <w:tblInd w:w="108" w:type="dxa"/>
        <w:tblLayout w:type="fixed"/>
        <w:tblLook w:val="0000" w:firstRow="0" w:lastRow="0" w:firstColumn="0" w:lastColumn="0" w:noHBand="0" w:noVBand="0"/>
      </w:tblPr>
      <w:tblGrid>
        <w:gridCol w:w="4253"/>
        <w:gridCol w:w="3686"/>
      </w:tblGrid>
      <w:tr w:rsidR="00225772" w:rsidRPr="008E7D28" w:rsidTr="00435B26">
        <w:tc>
          <w:tcPr>
            <w:tcW w:w="4253" w:type="dxa"/>
            <w:shd w:val="clear" w:color="auto" w:fill="auto"/>
          </w:tcPr>
          <w:p w:rsidR="00225772" w:rsidRPr="008E7D28" w:rsidRDefault="00225772" w:rsidP="00435B26">
            <w:pPr>
              <w:spacing w:before="60"/>
              <w:ind w:left="34"/>
              <w:rPr>
                <w:sz w:val="20"/>
              </w:rPr>
            </w:pPr>
            <w:r w:rsidRPr="008E7D28">
              <w:rPr>
                <w:sz w:val="20"/>
              </w:rPr>
              <w:t>ad = added or inserted</w:t>
            </w:r>
          </w:p>
        </w:tc>
        <w:tc>
          <w:tcPr>
            <w:tcW w:w="3686" w:type="dxa"/>
            <w:shd w:val="clear" w:color="auto" w:fill="auto"/>
          </w:tcPr>
          <w:p w:rsidR="00225772" w:rsidRPr="008E7D28" w:rsidRDefault="00225772" w:rsidP="00435B26">
            <w:pPr>
              <w:spacing w:before="60"/>
              <w:ind w:left="34"/>
              <w:rPr>
                <w:sz w:val="20"/>
              </w:rPr>
            </w:pPr>
            <w:proofErr w:type="spellStart"/>
            <w:r w:rsidRPr="008E7D28">
              <w:rPr>
                <w:sz w:val="20"/>
              </w:rPr>
              <w:t>orig</w:t>
            </w:r>
            <w:proofErr w:type="spellEnd"/>
            <w:r w:rsidRPr="008E7D28">
              <w:rPr>
                <w:sz w:val="20"/>
              </w:rPr>
              <w:t xml:space="preserve"> = original</w:t>
            </w:r>
          </w:p>
        </w:tc>
      </w:tr>
      <w:tr w:rsidR="00225772" w:rsidRPr="008E7D28" w:rsidTr="00435B26">
        <w:tc>
          <w:tcPr>
            <w:tcW w:w="4253" w:type="dxa"/>
            <w:shd w:val="clear" w:color="auto" w:fill="auto"/>
          </w:tcPr>
          <w:p w:rsidR="00225772" w:rsidRPr="008E7D28" w:rsidRDefault="00225772" w:rsidP="00435B26">
            <w:pPr>
              <w:spacing w:before="60"/>
              <w:ind w:left="34"/>
              <w:rPr>
                <w:sz w:val="20"/>
              </w:rPr>
            </w:pPr>
            <w:r w:rsidRPr="008E7D28">
              <w:rPr>
                <w:sz w:val="20"/>
              </w:rPr>
              <w:t>am = amended</w:t>
            </w:r>
          </w:p>
        </w:tc>
        <w:tc>
          <w:tcPr>
            <w:tcW w:w="3686" w:type="dxa"/>
            <w:shd w:val="clear" w:color="auto" w:fill="auto"/>
          </w:tcPr>
          <w:p w:rsidR="00225772" w:rsidRPr="008E7D28" w:rsidRDefault="00225772" w:rsidP="00435B26">
            <w:pPr>
              <w:spacing w:before="60"/>
              <w:ind w:left="34"/>
              <w:rPr>
                <w:sz w:val="20"/>
              </w:rPr>
            </w:pPr>
            <w:r w:rsidRPr="008E7D28">
              <w:rPr>
                <w:sz w:val="20"/>
              </w:rPr>
              <w:t>par = paragraph(s)/subparagraph(s)</w:t>
            </w:r>
          </w:p>
        </w:tc>
      </w:tr>
      <w:tr w:rsidR="00225772" w:rsidRPr="008E7D28" w:rsidTr="00435B26">
        <w:tc>
          <w:tcPr>
            <w:tcW w:w="4253" w:type="dxa"/>
            <w:shd w:val="clear" w:color="auto" w:fill="auto"/>
          </w:tcPr>
          <w:p w:rsidR="00225772" w:rsidRPr="008E7D28" w:rsidRDefault="00225772" w:rsidP="00435B26">
            <w:pPr>
              <w:spacing w:before="60"/>
              <w:ind w:left="34"/>
              <w:rPr>
                <w:sz w:val="20"/>
              </w:rPr>
            </w:pPr>
            <w:proofErr w:type="spellStart"/>
            <w:r w:rsidRPr="008E7D28">
              <w:rPr>
                <w:sz w:val="20"/>
              </w:rPr>
              <w:t>amdt</w:t>
            </w:r>
            <w:proofErr w:type="spellEnd"/>
            <w:r w:rsidRPr="008E7D28">
              <w:rPr>
                <w:sz w:val="20"/>
              </w:rPr>
              <w:t xml:space="preserve"> = amendment</w:t>
            </w:r>
          </w:p>
        </w:tc>
        <w:tc>
          <w:tcPr>
            <w:tcW w:w="3686" w:type="dxa"/>
            <w:shd w:val="clear" w:color="auto" w:fill="auto"/>
          </w:tcPr>
          <w:p w:rsidR="00225772" w:rsidRPr="008E7D28" w:rsidRDefault="00225772" w:rsidP="00435B26">
            <w:pPr>
              <w:spacing w:before="60"/>
              <w:ind w:left="34"/>
              <w:rPr>
                <w:sz w:val="20"/>
              </w:rPr>
            </w:pPr>
            <w:r w:rsidRPr="008E7D28">
              <w:rPr>
                <w:sz w:val="20"/>
              </w:rPr>
              <w:t xml:space="preserve">    /sub</w:t>
            </w:r>
            <w:r>
              <w:rPr>
                <w:sz w:val="20"/>
              </w:rPr>
              <w:noBreakHyphen/>
            </w:r>
            <w:r w:rsidRPr="008E7D28">
              <w:rPr>
                <w:sz w:val="20"/>
              </w:rPr>
              <w:t>subparagraph(s)</w:t>
            </w:r>
          </w:p>
        </w:tc>
      </w:tr>
      <w:tr w:rsidR="00225772" w:rsidRPr="008E7D28" w:rsidTr="00435B26">
        <w:tc>
          <w:tcPr>
            <w:tcW w:w="4253" w:type="dxa"/>
            <w:shd w:val="clear" w:color="auto" w:fill="auto"/>
          </w:tcPr>
          <w:p w:rsidR="00225772" w:rsidRPr="008E7D28" w:rsidRDefault="00225772" w:rsidP="00435B26">
            <w:pPr>
              <w:spacing w:before="60"/>
              <w:ind w:left="34"/>
              <w:rPr>
                <w:sz w:val="20"/>
              </w:rPr>
            </w:pPr>
            <w:r w:rsidRPr="008E7D28">
              <w:rPr>
                <w:sz w:val="20"/>
              </w:rPr>
              <w:t>c = clause(s)</w:t>
            </w:r>
          </w:p>
        </w:tc>
        <w:tc>
          <w:tcPr>
            <w:tcW w:w="3686" w:type="dxa"/>
            <w:shd w:val="clear" w:color="auto" w:fill="auto"/>
          </w:tcPr>
          <w:p w:rsidR="00225772" w:rsidRPr="008E7D28" w:rsidRDefault="00225772" w:rsidP="00435B26">
            <w:pPr>
              <w:spacing w:before="60"/>
              <w:ind w:left="34"/>
              <w:rPr>
                <w:sz w:val="20"/>
              </w:rPr>
            </w:pPr>
            <w:proofErr w:type="spellStart"/>
            <w:r w:rsidRPr="008E7D28">
              <w:rPr>
                <w:sz w:val="20"/>
              </w:rPr>
              <w:t>pres</w:t>
            </w:r>
            <w:proofErr w:type="spellEnd"/>
            <w:r w:rsidRPr="008E7D28">
              <w:rPr>
                <w:sz w:val="20"/>
              </w:rPr>
              <w:t xml:space="preserve"> = present</w:t>
            </w:r>
          </w:p>
        </w:tc>
      </w:tr>
      <w:tr w:rsidR="00225772" w:rsidRPr="008E7D28" w:rsidTr="00435B26">
        <w:tc>
          <w:tcPr>
            <w:tcW w:w="4253" w:type="dxa"/>
            <w:shd w:val="clear" w:color="auto" w:fill="auto"/>
          </w:tcPr>
          <w:p w:rsidR="00225772" w:rsidRPr="008E7D28" w:rsidRDefault="00225772" w:rsidP="00435B26">
            <w:pPr>
              <w:spacing w:before="60"/>
              <w:ind w:left="34"/>
              <w:rPr>
                <w:sz w:val="20"/>
              </w:rPr>
            </w:pPr>
            <w:r w:rsidRPr="008E7D28">
              <w:rPr>
                <w:sz w:val="20"/>
              </w:rPr>
              <w:t>C[x] = Compilation No. x</w:t>
            </w:r>
          </w:p>
        </w:tc>
        <w:tc>
          <w:tcPr>
            <w:tcW w:w="3686" w:type="dxa"/>
            <w:shd w:val="clear" w:color="auto" w:fill="auto"/>
          </w:tcPr>
          <w:p w:rsidR="00225772" w:rsidRPr="008E7D28" w:rsidRDefault="00225772" w:rsidP="00435B26">
            <w:pPr>
              <w:ind w:left="34"/>
              <w:rPr>
                <w:sz w:val="20"/>
              </w:rPr>
            </w:pPr>
            <w:proofErr w:type="spellStart"/>
            <w:r w:rsidRPr="008E7D28">
              <w:rPr>
                <w:sz w:val="20"/>
              </w:rPr>
              <w:t>prev</w:t>
            </w:r>
            <w:proofErr w:type="spellEnd"/>
            <w:r w:rsidRPr="008E7D28">
              <w:rPr>
                <w:sz w:val="20"/>
              </w:rPr>
              <w:t xml:space="preserve"> = previous</w:t>
            </w:r>
          </w:p>
        </w:tc>
      </w:tr>
      <w:tr w:rsidR="00225772" w:rsidRPr="008E7D28" w:rsidTr="00435B26">
        <w:tc>
          <w:tcPr>
            <w:tcW w:w="4253" w:type="dxa"/>
            <w:shd w:val="clear" w:color="auto" w:fill="auto"/>
          </w:tcPr>
          <w:p w:rsidR="00225772" w:rsidRPr="008E7D28" w:rsidRDefault="00225772" w:rsidP="00435B26">
            <w:pPr>
              <w:spacing w:before="60"/>
              <w:ind w:left="34"/>
              <w:rPr>
                <w:sz w:val="20"/>
              </w:rPr>
            </w:pPr>
            <w:proofErr w:type="spellStart"/>
            <w:r w:rsidRPr="008E7D28">
              <w:rPr>
                <w:sz w:val="20"/>
              </w:rPr>
              <w:t>Ch</w:t>
            </w:r>
            <w:proofErr w:type="spellEnd"/>
            <w:r w:rsidRPr="008E7D28">
              <w:rPr>
                <w:sz w:val="20"/>
              </w:rPr>
              <w:t xml:space="preserve"> = Chapter(s)</w:t>
            </w:r>
          </w:p>
        </w:tc>
        <w:tc>
          <w:tcPr>
            <w:tcW w:w="3686" w:type="dxa"/>
            <w:shd w:val="clear" w:color="auto" w:fill="auto"/>
          </w:tcPr>
          <w:p w:rsidR="00225772" w:rsidRPr="008E7D28" w:rsidRDefault="00225772" w:rsidP="00435B26">
            <w:pPr>
              <w:spacing w:before="60"/>
              <w:ind w:left="34"/>
              <w:rPr>
                <w:sz w:val="20"/>
              </w:rPr>
            </w:pPr>
            <w:r w:rsidRPr="008E7D28">
              <w:rPr>
                <w:sz w:val="20"/>
              </w:rPr>
              <w:t>(</w:t>
            </w:r>
            <w:proofErr w:type="spellStart"/>
            <w:proofErr w:type="gramStart"/>
            <w:r w:rsidRPr="008E7D28">
              <w:rPr>
                <w:sz w:val="20"/>
              </w:rPr>
              <w:t>prev</w:t>
            </w:r>
            <w:proofErr w:type="spellEnd"/>
            <w:proofErr w:type="gramEnd"/>
            <w:r w:rsidRPr="008E7D28">
              <w:rPr>
                <w:sz w:val="20"/>
              </w:rPr>
              <w:t>…) = previously</w:t>
            </w:r>
          </w:p>
        </w:tc>
      </w:tr>
      <w:tr w:rsidR="00225772" w:rsidRPr="008E7D28" w:rsidTr="00435B26">
        <w:tc>
          <w:tcPr>
            <w:tcW w:w="4253" w:type="dxa"/>
            <w:shd w:val="clear" w:color="auto" w:fill="auto"/>
          </w:tcPr>
          <w:p w:rsidR="00225772" w:rsidRPr="008E7D28" w:rsidRDefault="00225772" w:rsidP="00435B26">
            <w:pPr>
              <w:spacing w:before="60"/>
              <w:ind w:left="34"/>
              <w:rPr>
                <w:sz w:val="20"/>
              </w:rPr>
            </w:pPr>
            <w:proofErr w:type="spellStart"/>
            <w:r w:rsidRPr="008E7D28">
              <w:rPr>
                <w:sz w:val="20"/>
              </w:rPr>
              <w:t>def</w:t>
            </w:r>
            <w:proofErr w:type="spellEnd"/>
            <w:r w:rsidRPr="008E7D28">
              <w:rPr>
                <w:sz w:val="20"/>
              </w:rPr>
              <w:t xml:space="preserve"> = definition(s)</w:t>
            </w:r>
          </w:p>
        </w:tc>
        <w:tc>
          <w:tcPr>
            <w:tcW w:w="3686" w:type="dxa"/>
            <w:shd w:val="clear" w:color="auto" w:fill="auto"/>
          </w:tcPr>
          <w:p w:rsidR="00225772" w:rsidRPr="008E7D28" w:rsidRDefault="00225772" w:rsidP="00435B26">
            <w:pPr>
              <w:spacing w:before="60"/>
              <w:ind w:left="34"/>
              <w:rPr>
                <w:sz w:val="20"/>
              </w:rPr>
            </w:pPr>
            <w:r w:rsidRPr="008E7D28">
              <w:rPr>
                <w:sz w:val="20"/>
              </w:rPr>
              <w:t>Pt = Part(s)</w:t>
            </w:r>
          </w:p>
        </w:tc>
      </w:tr>
      <w:tr w:rsidR="00225772" w:rsidRPr="008E7D28" w:rsidTr="00435B26">
        <w:tc>
          <w:tcPr>
            <w:tcW w:w="4253" w:type="dxa"/>
            <w:shd w:val="clear" w:color="auto" w:fill="auto"/>
          </w:tcPr>
          <w:p w:rsidR="00225772" w:rsidRPr="008E7D28" w:rsidRDefault="00225772" w:rsidP="00435B26">
            <w:pPr>
              <w:spacing w:before="60"/>
              <w:ind w:left="34"/>
              <w:rPr>
                <w:sz w:val="20"/>
              </w:rPr>
            </w:pPr>
            <w:r w:rsidRPr="008E7D28">
              <w:rPr>
                <w:sz w:val="20"/>
              </w:rPr>
              <w:t>Dict = Dictionary</w:t>
            </w:r>
          </w:p>
        </w:tc>
        <w:tc>
          <w:tcPr>
            <w:tcW w:w="3686" w:type="dxa"/>
            <w:shd w:val="clear" w:color="auto" w:fill="auto"/>
          </w:tcPr>
          <w:p w:rsidR="00225772" w:rsidRPr="008E7D28" w:rsidRDefault="00225772" w:rsidP="00435B26">
            <w:pPr>
              <w:spacing w:before="60"/>
              <w:ind w:left="34"/>
              <w:rPr>
                <w:sz w:val="20"/>
              </w:rPr>
            </w:pPr>
            <w:r w:rsidRPr="008E7D28">
              <w:rPr>
                <w:sz w:val="20"/>
              </w:rPr>
              <w:t>r = regulation(s)/rule(s)</w:t>
            </w:r>
          </w:p>
        </w:tc>
      </w:tr>
      <w:tr w:rsidR="00225772" w:rsidRPr="008E7D28" w:rsidTr="00435B26">
        <w:tc>
          <w:tcPr>
            <w:tcW w:w="4253" w:type="dxa"/>
            <w:shd w:val="clear" w:color="auto" w:fill="auto"/>
          </w:tcPr>
          <w:p w:rsidR="00225772" w:rsidRPr="008E7D28" w:rsidRDefault="00225772" w:rsidP="00435B26">
            <w:pPr>
              <w:spacing w:before="60"/>
              <w:ind w:left="34"/>
              <w:rPr>
                <w:sz w:val="20"/>
              </w:rPr>
            </w:pPr>
            <w:r w:rsidRPr="008E7D28">
              <w:rPr>
                <w:sz w:val="20"/>
              </w:rPr>
              <w:t>disallowed = disallowed by Parliament</w:t>
            </w:r>
          </w:p>
        </w:tc>
        <w:tc>
          <w:tcPr>
            <w:tcW w:w="3686" w:type="dxa"/>
            <w:shd w:val="clear" w:color="auto" w:fill="auto"/>
          </w:tcPr>
          <w:p w:rsidR="00225772" w:rsidRPr="008E7D28" w:rsidRDefault="00225772" w:rsidP="00435B26">
            <w:pPr>
              <w:spacing w:before="60"/>
              <w:ind w:left="34"/>
              <w:rPr>
                <w:sz w:val="20"/>
              </w:rPr>
            </w:pPr>
            <w:proofErr w:type="spellStart"/>
            <w:r w:rsidRPr="008E7D28">
              <w:rPr>
                <w:sz w:val="20"/>
              </w:rPr>
              <w:t>reloc</w:t>
            </w:r>
            <w:proofErr w:type="spellEnd"/>
            <w:r w:rsidRPr="008E7D28">
              <w:rPr>
                <w:sz w:val="20"/>
              </w:rPr>
              <w:t xml:space="preserve"> = relocated</w:t>
            </w:r>
          </w:p>
        </w:tc>
      </w:tr>
      <w:tr w:rsidR="00225772" w:rsidRPr="008E7D28" w:rsidTr="00435B26">
        <w:tc>
          <w:tcPr>
            <w:tcW w:w="4253" w:type="dxa"/>
            <w:shd w:val="clear" w:color="auto" w:fill="auto"/>
          </w:tcPr>
          <w:p w:rsidR="00225772" w:rsidRPr="008E7D28" w:rsidRDefault="00225772" w:rsidP="00435B26">
            <w:pPr>
              <w:spacing w:before="60"/>
              <w:ind w:left="34"/>
              <w:rPr>
                <w:sz w:val="20"/>
              </w:rPr>
            </w:pPr>
            <w:r w:rsidRPr="008E7D28">
              <w:rPr>
                <w:sz w:val="20"/>
              </w:rPr>
              <w:t>Div = Division(s)</w:t>
            </w:r>
          </w:p>
        </w:tc>
        <w:tc>
          <w:tcPr>
            <w:tcW w:w="3686" w:type="dxa"/>
            <w:shd w:val="clear" w:color="auto" w:fill="auto"/>
          </w:tcPr>
          <w:p w:rsidR="00225772" w:rsidRPr="008E7D28" w:rsidRDefault="00225772" w:rsidP="00435B26">
            <w:pPr>
              <w:spacing w:before="60"/>
              <w:ind w:left="34"/>
              <w:rPr>
                <w:sz w:val="20"/>
              </w:rPr>
            </w:pPr>
            <w:proofErr w:type="spellStart"/>
            <w:r w:rsidRPr="008E7D28">
              <w:rPr>
                <w:sz w:val="20"/>
              </w:rPr>
              <w:t>renum</w:t>
            </w:r>
            <w:proofErr w:type="spellEnd"/>
            <w:r w:rsidRPr="008E7D28">
              <w:rPr>
                <w:sz w:val="20"/>
              </w:rPr>
              <w:t xml:space="preserve"> = renumbered</w:t>
            </w:r>
          </w:p>
        </w:tc>
      </w:tr>
      <w:tr w:rsidR="00225772" w:rsidRPr="008E7D28" w:rsidTr="00435B26">
        <w:tc>
          <w:tcPr>
            <w:tcW w:w="4253" w:type="dxa"/>
            <w:shd w:val="clear" w:color="auto" w:fill="auto"/>
          </w:tcPr>
          <w:p w:rsidR="00225772" w:rsidRPr="008E7D28" w:rsidRDefault="00225772" w:rsidP="00435B26">
            <w:pPr>
              <w:spacing w:before="60"/>
              <w:ind w:left="34"/>
              <w:rPr>
                <w:sz w:val="20"/>
              </w:rPr>
            </w:pPr>
            <w:proofErr w:type="spellStart"/>
            <w:r w:rsidRPr="008E7D28">
              <w:rPr>
                <w:sz w:val="20"/>
              </w:rPr>
              <w:t>exp</w:t>
            </w:r>
            <w:proofErr w:type="spellEnd"/>
            <w:r w:rsidRPr="008E7D28">
              <w:rPr>
                <w:sz w:val="20"/>
              </w:rPr>
              <w:t xml:space="preserve"> = expires/expired or ceases/ceased to have</w:t>
            </w:r>
          </w:p>
        </w:tc>
        <w:tc>
          <w:tcPr>
            <w:tcW w:w="3686" w:type="dxa"/>
            <w:shd w:val="clear" w:color="auto" w:fill="auto"/>
          </w:tcPr>
          <w:p w:rsidR="00225772" w:rsidRPr="008E7D28" w:rsidRDefault="00225772" w:rsidP="00435B26">
            <w:pPr>
              <w:spacing w:before="60"/>
              <w:ind w:left="34"/>
              <w:rPr>
                <w:sz w:val="20"/>
              </w:rPr>
            </w:pPr>
            <w:r w:rsidRPr="008E7D28">
              <w:rPr>
                <w:sz w:val="20"/>
              </w:rPr>
              <w:t>rep = repealed</w:t>
            </w:r>
          </w:p>
        </w:tc>
      </w:tr>
      <w:tr w:rsidR="00225772" w:rsidRPr="008E7D28" w:rsidTr="00435B26">
        <w:tc>
          <w:tcPr>
            <w:tcW w:w="4253" w:type="dxa"/>
            <w:shd w:val="clear" w:color="auto" w:fill="auto"/>
          </w:tcPr>
          <w:p w:rsidR="00225772" w:rsidRPr="008E7D28" w:rsidRDefault="00225772" w:rsidP="00435B26">
            <w:pPr>
              <w:spacing w:before="60"/>
              <w:ind w:left="34"/>
              <w:rPr>
                <w:sz w:val="20"/>
              </w:rPr>
            </w:pPr>
            <w:r w:rsidRPr="008E7D28">
              <w:rPr>
                <w:sz w:val="20"/>
              </w:rPr>
              <w:t xml:space="preserve">    effect</w:t>
            </w:r>
          </w:p>
        </w:tc>
        <w:tc>
          <w:tcPr>
            <w:tcW w:w="3686" w:type="dxa"/>
            <w:shd w:val="clear" w:color="auto" w:fill="auto"/>
          </w:tcPr>
          <w:p w:rsidR="00225772" w:rsidRPr="008E7D28" w:rsidRDefault="00225772" w:rsidP="00435B26">
            <w:pPr>
              <w:spacing w:before="60"/>
              <w:ind w:left="34"/>
              <w:rPr>
                <w:sz w:val="20"/>
              </w:rPr>
            </w:pPr>
            <w:proofErr w:type="spellStart"/>
            <w:r w:rsidRPr="008E7D28">
              <w:rPr>
                <w:sz w:val="20"/>
              </w:rPr>
              <w:t>rs</w:t>
            </w:r>
            <w:proofErr w:type="spellEnd"/>
            <w:r w:rsidRPr="008E7D28">
              <w:rPr>
                <w:sz w:val="20"/>
              </w:rPr>
              <w:t xml:space="preserve"> = repealed and substituted</w:t>
            </w:r>
          </w:p>
        </w:tc>
      </w:tr>
      <w:tr w:rsidR="00225772" w:rsidRPr="008E7D28" w:rsidTr="00435B26">
        <w:tc>
          <w:tcPr>
            <w:tcW w:w="4253" w:type="dxa"/>
            <w:shd w:val="clear" w:color="auto" w:fill="auto"/>
          </w:tcPr>
          <w:p w:rsidR="00225772" w:rsidRPr="008E7D28" w:rsidRDefault="00225772" w:rsidP="00435B26">
            <w:pPr>
              <w:ind w:left="34"/>
              <w:rPr>
                <w:sz w:val="20"/>
              </w:rPr>
            </w:pPr>
            <w:r w:rsidRPr="008E7D28">
              <w:rPr>
                <w:sz w:val="20"/>
              </w:rPr>
              <w:t xml:space="preserve">F = Federal Register of </w:t>
            </w:r>
            <w:r>
              <w:rPr>
                <w:sz w:val="20"/>
              </w:rPr>
              <w:t>Legislation</w:t>
            </w:r>
          </w:p>
        </w:tc>
        <w:tc>
          <w:tcPr>
            <w:tcW w:w="3686" w:type="dxa"/>
            <w:shd w:val="clear" w:color="auto" w:fill="auto"/>
          </w:tcPr>
          <w:p w:rsidR="00225772" w:rsidRPr="008E7D28" w:rsidRDefault="00225772" w:rsidP="00435B26">
            <w:pPr>
              <w:spacing w:before="60"/>
              <w:ind w:left="34"/>
              <w:rPr>
                <w:sz w:val="20"/>
              </w:rPr>
            </w:pPr>
            <w:r w:rsidRPr="008E7D28">
              <w:rPr>
                <w:sz w:val="20"/>
              </w:rPr>
              <w:t>s = section(s)/subsection(s)</w:t>
            </w:r>
          </w:p>
        </w:tc>
      </w:tr>
      <w:tr w:rsidR="00225772" w:rsidRPr="008E7D28" w:rsidTr="00435B26">
        <w:tc>
          <w:tcPr>
            <w:tcW w:w="4253" w:type="dxa"/>
            <w:shd w:val="clear" w:color="auto" w:fill="auto"/>
          </w:tcPr>
          <w:p w:rsidR="00225772" w:rsidRPr="008E7D28" w:rsidRDefault="00225772" w:rsidP="00435B26">
            <w:pPr>
              <w:spacing w:before="60"/>
              <w:ind w:left="34"/>
              <w:rPr>
                <w:sz w:val="20"/>
              </w:rPr>
            </w:pPr>
            <w:proofErr w:type="spellStart"/>
            <w:r w:rsidRPr="008E7D28">
              <w:rPr>
                <w:sz w:val="20"/>
              </w:rPr>
              <w:t>gaz</w:t>
            </w:r>
            <w:proofErr w:type="spellEnd"/>
            <w:r w:rsidRPr="008E7D28">
              <w:rPr>
                <w:sz w:val="20"/>
              </w:rPr>
              <w:t xml:space="preserve"> = gazette</w:t>
            </w:r>
          </w:p>
        </w:tc>
        <w:tc>
          <w:tcPr>
            <w:tcW w:w="3686" w:type="dxa"/>
            <w:shd w:val="clear" w:color="auto" w:fill="auto"/>
          </w:tcPr>
          <w:p w:rsidR="00225772" w:rsidRPr="008E7D28" w:rsidRDefault="00225772" w:rsidP="00435B26">
            <w:pPr>
              <w:spacing w:before="60"/>
              <w:ind w:left="34"/>
              <w:rPr>
                <w:sz w:val="20"/>
              </w:rPr>
            </w:pPr>
            <w:proofErr w:type="spellStart"/>
            <w:r w:rsidRPr="008E7D28">
              <w:rPr>
                <w:sz w:val="20"/>
              </w:rPr>
              <w:t>Sch</w:t>
            </w:r>
            <w:proofErr w:type="spellEnd"/>
            <w:r w:rsidRPr="008E7D28">
              <w:rPr>
                <w:sz w:val="20"/>
              </w:rPr>
              <w:t xml:space="preserve"> = Schedule(s)</w:t>
            </w:r>
          </w:p>
        </w:tc>
      </w:tr>
      <w:tr w:rsidR="00225772" w:rsidRPr="008E7D28" w:rsidTr="00435B26">
        <w:tc>
          <w:tcPr>
            <w:tcW w:w="4253" w:type="dxa"/>
            <w:shd w:val="clear" w:color="auto" w:fill="auto"/>
          </w:tcPr>
          <w:p w:rsidR="00225772" w:rsidRPr="008E7D28" w:rsidRDefault="00225772" w:rsidP="00435B26">
            <w:pPr>
              <w:spacing w:before="60"/>
              <w:ind w:left="34"/>
              <w:rPr>
                <w:sz w:val="20"/>
              </w:rPr>
            </w:pPr>
            <w:r>
              <w:rPr>
                <w:sz w:val="20"/>
              </w:rPr>
              <w:t xml:space="preserve">LA = </w:t>
            </w:r>
            <w:r w:rsidRPr="009C3FDA">
              <w:rPr>
                <w:i/>
                <w:sz w:val="20"/>
              </w:rPr>
              <w:t>Legislation Act 2003</w:t>
            </w:r>
          </w:p>
        </w:tc>
        <w:tc>
          <w:tcPr>
            <w:tcW w:w="3686" w:type="dxa"/>
            <w:shd w:val="clear" w:color="auto" w:fill="auto"/>
          </w:tcPr>
          <w:p w:rsidR="00225772" w:rsidRPr="008E7D28" w:rsidRDefault="00225772" w:rsidP="00435B26">
            <w:pPr>
              <w:spacing w:before="60"/>
              <w:ind w:left="34"/>
              <w:rPr>
                <w:sz w:val="20"/>
              </w:rPr>
            </w:pPr>
            <w:proofErr w:type="spellStart"/>
            <w:r w:rsidRPr="008E7D28">
              <w:rPr>
                <w:sz w:val="20"/>
              </w:rPr>
              <w:t>Sdiv</w:t>
            </w:r>
            <w:proofErr w:type="spellEnd"/>
            <w:r w:rsidRPr="008E7D28">
              <w:rPr>
                <w:sz w:val="20"/>
              </w:rPr>
              <w:t xml:space="preserve"> = Subdivision(s)</w:t>
            </w:r>
          </w:p>
        </w:tc>
      </w:tr>
      <w:tr w:rsidR="00225772" w:rsidRPr="008E7D28" w:rsidTr="00435B26">
        <w:tc>
          <w:tcPr>
            <w:tcW w:w="4253" w:type="dxa"/>
            <w:shd w:val="clear" w:color="auto" w:fill="auto"/>
          </w:tcPr>
          <w:p w:rsidR="00225772" w:rsidRPr="008E7D28" w:rsidRDefault="00225772" w:rsidP="00435B26">
            <w:pPr>
              <w:spacing w:before="60"/>
              <w:ind w:left="34"/>
              <w:rPr>
                <w:sz w:val="20"/>
              </w:rPr>
            </w:pPr>
            <w:r w:rsidRPr="008E7D28">
              <w:rPr>
                <w:sz w:val="20"/>
              </w:rPr>
              <w:t xml:space="preserve">LIA = </w:t>
            </w:r>
            <w:r w:rsidRPr="008E7D28">
              <w:rPr>
                <w:i/>
                <w:sz w:val="20"/>
              </w:rPr>
              <w:t>Legislative Instruments Act 2003</w:t>
            </w:r>
          </w:p>
        </w:tc>
        <w:tc>
          <w:tcPr>
            <w:tcW w:w="3686" w:type="dxa"/>
            <w:shd w:val="clear" w:color="auto" w:fill="auto"/>
          </w:tcPr>
          <w:p w:rsidR="00225772" w:rsidRPr="008E7D28" w:rsidRDefault="00225772" w:rsidP="00435B26">
            <w:pPr>
              <w:spacing w:before="60"/>
              <w:ind w:left="34"/>
              <w:rPr>
                <w:sz w:val="20"/>
              </w:rPr>
            </w:pPr>
            <w:r w:rsidRPr="008E7D28">
              <w:rPr>
                <w:sz w:val="20"/>
              </w:rPr>
              <w:t>SLI = Select Legislative Instrument</w:t>
            </w:r>
          </w:p>
        </w:tc>
      </w:tr>
      <w:tr w:rsidR="00225772" w:rsidRPr="008E7D28" w:rsidTr="00435B26">
        <w:tc>
          <w:tcPr>
            <w:tcW w:w="4253" w:type="dxa"/>
            <w:shd w:val="clear" w:color="auto" w:fill="auto"/>
          </w:tcPr>
          <w:p w:rsidR="00225772" w:rsidRPr="008E7D28" w:rsidRDefault="00225772" w:rsidP="00435B26">
            <w:pPr>
              <w:spacing w:before="60"/>
              <w:ind w:left="34"/>
              <w:rPr>
                <w:sz w:val="20"/>
              </w:rPr>
            </w:pPr>
            <w:r w:rsidRPr="008E7D28">
              <w:rPr>
                <w:sz w:val="20"/>
              </w:rPr>
              <w:t xml:space="preserve">(md not </w:t>
            </w:r>
            <w:proofErr w:type="spellStart"/>
            <w:r w:rsidRPr="008E7D28">
              <w:rPr>
                <w:sz w:val="20"/>
              </w:rPr>
              <w:t>incorp</w:t>
            </w:r>
            <w:proofErr w:type="spellEnd"/>
            <w:r w:rsidRPr="008E7D28">
              <w:rPr>
                <w:sz w:val="20"/>
              </w:rPr>
              <w:t xml:space="preserve">) = </w:t>
            </w:r>
            <w:proofErr w:type="spellStart"/>
            <w:r w:rsidRPr="008E7D28">
              <w:rPr>
                <w:sz w:val="20"/>
              </w:rPr>
              <w:t>misdescribed</w:t>
            </w:r>
            <w:proofErr w:type="spellEnd"/>
            <w:r w:rsidRPr="008E7D28">
              <w:rPr>
                <w:sz w:val="20"/>
              </w:rPr>
              <w:t xml:space="preserve"> amendment</w:t>
            </w:r>
          </w:p>
        </w:tc>
        <w:tc>
          <w:tcPr>
            <w:tcW w:w="3686" w:type="dxa"/>
            <w:shd w:val="clear" w:color="auto" w:fill="auto"/>
          </w:tcPr>
          <w:p w:rsidR="00225772" w:rsidRPr="008E7D28" w:rsidRDefault="00225772" w:rsidP="00435B26">
            <w:pPr>
              <w:spacing w:before="60"/>
              <w:ind w:left="34"/>
              <w:rPr>
                <w:sz w:val="20"/>
              </w:rPr>
            </w:pPr>
            <w:r w:rsidRPr="008E7D28">
              <w:rPr>
                <w:sz w:val="20"/>
              </w:rPr>
              <w:t>SR = Statutory Rules</w:t>
            </w:r>
          </w:p>
        </w:tc>
      </w:tr>
      <w:tr w:rsidR="00225772" w:rsidRPr="008E7D28" w:rsidTr="00435B26">
        <w:tc>
          <w:tcPr>
            <w:tcW w:w="4253" w:type="dxa"/>
            <w:shd w:val="clear" w:color="auto" w:fill="auto"/>
          </w:tcPr>
          <w:p w:rsidR="00225772" w:rsidRPr="008E7D28" w:rsidRDefault="00225772" w:rsidP="00435B26">
            <w:pPr>
              <w:spacing w:before="60"/>
              <w:ind w:left="34"/>
              <w:rPr>
                <w:sz w:val="20"/>
              </w:rPr>
            </w:pPr>
            <w:r w:rsidRPr="008E7D28">
              <w:rPr>
                <w:sz w:val="20"/>
              </w:rPr>
              <w:t xml:space="preserve">    cannot be given effect</w:t>
            </w:r>
          </w:p>
        </w:tc>
        <w:tc>
          <w:tcPr>
            <w:tcW w:w="3686" w:type="dxa"/>
            <w:shd w:val="clear" w:color="auto" w:fill="auto"/>
          </w:tcPr>
          <w:p w:rsidR="00225772" w:rsidRPr="008E7D28" w:rsidRDefault="00225772" w:rsidP="00435B26">
            <w:pPr>
              <w:spacing w:before="60"/>
              <w:ind w:left="34"/>
              <w:rPr>
                <w:sz w:val="20"/>
              </w:rPr>
            </w:pPr>
            <w:r w:rsidRPr="008E7D28">
              <w:rPr>
                <w:sz w:val="20"/>
              </w:rPr>
              <w:t>Sub</w:t>
            </w:r>
            <w:r>
              <w:rPr>
                <w:sz w:val="20"/>
              </w:rPr>
              <w:noBreakHyphen/>
            </w:r>
            <w:proofErr w:type="spellStart"/>
            <w:r w:rsidRPr="008E7D28">
              <w:rPr>
                <w:sz w:val="20"/>
              </w:rPr>
              <w:t>Ch</w:t>
            </w:r>
            <w:proofErr w:type="spellEnd"/>
            <w:r w:rsidRPr="008E7D28">
              <w:rPr>
                <w:sz w:val="20"/>
              </w:rPr>
              <w:t xml:space="preserve"> = Sub</w:t>
            </w:r>
            <w:r>
              <w:rPr>
                <w:sz w:val="20"/>
              </w:rPr>
              <w:noBreakHyphen/>
            </w:r>
            <w:r w:rsidRPr="008E7D28">
              <w:rPr>
                <w:sz w:val="20"/>
              </w:rPr>
              <w:t>Chapter(s)</w:t>
            </w:r>
          </w:p>
        </w:tc>
      </w:tr>
      <w:tr w:rsidR="00225772" w:rsidRPr="008E7D28" w:rsidTr="00435B26">
        <w:tc>
          <w:tcPr>
            <w:tcW w:w="4253" w:type="dxa"/>
            <w:shd w:val="clear" w:color="auto" w:fill="auto"/>
          </w:tcPr>
          <w:p w:rsidR="00225772" w:rsidRPr="008E7D28" w:rsidRDefault="00225772" w:rsidP="00435B26">
            <w:pPr>
              <w:ind w:left="34"/>
              <w:rPr>
                <w:sz w:val="20"/>
              </w:rPr>
            </w:pPr>
            <w:r w:rsidRPr="008E7D28">
              <w:rPr>
                <w:sz w:val="20"/>
              </w:rPr>
              <w:t>mod = modified/modification</w:t>
            </w:r>
          </w:p>
        </w:tc>
        <w:tc>
          <w:tcPr>
            <w:tcW w:w="3686" w:type="dxa"/>
            <w:shd w:val="clear" w:color="auto" w:fill="auto"/>
          </w:tcPr>
          <w:p w:rsidR="00225772" w:rsidRPr="008E7D28" w:rsidRDefault="00225772" w:rsidP="00435B26">
            <w:pPr>
              <w:spacing w:before="60"/>
              <w:ind w:left="34"/>
              <w:rPr>
                <w:sz w:val="20"/>
              </w:rPr>
            </w:pPr>
            <w:proofErr w:type="spellStart"/>
            <w:r w:rsidRPr="008E7D28">
              <w:rPr>
                <w:sz w:val="20"/>
              </w:rPr>
              <w:t>SubPt</w:t>
            </w:r>
            <w:proofErr w:type="spellEnd"/>
            <w:r w:rsidRPr="008E7D28">
              <w:rPr>
                <w:sz w:val="20"/>
              </w:rPr>
              <w:t xml:space="preserve"> = Subpart(s)</w:t>
            </w:r>
          </w:p>
        </w:tc>
      </w:tr>
      <w:tr w:rsidR="00225772" w:rsidRPr="008E7D28" w:rsidTr="00435B26">
        <w:tc>
          <w:tcPr>
            <w:tcW w:w="4253" w:type="dxa"/>
            <w:shd w:val="clear" w:color="auto" w:fill="auto"/>
          </w:tcPr>
          <w:p w:rsidR="00225772" w:rsidRPr="008E7D28" w:rsidRDefault="00225772" w:rsidP="00435B26">
            <w:pPr>
              <w:spacing w:before="60"/>
              <w:ind w:left="34"/>
              <w:rPr>
                <w:sz w:val="20"/>
              </w:rPr>
            </w:pPr>
            <w:r w:rsidRPr="008E7D28">
              <w:rPr>
                <w:sz w:val="20"/>
              </w:rPr>
              <w:t>No. = Number(s)</w:t>
            </w:r>
          </w:p>
        </w:tc>
        <w:tc>
          <w:tcPr>
            <w:tcW w:w="3686" w:type="dxa"/>
            <w:shd w:val="clear" w:color="auto" w:fill="auto"/>
          </w:tcPr>
          <w:p w:rsidR="00225772" w:rsidRPr="008E7D28" w:rsidRDefault="00225772" w:rsidP="00435B26">
            <w:pPr>
              <w:spacing w:before="60"/>
              <w:ind w:left="34"/>
              <w:rPr>
                <w:sz w:val="20"/>
              </w:rPr>
            </w:pPr>
            <w:r w:rsidRPr="008E7D28">
              <w:rPr>
                <w:sz w:val="20"/>
                <w:u w:val="single"/>
              </w:rPr>
              <w:t>underlining</w:t>
            </w:r>
            <w:r w:rsidRPr="008E7D28">
              <w:rPr>
                <w:sz w:val="20"/>
              </w:rPr>
              <w:t xml:space="preserve"> = whole or part not</w:t>
            </w:r>
          </w:p>
        </w:tc>
      </w:tr>
      <w:tr w:rsidR="00225772" w:rsidRPr="008E7D28" w:rsidTr="00435B26">
        <w:tc>
          <w:tcPr>
            <w:tcW w:w="4253" w:type="dxa"/>
            <w:shd w:val="clear" w:color="auto" w:fill="auto"/>
          </w:tcPr>
          <w:p w:rsidR="00225772" w:rsidRPr="008E7D28" w:rsidRDefault="00225772" w:rsidP="00435B26">
            <w:pPr>
              <w:ind w:left="34"/>
              <w:rPr>
                <w:sz w:val="20"/>
              </w:rPr>
            </w:pPr>
            <w:r w:rsidRPr="008E7D28">
              <w:rPr>
                <w:sz w:val="20"/>
              </w:rPr>
              <w:t>o = order(s)</w:t>
            </w:r>
          </w:p>
        </w:tc>
        <w:tc>
          <w:tcPr>
            <w:tcW w:w="3686" w:type="dxa"/>
            <w:shd w:val="clear" w:color="auto" w:fill="auto"/>
          </w:tcPr>
          <w:p w:rsidR="00225772" w:rsidRPr="008E7D28" w:rsidRDefault="00225772" w:rsidP="00435B26">
            <w:pPr>
              <w:spacing w:before="60"/>
              <w:ind w:left="34"/>
              <w:rPr>
                <w:sz w:val="20"/>
              </w:rPr>
            </w:pPr>
            <w:r w:rsidRPr="008E7D28">
              <w:rPr>
                <w:sz w:val="20"/>
              </w:rPr>
              <w:t xml:space="preserve">    commenced or to be commenced</w:t>
            </w:r>
          </w:p>
        </w:tc>
      </w:tr>
      <w:tr w:rsidR="00225772" w:rsidRPr="008E7D28" w:rsidTr="00435B26">
        <w:tc>
          <w:tcPr>
            <w:tcW w:w="4253" w:type="dxa"/>
            <w:shd w:val="clear" w:color="auto" w:fill="auto"/>
          </w:tcPr>
          <w:p w:rsidR="00225772" w:rsidRPr="008E7D28" w:rsidRDefault="00225772" w:rsidP="00225772">
            <w:pPr>
              <w:spacing w:before="60"/>
              <w:ind w:left="34"/>
              <w:rPr>
                <w:sz w:val="20"/>
              </w:rPr>
            </w:pPr>
            <w:r w:rsidRPr="008E7D28">
              <w:rPr>
                <w:sz w:val="20"/>
              </w:rPr>
              <w:t>Ord = Ordinance</w:t>
            </w:r>
          </w:p>
        </w:tc>
        <w:tc>
          <w:tcPr>
            <w:tcW w:w="3686" w:type="dxa"/>
            <w:shd w:val="clear" w:color="auto" w:fill="auto"/>
          </w:tcPr>
          <w:p w:rsidR="00225772" w:rsidRPr="008E7D28" w:rsidRDefault="00225772" w:rsidP="00225772">
            <w:pPr>
              <w:spacing w:before="60"/>
              <w:ind w:left="34"/>
              <w:rPr>
                <w:sz w:val="20"/>
              </w:rPr>
            </w:pPr>
          </w:p>
        </w:tc>
      </w:tr>
      <w:tr w:rsidR="00225772" w:rsidRPr="008E7D28" w:rsidTr="00435B26">
        <w:tc>
          <w:tcPr>
            <w:tcW w:w="4253" w:type="dxa"/>
            <w:shd w:val="clear" w:color="auto" w:fill="auto"/>
          </w:tcPr>
          <w:p w:rsidR="00225772" w:rsidRPr="008E7D28" w:rsidRDefault="00225772" w:rsidP="00225772">
            <w:pPr>
              <w:spacing w:before="60"/>
              <w:ind w:left="34"/>
              <w:rPr>
                <w:sz w:val="20"/>
              </w:rPr>
            </w:pPr>
          </w:p>
        </w:tc>
        <w:tc>
          <w:tcPr>
            <w:tcW w:w="3686" w:type="dxa"/>
            <w:shd w:val="clear" w:color="auto" w:fill="auto"/>
          </w:tcPr>
          <w:p w:rsidR="00225772" w:rsidRPr="008E7D28" w:rsidRDefault="00225772" w:rsidP="00225772">
            <w:pPr>
              <w:spacing w:before="60"/>
              <w:ind w:left="34"/>
              <w:rPr>
                <w:sz w:val="20"/>
              </w:rPr>
            </w:pPr>
          </w:p>
        </w:tc>
      </w:tr>
      <w:tr w:rsidR="00225772" w:rsidRPr="008E7D28" w:rsidTr="00435B26">
        <w:trPr>
          <w:trHeight w:val="302"/>
        </w:trPr>
        <w:tc>
          <w:tcPr>
            <w:tcW w:w="4253" w:type="dxa"/>
            <w:shd w:val="clear" w:color="auto" w:fill="auto"/>
          </w:tcPr>
          <w:p w:rsidR="00225772" w:rsidRPr="008E7D28" w:rsidRDefault="00225772" w:rsidP="00225772">
            <w:pPr>
              <w:spacing w:before="60"/>
              <w:ind w:left="34"/>
              <w:rPr>
                <w:sz w:val="20"/>
              </w:rPr>
            </w:pPr>
          </w:p>
        </w:tc>
        <w:tc>
          <w:tcPr>
            <w:tcW w:w="3686" w:type="dxa"/>
            <w:shd w:val="clear" w:color="auto" w:fill="auto"/>
          </w:tcPr>
          <w:p w:rsidR="00225772" w:rsidRPr="008E7D28" w:rsidRDefault="00225772" w:rsidP="00225772">
            <w:pPr>
              <w:ind w:left="34"/>
              <w:rPr>
                <w:sz w:val="20"/>
              </w:rPr>
            </w:pPr>
          </w:p>
        </w:tc>
      </w:tr>
    </w:tbl>
    <w:p w:rsidR="00307068" w:rsidRPr="00BC57F4" w:rsidRDefault="00307068" w:rsidP="00307068">
      <w:pPr>
        <w:pStyle w:val="Tabletext"/>
      </w:pPr>
    </w:p>
    <w:p w:rsidR="00307068" w:rsidRDefault="00307068" w:rsidP="00307068">
      <w:pPr>
        <w:pStyle w:val="ENotesHeading2"/>
        <w:pageBreakBefore/>
      </w:pPr>
      <w:bookmarkStart w:id="37" w:name="_Toc118199965"/>
      <w:r>
        <w:lastRenderedPageBreak/>
        <w:t>Endnote 3—Legislation history</w:t>
      </w:r>
      <w:bookmarkEnd w:id="37"/>
    </w:p>
    <w:p w:rsidR="00307068" w:rsidRDefault="00307068" w:rsidP="00307068">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9302EC" w:rsidRPr="0098546F" w:rsidTr="00DC78AA">
        <w:trPr>
          <w:cantSplit/>
          <w:tblHeader/>
        </w:trPr>
        <w:tc>
          <w:tcPr>
            <w:tcW w:w="1806" w:type="dxa"/>
            <w:tcBorders>
              <w:top w:val="single" w:sz="12" w:space="0" w:color="auto"/>
              <w:bottom w:val="single" w:sz="12" w:space="0" w:color="auto"/>
            </w:tcBorders>
            <w:shd w:val="clear" w:color="auto" w:fill="auto"/>
          </w:tcPr>
          <w:p w:rsidR="009302EC" w:rsidRPr="00E117A3" w:rsidRDefault="009302EC" w:rsidP="00435B26">
            <w:pPr>
              <w:pStyle w:val="ENoteTableHeading"/>
            </w:pPr>
            <w:r>
              <w:t>Name</w:t>
            </w:r>
          </w:p>
        </w:tc>
        <w:tc>
          <w:tcPr>
            <w:tcW w:w="1806" w:type="dxa"/>
            <w:tcBorders>
              <w:top w:val="single" w:sz="12" w:space="0" w:color="auto"/>
              <w:bottom w:val="single" w:sz="12" w:space="0" w:color="auto"/>
            </w:tcBorders>
            <w:shd w:val="clear" w:color="auto" w:fill="auto"/>
          </w:tcPr>
          <w:p w:rsidR="009302EC" w:rsidRPr="00E117A3" w:rsidRDefault="009302EC" w:rsidP="00435B26">
            <w:pPr>
              <w:pStyle w:val="ENoteTableHeading"/>
            </w:pPr>
            <w:r>
              <w:t>Registration</w:t>
            </w:r>
          </w:p>
        </w:tc>
        <w:tc>
          <w:tcPr>
            <w:tcW w:w="1806" w:type="dxa"/>
            <w:tcBorders>
              <w:top w:val="single" w:sz="12" w:space="0" w:color="auto"/>
              <w:bottom w:val="single" w:sz="12" w:space="0" w:color="auto"/>
            </w:tcBorders>
            <w:shd w:val="clear" w:color="auto" w:fill="auto"/>
          </w:tcPr>
          <w:p w:rsidR="009302EC" w:rsidRPr="00E117A3" w:rsidRDefault="009302EC" w:rsidP="00435B26">
            <w:pPr>
              <w:pStyle w:val="ENoteTableHeading"/>
            </w:pPr>
            <w:r>
              <w:t>Commencement</w:t>
            </w:r>
          </w:p>
        </w:tc>
        <w:tc>
          <w:tcPr>
            <w:tcW w:w="1806" w:type="dxa"/>
            <w:tcBorders>
              <w:top w:val="single" w:sz="12" w:space="0" w:color="auto"/>
              <w:bottom w:val="single" w:sz="12" w:space="0" w:color="auto"/>
            </w:tcBorders>
            <w:shd w:val="clear" w:color="auto" w:fill="auto"/>
          </w:tcPr>
          <w:p w:rsidR="009302EC" w:rsidRPr="00E117A3" w:rsidRDefault="009302EC" w:rsidP="00435B26">
            <w:pPr>
              <w:pStyle w:val="ENoteTableHeading"/>
            </w:pPr>
            <w:r w:rsidRPr="00E117A3">
              <w:t>Application, saving and transitional provisions</w:t>
            </w:r>
          </w:p>
        </w:tc>
      </w:tr>
      <w:tr w:rsidR="00DC78AA" w:rsidRPr="00E117A3" w:rsidTr="00DC78AA">
        <w:trPr>
          <w:cantSplit/>
        </w:trPr>
        <w:tc>
          <w:tcPr>
            <w:tcW w:w="1806" w:type="dxa"/>
            <w:tcBorders>
              <w:top w:val="single" w:sz="12" w:space="0" w:color="auto"/>
              <w:bottom w:val="single" w:sz="4" w:space="0" w:color="auto"/>
            </w:tcBorders>
            <w:shd w:val="clear" w:color="auto" w:fill="auto"/>
          </w:tcPr>
          <w:p w:rsidR="00A41800" w:rsidRPr="00243759" w:rsidRDefault="00A41800" w:rsidP="00A41800">
            <w:pPr>
              <w:pStyle w:val="ENoteTableText"/>
              <w:rPr>
                <w:rFonts w:ascii="Arial" w:hAnsi="Arial" w:cs="Arial"/>
                <w:color w:val="000000" w:themeColor="text1"/>
                <w:sz w:val="18"/>
                <w:szCs w:val="18"/>
              </w:rPr>
            </w:pPr>
            <w:r w:rsidRPr="00243759">
              <w:rPr>
                <w:rFonts w:ascii="Arial" w:hAnsi="Arial" w:cs="Arial"/>
                <w:i/>
                <w:color w:val="000000" w:themeColor="text1"/>
                <w:sz w:val="18"/>
                <w:szCs w:val="18"/>
              </w:rPr>
              <w:t xml:space="preserve">Statement of Principles concerning </w:t>
            </w:r>
            <w:r w:rsidR="00435B26" w:rsidRPr="00243759">
              <w:rPr>
                <w:rFonts w:ascii="Arial" w:hAnsi="Arial" w:cs="Arial"/>
                <w:i/>
                <w:color w:val="000000" w:themeColor="text1"/>
                <w:sz w:val="18"/>
                <w:szCs w:val="18"/>
              </w:rPr>
              <w:t>gingivitis</w:t>
            </w:r>
            <w:r w:rsidRPr="00243759">
              <w:rPr>
                <w:rFonts w:ascii="Arial" w:hAnsi="Arial" w:cs="Arial"/>
                <w:i/>
                <w:color w:val="000000" w:themeColor="text1"/>
                <w:sz w:val="18"/>
                <w:szCs w:val="18"/>
              </w:rPr>
              <w:t xml:space="preserve"> (Reasonable Hypothesis) (No. </w:t>
            </w:r>
            <w:r w:rsidR="00243759" w:rsidRPr="00243759">
              <w:rPr>
                <w:rFonts w:ascii="Arial" w:hAnsi="Arial" w:cs="Arial"/>
                <w:i/>
                <w:color w:val="000000" w:themeColor="text1"/>
                <w:sz w:val="18"/>
                <w:szCs w:val="18"/>
              </w:rPr>
              <w:t>17</w:t>
            </w:r>
            <w:r w:rsidRPr="00243759">
              <w:rPr>
                <w:rFonts w:ascii="Arial" w:hAnsi="Arial" w:cs="Arial"/>
                <w:i/>
                <w:color w:val="000000" w:themeColor="text1"/>
                <w:sz w:val="18"/>
                <w:szCs w:val="18"/>
              </w:rPr>
              <w:t xml:space="preserve"> of </w:t>
            </w:r>
            <w:r w:rsidR="00243759" w:rsidRPr="00243759">
              <w:rPr>
                <w:rFonts w:ascii="Arial" w:hAnsi="Arial" w:cs="Arial"/>
                <w:i/>
                <w:color w:val="000000" w:themeColor="text1"/>
                <w:sz w:val="18"/>
                <w:szCs w:val="18"/>
              </w:rPr>
              <w:t>2022</w:t>
            </w:r>
            <w:r w:rsidRPr="00243759">
              <w:rPr>
                <w:rFonts w:ascii="Arial" w:hAnsi="Arial" w:cs="Arial"/>
                <w:i/>
                <w:color w:val="000000" w:themeColor="text1"/>
                <w:sz w:val="18"/>
                <w:szCs w:val="18"/>
              </w:rPr>
              <w:t>)</w:t>
            </w:r>
          </w:p>
          <w:p w:rsidR="00DC78AA" w:rsidRPr="00243759" w:rsidRDefault="00DC78AA" w:rsidP="00435B26">
            <w:pPr>
              <w:pStyle w:val="ENoteTableText"/>
              <w:rPr>
                <w:rFonts w:ascii="Arial" w:hAnsi="Arial" w:cs="Arial"/>
                <w:color w:val="000000" w:themeColor="text1"/>
                <w:sz w:val="18"/>
                <w:szCs w:val="18"/>
              </w:rPr>
            </w:pPr>
          </w:p>
        </w:tc>
        <w:tc>
          <w:tcPr>
            <w:tcW w:w="1806" w:type="dxa"/>
            <w:tcBorders>
              <w:top w:val="single" w:sz="12" w:space="0" w:color="auto"/>
              <w:bottom w:val="single" w:sz="4" w:space="0" w:color="auto"/>
            </w:tcBorders>
            <w:shd w:val="clear" w:color="auto" w:fill="auto"/>
          </w:tcPr>
          <w:p w:rsidR="00DC78AA" w:rsidRPr="00243759" w:rsidRDefault="00243759" w:rsidP="00435B26">
            <w:pPr>
              <w:pStyle w:val="TableOfStatRules"/>
              <w:rPr>
                <w:rFonts w:cs="Arial"/>
                <w:color w:val="000000" w:themeColor="text1"/>
                <w:szCs w:val="18"/>
              </w:rPr>
            </w:pPr>
            <w:r w:rsidRPr="00243759">
              <w:rPr>
                <w:rFonts w:cs="Arial"/>
                <w:color w:val="000000" w:themeColor="text1"/>
                <w:szCs w:val="18"/>
              </w:rPr>
              <w:t>4 January 2022</w:t>
            </w:r>
          </w:p>
          <w:p w:rsidR="00243759" w:rsidRPr="00243759" w:rsidRDefault="00243759" w:rsidP="00435B26">
            <w:pPr>
              <w:pStyle w:val="TableOfStatRules"/>
              <w:rPr>
                <w:rFonts w:cs="Arial"/>
                <w:color w:val="000000" w:themeColor="text1"/>
                <w:szCs w:val="18"/>
              </w:rPr>
            </w:pPr>
          </w:p>
          <w:p w:rsidR="00DC78AA" w:rsidRPr="00243759" w:rsidRDefault="00243759" w:rsidP="00435B26">
            <w:pPr>
              <w:pStyle w:val="ENoteTableText"/>
              <w:rPr>
                <w:rFonts w:ascii="Arial" w:hAnsi="Arial" w:cs="Arial"/>
                <w:color w:val="000000" w:themeColor="text1"/>
                <w:sz w:val="18"/>
                <w:szCs w:val="18"/>
              </w:rPr>
            </w:pPr>
            <w:r w:rsidRPr="00243759">
              <w:rPr>
                <w:rFonts w:ascii="Arial" w:hAnsi="Arial" w:cs="Arial"/>
                <w:color w:val="000000" w:themeColor="text1"/>
                <w:sz w:val="18"/>
                <w:szCs w:val="18"/>
              </w:rPr>
              <w:t>F2022L00010</w:t>
            </w:r>
          </w:p>
        </w:tc>
        <w:tc>
          <w:tcPr>
            <w:tcW w:w="1806" w:type="dxa"/>
            <w:tcBorders>
              <w:top w:val="single" w:sz="12" w:space="0" w:color="auto"/>
              <w:bottom w:val="single" w:sz="4" w:space="0" w:color="auto"/>
            </w:tcBorders>
            <w:shd w:val="clear" w:color="auto" w:fill="auto"/>
          </w:tcPr>
          <w:p w:rsidR="00DC78AA" w:rsidRPr="00E85EF4" w:rsidRDefault="00243759" w:rsidP="00435B26">
            <w:pPr>
              <w:pStyle w:val="TableOfStatRules"/>
              <w:rPr>
                <w:rFonts w:cs="Arial"/>
                <w:szCs w:val="18"/>
              </w:rPr>
            </w:pPr>
            <w:r>
              <w:rPr>
                <w:rFonts w:cs="Arial"/>
                <w:szCs w:val="18"/>
              </w:rPr>
              <w:t>31 January 2022</w:t>
            </w:r>
          </w:p>
          <w:p w:rsidR="00DC78AA" w:rsidRPr="00E85EF4" w:rsidRDefault="00DC78AA" w:rsidP="00435B26">
            <w:pPr>
              <w:pStyle w:val="ENoteTableText"/>
              <w:rPr>
                <w:rFonts w:ascii="Arial" w:hAnsi="Arial" w:cs="Arial"/>
                <w:sz w:val="18"/>
                <w:szCs w:val="18"/>
              </w:rPr>
            </w:pPr>
          </w:p>
        </w:tc>
        <w:tc>
          <w:tcPr>
            <w:tcW w:w="1806" w:type="dxa"/>
            <w:tcBorders>
              <w:top w:val="single" w:sz="12" w:space="0" w:color="auto"/>
              <w:bottom w:val="single" w:sz="4" w:space="0" w:color="auto"/>
            </w:tcBorders>
            <w:shd w:val="clear" w:color="auto" w:fill="auto"/>
          </w:tcPr>
          <w:p w:rsidR="00DC78AA" w:rsidRPr="00E85EF4" w:rsidRDefault="00DC78AA" w:rsidP="00435B26">
            <w:pPr>
              <w:pStyle w:val="ENoteTableText"/>
              <w:rPr>
                <w:rFonts w:ascii="Arial" w:hAnsi="Arial" w:cs="Arial"/>
                <w:sz w:val="18"/>
                <w:szCs w:val="18"/>
              </w:rPr>
            </w:pPr>
          </w:p>
        </w:tc>
      </w:tr>
      <w:tr w:rsidR="00DC78AA" w:rsidTr="00DC78AA">
        <w:trPr>
          <w:cantSplit/>
        </w:trPr>
        <w:tc>
          <w:tcPr>
            <w:tcW w:w="1806" w:type="dxa"/>
            <w:tcBorders>
              <w:bottom w:val="single" w:sz="12" w:space="0" w:color="auto"/>
            </w:tcBorders>
            <w:shd w:val="clear" w:color="auto" w:fill="auto"/>
          </w:tcPr>
          <w:p w:rsidR="00A41800" w:rsidRPr="00243759" w:rsidRDefault="00A41800" w:rsidP="00A41800">
            <w:pPr>
              <w:pStyle w:val="ENoteTableText"/>
              <w:rPr>
                <w:rFonts w:ascii="Arial" w:hAnsi="Arial" w:cs="Arial"/>
                <w:color w:val="000000" w:themeColor="text1"/>
                <w:sz w:val="18"/>
                <w:szCs w:val="18"/>
              </w:rPr>
            </w:pPr>
            <w:r w:rsidRPr="00243759">
              <w:rPr>
                <w:rFonts w:ascii="Arial" w:hAnsi="Arial" w:cs="Arial"/>
                <w:i/>
                <w:color w:val="000000" w:themeColor="text1"/>
                <w:sz w:val="18"/>
                <w:szCs w:val="18"/>
              </w:rPr>
              <w:t xml:space="preserve">Amendment Statement of Principles concerning </w:t>
            </w:r>
            <w:r w:rsidR="00435B26" w:rsidRPr="00243759">
              <w:rPr>
                <w:rFonts w:ascii="Arial" w:hAnsi="Arial" w:cs="Arial"/>
                <w:i/>
                <w:color w:val="000000" w:themeColor="text1"/>
                <w:sz w:val="18"/>
                <w:szCs w:val="18"/>
              </w:rPr>
              <w:t>gingivitis</w:t>
            </w:r>
            <w:r w:rsidRPr="00243759">
              <w:rPr>
                <w:rFonts w:ascii="Arial" w:hAnsi="Arial" w:cs="Arial"/>
                <w:i/>
                <w:color w:val="000000" w:themeColor="text1"/>
                <w:sz w:val="18"/>
                <w:szCs w:val="18"/>
              </w:rPr>
              <w:t xml:space="preserve"> (Reasonable Hypothesis) (No. </w:t>
            </w:r>
            <w:r w:rsidR="00243759" w:rsidRPr="00243759">
              <w:rPr>
                <w:rFonts w:ascii="Arial" w:hAnsi="Arial" w:cs="Arial"/>
                <w:i/>
                <w:color w:val="000000" w:themeColor="text1"/>
                <w:sz w:val="18"/>
                <w:szCs w:val="18"/>
              </w:rPr>
              <w:t>115</w:t>
            </w:r>
            <w:r w:rsidRPr="00243759">
              <w:rPr>
                <w:rFonts w:ascii="Arial" w:hAnsi="Arial" w:cs="Arial"/>
                <w:i/>
                <w:color w:val="000000" w:themeColor="text1"/>
                <w:sz w:val="18"/>
                <w:szCs w:val="18"/>
              </w:rPr>
              <w:t xml:space="preserve"> of </w:t>
            </w:r>
            <w:r w:rsidR="00243759" w:rsidRPr="00243759">
              <w:rPr>
                <w:rFonts w:ascii="Arial" w:hAnsi="Arial" w:cs="Arial"/>
                <w:i/>
                <w:color w:val="000000" w:themeColor="text1"/>
                <w:sz w:val="18"/>
                <w:szCs w:val="18"/>
              </w:rPr>
              <w:t>2022</w:t>
            </w:r>
            <w:r w:rsidRPr="00243759">
              <w:rPr>
                <w:rFonts w:ascii="Arial" w:hAnsi="Arial" w:cs="Arial"/>
                <w:i/>
                <w:color w:val="000000" w:themeColor="text1"/>
                <w:sz w:val="18"/>
                <w:szCs w:val="18"/>
              </w:rPr>
              <w:t>)</w:t>
            </w:r>
          </w:p>
          <w:p w:rsidR="00DC78AA" w:rsidRPr="00243759" w:rsidRDefault="00DC78AA" w:rsidP="00435B26">
            <w:pPr>
              <w:pStyle w:val="ENoteTableText"/>
              <w:rPr>
                <w:rFonts w:ascii="Arial" w:hAnsi="Arial" w:cs="Arial"/>
                <w:color w:val="000000" w:themeColor="text1"/>
                <w:sz w:val="18"/>
                <w:szCs w:val="18"/>
              </w:rPr>
            </w:pPr>
          </w:p>
        </w:tc>
        <w:tc>
          <w:tcPr>
            <w:tcW w:w="1806" w:type="dxa"/>
            <w:tcBorders>
              <w:bottom w:val="single" w:sz="12" w:space="0" w:color="auto"/>
            </w:tcBorders>
            <w:shd w:val="clear" w:color="auto" w:fill="auto"/>
          </w:tcPr>
          <w:p w:rsidR="00DC78AA" w:rsidRPr="00243759" w:rsidRDefault="00243759" w:rsidP="00435B26">
            <w:pPr>
              <w:pStyle w:val="TableOfStatRules"/>
              <w:rPr>
                <w:rFonts w:cs="Arial"/>
                <w:color w:val="000000" w:themeColor="text1"/>
                <w:szCs w:val="18"/>
              </w:rPr>
            </w:pPr>
            <w:r w:rsidRPr="00243759">
              <w:rPr>
                <w:rFonts w:cs="Arial"/>
                <w:color w:val="000000" w:themeColor="text1"/>
                <w:szCs w:val="18"/>
              </w:rPr>
              <w:t>24 October 2022</w:t>
            </w:r>
          </w:p>
          <w:p w:rsidR="00DC78AA" w:rsidRPr="00243759" w:rsidRDefault="00DC78AA" w:rsidP="00435B26">
            <w:pPr>
              <w:pStyle w:val="TableOfStatRules"/>
              <w:rPr>
                <w:rFonts w:cs="Arial"/>
                <w:color w:val="000000" w:themeColor="text1"/>
                <w:szCs w:val="18"/>
              </w:rPr>
            </w:pPr>
          </w:p>
          <w:p w:rsidR="00DC78AA" w:rsidRPr="00243759" w:rsidRDefault="00243759" w:rsidP="00435B26">
            <w:pPr>
              <w:pStyle w:val="TableOfStatRules"/>
              <w:rPr>
                <w:rFonts w:cs="Arial"/>
                <w:color w:val="000000" w:themeColor="text1"/>
                <w:szCs w:val="18"/>
              </w:rPr>
            </w:pPr>
            <w:r w:rsidRPr="00243759">
              <w:rPr>
                <w:rFonts w:cs="Arial"/>
                <w:color w:val="000000" w:themeColor="text1"/>
                <w:szCs w:val="18"/>
              </w:rPr>
              <w:t>F2022L01394</w:t>
            </w:r>
          </w:p>
          <w:p w:rsidR="00DC78AA" w:rsidRPr="00243759" w:rsidRDefault="00DC78AA" w:rsidP="00435B26">
            <w:pPr>
              <w:pStyle w:val="ENoteTableText"/>
              <w:rPr>
                <w:rFonts w:ascii="Arial" w:hAnsi="Arial" w:cs="Arial"/>
                <w:color w:val="000000" w:themeColor="text1"/>
                <w:sz w:val="18"/>
                <w:szCs w:val="18"/>
              </w:rPr>
            </w:pPr>
          </w:p>
        </w:tc>
        <w:tc>
          <w:tcPr>
            <w:tcW w:w="1806" w:type="dxa"/>
            <w:tcBorders>
              <w:bottom w:val="single" w:sz="12" w:space="0" w:color="auto"/>
            </w:tcBorders>
            <w:shd w:val="clear" w:color="auto" w:fill="auto"/>
          </w:tcPr>
          <w:p w:rsidR="00DC78AA" w:rsidRPr="00E85EF4" w:rsidRDefault="00243759" w:rsidP="00435B26">
            <w:pPr>
              <w:pStyle w:val="TableOfStatRules"/>
              <w:rPr>
                <w:rFonts w:cs="Arial"/>
                <w:szCs w:val="18"/>
              </w:rPr>
            </w:pPr>
            <w:r>
              <w:rPr>
                <w:rFonts w:cs="Arial"/>
                <w:szCs w:val="18"/>
              </w:rPr>
              <w:t>21 November 2022</w:t>
            </w:r>
          </w:p>
          <w:p w:rsidR="00DC78AA" w:rsidRPr="00E85EF4" w:rsidRDefault="00DC78AA" w:rsidP="00435B26">
            <w:pPr>
              <w:pStyle w:val="ENoteTableText"/>
              <w:rPr>
                <w:rFonts w:ascii="Arial" w:hAnsi="Arial" w:cs="Arial"/>
                <w:sz w:val="18"/>
                <w:szCs w:val="18"/>
              </w:rPr>
            </w:pPr>
          </w:p>
        </w:tc>
        <w:tc>
          <w:tcPr>
            <w:tcW w:w="1806" w:type="dxa"/>
            <w:tcBorders>
              <w:bottom w:val="single" w:sz="12" w:space="0" w:color="auto"/>
            </w:tcBorders>
            <w:shd w:val="clear" w:color="auto" w:fill="auto"/>
          </w:tcPr>
          <w:p w:rsidR="00DC78AA" w:rsidRPr="00E85EF4" w:rsidRDefault="00DC78AA" w:rsidP="00435B26">
            <w:pPr>
              <w:pStyle w:val="ENoteTableText"/>
              <w:rPr>
                <w:rFonts w:ascii="Arial" w:hAnsi="Arial" w:cs="Arial"/>
                <w:sz w:val="18"/>
                <w:szCs w:val="18"/>
              </w:rPr>
            </w:pPr>
          </w:p>
        </w:tc>
      </w:tr>
    </w:tbl>
    <w:p w:rsidR="00307068" w:rsidRDefault="00307068" w:rsidP="00307068"/>
    <w:p w:rsidR="00307068" w:rsidRDefault="00307068" w:rsidP="00307068">
      <w:pPr>
        <w:pStyle w:val="ENotesHeading2"/>
        <w:pageBreakBefore/>
      </w:pPr>
      <w:bookmarkStart w:id="38" w:name="_Toc118199966"/>
      <w:r>
        <w:lastRenderedPageBreak/>
        <w:t>Endnote 4—Amendment history</w:t>
      </w:r>
      <w:bookmarkEnd w:id="38"/>
    </w:p>
    <w:p w:rsidR="00307068" w:rsidRDefault="00307068" w:rsidP="00307068">
      <w:pPr>
        <w:pStyle w:val="Tabletext"/>
      </w:pPr>
    </w:p>
    <w:tbl>
      <w:tblPr>
        <w:tblW w:w="7082" w:type="dxa"/>
        <w:tblInd w:w="113" w:type="dxa"/>
        <w:tblLayout w:type="fixed"/>
        <w:tblLook w:val="0000" w:firstRow="0" w:lastRow="0" w:firstColumn="0" w:lastColumn="0" w:noHBand="0" w:noVBand="0"/>
      </w:tblPr>
      <w:tblGrid>
        <w:gridCol w:w="2139"/>
        <w:gridCol w:w="4943"/>
      </w:tblGrid>
      <w:tr w:rsidR="00307068" w:rsidRPr="0098546F" w:rsidTr="00435B26">
        <w:trPr>
          <w:cantSplit/>
          <w:tblHeader/>
        </w:trPr>
        <w:tc>
          <w:tcPr>
            <w:tcW w:w="2139" w:type="dxa"/>
            <w:tcBorders>
              <w:top w:val="single" w:sz="12" w:space="0" w:color="auto"/>
              <w:bottom w:val="single" w:sz="12" w:space="0" w:color="auto"/>
            </w:tcBorders>
            <w:shd w:val="clear" w:color="auto" w:fill="auto"/>
          </w:tcPr>
          <w:p w:rsidR="00307068" w:rsidRPr="00E117A3" w:rsidRDefault="00307068" w:rsidP="00435B26">
            <w:pPr>
              <w:pStyle w:val="ENoteTableHeading"/>
            </w:pPr>
            <w:r w:rsidRPr="00E117A3">
              <w:t>Provision affected</w:t>
            </w:r>
          </w:p>
        </w:tc>
        <w:tc>
          <w:tcPr>
            <w:tcW w:w="4943" w:type="dxa"/>
            <w:tcBorders>
              <w:top w:val="single" w:sz="12" w:space="0" w:color="auto"/>
              <w:bottom w:val="single" w:sz="12" w:space="0" w:color="auto"/>
            </w:tcBorders>
            <w:shd w:val="clear" w:color="auto" w:fill="auto"/>
          </w:tcPr>
          <w:p w:rsidR="00307068" w:rsidRPr="00E117A3" w:rsidRDefault="00307068" w:rsidP="00435B26">
            <w:pPr>
              <w:pStyle w:val="ENoteTableHeading"/>
            </w:pPr>
            <w:r w:rsidRPr="00E117A3">
              <w:t>How affected</w:t>
            </w:r>
          </w:p>
        </w:tc>
      </w:tr>
      <w:tr w:rsidR="00CD226B" w:rsidRPr="00E117A3" w:rsidTr="00435B26">
        <w:trPr>
          <w:cantSplit/>
        </w:trPr>
        <w:tc>
          <w:tcPr>
            <w:tcW w:w="2139" w:type="dxa"/>
            <w:tcBorders>
              <w:top w:val="single" w:sz="12" w:space="0" w:color="auto"/>
            </w:tcBorders>
            <w:shd w:val="clear" w:color="auto" w:fill="auto"/>
          </w:tcPr>
          <w:p w:rsidR="00CD226B" w:rsidRPr="007B33E5" w:rsidRDefault="00CD226B" w:rsidP="00CD226B">
            <w:pPr>
              <w:pStyle w:val="ENoteTableText"/>
              <w:rPr>
                <w:rFonts w:ascii="Arial" w:hAnsi="Arial" w:cs="Arial"/>
                <w:sz w:val="18"/>
                <w:szCs w:val="18"/>
              </w:rPr>
            </w:pPr>
            <w:r>
              <w:rPr>
                <w:rFonts w:ascii="Arial" w:hAnsi="Arial" w:cs="Arial"/>
                <w:sz w:val="18"/>
                <w:szCs w:val="18"/>
              </w:rPr>
              <w:t>Section 2……………….</w:t>
            </w:r>
          </w:p>
        </w:tc>
        <w:tc>
          <w:tcPr>
            <w:tcW w:w="4943" w:type="dxa"/>
            <w:tcBorders>
              <w:top w:val="single" w:sz="12" w:space="0" w:color="auto"/>
            </w:tcBorders>
            <w:shd w:val="clear" w:color="auto" w:fill="auto"/>
          </w:tcPr>
          <w:p w:rsidR="00CD226B" w:rsidRPr="007B33E5" w:rsidRDefault="00CD226B" w:rsidP="00CD226B">
            <w:pPr>
              <w:pStyle w:val="ENoteTableText"/>
              <w:rPr>
                <w:rFonts w:ascii="Arial" w:hAnsi="Arial" w:cs="Arial"/>
                <w:sz w:val="18"/>
                <w:szCs w:val="18"/>
              </w:rPr>
            </w:pPr>
            <w:r>
              <w:rPr>
                <w:rFonts w:ascii="Arial" w:hAnsi="Arial" w:cs="Arial"/>
                <w:sz w:val="18"/>
                <w:szCs w:val="18"/>
              </w:rPr>
              <w:t>rep LA s 48D</w:t>
            </w:r>
          </w:p>
        </w:tc>
      </w:tr>
      <w:tr w:rsidR="00CD226B" w:rsidTr="00435B26">
        <w:trPr>
          <w:cantSplit/>
        </w:trPr>
        <w:tc>
          <w:tcPr>
            <w:tcW w:w="2139" w:type="dxa"/>
            <w:shd w:val="clear" w:color="auto" w:fill="auto"/>
          </w:tcPr>
          <w:p w:rsidR="00CD226B" w:rsidRPr="007B33E5" w:rsidRDefault="00CD226B" w:rsidP="00CD226B">
            <w:pPr>
              <w:pStyle w:val="ENoteTableText"/>
              <w:rPr>
                <w:rFonts w:ascii="Arial" w:hAnsi="Arial" w:cs="Arial"/>
                <w:sz w:val="18"/>
                <w:szCs w:val="18"/>
              </w:rPr>
            </w:pPr>
            <w:r>
              <w:rPr>
                <w:rFonts w:ascii="Arial" w:hAnsi="Arial" w:cs="Arial"/>
                <w:sz w:val="18"/>
                <w:szCs w:val="18"/>
              </w:rPr>
              <w:t>Section 4……………….</w:t>
            </w:r>
          </w:p>
        </w:tc>
        <w:tc>
          <w:tcPr>
            <w:tcW w:w="4943" w:type="dxa"/>
            <w:shd w:val="clear" w:color="auto" w:fill="auto"/>
          </w:tcPr>
          <w:p w:rsidR="00CD226B" w:rsidRPr="007B33E5" w:rsidRDefault="00CD226B" w:rsidP="00CD226B">
            <w:pPr>
              <w:pStyle w:val="ENoteTableText"/>
              <w:rPr>
                <w:rFonts w:ascii="Arial" w:hAnsi="Arial" w:cs="Arial"/>
                <w:sz w:val="18"/>
                <w:szCs w:val="18"/>
              </w:rPr>
            </w:pPr>
            <w:r>
              <w:rPr>
                <w:rFonts w:ascii="Arial" w:hAnsi="Arial" w:cs="Arial"/>
                <w:sz w:val="18"/>
                <w:szCs w:val="18"/>
              </w:rPr>
              <w:t>rep LA s 48C</w:t>
            </w:r>
          </w:p>
        </w:tc>
      </w:tr>
      <w:tr w:rsidR="00BF7195" w:rsidTr="00435B26">
        <w:trPr>
          <w:cantSplit/>
        </w:trPr>
        <w:tc>
          <w:tcPr>
            <w:tcW w:w="2139" w:type="dxa"/>
            <w:tcBorders>
              <w:bottom w:val="single" w:sz="12" w:space="0" w:color="auto"/>
            </w:tcBorders>
            <w:shd w:val="clear" w:color="auto" w:fill="auto"/>
          </w:tcPr>
          <w:p w:rsidR="00BF7195" w:rsidRPr="000E2BAC" w:rsidRDefault="00BF7195" w:rsidP="00BF7195">
            <w:pPr>
              <w:pStyle w:val="ENoteTableText"/>
              <w:rPr>
                <w:rFonts w:ascii="Arial" w:hAnsi="Arial" w:cs="Arial"/>
                <w:sz w:val="18"/>
                <w:szCs w:val="18"/>
              </w:rPr>
            </w:pPr>
            <w:r w:rsidRPr="000E2BAC">
              <w:rPr>
                <w:rFonts w:ascii="Arial" w:hAnsi="Arial" w:cs="Arial"/>
                <w:sz w:val="18"/>
                <w:szCs w:val="18"/>
              </w:rPr>
              <w:t>Schedule 1 – Di</w:t>
            </w:r>
            <w:r>
              <w:rPr>
                <w:rFonts w:ascii="Arial" w:hAnsi="Arial" w:cs="Arial"/>
                <w:sz w:val="18"/>
                <w:szCs w:val="18"/>
              </w:rPr>
              <w:t xml:space="preserve">ctionary – </w:t>
            </w:r>
            <w:r>
              <w:rPr>
                <w:rFonts w:ascii="Arial" w:hAnsi="Arial" w:cs="Arial"/>
                <w:sz w:val="18"/>
                <w:szCs w:val="18"/>
              </w:rPr>
              <w:t>combined oral contraceptive pill as specified………………..</w:t>
            </w:r>
          </w:p>
        </w:tc>
        <w:tc>
          <w:tcPr>
            <w:tcW w:w="4943" w:type="dxa"/>
            <w:tcBorders>
              <w:bottom w:val="single" w:sz="12" w:space="0" w:color="auto"/>
            </w:tcBorders>
            <w:shd w:val="clear" w:color="auto" w:fill="auto"/>
          </w:tcPr>
          <w:p w:rsidR="00BF7195" w:rsidRPr="00BF7195" w:rsidRDefault="00BF7195" w:rsidP="00BF7195">
            <w:pPr>
              <w:pStyle w:val="ENoteTableText"/>
              <w:rPr>
                <w:rFonts w:ascii="Arial" w:hAnsi="Arial" w:cs="Arial"/>
                <w:sz w:val="18"/>
                <w:szCs w:val="18"/>
              </w:rPr>
            </w:pPr>
            <w:proofErr w:type="spellStart"/>
            <w:r w:rsidRPr="00BF7195">
              <w:rPr>
                <w:rFonts w:ascii="Arial" w:hAnsi="Arial" w:cs="Arial"/>
                <w:sz w:val="18"/>
                <w:szCs w:val="18"/>
              </w:rPr>
              <w:t>rs</w:t>
            </w:r>
            <w:proofErr w:type="spellEnd"/>
            <w:r w:rsidRPr="00BF7195">
              <w:rPr>
                <w:rFonts w:ascii="Arial" w:hAnsi="Arial" w:cs="Arial"/>
                <w:sz w:val="18"/>
                <w:szCs w:val="18"/>
              </w:rPr>
              <w:t xml:space="preserve"> No. 115 of 2022</w:t>
            </w:r>
          </w:p>
        </w:tc>
      </w:tr>
    </w:tbl>
    <w:p w:rsidR="00307068" w:rsidRDefault="00307068" w:rsidP="00307068">
      <w:pPr>
        <w:pStyle w:val="Tabletext"/>
      </w:pPr>
    </w:p>
    <w:p w:rsidR="00DF6D7F" w:rsidRDefault="00DF6D7F" w:rsidP="00307068">
      <w:pPr>
        <w:sectPr w:rsidR="00DF6D7F" w:rsidSect="00435B26">
          <w:headerReference w:type="even" r:id="rId22"/>
          <w:headerReference w:type="default" r:id="rId23"/>
          <w:footerReference w:type="even" r:id="rId24"/>
          <w:footerReference w:type="default" r:id="rId25"/>
          <w:pgSz w:w="11907" w:h="16839" w:code="9"/>
          <w:pgMar w:top="1440" w:right="1797" w:bottom="1440" w:left="1797" w:header="720" w:footer="709" w:gutter="0"/>
          <w:cols w:space="708"/>
          <w:docGrid w:linePitch="360"/>
        </w:sectPr>
      </w:pPr>
    </w:p>
    <w:p w:rsidR="00307068" w:rsidRPr="00152412" w:rsidRDefault="00307068" w:rsidP="00DF6D7F"/>
    <w:sectPr w:rsidR="00307068" w:rsidRPr="00152412" w:rsidSect="00DF6D7F">
      <w:footerReference w:type="even" r:id="rId26"/>
      <w:footerReference w:type="default" r:id="rId27"/>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B26" w:rsidRDefault="00435B26" w:rsidP="008E17F3">
      <w:pPr>
        <w:spacing w:line="240" w:lineRule="auto"/>
      </w:pPr>
      <w:r>
        <w:separator/>
      </w:r>
    </w:p>
  </w:endnote>
  <w:endnote w:type="continuationSeparator" w:id="0">
    <w:p w:rsidR="00435B26" w:rsidRDefault="00435B26"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B26" w:rsidRDefault="00435B26" w:rsidP="00435B26">
    <w:pPr>
      <w:pStyle w:val="Footer"/>
      <w:pBdr>
        <w:top w:val="single" w:sz="4" w:space="1"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B26" w:rsidRDefault="00435B26"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5B26" w:rsidRDefault="00435B26" w:rsidP="008E17F3">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B26" w:rsidRDefault="00435B26" w:rsidP="008E17F3">
    <w:pPr>
      <w:pStyle w:val="Footer"/>
      <w:tabs>
        <w:tab w:val="clear" w:pos="4153"/>
        <w:tab w:val="clear" w:pos="8306"/>
        <w:tab w:val="left" w:pos="7680"/>
      </w:tabs>
      <w:ind w:right="27"/>
      <w:rPr>
        <w:sz w:val="16"/>
      </w:rPr>
    </w:pPr>
    <w:r>
      <w:rPr>
        <w:sz w:val="16"/>
      </w:rPr>
      <w:tab/>
    </w:r>
    <w:r>
      <w:rPr>
        <w:sz w:val="16"/>
      </w:rPr>
      <w:tab/>
    </w:r>
    <w:proofErr w:type="gramStart"/>
    <w:r>
      <w:t xml:space="preserve">Page  </w:t>
    </w:r>
    <w:proofErr w:type="gramEnd"/>
    <w:r>
      <w:fldChar w:fldCharType="begin"/>
    </w:r>
    <w:r>
      <w:instrText xml:space="preserve"> PAGE  \* MERGEFORMAT </w:instrText>
    </w:r>
    <w:r>
      <w:fldChar w:fldCharType="separate"/>
    </w:r>
    <w:r w:rsidR="002774B0">
      <w:rPr>
        <w:noProof/>
      </w:rPr>
      <w:t>17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B26" w:rsidRPr="00E33C1C" w:rsidRDefault="00435B26" w:rsidP="00F85C9A">
    <w:pPr>
      <w:pBdr>
        <w:top w:val="single" w:sz="6" w:space="1" w:color="auto"/>
      </w:pBdr>
      <w:spacing w:before="120" w:line="0" w:lineRule="atLeast"/>
      <w:rPr>
        <w:sz w:val="16"/>
        <w:szCs w:val="16"/>
      </w:rPr>
    </w:pPr>
  </w:p>
  <w:p w:rsidR="00435B26" w:rsidRPr="00F85C9A" w:rsidRDefault="00435B26" w:rsidP="00F85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B26" w:rsidRDefault="00435B26" w:rsidP="00D03A1F">
    <w:pPr>
      <w:pStyle w:val="Footer"/>
      <w:spacing w:before="120"/>
    </w:pPr>
    <w:r w:rsidRPr="00CB7761">
      <w:t>Prepared by</w:t>
    </w:r>
    <w:r>
      <w:t xml:space="preserve"> the Repatriation Medical Authority Secretariat, Brisbane</w:t>
    </w:r>
  </w:p>
  <w:p w:rsidR="00435B26" w:rsidRPr="00D03A1F" w:rsidRDefault="00435B26" w:rsidP="00D03A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B26" w:rsidRPr="00E33C1C" w:rsidRDefault="00435B26" w:rsidP="00435B26">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2774B0" w:rsidTr="00B52F2D">
      <w:tc>
        <w:tcPr>
          <w:tcW w:w="851" w:type="dxa"/>
          <w:tcBorders>
            <w:top w:val="nil"/>
            <w:left w:val="nil"/>
            <w:bottom w:val="nil"/>
            <w:right w:val="nil"/>
          </w:tcBorders>
        </w:tcPr>
        <w:p w:rsidR="002774B0" w:rsidRDefault="002774B0" w:rsidP="002774B0">
          <w:pPr>
            <w:spacing w:line="0" w:lineRule="atLeast"/>
            <w:rPr>
              <w:sz w:val="18"/>
            </w:rPr>
          </w:pPr>
        </w:p>
      </w:tc>
      <w:tc>
        <w:tcPr>
          <w:tcW w:w="6762" w:type="dxa"/>
          <w:gridSpan w:val="3"/>
          <w:tcBorders>
            <w:top w:val="nil"/>
            <w:left w:val="nil"/>
            <w:bottom w:val="nil"/>
            <w:right w:val="nil"/>
          </w:tcBorders>
        </w:tcPr>
        <w:p w:rsidR="002774B0" w:rsidRPr="00AD2D4B" w:rsidRDefault="002774B0" w:rsidP="002774B0">
          <w:pPr>
            <w:spacing w:line="0" w:lineRule="atLeast"/>
            <w:jc w:val="center"/>
            <w:rPr>
              <w:i/>
              <w:sz w:val="18"/>
              <w:szCs w:val="18"/>
            </w:rPr>
          </w:pPr>
          <w:r w:rsidRPr="00AD2D4B">
            <w:rPr>
              <w:i/>
              <w:sz w:val="18"/>
              <w:szCs w:val="18"/>
            </w:rPr>
            <w:t>Statement of Principles concerning</w:t>
          </w:r>
        </w:p>
      </w:tc>
      <w:tc>
        <w:tcPr>
          <w:tcW w:w="700" w:type="dxa"/>
          <w:tcBorders>
            <w:top w:val="nil"/>
            <w:left w:val="nil"/>
            <w:bottom w:val="nil"/>
            <w:right w:val="nil"/>
          </w:tcBorders>
        </w:tcPr>
        <w:p w:rsidR="002774B0" w:rsidRDefault="002774B0" w:rsidP="002774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C33B8">
            <w:rPr>
              <w:i/>
              <w:noProof/>
              <w:sz w:val="18"/>
            </w:rPr>
            <w:t>12</w:t>
          </w:r>
          <w:r w:rsidRPr="00ED79B6">
            <w:rPr>
              <w:i/>
              <w:sz w:val="18"/>
            </w:rPr>
            <w:fldChar w:fldCharType="end"/>
          </w:r>
        </w:p>
      </w:tc>
    </w:tr>
    <w:tr w:rsidR="002774B0" w:rsidTr="00B52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2774B0" w:rsidRPr="007E56FF" w:rsidRDefault="002774B0" w:rsidP="002774B0">
          <w:pPr>
            <w:jc w:val="center"/>
            <w:rPr>
              <w:i/>
              <w:sz w:val="18"/>
            </w:rPr>
          </w:pPr>
          <w:r>
            <w:rPr>
              <w:i/>
              <w:sz w:val="18"/>
              <w:szCs w:val="18"/>
            </w:rPr>
            <w:t>Gingivitis</w:t>
          </w:r>
          <w:r w:rsidRPr="001E2603">
            <w:rPr>
              <w:i/>
              <w:sz w:val="18"/>
              <w:szCs w:val="18"/>
            </w:rPr>
            <w:t xml:space="preserve"> (Reasonable Hypothesis) (No. </w:t>
          </w:r>
          <w:r>
            <w:rPr>
              <w:i/>
              <w:sz w:val="18"/>
              <w:szCs w:val="18"/>
            </w:rPr>
            <w:t>17</w:t>
          </w:r>
          <w:r w:rsidRPr="001E2603">
            <w:rPr>
              <w:i/>
              <w:sz w:val="18"/>
              <w:szCs w:val="18"/>
            </w:rPr>
            <w:t xml:space="preserve"> of </w:t>
          </w:r>
          <w:r>
            <w:rPr>
              <w:i/>
              <w:sz w:val="18"/>
              <w:szCs w:val="18"/>
            </w:rPr>
            <w:t>2022</w:t>
          </w:r>
          <w:r w:rsidRPr="001E2603">
            <w:rPr>
              <w:i/>
              <w:sz w:val="18"/>
              <w:szCs w:val="18"/>
            </w:rPr>
            <w:t>)</w:t>
          </w:r>
        </w:p>
      </w:tc>
    </w:tr>
    <w:tr w:rsidR="002774B0" w:rsidTr="00B52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2774B0" w:rsidRPr="007E56FF" w:rsidRDefault="002774B0" w:rsidP="002774B0">
          <w:pPr>
            <w:jc w:val="center"/>
            <w:rPr>
              <w:i/>
              <w:sz w:val="18"/>
            </w:rPr>
          </w:pPr>
          <w:r w:rsidRPr="007E56FF">
            <w:rPr>
              <w:i/>
              <w:sz w:val="18"/>
            </w:rPr>
            <w:t>Veterans' Entitlements Act 1986</w:t>
          </w:r>
        </w:p>
      </w:tc>
    </w:tr>
    <w:tr w:rsidR="002774B0" w:rsidRPr="00130F37" w:rsidTr="00B52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2774B0" w:rsidRPr="00130F37" w:rsidRDefault="002774B0" w:rsidP="002774B0">
          <w:pPr>
            <w:spacing w:before="120"/>
            <w:rPr>
              <w:sz w:val="16"/>
              <w:szCs w:val="16"/>
            </w:rPr>
          </w:pPr>
          <w:r w:rsidRPr="00130F37">
            <w:rPr>
              <w:sz w:val="16"/>
              <w:szCs w:val="16"/>
            </w:rPr>
            <w:t xml:space="preserve">Compilation No. </w:t>
          </w:r>
          <w:r>
            <w:rPr>
              <w:sz w:val="16"/>
              <w:szCs w:val="16"/>
            </w:rPr>
            <w:t>1</w:t>
          </w:r>
        </w:p>
      </w:tc>
      <w:tc>
        <w:tcPr>
          <w:tcW w:w="2859" w:type="dxa"/>
        </w:tcPr>
        <w:p w:rsidR="002774B0" w:rsidRPr="00130F37" w:rsidRDefault="002774B0" w:rsidP="002774B0">
          <w:pPr>
            <w:spacing w:before="120"/>
            <w:jc w:val="center"/>
            <w:rPr>
              <w:sz w:val="16"/>
              <w:szCs w:val="16"/>
            </w:rPr>
          </w:pPr>
        </w:p>
      </w:tc>
      <w:tc>
        <w:tcPr>
          <w:tcW w:w="3297" w:type="dxa"/>
          <w:gridSpan w:val="2"/>
        </w:tcPr>
        <w:p w:rsidR="002774B0" w:rsidRPr="00130F37" w:rsidRDefault="002774B0" w:rsidP="002774B0">
          <w:pPr>
            <w:spacing w:before="120"/>
            <w:jc w:val="right"/>
            <w:rPr>
              <w:sz w:val="16"/>
              <w:szCs w:val="16"/>
            </w:rPr>
          </w:pPr>
          <w:r w:rsidRPr="00130F37">
            <w:rPr>
              <w:sz w:val="16"/>
              <w:szCs w:val="16"/>
            </w:rPr>
            <w:t xml:space="preserve">Compilation date: </w:t>
          </w:r>
          <w:r>
            <w:rPr>
              <w:sz w:val="16"/>
              <w:szCs w:val="16"/>
            </w:rPr>
            <w:t>21/11/2022</w:t>
          </w:r>
        </w:p>
      </w:tc>
    </w:tr>
  </w:tbl>
  <w:p w:rsidR="00435B26" w:rsidRPr="004A2007" w:rsidRDefault="00435B26" w:rsidP="002774B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B26" w:rsidRPr="00E33C1C" w:rsidRDefault="00435B26" w:rsidP="00435B26">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2774B0" w:rsidTr="00B52F2D">
      <w:tc>
        <w:tcPr>
          <w:tcW w:w="851" w:type="dxa"/>
          <w:tcBorders>
            <w:top w:val="nil"/>
            <w:left w:val="nil"/>
            <w:bottom w:val="nil"/>
            <w:right w:val="nil"/>
          </w:tcBorders>
        </w:tcPr>
        <w:p w:rsidR="002774B0" w:rsidRDefault="002774B0" w:rsidP="002774B0">
          <w:pPr>
            <w:spacing w:line="0" w:lineRule="atLeast"/>
            <w:rPr>
              <w:sz w:val="18"/>
            </w:rPr>
          </w:pPr>
        </w:p>
      </w:tc>
      <w:tc>
        <w:tcPr>
          <w:tcW w:w="6762" w:type="dxa"/>
          <w:gridSpan w:val="3"/>
          <w:tcBorders>
            <w:top w:val="nil"/>
            <w:left w:val="nil"/>
            <w:bottom w:val="nil"/>
            <w:right w:val="nil"/>
          </w:tcBorders>
        </w:tcPr>
        <w:p w:rsidR="002774B0" w:rsidRPr="00AD2D4B" w:rsidRDefault="002774B0" w:rsidP="002774B0">
          <w:pPr>
            <w:spacing w:line="0" w:lineRule="atLeast"/>
            <w:jc w:val="center"/>
            <w:rPr>
              <w:i/>
              <w:sz w:val="18"/>
              <w:szCs w:val="18"/>
            </w:rPr>
          </w:pPr>
          <w:r w:rsidRPr="00AD2D4B">
            <w:rPr>
              <w:i/>
              <w:sz w:val="18"/>
              <w:szCs w:val="18"/>
            </w:rPr>
            <w:t>Statement of Principles concerning</w:t>
          </w:r>
        </w:p>
      </w:tc>
      <w:tc>
        <w:tcPr>
          <w:tcW w:w="700" w:type="dxa"/>
          <w:tcBorders>
            <w:top w:val="nil"/>
            <w:left w:val="nil"/>
            <w:bottom w:val="nil"/>
            <w:right w:val="nil"/>
          </w:tcBorders>
        </w:tcPr>
        <w:p w:rsidR="002774B0" w:rsidRDefault="002774B0" w:rsidP="002774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C33B8">
            <w:rPr>
              <w:i/>
              <w:noProof/>
              <w:sz w:val="18"/>
            </w:rPr>
            <w:t>1</w:t>
          </w:r>
          <w:r w:rsidRPr="00ED79B6">
            <w:rPr>
              <w:i/>
              <w:sz w:val="18"/>
            </w:rPr>
            <w:fldChar w:fldCharType="end"/>
          </w:r>
        </w:p>
      </w:tc>
    </w:tr>
    <w:tr w:rsidR="002774B0" w:rsidTr="00B52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2774B0" w:rsidRPr="007E56FF" w:rsidRDefault="002774B0" w:rsidP="002774B0">
          <w:pPr>
            <w:jc w:val="center"/>
            <w:rPr>
              <w:i/>
              <w:sz w:val="18"/>
            </w:rPr>
          </w:pPr>
          <w:r>
            <w:rPr>
              <w:i/>
              <w:sz w:val="18"/>
              <w:szCs w:val="18"/>
            </w:rPr>
            <w:t>Gingivitis</w:t>
          </w:r>
          <w:r w:rsidRPr="001E2603">
            <w:rPr>
              <w:i/>
              <w:sz w:val="18"/>
              <w:szCs w:val="18"/>
            </w:rPr>
            <w:t xml:space="preserve"> (Reasonable Hypothesis) (No. </w:t>
          </w:r>
          <w:r>
            <w:rPr>
              <w:i/>
              <w:sz w:val="18"/>
              <w:szCs w:val="18"/>
            </w:rPr>
            <w:t>17</w:t>
          </w:r>
          <w:r w:rsidRPr="001E2603">
            <w:rPr>
              <w:i/>
              <w:sz w:val="18"/>
              <w:szCs w:val="18"/>
            </w:rPr>
            <w:t xml:space="preserve"> of </w:t>
          </w:r>
          <w:r>
            <w:rPr>
              <w:i/>
              <w:sz w:val="18"/>
              <w:szCs w:val="18"/>
            </w:rPr>
            <w:t>2022</w:t>
          </w:r>
          <w:r w:rsidRPr="001E2603">
            <w:rPr>
              <w:i/>
              <w:sz w:val="18"/>
              <w:szCs w:val="18"/>
            </w:rPr>
            <w:t>)</w:t>
          </w:r>
        </w:p>
      </w:tc>
    </w:tr>
    <w:tr w:rsidR="002774B0" w:rsidTr="00B52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2774B0" w:rsidRPr="007E56FF" w:rsidRDefault="002774B0" w:rsidP="002774B0">
          <w:pPr>
            <w:jc w:val="center"/>
            <w:rPr>
              <w:i/>
              <w:sz w:val="18"/>
            </w:rPr>
          </w:pPr>
          <w:r w:rsidRPr="007E56FF">
            <w:rPr>
              <w:i/>
              <w:sz w:val="18"/>
            </w:rPr>
            <w:t>Veterans' Entitlements Act 1986</w:t>
          </w:r>
        </w:p>
      </w:tc>
    </w:tr>
    <w:tr w:rsidR="002774B0" w:rsidRPr="00130F37" w:rsidTr="00B52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2774B0" w:rsidRPr="00130F37" w:rsidRDefault="002774B0" w:rsidP="002774B0">
          <w:pPr>
            <w:spacing w:before="120"/>
            <w:rPr>
              <w:sz w:val="16"/>
              <w:szCs w:val="16"/>
            </w:rPr>
          </w:pPr>
          <w:r w:rsidRPr="00130F37">
            <w:rPr>
              <w:sz w:val="16"/>
              <w:szCs w:val="16"/>
            </w:rPr>
            <w:t xml:space="preserve">Compilation No. </w:t>
          </w:r>
          <w:r>
            <w:rPr>
              <w:sz w:val="16"/>
              <w:szCs w:val="16"/>
            </w:rPr>
            <w:t>1</w:t>
          </w:r>
        </w:p>
      </w:tc>
      <w:tc>
        <w:tcPr>
          <w:tcW w:w="2859" w:type="dxa"/>
        </w:tcPr>
        <w:p w:rsidR="002774B0" w:rsidRPr="00130F37" w:rsidRDefault="002774B0" w:rsidP="002774B0">
          <w:pPr>
            <w:spacing w:before="120"/>
            <w:jc w:val="center"/>
            <w:rPr>
              <w:sz w:val="16"/>
              <w:szCs w:val="16"/>
            </w:rPr>
          </w:pPr>
        </w:p>
      </w:tc>
      <w:tc>
        <w:tcPr>
          <w:tcW w:w="3297" w:type="dxa"/>
          <w:gridSpan w:val="2"/>
        </w:tcPr>
        <w:p w:rsidR="002774B0" w:rsidRPr="00130F37" w:rsidRDefault="002774B0" w:rsidP="002774B0">
          <w:pPr>
            <w:spacing w:before="120"/>
            <w:jc w:val="right"/>
            <w:rPr>
              <w:sz w:val="16"/>
              <w:szCs w:val="16"/>
            </w:rPr>
          </w:pPr>
          <w:r w:rsidRPr="00130F37">
            <w:rPr>
              <w:sz w:val="16"/>
              <w:szCs w:val="16"/>
            </w:rPr>
            <w:t xml:space="preserve">Compilation date: </w:t>
          </w:r>
          <w:r>
            <w:rPr>
              <w:sz w:val="16"/>
              <w:szCs w:val="16"/>
            </w:rPr>
            <w:t>21/11/2022</w:t>
          </w:r>
        </w:p>
      </w:tc>
    </w:tr>
  </w:tbl>
  <w:p w:rsidR="00435B26" w:rsidRPr="004A2007" w:rsidRDefault="00435B26" w:rsidP="00435B2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B26" w:rsidRPr="004A2007" w:rsidRDefault="00435B26" w:rsidP="00435B2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B26" w:rsidRPr="00A254EA" w:rsidRDefault="00435B26" w:rsidP="00435B2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B26" w:rsidRPr="00E33C1C" w:rsidRDefault="00435B26" w:rsidP="00435B26">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435B26" w:rsidTr="00435B26">
      <w:trPr>
        <w:gridAfter w:val="1"/>
        <w:wAfter w:w="283" w:type="dxa"/>
      </w:trPr>
      <w:tc>
        <w:tcPr>
          <w:tcW w:w="709" w:type="dxa"/>
          <w:tcBorders>
            <w:top w:val="nil"/>
            <w:left w:val="nil"/>
            <w:bottom w:val="nil"/>
            <w:right w:val="nil"/>
          </w:tcBorders>
        </w:tcPr>
        <w:p w:rsidR="00435B26" w:rsidRDefault="00435B26" w:rsidP="00435B2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gridSpan w:val="3"/>
          <w:tcBorders>
            <w:top w:val="nil"/>
            <w:left w:val="nil"/>
            <w:bottom w:val="nil"/>
            <w:right w:val="nil"/>
          </w:tcBorders>
        </w:tcPr>
        <w:p w:rsidR="00435B26" w:rsidRPr="00910EED" w:rsidRDefault="00435B26" w:rsidP="00435B26">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1384" w:type="dxa"/>
          <w:tcBorders>
            <w:top w:val="nil"/>
            <w:left w:val="nil"/>
            <w:bottom w:val="nil"/>
            <w:right w:val="nil"/>
          </w:tcBorders>
        </w:tcPr>
        <w:p w:rsidR="00435B26" w:rsidRDefault="00435B26" w:rsidP="00435B26">
          <w:pPr>
            <w:spacing w:line="0" w:lineRule="atLeast"/>
            <w:jc w:val="right"/>
            <w:rPr>
              <w:sz w:val="18"/>
            </w:rPr>
          </w:pPr>
        </w:p>
      </w:tc>
    </w:tr>
    <w:tr w:rsidR="00435B26" w:rsidTr="00435B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Pr>
      <w:tc>
        <w:tcPr>
          <w:tcW w:w="8472" w:type="dxa"/>
          <w:gridSpan w:val="5"/>
        </w:tcPr>
        <w:p w:rsidR="00435B26" w:rsidRDefault="00435B26" w:rsidP="00435B26">
          <w:pPr>
            <w:jc w:val="right"/>
            <w:rPr>
              <w:sz w:val="18"/>
            </w:rPr>
          </w:pPr>
        </w:p>
      </w:tc>
    </w:tr>
    <w:tr w:rsidR="00435B26" w:rsidRPr="00130F37" w:rsidTr="00435B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435B26" w:rsidRPr="00130F37" w:rsidRDefault="00435B26" w:rsidP="00435B26">
          <w:pPr>
            <w:spacing w:before="120"/>
            <w:rPr>
              <w:sz w:val="16"/>
              <w:szCs w:val="16"/>
            </w:rPr>
          </w:pPr>
          <w:r w:rsidRPr="00130F37">
            <w:rPr>
              <w:sz w:val="16"/>
              <w:szCs w:val="16"/>
            </w:rPr>
            <w:t xml:space="preserve">Compilation No. </w:t>
          </w:r>
          <w:r>
            <w:rPr>
              <w:sz w:val="16"/>
              <w:szCs w:val="16"/>
            </w:rPr>
            <w:t>XX</w:t>
          </w:r>
        </w:p>
      </w:tc>
      <w:tc>
        <w:tcPr>
          <w:tcW w:w="2920" w:type="dxa"/>
        </w:tcPr>
        <w:p w:rsidR="00435B26" w:rsidRPr="00130F37" w:rsidRDefault="00435B26" w:rsidP="00435B26">
          <w:pPr>
            <w:spacing w:before="120"/>
            <w:jc w:val="center"/>
            <w:rPr>
              <w:sz w:val="16"/>
              <w:szCs w:val="16"/>
            </w:rPr>
          </w:pPr>
        </w:p>
      </w:tc>
      <w:tc>
        <w:tcPr>
          <w:tcW w:w="3645" w:type="dxa"/>
          <w:gridSpan w:val="3"/>
        </w:tcPr>
        <w:p w:rsidR="00435B26" w:rsidRPr="00130F37" w:rsidRDefault="00435B26" w:rsidP="00435B26">
          <w:pPr>
            <w:spacing w:before="120"/>
            <w:jc w:val="right"/>
            <w:rPr>
              <w:sz w:val="16"/>
              <w:szCs w:val="16"/>
            </w:rPr>
          </w:pPr>
          <w:r w:rsidRPr="00130F37">
            <w:rPr>
              <w:sz w:val="16"/>
              <w:szCs w:val="16"/>
            </w:rPr>
            <w:t xml:space="preserve">Compilation date: </w:t>
          </w:r>
          <w:r>
            <w:rPr>
              <w:sz w:val="16"/>
              <w:szCs w:val="16"/>
            </w:rPr>
            <w:t>dd/mm/yyyy</w:t>
          </w:r>
        </w:p>
      </w:tc>
    </w:tr>
  </w:tbl>
  <w:p w:rsidR="00435B26" w:rsidRPr="00ED79B6" w:rsidRDefault="00435B26" w:rsidP="00435B26">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B26" w:rsidRPr="00E33C1C" w:rsidRDefault="00435B26" w:rsidP="00435B2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435B26" w:rsidTr="00435B26">
      <w:tc>
        <w:tcPr>
          <w:tcW w:w="851" w:type="dxa"/>
          <w:tcBorders>
            <w:top w:val="nil"/>
            <w:left w:val="nil"/>
            <w:bottom w:val="nil"/>
            <w:right w:val="nil"/>
          </w:tcBorders>
        </w:tcPr>
        <w:p w:rsidR="00435B26" w:rsidRDefault="00435B26" w:rsidP="001B2B3E">
          <w:pPr>
            <w:spacing w:line="0" w:lineRule="atLeast"/>
            <w:rPr>
              <w:sz w:val="18"/>
            </w:rPr>
          </w:pPr>
        </w:p>
      </w:tc>
      <w:tc>
        <w:tcPr>
          <w:tcW w:w="6762" w:type="dxa"/>
          <w:gridSpan w:val="3"/>
          <w:tcBorders>
            <w:top w:val="nil"/>
            <w:left w:val="nil"/>
            <w:bottom w:val="nil"/>
            <w:right w:val="nil"/>
          </w:tcBorders>
        </w:tcPr>
        <w:p w:rsidR="00435B26" w:rsidRPr="00AD2D4B" w:rsidRDefault="00435B26" w:rsidP="001B2B3E">
          <w:pPr>
            <w:spacing w:line="0" w:lineRule="atLeast"/>
            <w:jc w:val="center"/>
            <w:rPr>
              <w:i/>
              <w:sz w:val="18"/>
              <w:szCs w:val="18"/>
            </w:rPr>
          </w:pPr>
          <w:r w:rsidRPr="00AD2D4B">
            <w:rPr>
              <w:i/>
              <w:sz w:val="18"/>
              <w:szCs w:val="18"/>
            </w:rPr>
            <w:t>Statement of Principles concerning</w:t>
          </w:r>
        </w:p>
      </w:tc>
      <w:tc>
        <w:tcPr>
          <w:tcW w:w="700" w:type="dxa"/>
          <w:tcBorders>
            <w:top w:val="nil"/>
            <w:left w:val="nil"/>
            <w:bottom w:val="nil"/>
            <w:right w:val="nil"/>
          </w:tcBorders>
        </w:tcPr>
        <w:p w:rsidR="00435B26" w:rsidRDefault="00435B26" w:rsidP="001B2B3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C33B8">
            <w:rPr>
              <w:i/>
              <w:noProof/>
              <w:sz w:val="18"/>
            </w:rPr>
            <w:t>16</w:t>
          </w:r>
          <w:r w:rsidRPr="00ED79B6">
            <w:rPr>
              <w:i/>
              <w:sz w:val="18"/>
            </w:rPr>
            <w:fldChar w:fldCharType="end"/>
          </w:r>
        </w:p>
      </w:tc>
    </w:tr>
    <w:tr w:rsidR="00435B26" w:rsidTr="00435B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435B26" w:rsidRPr="007E56FF" w:rsidRDefault="002774B0" w:rsidP="002774B0">
          <w:pPr>
            <w:jc w:val="center"/>
            <w:rPr>
              <w:i/>
              <w:sz w:val="18"/>
            </w:rPr>
          </w:pPr>
          <w:r>
            <w:rPr>
              <w:i/>
              <w:sz w:val="18"/>
              <w:szCs w:val="18"/>
            </w:rPr>
            <w:t>Gingivitis</w:t>
          </w:r>
          <w:r w:rsidR="00435B26" w:rsidRPr="001E2603">
            <w:rPr>
              <w:i/>
              <w:sz w:val="18"/>
              <w:szCs w:val="18"/>
            </w:rPr>
            <w:t xml:space="preserve"> (Reasonable Hypothesis) (No. </w:t>
          </w:r>
          <w:r>
            <w:rPr>
              <w:i/>
              <w:sz w:val="18"/>
              <w:szCs w:val="18"/>
            </w:rPr>
            <w:t>17</w:t>
          </w:r>
          <w:r w:rsidR="00435B26" w:rsidRPr="001E2603">
            <w:rPr>
              <w:i/>
              <w:sz w:val="18"/>
              <w:szCs w:val="18"/>
            </w:rPr>
            <w:t xml:space="preserve"> of </w:t>
          </w:r>
          <w:r>
            <w:rPr>
              <w:i/>
              <w:sz w:val="18"/>
              <w:szCs w:val="18"/>
            </w:rPr>
            <w:t>2022</w:t>
          </w:r>
          <w:r w:rsidR="00435B26" w:rsidRPr="001E2603">
            <w:rPr>
              <w:i/>
              <w:sz w:val="18"/>
              <w:szCs w:val="18"/>
            </w:rPr>
            <w:t>)</w:t>
          </w:r>
        </w:p>
      </w:tc>
    </w:tr>
    <w:tr w:rsidR="00435B26" w:rsidTr="00435B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435B26" w:rsidRPr="007E56FF" w:rsidRDefault="00435B26" w:rsidP="001B2B3E">
          <w:pPr>
            <w:jc w:val="center"/>
            <w:rPr>
              <w:i/>
              <w:sz w:val="18"/>
            </w:rPr>
          </w:pPr>
          <w:r w:rsidRPr="007E56FF">
            <w:rPr>
              <w:i/>
              <w:sz w:val="18"/>
            </w:rPr>
            <w:t>Veterans' Entitlements Act 1986</w:t>
          </w:r>
        </w:p>
      </w:tc>
    </w:tr>
    <w:tr w:rsidR="00435B26" w:rsidRPr="00130F37" w:rsidTr="00435B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435B26" w:rsidRPr="00130F37" w:rsidRDefault="00435B26" w:rsidP="00297247">
          <w:pPr>
            <w:spacing w:before="120"/>
            <w:rPr>
              <w:sz w:val="16"/>
              <w:szCs w:val="16"/>
            </w:rPr>
          </w:pPr>
          <w:r w:rsidRPr="00130F37">
            <w:rPr>
              <w:sz w:val="16"/>
              <w:szCs w:val="16"/>
            </w:rPr>
            <w:t xml:space="preserve">Compilation No. </w:t>
          </w:r>
          <w:r w:rsidR="002774B0">
            <w:rPr>
              <w:sz w:val="16"/>
              <w:szCs w:val="16"/>
            </w:rPr>
            <w:t>1</w:t>
          </w:r>
        </w:p>
      </w:tc>
      <w:tc>
        <w:tcPr>
          <w:tcW w:w="2859" w:type="dxa"/>
        </w:tcPr>
        <w:p w:rsidR="00435B26" w:rsidRPr="00130F37" w:rsidRDefault="00435B26" w:rsidP="00297247">
          <w:pPr>
            <w:spacing w:before="120"/>
            <w:jc w:val="center"/>
            <w:rPr>
              <w:sz w:val="16"/>
              <w:szCs w:val="16"/>
            </w:rPr>
          </w:pPr>
        </w:p>
      </w:tc>
      <w:tc>
        <w:tcPr>
          <w:tcW w:w="3297" w:type="dxa"/>
          <w:gridSpan w:val="2"/>
        </w:tcPr>
        <w:p w:rsidR="00435B26" w:rsidRPr="00130F37" w:rsidRDefault="00435B26" w:rsidP="00297247">
          <w:pPr>
            <w:spacing w:before="120"/>
            <w:jc w:val="right"/>
            <w:rPr>
              <w:sz w:val="16"/>
              <w:szCs w:val="16"/>
            </w:rPr>
          </w:pPr>
          <w:r w:rsidRPr="00130F37">
            <w:rPr>
              <w:sz w:val="16"/>
              <w:szCs w:val="16"/>
            </w:rPr>
            <w:t xml:space="preserve">Compilation date: </w:t>
          </w:r>
          <w:r w:rsidR="002774B0">
            <w:rPr>
              <w:sz w:val="16"/>
              <w:szCs w:val="16"/>
            </w:rPr>
            <w:t>21/11/2022</w:t>
          </w:r>
        </w:p>
      </w:tc>
    </w:tr>
  </w:tbl>
  <w:p w:rsidR="00435B26" w:rsidRPr="00ED79B6" w:rsidRDefault="00435B26" w:rsidP="00435B26">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B26" w:rsidRDefault="00435B26" w:rsidP="008E17F3">
      <w:pPr>
        <w:spacing w:line="240" w:lineRule="auto"/>
      </w:pPr>
      <w:r>
        <w:separator/>
      </w:r>
    </w:p>
  </w:footnote>
  <w:footnote w:type="continuationSeparator" w:id="0">
    <w:p w:rsidR="00435B26" w:rsidRDefault="00435B26"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B26" w:rsidRDefault="00435B26" w:rsidP="00435B26">
    <w:pPr>
      <w:pStyle w:val="Header"/>
      <w:pBdr>
        <w:bottom w:val="single" w:sz="4" w:space="1" w:color="auto"/>
      </w:pBdr>
      <w:tabs>
        <w:tab w:val="clear" w:pos="4150"/>
        <w:tab w:val="clear" w:pos="8307"/>
      </w:tabs>
    </w:pPr>
  </w:p>
  <w:p w:rsidR="00435B26" w:rsidRDefault="00435B26" w:rsidP="00435B26">
    <w:pPr>
      <w:pStyle w:val="Header"/>
      <w:pBdr>
        <w:bottom w:val="single" w:sz="4" w:space="1" w:color="auto"/>
      </w:pBdr>
      <w:tabs>
        <w:tab w:val="clear" w:pos="4150"/>
        <w:tab w:val="clear" w:pos="8307"/>
      </w:tabs>
    </w:pPr>
  </w:p>
  <w:p w:rsidR="00435B26" w:rsidRPr="005F1388" w:rsidRDefault="00435B26" w:rsidP="00435B26">
    <w:pPr>
      <w:pStyle w:val="Header"/>
      <w:pBdr>
        <w:bottom w:val="single" w:sz="4" w:space="1" w:color="auto"/>
      </w:pBd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B26" w:rsidRPr="00ED79B6" w:rsidRDefault="00435B26" w:rsidP="00F85C9A">
    <w:pPr>
      <w:pBdr>
        <w:bottom w:val="single" w:sz="12" w:space="1" w:color="auto"/>
      </w:pBdr>
      <w:spacing w:before="1000" w:line="240" w:lineRule="auto"/>
    </w:pPr>
  </w:p>
  <w:p w:rsidR="00435B26" w:rsidRPr="00F85C9A" w:rsidRDefault="00435B26" w:rsidP="00F85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B26" w:rsidRPr="005F1388" w:rsidRDefault="00435B26" w:rsidP="00435B2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B26" w:rsidRPr="00ED79B6" w:rsidRDefault="00435B26" w:rsidP="00435B26">
    <w:pPr>
      <w:pBdr>
        <w:bottom w:val="single" w:sz="12" w:space="1" w:color="auto"/>
      </w:pBdr>
      <w:spacing w:before="1000" w:line="240" w:lineRule="auto"/>
    </w:pPr>
  </w:p>
  <w:p w:rsidR="00435B26" w:rsidRPr="00F85C9A" w:rsidRDefault="00435B26" w:rsidP="00435B26">
    <w:pPr>
      <w:pStyle w:val="Header"/>
    </w:pPr>
  </w:p>
  <w:p w:rsidR="00435B26" w:rsidRPr="00ED20B7" w:rsidRDefault="00435B26" w:rsidP="00435B26">
    <w:pPr>
      <w:jc w:val="center"/>
      <w:rPr>
        <w:b/>
        <w:sz w:val="32"/>
        <w:szCs w:val="3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B26" w:rsidRPr="004A2007" w:rsidRDefault="00435B26" w:rsidP="00435B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B26" w:rsidRDefault="00435B26" w:rsidP="00435B26">
    <w:pPr>
      <w:rPr>
        <w:sz w:val="20"/>
      </w:rPr>
    </w:pPr>
    <w:r>
      <w:rPr>
        <w:b/>
        <w:noProof/>
        <w:sz w:val="20"/>
      </w:rPr>
      <w:t>Schedule 1</w:t>
    </w:r>
    <w:r>
      <w:rPr>
        <w:sz w:val="20"/>
      </w:rPr>
      <w:t xml:space="preserve"> - </w:t>
    </w:r>
    <w:r>
      <w:rPr>
        <w:noProof/>
        <w:sz w:val="20"/>
      </w:rPr>
      <w:t>Dictionary</w:t>
    </w:r>
  </w:p>
  <w:p w:rsidR="00435B26" w:rsidRDefault="00435B26" w:rsidP="00435B26">
    <w:pPr>
      <w:pBdr>
        <w:bottom w:val="single" w:sz="6" w:space="1" w:color="auto"/>
      </w:pBdr>
      <w:spacing w:after="12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B26" w:rsidRDefault="00435B26"/>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B26" w:rsidRPr="00C4473E" w:rsidRDefault="00435B26" w:rsidP="00435B26">
    <w:pPr>
      <w:rPr>
        <w:sz w:val="26"/>
        <w:szCs w:val="26"/>
      </w:rPr>
    </w:pPr>
  </w:p>
  <w:p w:rsidR="00435B26" w:rsidRPr="00965EE7" w:rsidRDefault="00435B26" w:rsidP="00435B26">
    <w:pPr>
      <w:rPr>
        <w:b/>
        <w:sz w:val="20"/>
      </w:rPr>
    </w:pPr>
    <w:r w:rsidRPr="00965EE7">
      <w:rPr>
        <w:b/>
        <w:sz w:val="20"/>
      </w:rPr>
      <w:t>Endnotes</w:t>
    </w:r>
  </w:p>
  <w:p w:rsidR="00435B26" w:rsidRPr="007A1328" w:rsidRDefault="00435B26" w:rsidP="00435B26">
    <w:pPr>
      <w:rPr>
        <w:sz w:val="20"/>
      </w:rPr>
    </w:pPr>
  </w:p>
  <w:p w:rsidR="00435B26" w:rsidRPr="007A1328" w:rsidRDefault="00435B26" w:rsidP="00435B26">
    <w:pPr>
      <w:rPr>
        <w:b/>
        <w:sz w:val="24"/>
      </w:rPr>
    </w:pPr>
  </w:p>
  <w:p w:rsidR="00435B26" w:rsidRPr="00C4473E" w:rsidRDefault="00435B26" w:rsidP="00435B26">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1—About the endnotes</w:t>
    </w:r>
    <w:r w:rsidRPr="00C4473E">
      <w:rPr>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B26" w:rsidRPr="00C4473E" w:rsidRDefault="00435B26" w:rsidP="00435B26">
    <w:pPr>
      <w:jc w:val="right"/>
      <w:rPr>
        <w:sz w:val="26"/>
        <w:szCs w:val="26"/>
      </w:rPr>
    </w:pPr>
  </w:p>
  <w:p w:rsidR="00435B26" w:rsidRPr="00965EE7" w:rsidRDefault="00435B26" w:rsidP="00435B26">
    <w:pPr>
      <w:jc w:val="right"/>
      <w:rPr>
        <w:b/>
        <w:sz w:val="20"/>
      </w:rPr>
    </w:pPr>
    <w:r w:rsidRPr="00965EE7">
      <w:rPr>
        <w:b/>
        <w:sz w:val="20"/>
      </w:rPr>
      <w:t>Endnotes</w:t>
    </w:r>
  </w:p>
  <w:p w:rsidR="00435B26" w:rsidRPr="007A1328" w:rsidRDefault="00435B26" w:rsidP="00435B26">
    <w:pPr>
      <w:jc w:val="right"/>
      <w:rPr>
        <w:sz w:val="20"/>
      </w:rPr>
    </w:pPr>
  </w:p>
  <w:p w:rsidR="00435B26" w:rsidRPr="007A1328" w:rsidRDefault="00435B26" w:rsidP="00435B26">
    <w:pPr>
      <w:jc w:val="right"/>
      <w:rPr>
        <w:b/>
        <w:sz w:val="24"/>
      </w:rPr>
    </w:pPr>
  </w:p>
  <w:p w:rsidR="00435B26" w:rsidRPr="00C4473E" w:rsidRDefault="00435B26" w:rsidP="00435B26">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4C33B8">
      <w:rPr>
        <w:noProof/>
        <w:szCs w:val="22"/>
      </w:rPr>
      <w:t>Endnote 4—Amendment history</w:t>
    </w:r>
    <w:r w:rsidRPr="00C4473E">
      <w:rPr>
        <w:szCs w:val="22"/>
      </w:rPr>
      <w:fldChar w:fldCharType="end"/>
    </w:r>
  </w:p>
  <w:p w:rsidR="00435B26" w:rsidRDefault="00435B2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E4C4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8481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30AB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86C3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F828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A20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C6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54CB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C4B0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0CD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C2DE4D2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1"/>
  </w:num>
  <w:num w:numId="14">
    <w:abstractNumId w:val="12"/>
  </w:num>
  <w:num w:numId="15">
    <w:abstractNumId w:val="10"/>
  </w:num>
  <w:num w:numId="1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68"/>
    <w:rsid w:val="000136AF"/>
    <w:rsid w:val="00022B7E"/>
    <w:rsid w:val="000341FA"/>
    <w:rsid w:val="00036B0B"/>
    <w:rsid w:val="00056743"/>
    <w:rsid w:val="000614BF"/>
    <w:rsid w:val="00075C78"/>
    <w:rsid w:val="000C604C"/>
    <w:rsid w:val="000D05EF"/>
    <w:rsid w:val="0010745C"/>
    <w:rsid w:val="00160F9F"/>
    <w:rsid w:val="00166C2F"/>
    <w:rsid w:val="001749FD"/>
    <w:rsid w:val="001939E1"/>
    <w:rsid w:val="00195382"/>
    <w:rsid w:val="001A30B9"/>
    <w:rsid w:val="001B2B3E"/>
    <w:rsid w:val="001C69C4"/>
    <w:rsid w:val="001E3590"/>
    <w:rsid w:val="001E7407"/>
    <w:rsid w:val="00225772"/>
    <w:rsid w:val="00243759"/>
    <w:rsid w:val="00253D1B"/>
    <w:rsid w:val="002774B0"/>
    <w:rsid w:val="00295FBA"/>
    <w:rsid w:val="002970D7"/>
    <w:rsid w:val="00297247"/>
    <w:rsid w:val="00297ECB"/>
    <w:rsid w:val="002B5DAE"/>
    <w:rsid w:val="002C7668"/>
    <w:rsid w:val="002D043A"/>
    <w:rsid w:val="002D6A8E"/>
    <w:rsid w:val="00307068"/>
    <w:rsid w:val="00311448"/>
    <w:rsid w:val="0032286F"/>
    <w:rsid w:val="00352B0F"/>
    <w:rsid w:val="00360FB0"/>
    <w:rsid w:val="00377A00"/>
    <w:rsid w:val="003B5735"/>
    <w:rsid w:val="003D0BFE"/>
    <w:rsid w:val="003D5700"/>
    <w:rsid w:val="003D6F8A"/>
    <w:rsid w:val="003E4160"/>
    <w:rsid w:val="004116CD"/>
    <w:rsid w:val="00424CA9"/>
    <w:rsid w:val="00435B26"/>
    <w:rsid w:val="0044291A"/>
    <w:rsid w:val="004560FB"/>
    <w:rsid w:val="004653F8"/>
    <w:rsid w:val="00496F97"/>
    <w:rsid w:val="004C33B8"/>
    <w:rsid w:val="005006E0"/>
    <w:rsid w:val="00516B8D"/>
    <w:rsid w:val="005327A0"/>
    <w:rsid w:val="00537FBC"/>
    <w:rsid w:val="00567964"/>
    <w:rsid w:val="00584811"/>
    <w:rsid w:val="00594161"/>
    <w:rsid w:val="00594749"/>
    <w:rsid w:val="00600219"/>
    <w:rsid w:val="00613A55"/>
    <w:rsid w:val="006207A3"/>
    <w:rsid w:val="006279B8"/>
    <w:rsid w:val="00677CC2"/>
    <w:rsid w:val="00680F77"/>
    <w:rsid w:val="0069207B"/>
    <w:rsid w:val="006C3DF2"/>
    <w:rsid w:val="006C7F8C"/>
    <w:rsid w:val="006D77BA"/>
    <w:rsid w:val="006E2E9F"/>
    <w:rsid w:val="00704A73"/>
    <w:rsid w:val="007276BC"/>
    <w:rsid w:val="00731E00"/>
    <w:rsid w:val="00733990"/>
    <w:rsid w:val="00766393"/>
    <w:rsid w:val="007715C9"/>
    <w:rsid w:val="00774EDD"/>
    <w:rsid w:val="00775577"/>
    <w:rsid w:val="007757EC"/>
    <w:rsid w:val="008006B2"/>
    <w:rsid w:val="00856A31"/>
    <w:rsid w:val="00872162"/>
    <w:rsid w:val="008754D0"/>
    <w:rsid w:val="00893A33"/>
    <w:rsid w:val="008E17F3"/>
    <w:rsid w:val="008E3B8C"/>
    <w:rsid w:val="008E4F16"/>
    <w:rsid w:val="008F0CF0"/>
    <w:rsid w:val="008F20EA"/>
    <w:rsid w:val="00910C7A"/>
    <w:rsid w:val="009302EC"/>
    <w:rsid w:val="00935CA5"/>
    <w:rsid w:val="0094622F"/>
    <w:rsid w:val="0098638B"/>
    <w:rsid w:val="00A145FE"/>
    <w:rsid w:val="00A231E2"/>
    <w:rsid w:val="00A41800"/>
    <w:rsid w:val="00A64912"/>
    <w:rsid w:val="00A70A74"/>
    <w:rsid w:val="00A91B5C"/>
    <w:rsid w:val="00AC07B0"/>
    <w:rsid w:val="00AD5641"/>
    <w:rsid w:val="00B33B3C"/>
    <w:rsid w:val="00BE719A"/>
    <w:rsid w:val="00BE720A"/>
    <w:rsid w:val="00BF7195"/>
    <w:rsid w:val="00C42BF8"/>
    <w:rsid w:val="00C50043"/>
    <w:rsid w:val="00C544DF"/>
    <w:rsid w:val="00C61CDD"/>
    <w:rsid w:val="00C7573B"/>
    <w:rsid w:val="00C83868"/>
    <w:rsid w:val="00CB3D6B"/>
    <w:rsid w:val="00CB48D8"/>
    <w:rsid w:val="00CC0A9E"/>
    <w:rsid w:val="00CD0200"/>
    <w:rsid w:val="00CD226B"/>
    <w:rsid w:val="00CF0BB2"/>
    <w:rsid w:val="00D03A1F"/>
    <w:rsid w:val="00D13441"/>
    <w:rsid w:val="00D70DFB"/>
    <w:rsid w:val="00D766DF"/>
    <w:rsid w:val="00DB3CFE"/>
    <w:rsid w:val="00DB6E60"/>
    <w:rsid w:val="00DC78AA"/>
    <w:rsid w:val="00DC7B41"/>
    <w:rsid w:val="00DE7073"/>
    <w:rsid w:val="00DF1CF5"/>
    <w:rsid w:val="00DF6D7F"/>
    <w:rsid w:val="00E74DC7"/>
    <w:rsid w:val="00E76A98"/>
    <w:rsid w:val="00E774E7"/>
    <w:rsid w:val="00EB03CB"/>
    <w:rsid w:val="00ED0C49"/>
    <w:rsid w:val="00EE0816"/>
    <w:rsid w:val="00EF2E3A"/>
    <w:rsid w:val="00F04811"/>
    <w:rsid w:val="00F078DC"/>
    <w:rsid w:val="00F23E5F"/>
    <w:rsid w:val="00F51269"/>
    <w:rsid w:val="00F85C9A"/>
    <w:rsid w:val="00FA25A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BA400AE"/>
  <w15:docId w15:val="{AC4AAFAB-80C6-452D-BCA1-B7DFEB54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69C4"/>
    <w:pPr>
      <w:spacing w:line="260" w:lineRule="atLeast"/>
    </w:pPr>
    <w:rPr>
      <w:sz w:val="22"/>
    </w:rPr>
  </w:style>
  <w:style w:type="paragraph" w:styleId="Heading1">
    <w:name w:val="heading 1"/>
    <w:basedOn w:val="Normal"/>
    <w:next w:val="Normal"/>
    <w:link w:val="Heading1Char"/>
    <w:uiPriority w:val="9"/>
    <w:qFormat/>
    <w:rsid w:val="002774B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774B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2"/>
    <w:qFormat/>
    <w:rsid w:val="00A231E2"/>
  </w:style>
  <w:style w:type="character" w:customStyle="1" w:styleId="CharAmPartText">
    <w:name w:val="CharAmPartText"/>
    <w:basedOn w:val="OPCCharBase"/>
    <w:uiPriority w:val="2"/>
    <w:qFormat/>
    <w:rsid w:val="00A231E2"/>
  </w:style>
  <w:style w:type="character" w:customStyle="1" w:styleId="CharAmSchNo">
    <w:name w:val="CharAmSchNo"/>
    <w:basedOn w:val="OPCCharBase"/>
    <w:uiPriority w:val="2"/>
    <w:qFormat/>
    <w:rsid w:val="00A231E2"/>
  </w:style>
  <w:style w:type="character" w:customStyle="1" w:styleId="CharAmSchText">
    <w:name w:val="CharAmSchText"/>
    <w:basedOn w:val="OPCCharBase"/>
    <w:uiPriority w:val="2"/>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2"/>
    <w:qFormat/>
    <w:rsid w:val="00A231E2"/>
  </w:style>
  <w:style w:type="character" w:customStyle="1" w:styleId="CharChapText">
    <w:name w:val="CharChapText"/>
    <w:basedOn w:val="OPCCharBase"/>
    <w:uiPriority w:val="2"/>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2"/>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uiPriority w:val="2"/>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paragraph" w:customStyle="1" w:styleId="TableOfStatRules">
    <w:name w:val="TableOfStatRules"/>
    <w:basedOn w:val="Normal"/>
    <w:rsid w:val="009302EC"/>
    <w:pPr>
      <w:spacing w:before="60" w:line="200" w:lineRule="exact"/>
    </w:pPr>
    <w:rPr>
      <w:rFonts w:ascii="Arial" w:eastAsia="Times New Roman" w:hAnsi="Arial" w:cs="Times New Roman"/>
      <w:noProof/>
      <w:sz w:val="18"/>
      <w:szCs w:val="24"/>
      <w:lang w:eastAsia="en-AU"/>
    </w:rPr>
  </w:style>
  <w:style w:type="paragraph" w:customStyle="1" w:styleId="PlainIndent">
    <w:name w:val="Plain Indent"/>
    <w:autoRedefine/>
    <w:rsid w:val="00435B26"/>
    <w:pPr>
      <w:spacing w:before="180"/>
      <w:ind w:left="851"/>
    </w:pPr>
    <w:rPr>
      <w:rFonts w:eastAsia="Times New Roman" w:cs="Times New Roman"/>
      <w:sz w:val="24"/>
      <w:szCs w:val="24"/>
      <w:lang w:eastAsia="en-AU"/>
    </w:rPr>
  </w:style>
  <w:style w:type="paragraph" w:customStyle="1" w:styleId="SignCoverPageStart">
    <w:name w:val="SignCoverPageStart"/>
    <w:basedOn w:val="Normal"/>
    <w:next w:val="Normal"/>
    <w:uiPriority w:val="2"/>
    <w:semiHidden/>
    <w:rsid w:val="00435B26"/>
    <w:pPr>
      <w:pBdr>
        <w:top w:val="single" w:sz="4" w:space="1" w:color="auto"/>
      </w:pBdr>
      <w:spacing w:before="360"/>
      <w:ind w:right="397"/>
      <w:jc w:val="both"/>
    </w:pPr>
    <w:rPr>
      <w:rFonts w:eastAsia="Times New Roman" w:cs="Times New Roman"/>
      <w:lang w:eastAsia="en-AU"/>
    </w:rPr>
  </w:style>
  <w:style w:type="paragraph" w:customStyle="1" w:styleId="LV1">
    <w:name w:val="LV 1"/>
    <w:autoRedefine/>
    <w:qFormat/>
    <w:rsid w:val="00435B26"/>
    <w:pPr>
      <w:numPr>
        <w:numId w:val="15"/>
      </w:numPr>
      <w:spacing w:before="200" w:line="280" w:lineRule="atLeast"/>
      <w:outlineLvl w:val="1"/>
    </w:pPr>
    <w:rPr>
      <w:rFonts w:eastAsia="Calibri" w:cs="Times New Roman"/>
      <w:b/>
      <w:sz w:val="24"/>
      <w:szCs w:val="24"/>
    </w:rPr>
  </w:style>
  <w:style w:type="paragraph" w:customStyle="1" w:styleId="LV2">
    <w:name w:val="LV 2"/>
    <w:basedOn w:val="PlainIndent"/>
    <w:autoRedefine/>
    <w:qFormat/>
    <w:rsid w:val="00435B26"/>
    <w:pPr>
      <w:numPr>
        <w:ilvl w:val="1"/>
        <w:numId w:val="15"/>
      </w:numPr>
    </w:pPr>
  </w:style>
  <w:style w:type="paragraph" w:customStyle="1" w:styleId="LV3">
    <w:name w:val="LV 3"/>
    <w:basedOn w:val="PlainIndent"/>
    <w:autoRedefine/>
    <w:qFormat/>
    <w:rsid w:val="00435B26"/>
    <w:pPr>
      <w:numPr>
        <w:ilvl w:val="2"/>
        <w:numId w:val="15"/>
      </w:numPr>
      <w:contextualSpacing/>
    </w:pPr>
  </w:style>
  <w:style w:type="paragraph" w:customStyle="1" w:styleId="LV4">
    <w:name w:val="LV 4"/>
    <w:basedOn w:val="PlainIndent"/>
    <w:autoRedefine/>
    <w:qFormat/>
    <w:rsid w:val="00435B26"/>
    <w:pPr>
      <w:numPr>
        <w:ilvl w:val="3"/>
        <w:numId w:val="15"/>
      </w:numPr>
      <w:contextualSpacing/>
    </w:pPr>
  </w:style>
  <w:style w:type="paragraph" w:customStyle="1" w:styleId="LV5">
    <w:name w:val="LV 5"/>
    <w:basedOn w:val="PlainIndent"/>
    <w:autoRedefine/>
    <w:qFormat/>
    <w:rsid w:val="00435B26"/>
    <w:pPr>
      <w:numPr>
        <w:ilvl w:val="4"/>
        <w:numId w:val="15"/>
      </w:numPr>
      <w:contextualSpacing/>
    </w:pPr>
  </w:style>
  <w:style w:type="paragraph" w:customStyle="1" w:styleId="SH1">
    <w:name w:val="SH 1"/>
    <w:basedOn w:val="Normal"/>
    <w:autoRedefine/>
    <w:qFormat/>
    <w:rsid w:val="00435B26"/>
    <w:pPr>
      <w:numPr>
        <w:numId w:val="14"/>
      </w:numPr>
      <w:spacing w:before="200" w:line="280" w:lineRule="atLeast"/>
      <w:outlineLvl w:val="1"/>
    </w:pPr>
    <w:rPr>
      <w:rFonts w:eastAsia="Calibri" w:cs="Times New Roman"/>
      <w:b/>
      <w:sz w:val="24"/>
    </w:rPr>
  </w:style>
  <w:style w:type="paragraph" w:customStyle="1" w:styleId="SH2">
    <w:name w:val="SH 2"/>
    <w:basedOn w:val="PlainIndent"/>
    <w:autoRedefine/>
    <w:qFormat/>
    <w:rsid w:val="00435B26"/>
    <w:pPr>
      <w:numPr>
        <w:ilvl w:val="1"/>
        <w:numId w:val="14"/>
      </w:numPr>
    </w:pPr>
  </w:style>
  <w:style w:type="paragraph" w:customStyle="1" w:styleId="SH3">
    <w:name w:val="SH 3"/>
    <w:link w:val="SH3Char"/>
    <w:autoRedefine/>
    <w:qFormat/>
    <w:rsid w:val="00435B26"/>
    <w:pPr>
      <w:numPr>
        <w:ilvl w:val="2"/>
        <w:numId w:val="14"/>
      </w:numPr>
      <w:spacing w:before="100"/>
      <w:ind w:left="851" w:hanging="907"/>
    </w:pPr>
    <w:rPr>
      <w:rFonts w:eastAsia="Times New Roman" w:cs="Times New Roman"/>
      <w:sz w:val="24"/>
      <w:szCs w:val="24"/>
      <w:lang w:eastAsia="en-AU"/>
    </w:rPr>
  </w:style>
  <w:style w:type="paragraph" w:customStyle="1" w:styleId="SH4">
    <w:name w:val="SH 4"/>
    <w:autoRedefine/>
    <w:qFormat/>
    <w:rsid w:val="00435B26"/>
    <w:pPr>
      <w:numPr>
        <w:ilvl w:val="3"/>
        <w:numId w:val="14"/>
      </w:numPr>
      <w:spacing w:before="100"/>
      <w:contextualSpacing/>
    </w:pPr>
    <w:rPr>
      <w:rFonts w:eastAsia="Times New Roman" w:cs="Times New Roman"/>
      <w:sz w:val="24"/>
      <w:szCs w:val="24"/>
      <w:lang w:eastAsia="en-AU"/>
    </w:rPr>
  </w:style>
  <w:style w:type="paragraph" w:customStyle="1" w:styleId="SH5">
    <w:name w:val="SH 5"/>
    <w:basedOn w:val="Normal"/>
    <w:autoRedefine/>
    <w:qFormat/>
    <w:rsid w:val="00435B26"/>
    <w:pPr>
      <w:numPr>
        <w:ilvl w:val="4"/>
        <w:numId w:val="14"/>
      </w:numPr>
      <w:tabs>
        <w:tab w:val="right" w:pos="709"/>
      </w:tabs>
      <w:spacing w:before="40"/>
      <w:contextualSpacing/>
    </w:pPr>
    <w:rPr>
      <w:rFonts w:eastAsia="Calibri" w:cs="Times New Roman"/>
      <w:sz w:val="24"/>
      <w:szCs w:val="24"/>
    </w:rPr>
  </w:style>
  <w:style w:type="paragraph" w:customStyle="1" w:styleId="Plain">
    <w:name w:val="Plain"/>
    <w:autoRedefine/>
    <w:uiPriority w:val="2"/>
    <w:qFormat/>
    <w:rsid w:val="00435B26"/>
    <w:pPr>
      <w:spacing w:before="200"/>
      <w:ind w:left="284"/>
    </w:pPr>
    <w:rPr>
      <w:rFonts w:eastAsia="Times New Roman" w:cs="Times New Roman"/>
      <w:b/>
      <w:sz w:val="24"/>
      <w:szCs w:val="24"/>
      <w:lang w:eastAsia="en-AU"/>
    </w:rPr>
  </w:style>
  <w:style w:type="paragraph" w:customStyle="1" w:styleId="Plainheader">
    <w:name w:val="Plain header"/>
    <w:autoRedefine/>
    <w:uiPriority w:val="2"/>
    <w:qFormat/>
    <w:rsid w:val="00435B26"/>
    <w:pPr>
      <w:spacing w:before="120" w:after="120" w:line="280" w:lineRule="atLeast"/>
      <w:jc w:val="center"/>
      <w:outlineLvl w:val="0"/>
    </w:pPr>
    <w:rPr>
      <w:rFonts w:eastAsia="Calibri" w:cs="Times New Roman"/>
      <w:b/>
      <w:color w:val="000000"/>
      <w:sz w:val="40"/>
    </w:rPr>
  </w:style>
  <w:style w:type="paragraph" w:customStyle="1" w:styleId="NOTEScheduleonly">
    <w:name w:val="NOTE (Schedule only)"/>
    <w:uiPriority w:val="2"/>
    <w:qFormat/>
    <w:rsid w:val="00435B26"/>
    <w:rPr>
      <w:rFonts w:eastAsia="Times New Roman" w:cs="Times New Roman"/>
      <w:sz w:val="18"/>
      <w:lang w:eastAsia="en-AU"/>
    </w:rPr>
  </w:style>
  <w:style w:type="paragraph" w:customStyle="1" w:styleId="SHHeader">
    <w:name w:val="SH Header"/>
    <w:autoRedefine/>
    <w:uiPriority w:val="2"/>
    <w:qFormat/>
    <w:rsid w:val="00435B26"/>
    <w:rPr>
      <w:rFonts w:eastAsia="Calibri" w:cs="Times New Roman"/>
      <w:b/>
      <w:color w:val="000000"/>
      <w:sz w:val="40"/>
    </w:rPr>
  </w:style>
  <w:style w:type="paragraph" w:customStyle="1" w:styleId="SH3nospace">
    <w:name w:val="SH 3 (no space)"/>
    <w:basedOn w:val="SH3"/>
    <w:link w:val="SH3nospaceChar"/>
    <w:uiPriority w:val="2"/>
    <w:qFormat/>
    <w:rsid w:val="00435B26"/>
    <w:pPr>
      <w:spacing w:before="0"/>
      <w:contextualSpacing/>
    </w:pPr>
  </w:style>
  <w:style w:type="character" w:customStyle="1" w:styleId="SH3Char">
    <w:name w:val="SH 3 Char"/>
    <w:basedOn w:val="DefaultParagraphFont"/>
    <w:link w:val="SH3"/>
    <w:rsid w:val="00435B26"/>
    <w:rPr>
      <w:rFonts w:eastAsia="Times New Roman" w:cs="Times New Roman"/>
      <w:sz w:val="24"/>
      <w:szCs w:val="24"/>
      <w:lang w:eastAsia="en-AU"/>
    </w:rPr>
  </w:style>
  <w:style w:type="character" w:customStyle="1" w:styleId="SH3nospaceChar">
    <w:name w:val="SH 3 (no space) Char"/>
    <w:basedOn w:val="SH3Char"/>
    <w:link w:val="SH3nospace"/>
    <w:uiPriority w:val="2"/>
    <w:rsid w:val="00435B26"/>
    <w:rPr>
      <w:rFonts w:eastAsia="Times New Roman" w:cs="Times New Roman"/>
      <w:sz w:val="24"/>
      <w:szCs w:val="24"/>
      <w:lang w:eastAsia="en-AU"/>
    </w:rPr>
  </w:style>
  <w:style w:type="paragraph" w:customStyle="1" w:styleId="LVtext">
    <w:name w:val="LV text"/>
    <w:uiPriority w:val="2"/>
    <w:rsid w:val="00435B26"/>
    <w:pPr>
      <w:spacing w:before="180"/>
      <w:ind w:left="907"/>
    </w:pPr>
    <w:rPr>
      <w:rFonts w:eastAsia="Times New Roman" w:cs="Times New Roman"/>
      <w:i/>
      <w:sz w:val="24"/>
      <w:szCs w:val="24"/>
      <w:lang w:eastAsia="en-AU"/>
    </w:rPr>
  </w:style>
  <w:style w:type="paragraph" w:customStyle="1" w:styleId="Note2">
    <w:name w:val="Note 2"/>
    <w:basedOn w:val="Normal"/>
    <w:link w:val="Note2Char"/>
    <w:uiPriority w:val="2"/>
    <w:qFormat/>
    <w:rsid w:val="00435B26"/>
    <w:pPr>
      <w:spacing w:before="122" w:line="240" w:lineRule="auto"/>
      <w:ind w:left="1928" w:hanging="510"/>
    </w:pPr>
    <w:rPr>
      <w:rFonts w:eastAsia="Times New Roman" w:cs="Times New Roman"/>
      <w:sz w:val="18"/>
      <w:lang w:eastAsia="en-AU"/>
    </w:rPr>
  </w:style>
  <w:style w:type="character" w:customStyle="1" w:styleId="Note2Char">
    <w:name w:val="Note 2 Char"/>
    <w:basedOn w:val="DefaultParagraphFont"/>
    <w:link w:val="Note2"/>
    <w:uiPriority w:val="2"/>
    <w:rsid w:val="00435B26"/>
    <w:rPr>
      <w:rFonts w:eastAsia="Times New Roman" w:cs="Times New Roman"/>
      <w:sz w:val="18"/>
      <w:lang w:eastAsia="en-AU"/>
    </w:rPr>
  </w:style>
  <w:style w:type="paragraph" w:customStyle="1" w:styleId="ScheduleNote">
    <w:name w:val="Schedule Note"/>
    <w:basedOn w:val="Normal"/>
    <w:link w:val="ScheduleNoteChar"/>
    <w:uiPriority w:val="2"/>
    <w:qFormat/>
    <w:rsid w:val="00435B26"/>
    <w:pPr>
      <w:spacing w:before="122" w:line="240" w:lineRule="auto"/>
      <w:ind w:left="851"/>
    </w:pPr>
    <w:rPr>
      <w:rFonts w:eastAsia="Times New Roman" w:cs="Times New Roman"/>
      <w:sz w:val="18"/>
      <w:lang w:eastAsia="en-AU"/>
    </w:rPr>
  </w:style>
  <w:style w:type="character" w:customStyle="1" w:styleId="ScheduleNoteChar">
    <w:name w:val="Schedule Note Char"/>
    <w:basedOn w:val="DefaultParagraphFont"/>
    <w:link w:val="ScheduleNote"/>
    <w:uiPriority w:val="2"/>
    <w:rsid w:val="00435B26"/>
    <w:rPr>
      <w:rFonts w:eastAsia="Times New Roman" w:cs="Times New Roman"/>
      <w:sz w:val="18"/>
      <w:lang w:eastAsia="en-AU"/>
    </w:rPr>
  </w:style>
  <w:style w:type="character" w:customStyle="1" w:styleId="Heading1Char">
    <w:name w:val="Heading 1 Char"/>
    <w:basedOn w:val="DefaultParagraphFont"/>
    <w:link w:val="Heading1"/>
    <w:uiPriority w:val="9"/>
    <w:rsid w:val="002774B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2774B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0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Template>
  <TotalTime>70</TotalTime>
  <Pages>18</Pages>
  <Words>3982</Words>
  <Characters>22699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Company>Office of Parliamentary Counsel</Company>
  <LinksUpToDate>false</LinksUpToDate>
  <CharactersWithSpaces>26628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creator>colesd</dc:creator>
  <cp:lastModifiedBy>Lochel, Sarah</cp:lastModifiedBy>
  <cp:revision>15</cp:revision>
  <cp:lastPrinted>2016-11-03T03:57:00Z</cp:lastPrinted>
  <dcterms:created xsi:type="dcterms:W3CDTF">2017-04-20T00:14:00Z</dcterms:created>
  <dcterms:modified xsi:type="dcterms:W3CDTF">2022-11-01T03:11:00Z</dcterms:modified>
  <cp:category>Other - Update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