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AB526" w14:textId="2C79D687" w:rsidR="006422FB" w:rsidRPr="00160353" w:rsidRDefault="006422FB" w:rsidP="006422FB">
      <w:pPr>
        <w:pStyle w:val="Heading1"/>
        <w:spacing w:before="0" w:after="0" w:line="240" w:lineRule="auto"/>
        <w:jc w:val="center"/>
        <w:rPr>
          <w:rFonts w:ascii="Times New Roman" w:hAnsi="Times New Roman"/>
          <w:b/>
          <w:sz w:val="24"/>
          <w:szCs w:val="24"/>
          <w:u w:val="single"/>
        </w:rPr>
      </w:pPr>
      <w:r w:rsidRPr="00160353">
        <w:rPr>
          <w:rFonts w:ascii="Times New Roman" w:hAnsi="Times New Roman"/>
          <w:b/>
          <w:sz w:val="24"/>
          <w:szCs w:val="24"/>
          <w:u w:val="single"/>
        </w:rPr>
        <w:t>E</w:t>
      </w:r>
      <w:r w:rsidR="00166214" w:rsidRPr="00160353">
        <w:rPr>
          <w:rFonts w:ascii="Times New Roman" w:hAnsi="Times New Roman"/>
          <w:b/>
          <w:sz w:val="24"/>
          <w:szCs w:val="24"/>
          <w:u w:val="single"/>
        </w:rPr>
        <w:t>lectronic transactions AMENDMENT</w:t>
      </w:r>
      <w:r w:rsidRPr="00160353">
        <w:rPr>
          <w:rFonts w:ascii="Times New Roman" w:hAnsi="Times New Roman"/>
          <w:b/>
          <w:sz w:val="24"/>
          <w:szCs w:val="24"/>
          <w:u w:val="single"/>
        </w:rPr>
        <w:t xml:space="preserve"> regulations </w:t>
      </w:r>
      <w:r w:rsidR="00166214" w:rsidRPr="00160353">
        <w:rPr>
          <w:rFonts w:ascii="Times New Roman" w:hAnsi="Times New Roman"/>
          <w:b/>
          <w:sz w:val="24"/>
          <w:szCs w:val="24"/>
          <w:u w:val="single"/>
        </w:rPr>
        <w:t>2021</w:t>
      </w:r>
    </w:p>
    <w:p w14:paraId="4EF43F4E" w14:textId="77777777" w:rsidR="006422FB" w:rsidRPr="00160353" w:rsidRDefault="006422FB" w:rsidP="006422FB">
      <w:pPr>
        <w:rPr>
          <w:rFonts w:ascii="Times New Roman" w:hAnsi="Times New Roman"/>
          <w:sz w:val="24"/>
          <w:szCs w:val="24"/>
        </w:rPr>
      </w:pPr>
    </w:p>
    <w:p w14:paraId="0B2D7EA3" w14:textId="77777777" w:rsidR="006422FB" w:rsidRPr="00160353" w:rsidRDefault="006422FB" w:rsidP="006422FB">
      <w:pPr>
        <w:pStyle w:val="Heading1"/>
        <w:spacing w:before="0" w:after="0" w:line="240" w:lineRule="auto"/>
        <w:jc w:val="center"/>
        <w:rPr>
          <w:rFonts w:ascii="Times New Roman" w:hAnsi="Times New Roman"/>
          <w:b/>
          <w:color w:val="FF0000"/>
          <w:sz w:val="24"/>
          <w:szCs w:val="24"/>
          <w:u w:val="single"/>
        </w:rPr>
      </w:pPr>
    </w:p>
    <w:p w14:paraId="6B5FEAE2" w14:textId="77777777" w:rsidR="006422FB" w:rsidRPr="00160353" w:rsidRDefault="006422FB" w:rsidP="006422FB">
      <w:pPr>
        <w:pStyle w:val="Heading1"/>
        <w:spacing w:before="0" w:after="0" w:line="240" w:lineRule="auto"/>
        <w:jc w:val="center"/>
        <w:rPr>
          <w:rFonts w:ascii="Times New Roman" w:hAnsi="Times New Roman"/>
          <w:caps w:val="0"/>
          <w:color w:val="FF0000"/>
          <w:sz w:val="24"/>
          <w:szCs w:val="24"/>
        </w:rPr>
      </w:pPr>
      <w:r w:rsidRPr="00160353">
        <w:rPr>
          <w:rFonts w:ascii="Times New Roman" w:hAnsi="Times New Roman"/>
          <w:b/>
          <w:sz w:val="24"/>
          <w:szCs w:val="24"/>
          <w:u w:val="single"/>
        </w:rPr>
        <w:t>EXPLANATORY STATEMENT</w:t>
      </w:r>
    </w:p>
    <w:p w14:paraId="59C2DEBB" w14:textId="77777777" w:rsidR="006422FB" w:rsidRPr="00160353" w:rsidRDefault="006422FB" w:rsidP="006422FB">
      <w:pPr>
        <w:spacing w:line="360" w:lineRule="auto"/>
        <w:jc w:val="center"/>
        <w:rPr>
          <w:rFonts w:ascii="Times New Roman" w:hAnsi="Times New Roman" w:cs="Times New Roman"/>
          <w:b/>
          <w:sz w:val="24"/>
          <w:szCs w:val="24"/>
          <w:u w:val="single"/>
        </w:rPr>
      </w:pPr>
    </w:p>
    <w:p w14:paraId="23E784E0" w14:textId="77777777" w:rsidR="006422FB" w:rsidRPr="00160353" w:rsidRDefault="006422FB" w:rsidP="006422FB">
      <w:pPr>
        <w:spacing w:line="360" w:lineRule="auto"/>
        <w:jc w:val="center"/>
        <w:rPr>
          <w:rFonts w:ascii="Times New Roman" w:hAnsi="Times New Roman" w:cs="Times New Roman"/>
          <w:sz w:val="24"/>
          <w:szCs w:val="24"/>
        </w:rPr>
      </w:pPr>
      <w:r w:rsidRPr="00160353">
        <w:rPr>
          <w:rFonts w:ascii="Times New Roman" w:hAnsi="Times New Roman" w:cs="Times New Roman"/>
          <w:sz w:val="24"/>
          <w:szCs w:val="24"/>
        </w:rPr>
        <w:t xml:space="preserve">Issued by authority of the Attorney-General </w:t>
      </w:r>
    </w:p>
    <w:p w14:paraId="03E15028" w14:textId="77777777" w:rsidR="006422FB" w:rsidRPr="00160353" w:rsidRDefault="006422FB" w:rsidP="006422FB">
      <w:pPr>
        <w:spacing w:line="360" w:lineRule="auto"/>
        <w:jc w:val="center"/>
        <w:rPr>
          <w:rFonts w:ascii="Times New Roman" w:hAnsi="Times New Roman" w:cs="Times New Roman"/>
          <w:i/>
          <w:sz w:val="24"/>
          <w:szCs w:val="24"/>
        </w:rPr>
      </w:pPr>
      <w:proofErr w:type="gramStart"/>
      <w:r w:rsidRPr="00160353">
        <w:rPr>
          <w:rFonts w:ascii="Times New Roman" w:hAnsi="Times New Roman" w:cs="Times New Roman"/>
          <w:sz w:val="24"/>
          <w:szCs w:val="24"/>
        </w:rPr>
        <w:t>in</w:t>
      </w:r>
      <w:proofErr w:type="gramEnd"/>
      <w:r w:rsidRPr="00160353">
        <w:rPr>
          <w:rFonts w:ascii="Times New Roman" w:hAnsi="Times New Roman" w:cs="Times New Roman"/>
          <w:sz w:val="24"/>
          <w:szCs w:val="24"/>
        </w:rPr>
        <w:t xml:space="preserve"> compliance with section 15J of the </w:t>
      </w:r>
      <w:r w:rsidRPr="00160353">
        <w:rPr>
          <w:rFonts w:ascii="Times New Roman" w:hAnsi="Times New Roman" w:cs="Times New Roman"/>
          <w:i/>
          <w:sz w:val="24"/>
          <w:szCs w:val="24"/>
        </w:rPr>
        <w:t xml:space="preserve">Legislation Act 2003 </w:t>
      </w:r>
    </w:p>
    <w:p w14:paraId="75CCCCA5" w14:textId="77777777" w:rsidR="006422FB" w:rsidRPr="00160353" w:rsidRDefault="006422FB" w:rsidP="006422FB">
      <w:pPr>
        <w:spacing w:line="360" w:lineRule="auto"/>
        <w:rPr>
          <w:rFonts w:ascii="Times New Roman" w:hAnsi="Times New Roman" w:cs="Times New Roman"/>
          <w:b/>
          <w:sz w:val="24"/>
          <w:szCs w:val="24"/>
        </w:rPr>
      </w:pPr>
      <w:r w:rsidRPr="00160353">
        <w:rPr>
          <w:rFonts w:ascii="Times New Roman" w:hAnsi="Times New Roman" w:cs="Times New Roman"/>
          <w:b/>
          <w:caps/>
          <w:sz w:val="24"/>
          <w:szCs w:val="24"/>
        </w:rPr>
        <w:t>Purpose and operation of the Instrument</w:t>
      </w:r>
    </w:p>
    <w:p w14:paraId="773DD132" w14:textId="18A44A87" w:rsidR="002B0DFB" w:rsidRPr="00160353" w:rsidRDefault="002B0DFB" w:rsidP="006422FB">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bookmarkStart w:id="0" w:name="_Hlk87886885"/>
      <w:r w:rsidRPr="00160353">
        <w:rPr>
          <w:rFonts w:ascii="Times New Roman" w:eastAsia="Times New Roman" w:hAnsi="Times New Roman" w:cs="Times New Roman"/>
          <w:color w:val="000000"/>
          <w:sz w:val="24"/>
          <w:szCs w:val="24"/>
          <w:lang w:eastAsia="en-AU"/>
        </w:rPr>
        <w:t xml:space="preserve">The purpose of the </w:t>
      </w:r>
      <w:r w:rsidR="00710954" w:rsidRPr="00160353">
        <w:rPr>
          <w:rFonts w:ascii="Times New Roman" w:eastAsia="Times New Roman" w:hAnsi="Times New Roman" w:cs="Times New Roman"/>
          <w:i/>
          <w:color w:val="000000"/>
          <w:sz w:val="24"/>
          <w:szCs w:val="24"/>
          <w:lang w:eastAsia="en-AU"/>
        </w:rPr>
        <w:t>Electronic Transactions Amendment Regulations 2021</w:t>
      </w:r>
      <w:r w:rsidR="00D72A1B">
        <w:rPr>
          <w:rFonts w:ascii="Times New Roman" w:eastAsia="Times New Roman" w:hAnsi="Times New Roman" w:cs="Times New Roman"/>
          <w:color w:val="000000"/>
          <w:sz w:val="24"/>
          <w:szCs w:val="24"/>
          <w:lang w:eastAsia="en-AU"/>
        </w:rPr>
        <w:t xml:space="preserve"> </w:t>
      </w:r>
      <w:r w:rsidRPr="00160353">
        <w:rPr>
          <w:rFonts w:ascii="Times New Roman" w:eastAsia="Times New Roman" w:hAnsi="Times New Roman" w:cs="Times New Roman"/>
          <w:color w:val="000000"/>
          <w:sz w:val="24"/>
          <w:szCs w:val="24"/>
          <w:lang w:eastAsia="en-AU"/>
        </w:rPr>
        <w:t xml:space="preserve">is to amend the </w:t>
      </w:r>
      <w:r w:rsidRPr="00160353">
        <w:rPr>
          <w:rFonts w:ascii="Times New Roman" w:eastAsia="Times New Roman" w:hAnsi="Times New Roman" w:cs="Times New Roman"/>
          <w:i/>
          <w:color w:val="000000"/>
          <w:sz w:val="24"/>
          <w:szCs w:val="24"/>
          <w:lang w:eastAsia="en-AU"/>
        </w:rPr>
        <w:t>Electronic Transactions Regulations 2020</w:t>
      </w:r>
      <w:r w:rsidRPr="00160353">
        <w:rPr>
          <w:rFonts w:ascii="Times New Roman" w:eastAsia="Times New Roman" w:hAnsi="Times New Roman" w:cs="Times New Roman"/>
          <w:color w:val="000000"/>
          <w:sz w:val="24"/>
          <w:szCs w:val="24"/>
          <w:lang w:eastAsia="en-AU"/>
        </w:rPr>
        <w:t xml:space="preserve"> to </w:t>
      </w:r>
      <w:r w:rsidR="007529CC" w:rsidRPr="00160353">
        <w:rPr>
          <w:rFonts w:ascii="Times New Roman" w:eastAsia="Times New Roman" w:hAnsi="Times New Roman" w:cs="Times New Roman"/>
          <w:color w:val="000000"/>
          <w:sz w:val="24"/>
          <w:szCs w:val="24"/>
          <w:lang w:eastAsia="en-AU"/>
        </w:rPr>
        <w:t xml:space="preserve">provide an updated list of </w:t>
      </w:r>
      <w:r w:rsidRPr="00160353">
        <w:rPr>
          <w:rFonts w:ascii="Times New Roman" w:eastAsia="Times New Roman" w:hAnsi="Times New Roman" w:cs="Times New Roman"/>
          <w:color w:val="000000"/>
          <w:sz w:val="24"/>
          <w:szCs w:val="24"/>
          <w:lang w:eastAsia="en-AU"/>
        </w:rPr>
        <w:t xml:space="preserve">Commonwealth laws that are exempt from the </w:t>
      </w:r>
      <w:r w:rsidRPr="00160353">
        <w:rPr>
          <w:rFonts w:ascii="Times New Roman" w:eastAsia="Times New Roman" w:hAnsi="Times New Roman" w:cs="Times New Roman"/>
          <w:i/>
          <w:color w:val="000000"/>
          <w:sz w:val="24"/>
          <w:szCs w:val="24"/>
          <w:lang w:eastAsia="en-AU"/>
        </w:rPr>
        <w:t>Electronic Transactions Act 1999</w:t>
      </w:r>
      <w:r w:rsidRPr="00160353">
        <w:rPr>
          <w:rFonts w:ascii="Times New Roman" w:eastAsia="Times New Roman" w:hAnsi="Times New Roman" w:cs="Times New Roman"/>
          <w:color w:val="000000"/>
          <w:sz w:val="24"/>
          <w:szCs w:val="24"/>
          <w:lang w:eastAsia="en-AU"/>
        </w:rPr>
        <w:t xml:space="preserve"> (the Act).</w:t>
      </w:r>
    </w:p>
    <w:bookmarkEnd w:id="0"/>
    <w:p w14:paraId="7CC003D7" w14:textId="77777777" w:rsidR="002B0DFB" w:rsidRPr="00160353" w:rsidRDefault="002B0DFB" w:rsidP="006422FB">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p>
    <w:p w14:paraId="4CD3C609" w14:textId="7786DCA5" w:rsidR="006422FB" w:rsidRPr="00160353" w:rsidRDefault="006422FB" w:rsidP="006422FB">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r w:rsidRPr="00160353">
        <w:rPr>
          <w:rFonts w:ascii="Times New Roman" w:eastAsia="Times New Roman" w:hAnsi="Times New Roman" w:cs="Times New Roman"/>
          <w:color w:val="000000"/>
          <w:sz w:val="24"/>
          <w:szCs w:val="24"/>
          <w:lang w:eastAsia="en-AU"/>
        </w:rPr>
        <w:t xml:space="preserve">The </w:t>
      </w:r>
      <w:r w:rsidRPr="005E5408">
        <w:rPr>
          <w:rFonts w:ascii="Times New Roman" w:eastAsia="Times New Roman" w:hAnsi="Times New Roman" w:cs="Times New Roman"/>
          <w:i/>
          <w:color w:val="000000"/>
          <w:sz w:val="24"/>
          <w:szCs w:val="24"/>
          <w:lang w:eastAsia="en-AU"/>
        </w:rPr>
        <w:t>Electronic Transactions Regulations 2020</w:t>
      </w:r>
      <w:r w:rsidRPr="00160353">
        <w:rPr>
          <w:rFonts w:ascii="Times New Roman" w:eastAsia="Times New Roman" w:hAnsi="Times New Roman" w:cs="Times New Roman"/>
          <w:color w:val="000000"/>
          <w:sz w:val="24"/>
          <w:szCs w:val="24"/>
          <w:lang w:eastAsia="en-AU"/>
        </w:rPr>
        <w:t xml:space="preserve"> (the </w:t>
      </w:r>
      <w:r w:rsidR="005A4CDA" w:rsidRPr="00160353">
        <w:rPr>
          <w:rFonts w:ascii="Times New Roman" w:eastAsia="Times New Roman" w:hAnsi="Times New Roman" w:cs="Times New Roman"/>
          <w:color w:val="000000"/>
          <w:sz w:val="24"/>
          <w:szCs w:val="24"/>
          <w:lang w:eastAsia="en-AU"/>
        </w:rPr>
        <w:t xml:space="preserve">Principal </w:t>
      </w:r>
      <w:r w:rsidRPr="00160353">
        <w:rPr>
          <w:rFonts w:ascii="Times New Roman" w:eastAsia="Times New Roman" w:hAnsi="Times New Roman" w:cs="Times New Roman"/>
          <w:color w:val="000000"/>
          <w:sz w:val="24"/>
          <w:szCs w:val="24"/>
          <w:lang w:eastAsia="en-AU"/>
        </w:rPr>
        <w:t xml:space="preserve">Regulations) provides a list of Commonwealth laws that are exempt from the Act. </w:t>
      </w:r>
    </w:p>
    <w:p w14:paraId="736116EA" w14:textId="77777777" w:rsidR="00CE034D" w:rsidRPr="00160353" w:rsidRDefault="00CE034D" w:rsidP="006422FB">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p>
    <w:p w14:paraId="6EB9126E" w14:textId="40373372" w:rsidR="006422FB" w:rsidRPr="00160353" w:rsidRDefault="006422FB" w:rsidP="006422FB">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bookmarkStart w:id="1" w:name="_Hlk87887678"/>
      <w:r w:rsidRPr="00160353">
        <w:rPr>
          <w:rFonts w:ascii="Times New Roman" w:eastAsia="Times New Roman" w:hAnsi="Times New Roman" w:cs="Times New Roman"/>
          <w:color w:val="000000"/>
          <w:sz w:val="24"/>
          <w:szCs w:val="24"/>
          <w:lang w:eastAsia="en-AU"/>
        </w:rPr>
        <w:t xml:space="preserve">The Act facilitates the use of electronic transactions, and enables business and the community to use electronic communications in their dealings with the government. </w:t>
      </w:r>
    </w:p>
    <w:p w14:paraId="59C6DA32" w14:textId="77777777" w:rsidR="00667551" w:rsidRPr="00667551" w:rsidRDefault="00667551" w:rsidP="00667551">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r w:rsidRPr="00667551">
        <w:rPr>
          <w:rFonts w:ascii="Times New Roman" w:eastAsia="Times New Roman" w:hAnsi="Times New Roman" w:cs="Times New Roman"/>
          <w:color w:val="000000"/>
          <w:sz w:val="24"/>
          <w:szCs w:val="24"/>
          <w:lang w:eastAsia="en-AU"/>
        </w:rPr>
        <w:t xml:space="preserve">The Act ensures that a transaction under a Commonwealth law will not be invalid simply because it was conducted by means of electronic communication. If a Commonwealth law requires an individual to give information in writing, provide a handwritten signature, produce a document in material form or record or retain information, the Act operates to ensure those requirements are fulfilled if provided electronically. </w:t>
      </w:r>
    </w:p>
    <w:p w14:paraId="3CAD99E4" w14:textId="77777777" w:rsidR="00667551" w:rsidRPr="00667551" w:rsidRDefault="00667551" w:rsidP="00667551">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p>
    <w:p w14:paraId="6AF5959E" w14:textId="243FA03C" w:rsidR="00667551" w:rsidRPr="00667551" w:rsidRDefault="00667551" w:rsidP="00667551">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r w:rsidRPr="00667551">
        <w:rPr>
          <w:rFonts w:ascii="Times New Roman" w:eastAsia="Times New Roman" w:hAnsi="Times New Roman" w:cs="Times New Roman"/>
          <w:color w:val="000000"/>
          <w:sz w:val="24"/>
          <w:szCs w:val="24"/>
          <w:lang w:eastAsia="en-AU"/>
        </w:rPr>
        <w:t xml:space="preserve">The Act is based upon principles of functional equivalence, which means that paper-based commerce and electronic commerce should be treated equally by the law, and technology neutrality, which means that the law should not discriminate between forms of technology. The Act does not remove any legal obligations that may be imposed upon an individual by other Commonwealth laws. </w:t>
      </w:r>
    </w:p>
    <w:p w14:paraId="4EEA2358" w14:textId="77777777" w:rsidR="00667551" w:rsidRPr="00160353" w:rsidRDefault="00667551" w:rsidP="00667551">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p>
    <w:p w14:paraId="527FE563" w14:textId="77777777" w:rsidR="006422FB" w:rsidRPr="00160353" w:rsidRDefault="006422FB" w:rsidP="006422FB">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r w:rsidRPr="00160353">
        <w:rPr>
          <w:rFonts w:ascii="Times New Roman" w:eastAsia="Times New Roman" w:hAnsi="Times New Roman" w:cs="Times New Roman"/>
          <w:color w:val="000000"/>
          <w:sz w:val="24"/>
          <w:szCs w:val="24"/>
          <w:lang w:eastAsia="en-AU"/>
        </w:rPr>
        <w:t xml:space="preserve">Section 16 of the Act provides that the Governor-General may make regulations prescribing all matters required or permitted to be prescribed or necessary or convenient to be prescribed for carrying out or giving effect to the Act. </w:t>
      </w:r>
    </w:p>
    <w:bookmarkEnd w:id="1"/>
    <w:p w14:paraId="3709A301" w14:textId="77777777" w:rsidR="006422FB" w:rsidRPr="00160353" w:rsidRDefault="006422FB" w:rsidP="006422FB">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p>
    <w:p w14:paraId="07BF3C00" w14:textId="0316A0C8" w:rsidR="006422FB" w:rsidRPr="00160353" w:rsidRDefault="006422FB" w:rsidP="006422FB">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r w:rsidRPr="00160353">
        <w:rPr>
          <w:rFonts w:ascii="Times New Roman" w:eastAsia="Times New Roman" w:hAnsi="Times New Roman" w:cs="Times New Roman"/>
          <w:color w:val="000000"/>
          <w:sz w:val="24"/>
          <w:szCs w:val="24"/>
          <w:lang w:eastAsia="en-AU"/>
        </w:rPr>
        <w:t xml:space="preserve">The Act applies to all laws of the Commonwealth unless, pursuant to section 7A of the Act, they are specifically exempted by the </w:t>
      </w:r>
      <w:r w:rsidR="004E7E1B">
        <w:rPr>
          <w:rFonts w:ascii="Times New Roman" w:eastAsia="Times New Roman" w:hAnsi="Times New Roman" w:cs="Times New Roman"/>
          <w:color w:val="000000"/>
          <w:sz w:val="24"/>
          <w:szCs w:val="24"/>
          <w:lang w:eastAsia="en-AU"/>
        </w:rPr>
        <w:t xml:space="preserve">Principal </w:t>
      </w:r>
      <w:r w:rsidRPr="00160353">
        <w:rPr>
          <w:rFonts w:ascii="Times New Roman" w:eastAsia="Times New Roman" w:hAnsi="Times New Roman" w:cs="Times New Roman"/>
          <w:color w:val="000000"/>
          <w:sz w:val="24"/>
          <w:szCs w:val="24"/>
          <w:lang w:eastAsia="en-AU"/>
        </w:rPr>
        <w:t xml:space="preserve">Regulations or are exempted pursuant to section 7B of the Act. Schedule 1 to the </w:t>
      </w:r>
      <w:r w:rsidR="00C46009">
        <w:rPr>
          <w:rFonts w:ascii="Times New Roman" w:eastAsia="Times New Roman" w:hAnsi="Times New Roman" w:cs="Times New Roman"/>
          <w:color w:val="000000"/>
          <w:sz w:val="24"/>
          <w:szCs w:val="24"/>
          <w:lang w:eastAsia="en-AU"/>
        </w:rPr>
        <w:t xml:space="preserve">Principal </w:t>
      </w:r>
      <w:r w:rsidRPr="00160353">
        <w:rPr>
          <w:rFonts w:ascii="Times New Roman" w:eastAsia="Times New Roman" w:hAnsi="Times New Roman" w:cs="Times New Roman"/>
          <w:color w:val="000000"/>
          <w:sz w:val="24"/>
          <w:szCs w:val="24"/>
          <w:lang w:eastAsia="en-AU"/>
        </w:rPr>
        <w:t xml:space="preserve">Regulations contains </w:t>
      </w:r>
      <w:r w:rsidR="00EA356D">
        <w:rPr>
          <w:rFonts w:ascii="Times New Roman" w:eastAsia="Times New Roman" w:hAnsi="Times New Roman" w:cs="Times New Roman"/>
          <w:color w:val="000000"/>
          <w:sz w:val="24"/>
          <w:szCs w:val="24"/>
          <w:lang w:eastAsia="en-AU"/>
        </w:rPr>
        <w:t>the</w:t>
      </w:r>
      <w:r w:rsidRPr="00160353">
        <w:rPr>
          <w:rFonts w:ascii="Times New Roman" w:eastAsia="Times New Roman" w:hAnsi="Times New Roman" w:cs="Times New Roman"/>
          <w:color w:val="000000"/>
          <w:sz w:val="24"/>
          <w:szCs w:val="24"/>
          <w:lang w:eastAsia="en-AU"/>
        </w:rPr>
        <w:t xml:space="preserve"> list of Commonwealth laws that are exempt from the application of the Act. These exemptions are necessary to account for circumstances where it is not appropriate to provide information, documents or signatures electronically. </w:t>
      </w:r>
    </w:p>
    <w:p w14:paraId="4E6D8F49" w14:textId="77777777" w:rsidR="006422FB" w:rsidRPr="00160353" w:rsidRDefault="006422FB" w:rsidP="006422FB">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p>
    <w:p w14:paraId="5C1EC1B4" w14:textId="40D06797" w:rsidR="006422FB" w:rsidRPr="00160353" w:rsidRDefault="006422FB" w:rsidP="006422FB">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r w:rsidRPr="00160353">
        <w:rPr>
          <w:rFonts w:ascii="Times New Roman" w:eastAsia="Times New Roman" w:hAnsi="Times New Roman" w:cs="Times New Roman"/>
          <w:color w:val="000000"/>
          <w:sz w:val="24"/>
          <w:szCs w:val="24"/>
          <w:lang w:eastAsia="en-AU"/>
        </w:rPr>
        <w:t xml:space="preserve">The </w:t>
      </w:r>
      <w:bookmarkStart w:id="2" w:name="_Hlk87872517"/>
      <w:r w:rsidR="009A4CFC" w:rsidRPr="00160353">
        <w:rPr>
          <w:rFonts w:ascii="Times New Roman" w:eastAsia="Times New Roman" w:hAnsi="Times New Roman" w:cs="Times New Roman"/>
          <w:i/>
          <w:color w:val="000000"/>
          <w:sz w:val="24"/>
          <w:szCs w:val="24"/>
          <w:lang w:eastAsia="en-AU"/>
        </w:rPr>
        <w:t>Electronic Transactions Amendment Regulations 2021</w:t>
      </w:r>
      <w:bookmarkEnd w:id="2"/>
      <w:r w:rsidRPr="00160353">
        <w:rPr>
          <w:rFonts w:ascii="Times New Roman" w:eastAsia="Times New Roman" w:hAnsi="Times New Roman" w:cs="Times New Roman"/>
          <w:color w:val="000000"/>
          <w:sz w:val="24"/>
          <w:szCs w:val="24"/>
          <w:lang w:eastAsia="en-AU"/>
        </w:rPr>
        <w:t xml:space="preserve"> </w:t>
      </w:r>
      <w:r w:rsidR="00857DC3">
        <w:rPr>
          <w:rFonts w:ascii="Times New Roman" w:eastAsia="Times New Roman" w:hAnsi="Times New Roman" w:cs="Times New Roman"/>
          <w:color w:val="000000"/>
          <w:sz w:val="24"/>
          <w:szCs w:val="24"/>
          <w:lang w:eastAsia="en-AU"/>
        </w:rPr>
        <w:t xml:space="preserve">(the Amendment Regulations) </w:t>
      </w:r>
      <w:r w:rsidR="00190285" w:rsidRPr="00160353">
        <w:rPr>
          <w:rFonts w:ascii="Times New Roman" w:eastAsia="Times New Roman" w:hAnsi="Times New Roman" w:cs="Times New Roman"/>
          <w:color w:val="000000"/>
          <w:sz w:val="24"/>
          <w:szCs w:val="24"/>
          <w:lang w:eastAsia="en-AU"/>
        </w:rPr>
        <w:t xml:space="preserve">amend the </w:t>
      </w:r>
      <w:r w:rsidR="005A4CDA" w:rsidRPr="00160353">
        <w:rPr>
          <w:rFonts w:ascii="Times New Roman" w:eastAsia="Times New Roman" w:hAnsi="Times New Roman" w:cs="Times New Roman"/>
          <w:color w:val="000000"/>
          <w:sz w:val="24"/>
          <w:szCs w:val="24"/>
          <w:lang w:eastAsia="en-AU"/>
        </w:rPr>
        <w:t xml:space="preserve">Principal Regulations </w:t>
      </w:r>
      <w:r w:rsidR="00FC1AE3" w:rsidRPr="00160353">
        <w:rPr>
          <w:rFonts w:ascii="Times New Roman" w:eastAsia="Times New Roman" w:hAnsi="Times New Roman" w:cs="Times New Roman"/>
          <w:color w:val="000000"/>
          <w:sz w:val="24"/>
          <w:szCs w:val="24"/>
          <w:lang w:eastAsia="en-AU"/>
        </w:rPr>
        <w:t xml:space="preserve">to </w:t>
      </w:r>
      <w:r w:rsidR="005A4CDA" w:rsidRPr="00160353">
        <w:rPr>
          <w:rFonts w:ascii="Times New Roman" w:eastAsia="Times New Roman" w:hAnsi="Times New Roman" w:cs="Times New Roman"/>
          <w:color w:val="000000"/>
          <w:sz w:val="24"/>
          <w:szCs w:val="24"/>
          <w:lang w:eastAsia="en-AU"/>
        </w:rPr>
        <w:t>provide an updated list of Commonwealth laws that are exempt from the Act. The amendments ensure</w:t>
      </w:r>
      <w:r w:rsidR="00FC1AE3" w:rsidRPr="00160353">
        <w:rPr>
          <w:rFonts w:ascii="Times New Roman" w:eastAsia="Times New Roman" w:hAnsi="Times New Roman" w:cs="Times New Roman"/>
          <w:color w:val="000000"/>
          <w:sz w:val="24"/>
          <w:szCs w:val="24"/>
          <w:lang w:eastAsia="en-AU"/>
        </w:rPr>
        <w:t xml:space="preserve"> that the Act operates and reflects</w:t>
      </w:r>
      <w:r w:rsidR="00190285" w:rsidRPr="00160353">
        <w:rPr>
          <w:rFonts w:ascii="Times New Roman" w:eastAsia="Times New Roman" w:hAnsi="Times New Roman" w:cs="Times New Roman"/>
          <w:color w:val="000000"/>
          <w:sz w:val="24"/>
          <w:szCs w:val="24"/>
          <w:lang w:eastAsia="en-AU"/>
        </w:rPr>
        <w:t xml:space="preserve"> current and </w:t>
      </w:r>
      <w:r w:rsidR="00190285" w:rsidRPr="00160353">
        <w:rPr>
          <w:rFonts w:ascii="Times New Roman" w:eastAsia="Times New Roman" w:hAnsi="Times New Roman" w:cs="Times New Roman"/>
          <w:color w:val="000000"/>
          <w:sz w:val="24"/>
          <w:szCs w:val="24"/>
          <w:lang w:eastAsia="en-AU"/>
        </w:rPr>
        <w:lastRenderedPageBreak/>
        <w:t>emerging digital channels and con</w:t>
      </w:r>
      <w:r w:rsidR="00353932" w:rsidRPr="00160353">
        <w:rPr>
          <w:rFonts w:ascii="Times New Roman" w:eastAsia="Times New Roman" w:hAnsi="Times New Roman" w:cs="Times New Roman"/>
          <w:color w:val="000000"/>
          <w:sz w:val="24"/>
          <w:szCs w:val="24"/>
          <w:lang w:eastAsia="en-AU"/>
        </w:rPr>
        <w:t xml:space="preserve">sumer and business preferences and </w:t>
      </w:r>
      <w:r w:rsidR="00B823BF" w:rsidRPr="00160353">
        <w:rPr>
          <w:rFonts w:ascii="Times New Roman" w:eastAsia="Times New Roman" w:hAnsi="Times New Roman" w:cs="Times New Roman"/>
          <w:color w:val="000000"/>
          <w:sz w:val="24"/>
          <w:szCs w:val="24"/>
          <w:lang w:eastAsia="en-AU"/>
        </w:rPr>
        <w:t>supports the</w:t>
      </w:r>
      <w:r w:rsidR="005A4CDA" w:rsidRPr="00160353">
        <w:rPr>
          <w:rFonts w:ascii="Times New Roman" w:eastAsia="Times New Roman" w:hAnsi="Times New Roman" w:cs="Times New Roman"/>
          <w:color w:val="000000"/>
          <w:sz w:val="24"/>
          <w:szCs w:val="24"/>
          <w:lang w:eastAsia="en-AU"/>
        </w:rPr>
        <w:t xml:space="preserve"> Australian </w:t>
      </w:r>
      <w:r w:rsidR="00B823BF" w:rsidRPr="00160353">
        <w:rPr>
          <w:rFonts w:ascii="Times New Roman" w:eastAsia="Times New Roman" w:hAnsi="Times New Roman" w:cs="Times New Roman"/>
          <w:color w:val="000000"/>
          <w:sz w:val="24"/>
          <w:szCs w:val="24"/>
          <w:lang w:eastAsia="en-AU"/>
        </w:rPr>
        <w:t>Government’s Digital and Deregulation Agendas.</w:t>
      </w:r>
    </w:p>
    <w:p w14:paraId="4B2C29AB" w14:textId="78475956" w:rsidR="00777AAF" w:rsidRPr="00160353" w:rsidRDefault="00777AAF" w:rsidP="006422FB">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p>
    <w:p w14:paraId="6B5C23C4" w14:textId="34F49BA1" w:rsidR="006422FB" w:rsidRPr="00160353" w:rsidRDefault="006422FB" w:rsidP="006422FB">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bookmarkStart w:id="3" w:name="_Hlk87887797"/>
      <w:r w:rsidRPr="00160353">
        <w:rPr>
          <w:rFonts w:ascii="Times New Roman" w:eastAsia="Times New Roman" w:hAnsi="Times New Roman" w:cs="Times New Roman"/>
          <w:color w:val="000000"/>
          <w:sz w:val="24"/>
          <w:szCs w:val="24"/>
          <w:lang w:eastAsia="en-AU"/>
        </w:rPr>
        <w:t xml:space="preserve">The </w:t>
      </w:r>
      <w:r w:rsidR="008F240F" w:rsidRPr="00160353">
        <w:rPr>
          <w:rFonts w:ascii="Times New Roman" w:eastAsia="Times New Roman" w:hAnsi="Times New Roman" w:cs="Times New Roman"/>
          <w:color w:val="000000"/>
          <w:sz w:val="24"/>
          <w:szCs w:val="24"/>
          <w:lang w:eastAsia="en-AU"/>
        </w:rPr>
        <w:t xml:space="preserve">Principal </w:t>
      </w:r>
      <w:r w:rsidRPr="00160353">
        <w:rPr>
          <w:rFonts w:ascii="Times New Roman" w:eastAsia="Times New Roman" w:hAnsi="Times New Roman" w:cs="Times New Roman"/>
          <w:color w:val="000000"/>
          <w:sz w:val="24"/>
          <w:szCs w:val="24"/>
          <w:lang w:eastAsia="en-AU"/>
        </w:rPr>
        <w:t xml:space="preserve">Regulations contain 93 exemptions. </w:t>
      </w:r>
      <w:r w:rsidR="00667551" w:rsidRPr="00160353">
        <w:rPr>
          <w:rFonts w:ascii="Times New Roman" w:eastAsia="Times New Roman" w:hAnsi="Times New Roman" w:cs="Times New Roman"/>
          <w:color w:val="000000"/>
          <w:sz w:val="24"/>
          <w:szCs w:val="24"/>
          <w:lang w:eastAsia="en-AU"/>
        </w:rPr>
        <w:t>To ensure that the exemptions to the operation of the Act are fit for purpose, exemptions are regularly reviewed. Business practices, and consumer behaviours and expectations, have evolved since many of the exemptions were introduced.</w:t>
      </w:r>
      <w:r w:rsidR="00667551">
        <w:rPr>
          <w:rFonts w:ascii="Times New Roman" w:eastAsia="Times New Roman" w:hAnsi="Times New Roman" w:cs="Times New Roman"/>
          <w:color w:val="000000"/>
          <w:sz w:val="24"/>
          <w:szCs w:val="24"/>
          <w:lang w:eastAsia="en-AU"/>
        </w:rPr>
        <w:t xml:space="preserve"> </w:t>
      </w:r>
      <w:r w:rsidRPr="00160353">
        <w:rPr>
          <w:rFonts w:ascii="Times New Roman" w:eastAsia="Times New Roman" w:hAnsi="Times New Roman" w:cs="Times New Roman"/>
          <w:color w:val="000000"/>
          <w:sz w:val="24"/>
          <w:szCs w:val="24"/>
          <w:lang w:eastAsia="en-AU"/>
        </w:rPr>
        <w:t xml:space="preserve">The </w:t>
      </w:r>
      <w:r w:rsidR="00857DC3">
        <w:rPr>
          <w:rFonts w:ascii="Times New Roman" w:eastAsia="Times New Roman" w:hAnsi="Times New Roman" w:cs="Times New Roman"/>
          <w:color w:val="000000"/>
          <w:sz w:val="24"/>
          <w:szCs w:val="24"/>
          <w:lang w:eastAsia="en-AU"/>
        </w:rPr>
        <w:t>Amendment Regulations</w:t>
      </w:r>
      <w:r w:rsidR="00671B5C" w:rsidRPr="00160353">
        <w:rPr>
          <w:rFonts w:ascii="Times New Roman" w:eastAsia="Times New Roman" w:hAnsi="Times New Roman" w:cs="Times New Roman"/>
          <w:i/>
          <w:color w:val="000000"/>
          <w:sz w:val="24"/>
          <w:szCs w:val="24"/>
          <w:lang w:eastAsia="en-AU"/>
        </w:rPr>
        <w:t xml:space="preserve"> </w:t>
      </w:r>
      <w:r w:rsidR="001B4AB7" w:rsidRPr="00160353">
        <w:rPr>
          <w:rFonts w:ascii="Times New Roman" w:eastAsia="Times New Roman" w:hAnsi="Times New Roman" w:cs="Times New Roman"/>
          <w:color w:val="000000"/>
          <w:sz w:val="24"/>
          <w:szCs w:val="24"/>
          <w:lang w:eastAsia="en-AU"/>
        </w:rPr>
        <w:t>remove</w:t>
      </w:r>
      <w:r w:rsidR="00F32F4F" w:rsidRPr="00160353">
        <w:rPr>
          <w:rFonts w:ascii="Times New Roman" w:eastAsia="Times New Roman" w:hAnsi="Times New Roman" w:cs="Times New Roman"/>
          <w:color w:val="000000"/>
          <w:sz w:val="24"/>
          <w:szCs w:val="24"/>
          <w:lang w:eastAsia="en-AU"/>
        </w:rPr>
        <w:t>s</w:t>
      </w:r>
      <w:r w:rsidRPr="00160353">
        <w:rPr>
          <w:rFonts w:ascii="Times New Roman" w:eastAsia="Times New Roman" w:hAnsi="Times New Roman" w:cs="Times New Roman"/>
          <w:color w:val="000000"/>
          <w:sz w:val="24"/>
          <w:szCs w:val="24"/>
          <w:lang w:eastAsia="en-AU"/>
        </w:rPr>
        <w:t xml:space="preserve"> 33 exemptions</w:t>
      </w:r>
      <w:r w:rsidR="00F32F4F" w:rsidRPr="00160353">
        <w:rPr>
          <w:rFonts w:ascii="Times New Roman" w:eastAsia="Times New Roman" w:hAnsi="Times New Roman" w:cs="Times New Roman"/>
          <w:color w:val="000000"/>
          <w:sz w:val="24"/>
          <w:szCs w:val="24"/>
          <w:lang w:eastAsia="en-AU"/>
        </w:rPr>
        <w:t xml:space="preserve"> and reduces the scope of </w:t>
      </w:r>
      <w:r w:rsidR="00671B5C" w:rsidRPr="00160353">
        <w:rPr>
          <w:rFonts w:ascii="Times New Roman" w:eastAsia="Times New Roman" w:hAnsi="Times New Roman" w:cs="Times New Roman"/>
          <w:color w:val="000000"/>
          <w:sz w:val="24"/>
          <w:szCs w:val="24"/>
          <w:lang w:eastAsia="en-AU"/>
        </w:rPr>
        <w:t xml:space="preserve">one </w:t>
      </w:r>
      <w:r w:rsidR="00F32F4F" w:rsidRPr="00160353">
        <w:rPr>
          <w:rFonts w:ascii="Times New Roman" w:eastAsia="Times New Roman" w:hAnsi="Times New Roman" w:cs="Times New Roman"/>
          <w:color w:val="000000"/>
          <w:sz w:val="24"/>
          <w:szCs w:val="24"/>
          <w:lang w:eastAsia="en-AU"/>
        </w:rPr>
        <w:t>existing exemption.</w:t>
      </w:r>
      <w:r w:rsidRPr="00160353">
        <w:rPr>
          <w:rFonts w:ascii="Times New Roman" w:eastAsia="Times New Roman" w:hAnsi="Times New Roman" w:cs="Times New Roman"/>
          <w:color w:val="000000"/>
          <w:sz w:val="24"/>
          <w:szCs w:val="24"/>
          <w:lang w:eastAsia="en-AU"/>
        </w:rPr>
        <w:t xml:space="preserve"> </w:t>
      </w:r>
    </w:p>
    <w:bookmarkEnd w:id="3"/>
    <w:p w14:paraId="48D4FA28" w14:textId="5A71BC13" w:rsidR="006422FB" w:rsidRPr="00160353" w:rsidRDefault="006422FB" w:rsidP="006422FB">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p>
    <w:p w14:paraId="5ECC48E8" w14:textId="7669EFF2" w:rsidR="00671B5C" w:rsidRPr="00160353" w:rsidRDefault="00015D10" w:rsidP="006422FB">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r w:rsidRPr="00160353">
        <w:rPr>
          <w:rFonts w:ascii="Times New Roman" w:eastAsia="Times New Roman" w:hAnsi="Times New Roman" w:cs="Times New Roman"/>
          <w:color w:val="000000"/>
          <w:sz w:val="24"/>
          <w:szCs w:val="24"/>
          <w:lang w:eastAsia="en-AU"/>
        </w:rPr>
        <w:t>The removal</w:t>
      </w:r>
      <w:r w:rsidR="00CB0335" w:rsidRPr="00160353">
        <w:rPr>
          <w:rFonts w:ascii="Times New Roman" w:eastAsia="Times New Roman" w:hAnsi="Times New Roman" w:cs="Times New Roman"/>
          <w:color w:val="000000"/>
          <w:sz w:val="24"/>
          <w:szCs w:val="24"/>
          <w:lang w:eastAsia="en-AU"/>
        </w:rPr>
        <w:t xml:space="preserve"> of </w:t>
      </w:r>
      <w:r w:rsidRPr="00160353">
        <w:rPr>
          <w:rFonts w:ascii="Times New Roman" w:eastAsia="Times New Roman" w:hAnsi="Times New Roman" w:cs="Times New Roman"/>
          <w:color w:val="000000"/>
          <w:sz w:val="24"/>
          <w:szCs w:val="24"/>
          <w:lang w:eastAsia="en-AU"/>
        </w:rPr>
        <w:t xml:space="preserve">and </w:t>
      </w:r>
      <w:r w:rsidR="005E5408">
        <w:rPr>
          <w:rFonts w:ascii="Times New Roman" w:eastAsia="Times New Roman" w:hAnsi="Times New Roman" w:cs="Times New Roman"/>
          <w:color w:val="000000"/>
          <w:sz w:val="24"/>
          <w:szCs w:val="24"/>
          <w:lang w:eastAsia="en-AU"/>
        </w:rPr>
        <w:t>reduction in scope</w:t>
      </w:r>
      <w:r w:rsidR="00CB0335" w:rsidRPr="00160353">
        <w:rPr>
          <w:rFonts w:ascii="Times New Roman" w:eastAsia="Times New Roman" w:hAnsi="Times New Roman" w:cs="Times New Roman"/>
          <w:color w:val="000000"/>
          <w:sz w:val="24"/>
          <w:szCs w:val="24"/>
          <w:lang w:eastAsia="en-AU"/>
        </w:rPr>
        <w:t xml:space="preserve"> of current exemptions to the Act supports the Government’s digital agenda and Digital Economy Strategy, which sets out how Australia will secure its future as a modern and leading digital economy and society by 2030. Removing further exemptions facilitates the application of the Act to the previously exempt legislation. Transactions executed under the laws </w:t>
      </w:r>
      <w:r w:rsidR="00014E6B">
        <w:rPr>
          <w:rFonts w:ascii="Times New Roman" w:eastAsia="Times New Roman" w:hAnsi="Times New Roman" w:cs="Times New Roman"/>
          <w:color w:val="000000"/>
          <w:sz w:val="24"/>
          <w:szCs w:val="24"/>
          <w:lang w:eastAsia="en-AU"/>
        </w:rPr>
        <w:t>removed</w:t>
      </w:r>
      <w:r w:rsidR="00CB0335" w:rsidRPr="00160353">
        <w:rPr>
          <w:rFonts w:ascii="Times New Roman" w:eastAsia="Times New Roman" w:hAnsi="Times New Roman" w:cs="Times New Roman"/>
          <w:color w:val="000000"/>
          <w:sz w:val="24"/>
          <w:szCs w:val="24"/>
          <w:lang w:eastAsia="en-AU"/>
        </w:rPr>
        <w:t xml:space="preserve"> from the Principal Regulations </w:t>
      </w:r>
      <w:r w:rsidR="00F034F6">
        <w:rPr>
          <w:rFonts w:ascii="Times New Roman" w:eastAsia="Times New Roman" w:hAnsi="Times New Roman" w:cs="Times New Roman"/>
          <w:color w:val="000000"/>
          <w:sz w:val="24"/>
          <w:szCs w:val="24"/>
          <w:lang w:eastAsia="en-AU"/>
        </w:rPr>
        <w:t>are</w:t>
      </w:r>
      <w:r w:rsidR="00C46F56">
        <w:rPr>
          <w:rFonts w:ascii="Times New Roman" w:eastAsia="Times New Roman" w:hAnsi="Times New Roman" w:cs="Times New Roman"/>
          <w:color w:val="000000"/>
          <w:sz w:val="24"/>
          <w:szCs w:val="24"/>
          <w:lang w:eastAsia="en-AU"/>
        </w:rPr>
        <w:t>,</w:t>
      </w:r>
      <w:r w:rsidR="00C46F56" w:rsidRPr="00160353">
        <w:rPr>
          <w:rFonts w:ascii="Times New Roman" w:eastAsia="Times New Roman" w:hAnsi="Times New Roman" w:cs="Times New Roman"/>
          <w:color w:val="000000"/>
          <w:sz w:val="24"/>
          <w:szCs w:val="24"/>
          <w:lang w:eastAsia="en-AU"/>
        </w:rPr>
        <w:t xml:space="preserve"> under the Amended Regulations,</w:t>
      </w:r>
      <w:r w:rsidR="00CB0335" w:rsidRPr="00160353">
        <w:rPr>
          <w:rFonts w:ascii="Times New Roman" w:eastAsia="Times New Roman" w:hAnsi="Times New Roman" w:cs="Times New Roman"/>
          <w:color w:val="000000"/>
          <w:sz w:val="24"/>
          <w:szCs w:val="24"/>
          <w:lang w:eastAsia="en-AU"/>
        </w:rPr>
        <w:t xml:space="preserve"> valid</w:t>
      </w:r>
      <w:r w:rsidR="00C46F56">
        <w:rPr>
          <w:rFonts w:ascii="Times New Roman" w:eastAsia="Times New Roman" w:hAnsi="Times New Roman" w:cs="Times New Roman"/>
          <w:color w:val="000000"/>
          <w:sz w:val="24"/>
          <w:szCs w:val="24"/>
          <w:lang w:eastAsia="en-AU"/>
        </w:rPr>
        <w:t xml:space="preserve"> </w:t>
      </w:r>
      <w:r w:rsidR="00CB0335" w:rsidRPr="00160353">
        <w:rPr>
          <w:rFonts w:ascii="Times New Roman" w:eastAsia="Times New Roman" w:hAnsi="Times New Roman" w:cs="Times New Roman"/>
          <w:color w:val="000000"/>
          <w:sz w:val="24"/>
          <w:szCs w:val="24"/>
          <w:lang w:eastAsia="en-AU"/>
        </w:rPr>
        <w:t xml:space="preserve">if they take place wholly or partly by means of electronic communications. The reduction in the number of exemptions to the Act </w:t>
      </w:r>
      <w:r w:rsidR="004A314B" w:rsidRPr="00160353">
        <w:rPr>
          <w:rFonts w:ascii="Times New Roman" w:eastAsia="Times New Roman" w:hAnsi="Times New Roman" w:cs="Times New Roman"/>
          <w:color w:val="000000"/>
          <w:sz w:val="24"/>
          <w:szCs w:val="24"/>
          <w:lang w:eastAsia="en-AU"/>
        </w:rPr>
        <w:t>reduces</w:t>
      </w:r>
      <w:r w:rsidR="00CB0335" w:rsidRPr="00160353">
        <w:rPr>
          <w:rFonts w:ascii="Times New Roman" w:eastAsia="Times New Roman" w:hAnsi="Times New Roman" w:cs="Times New Roman"/>
          <w:color w:val="000000"/>
          <w:sz w:val="24"/>
          <w:szCs w:val="24"/>
          <w:lang w:eastAsia="en-AU"/>
        </w:rPr>
        <w:t xml:space="preserve"> barriers to electronic communications and e-commerce for businesses and the community.</w:t>
      </w:r>
    </w:p>
    <w:p w14:paraId="4ABB3D02" w14:textId="77777777" w:rsidR="00CB0335" w:rsidRPr="00160353" w:rsidRDefault="00CB0335" w:rsidP="006422FB">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p>
    <w:p w14:paraId="109070E0" w14:textId="6100AF9D" w:rsidR="006F7582" w:rsidRPr="00160353" w:rsidRDefault="006F7582" w:rsidP="006F7582">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bookmarkStart w:id="4" w:name="_Hlk87887837"/>
      <w:r w:rsidRPr="00160353">
        <w:rPr>
          <w:rFonts w:ascii="Times New Roman" w:eastAsia="Times New Roman" w:hAnsi="Times New Roman" w:cs="Times New Roman"/>
          <w:color w:val="000000"/>
          <w:sz w:val="24"/>
          <w:szCs w:val="24"/>
          <w:lang w:eastAsia="en-AU"/>
        </w:rPr>
        <w:t>The Amend</w:t>
      </w:r>
      <w:r w:rsidR="00E237ED">
        <w:rPr>
          <w:rFonts w:ascii="Times New Roman" w:eastAsia="Times New Roman" w:hAnsi="Times New Roman" w:cs="Times New Roman"/>
          <w:color w:val="000000"/>
          <w:sz w:val="24"/>
          <w:szCs w:val="24"/>
          <w:lang w:eastAsia="en-AU"/>
        </w:rPr>
        <w:t>ment</w:t>
      </w:r>
      <w:r w:rsidRPr="00160353">
        <w:rPr>
          <w:rFonts w:ascii="Times New Roman" w:eastAsia="Times New Roman" w:hAnsi="Times New Roman" w:cs="Times New Roman"/>
          <w:color w:val="000000"/>
          <w:sz w:val="24"/>
          <w:szCs w:val="24"/>
          <w:lang w:eastAsia="en-AU"/>
        </w:rPr>
        <w:t xml:space="preserve"> Regulations reduce the scope of one current exemption under Part XV of the </w:t>
      </w:r>
      <w:r w:rsidR="00EC6854" w:rsidRPr="00A10E1F">
        <w:rPr>
          <w:rFonts w:ascii="Times New Roman" w:eastAsia="Times New Roman" w:hAnsi="Times New Roman" w:cs="Times New Roman"/>
          <w:i/>
          <w:color w:val="000000"/>
          <w:sz w:val="24"/>
          <w:szCs w:val="24"/>
          <w:lang w:eastAsia="en-AU"/>
        </w:rPr>
        <w:t>Commonwealth Electoral Act 1918</w:t>
      </w:r>
      <w:r w:rsidR="00EC6854">
        <w:rPr>
          <w:rFonts w:ascii="Times New Roman" w:eastAsia="Times New Roman" w:hAnsi="Times New Roman" w:cs="Times New Roman"/>
          <w:i/>
          <w:color w:val="000000"/>
          <w:sz w:val="24"/>
          <w:szCs w:val="24"/>
          <w:lang w:eastAsia="en-AU"/>
        </w:rPr>
        <w:t xml:space="preserve"> </w:t>
      </w:r>
      <w:r w:rsidR="00EC6854">
        <w:rPr>
          <w:rFonts w:ascii="Times New Roman" w:eastAsia="Times New Roman" w:hAnsi="Times New Roman" w:cs="Times New Roman"/>
          <w:color w:val="000000"/>
          <w:sz w:val="24"/>
          <w:szCs w:val="24"/>
          <w:lang w:eastAsia="en-AU"/>
        </w:rPr>
        <w:t>(the Electoral Act)</w:t>
      </w:r>
      <w:r w:rsidRPr="00160353">
        <w:rPr>
          <w:rFonts w:ascii="Times New Roman" w:eastAsia="Times New Roman" w:hAnsi="Times New Roman" w:cs="Times New Roman"/>
          <w:color w:val="000000"/>
          <w:sz w:val="24"/>
          <w:szCs w:val="24"/>
          <w:lang w:eastAsia="en-AU"/>
        </w:rPr>
        <w:t xml:space="preserve">. The commencement of the </w:t>
      </w:r>
      <w:r w:rsidRPr="00160353">
        <w:rPr>
          <w:rFonts w:ascii="Times New Roman" w:eastAsia="Times New Roman" w:hAnsi="Times New Roman" w:cs="Times New Roman"/>
          <w:i/>
          <w:color w:val="000000"/>
          <w:sz w:val="24"/>
          <w:szCs w:val="24"/>
          <w:lang w:eastAsia="en-AU"/>
        </w:rPr>
        <w:t xml:space="preserve">Electoral Legislation Amendment (Counting, Scrutiny and Operational Efficiencies) Act 2021 </w:t>
      </w:r>
      <w:r w:rsidRPr="00160353">
        <w:rPr>
          <w:rFonts w:ascii="Times New Roman" w:eastAsia="Times New Roman" w:hAnsi="Times New Roman" w:cs="Times New Roman"/>
          <w:color w:val="000000"/>
          <w:sz w:val="24"/>
          <w:szCs w:val="24"/>
          <w:lang w:eastAsia="en-AU"/>
        </w:rPr>
        <w:t>inserted new subparagraphs 194(1A</w:t>
      </w:r>
      <w:proofErr w:type="gramStart"/>
      <w:r w:rsidRPr="00160353">
        <w:rPr>
          <w:rFonts w:ascii="Times New Roman" w:eastAsia="Times New Roman" w:hAnsi="Times New Roman" w:cs="Times New Roman"/>
          <w:color w:val="000000"/>
          <w:sz w:val="24"/>
          <w:szCs w:val="24"/>
          <w:lang w:eastAsia="en-AU"/>
        </w:rPr>
        <w:t>)(</w:t>
      </w:r>
      <w:proofErr w:type="gramEnd"/>
      <w:r w:rsidRPr="00160353">
        <w:rPr>
          <w:rFonts w:ascii="Times New Roman" w:eastAsia="Times New Roman" w:hAnsi="Times New Roman" w:cs="Times New Roman"/>
          <w:color w:val="000000"/>
          <w:sz w:val="24"/>
          <w:szCs w:val="24"/>
          <w:lang w:eastAsia="en-AU"/>
        </w:rPr>
        <w:t>a)</w:t>
      </w:r>
      <w:r w:rsidR="00F63B36">
        <w:rPr>
          <w:rFonts w:ascii="Times New Roman" w:eastAsia="Times New Roman" w:hAnsi="Times New Roman" w:cs="Times New Roman"/>
          <w:color w:val="000000"/>
          <w:sz w:val="24"/>
          <w:szCs w:val="24"/>
          <w:lang w:eastAsia="en-AU"/>
        </w:rPr>
        <w:t>(</w:t>
      </w:r>
      <w:r w:rsidRPr="00160353">
        <w:rPr>
          <w:rFonts w:ascii="Times New Roman" w:eastAsia="Times New Roman" w:hAnsi="Times New Roman" w:cs="Times New Roman"/>
          <w:color w:val="000000"/>
          <w:sz w:val="24"/>
          <w:szCs w:val="24"/>
          <w:lang w:eastAsia="en-AU"/>
        </w:rPr>
        <w:t>ii) and (iii) and 194(1A)(d) into the</w:t>
      </w:r>
      <w:r w:rsidR="00EC6854" w:rsidRPr="00EC6854">
        <w:rPr>
          <w:rFonts w:ascii="Times New Roman" w:eastAsia="Times New Roman" w:hAnsi="Times New Roman" w:cs="Times New Roman"/>
          <w:color w:val="000000"/>
          <w:sz w:val="24"/>
          <w:szCs w:val="24"/>
          <w:lang w:eastAsia="en-AU"/>
        </w:rPr>
        <w:t xml:space="preserve"> </w:t>
      </w:r>
      <w:r w:rsidR="00EC6854" w:rsidRPr="00160353">
        <w:rPr>
          <w:rFonts w:ascii="Times New Roman" w:eastAsia="Times New Roman" w:hAnsi="Times New Roman" w:cs="Times New Roman"/>
          <w:color w:val="000000"/>
          <w:sz w:val="24"/>
          <w:szCs w:val="24"/>
          <w:lang w:eastAsia="en-AU"/>
        </w:rPr>
        <w:t>Electoral Act</w:t>
      </w:r>
      <w:r w:rsidRPr="00160353">
        <w:rPr>
          <w:rFonts w:ascii="Times New Roman" w:eastAsia="Times New Roman" w:hAnsi="Times New Roman" w:cs="Times New Roman"/>
          <w:color w:val="000000"/>
          <w:sz w:val="24"/>
          <w:szCs w:val="24"/>
          <w:lang w:eastAsia="en-AU"/>
        </w:rPr>
        <w:t>. These amendments to the Electoral Act facilitate a paper-based and electronic process for postal voters outside Australia to securely self</w:t>
      </w:r>
      <w:r w:rsidRPr="00160353">
        <w:rPr>
          <w:rFonts w:ascii="Times New Roman" w:eastAsia="Times New Roman" w:hAnsi="Times New Roman" w:cs="Times New Roman"/>
          <w:color w:val="000000"/>
          <w:sz w:val="24"/>
          <w:szCs w:val="24"/>
          <w:lang w:eastAsia="en-AU"/>
        </w:rPr>
        <w:noBreakHyphen/>
        <w:t xml:space="preserve">certify their postal vote certificate by providing official documented evidence of identity where they are unable to find ‘an authorised witness’. </w:t>
      </w:r>
      <w:bookmarkEnd w:id="4"/>
      <w:r w:rsidRPr="00160353">
        <w:rPr>
          <w:rFonts w:ascii="Times New Roman" w:eastAsia="Times New Roman" w:hAnsi="Times New Roman" w:cs="Times New Roman"/>
          <w:color w:val="000000"/>
          <w:sz w:val="24"/>
          <w:szCs w:val="24"/>
          <w:lang w:eastAsia="en-AU"/>
        </w:rPr>
        <w:t xml:space="preserve">The </w:t>
      </w:r>
      <w:r w:rsidR="00AB5BBF">
        <w:rPr>
          <w:rFonts w:ascii="Times New Roman" w:eastAsia="Times New Roman" w:hAnsi="Times New Roman" w:cs="Times New Roman"/>
          <w:color w:val="000000"/>
          <w:sz w:val="24"/>
          <w:szCs w:val="24"/>
          <w:lang w:eastAsia="en-AU"/>
        </w:rPr>
        <w:t>Amendment</w:t>
      </w:r>
      <w:r w:rsidRPr="00160353">
        <w:rPr>
          <w:rFonts w:ascii="Times New Roman" w:eastAsia="Times New Roman" w:hAnsi="Times New Roman" w:cs="Times New Roman"/>
          <w:color w:val="000000"/>
          <w:sz w:val="24"/>
          <w:szCs w:val="24"/>
          <w:lang w:eastAsia="en-AU"/>
        </w:rPr>
        <w:t xml:space="preserve"> Regulations remove subsections 194(1A</w:t>
      </w:r>
      <w:proofErr w:type="gramStart"/>
      <w:r w:rsidRPr="00160353">
        <w:rPr>
          <w:rFonts w:ascii="Times New Roman" w:eastAsia="Times New Roman" w:hAnsi="Times New Roman" w:cs="Times New Roman"/>
          <w:color w:val="000000"/>
          <w:sz w:val="24"/>
          <w:szCs w:val="24"/>
          <w:lang w:eastAsia="en-AU"/>
        </w:rPr>
        <w:t>)(</w:t>
      </w:r>
      <w:proofErr w:type="gramEnd"/>
      <w:r w:rsidRPr="00160353">
        <w:rPr>
          <w:rFonts w:ascii="Times New Roman" w:eastAsia="Times New Roman" w:hAnsi="Times New Roman" w:cs="Times New Roman"/>
          <w:color w:val="000000"/>
          <w:sz w:val="24"/>
          <w:szCs w:val="24"/>
          <w:lang w:eastAsia="en-AU"/>
        </w:rPr>
        <w:t>a)(ii), 194(1A)(a)(iii) and 194(1A)(d) from the current exemption and subject those provisions to the application of the Act.</w:t>
      </w:r>
    </w:p>
    <w:p w14:paraId="6ABCA565" w14:textId="04EEC58D" w:rsidR="00E73E10" w:rsidRPr="00160353" w:rsidRDefault="00E73E10" w:rsidP="006422FB">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p>
    <w:p w14:paraId="3F71F97E" w14:textId="010CDD4B" w:rsidR="00E73E10" w:rsidRPr="00160353" w:rsidRDefault="00704978" w:rsidP="00E73E10">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Act is a law of general application. Removal of exemptions </w:t>
      </w:r>
      <w:r w:rsidR="00976A33">
        <w:rPr>
          <w:rFonts w:ascii="Times New Roman" w:hAnsi="Times New Roman" w:cs="Times New Roman"/>
          <w:sz w:val="24"/>
          <w:szCs w:val="24"/>
        </w:rPr>
        <w:t xml:space="preserve">from the </w:t>
      </w:r>
      <w:r w:rsidR="00592B08">
        <w:rPr>
          <w:rFonts w:ascii="Times New Roman" w:hAnsi="Times New Roman" w:cs="Times New Roman"/>
          <w:sz w:val="24"/>
          <w:szCs w:val="24"/>
        </w:rPr>
        <w:t xml:space="preserve">Principal Regulations </w:t>
      </w:r>
      <w:r>
        <w:rPr>
          <w:rFonts w:ascii="Times New Roman" w:hAnsi="Times New Roman" w:cs="Times New Roman"/>
          <w:sz w:val="24"/>
          <w:szCs w:val="24"/>
        </w:rPr>
        <w:t xml:space="preserve">subjects laws to the application of the Act. Wider application of the Act </w:t>
      </w:r>
      <w:r w:rsidR="00E73E10" w:rsidRPr="00160353">
        <w:rPr>
          <w:rFonts w:ascii="Times New Roman" w:hAnsi="Times New Roman" w:cs="Times New Roman"/>
          <w:sz w:val="24"/>
          <w:szCs w:val="24"/>
        </w:rPr>
        <w:t xml:space="preserve">enables, but does not compel or mandate, the use of electronic communications by business and individuals in their dealings with government. </w:t>
      </w:r>
    </w:p>
    <w:p w14:paraId="127D321D" w14:textId="77777777" w:rsidR="00E73E10" w:rsidRPr="00160353" w:rsidRDefault="00E73E10" w:rsidP="00E73E10">
      <w:pPr>
        <w:spacing w:line="240" w:lineRule="auto"/>
        <w:rPr>
          <w:rFonts w:ascii="Times New Roman" w:hAnsi="Times New Roman" w:cs="Times New Roman"/>
          <w:sz w:val="24"/>
          <w:szCs w:val="24"/>
        </w:rPr>
      </w:pPr>
      <w:r w:rsidRPr="00160353">
        <w:rPr>
          <w:rFonts w:ascii="Times New Roman" w:hAnsi="Times New Roman" w:cs="Times New Roman"/>
          <w:sz w:val="24"/>
          <w:szCs w:val="24"/>
        </w:rPr>
        <w:t xml:space="preserve">The Regulations commence on the day after they are registered on the Federal Register of Legislation. </w:t>
      </w:r>
    </w:p>
    <w:p w14:paraId="79EFF09E" w14:textId="67F8461E" w:rsidR="00E73E10" w:rsidRPr="00160353" w:rsidRDefault="00E73E10" w:rsidP="00E73E10">
      <w:pPr>
        <w:tabs>
          <w:tab w:val="center" w:pos="4111"/>
          <w:tab w:val="left" w:pos="4536"/>
        </w:tabs>
        <w:spacing w:after="0" w:line="240" w:lineRule="auto"/>
        <w:ind w:right="91"/>
        <w:rPr>
          <w:rFonts w:ascii="Times New Roman" w:eastAsia="Times New Roman" w:hAnsi="Times New Roman" w:cs="Times New Roman"/>
          <w:color w:val="000000"/>
          <w:sz w:val="24"/>
          <w:szCs w:val="24"/>
          <w:lang w:eastAsia="en-AU"/>
        </w:rPr>
      </w:pPr>
      <w:r w:rsidRPr="00160353">
        <w:rPr>
          <w:rFonts w:ascii="Times New Roman" w:hAnsi="Times New Roman" w:cs="Times New Roman"/>
          <w:sz w:val="24"/>
          <w:szCs w:val="24"/>
        </w:rPr>
        <w:t xml:space="preserve">Details of the Regulations are set out in </w:t>
      </w:r>
      <w:r w:rsidRPr="00160353">
        <w:rPr>
          <w:rFonts w:ascii="Times New Roman" w:hAnsi="Times New Roman" w:cs="Times New Roman"/>
          <w:b/>
          <w:sz w:val="24"/>
          <w:szCs w:val="24"/>
          <w:u w:val="single"/>
        </w:rPr>
        <w:t>Attachment A</w:t>
      </w:r>
      <w:r w:rsidRPr="00160353">
        <w:rPr>
          <w:rFonts w:ascii="Times New Roman" w:hAnsi="Times New Roman" w:cs="Times New Roman"/>
          <w:sz w:val="24"/>
          <w:szCs w:val="24"/>
          <w:u w:val="single"/>
        </w:rPr>
        <w:t>.</w:t>
      </w:r>
    </w:p>
    <w:p w14:paraId="570AE7E6" w14:textId="77777777" w:rsidR="006422FB" w:rsidRPr="00160353" w:rsidRDefault="006422FB" w:rsidP="006422FB">
      <w:pPr>
        <w:tabs>
          <w:tab w:val="center" w:pos="4111"/>
          <w:tab w:val="left" w:pos="4536"/>
        </w:tabs>
        <w:spacing w:after="0" w:line="240" w:lineRule="auto"/>
        <w:ind w:right="91"/>
        <w:rPr>
          <w:rFonts w:ascii="Times New Roman" w:eastAsia="Times New Roman" w:hAnsi="Times New Roman" w:cs="Times New Roman"/>
          <w:sz w:val="24"/>
          <w:szCs w:val="24"/>
          <w:lang w:eastAsia="en-AU"/>
        </w:rPr>
      </w:pPr>
    </w:p>
    <w:p w14:paraId="586F3A4B" w14:textId="77777777" w:rsidR="006422FB" w:rsidRPr="00160353" w:rsidRDefault="006422FB" w:rsidP="006422FB">
      <w:pPr>
        <w:spacing w:line="360" w:lineRule="auto"/>
        <w:rPr>
          <w:rFonts w:ascii="Times New Roman" w:hAnsi="Times New Roman" w:cs="Times New Roman"/>
          <w:b/>
          <w:caps/>
          <w:sz w:val="24"/>
          <w:szCs w:val="24"/>
        </w:rPr>
      </w:pPr>
      <w:r w:rsidRPr="00160353">
        <w:rPr>
          <w:rFonts w:ascii="Times New Roman" w:hAnsi="Times New Roman" w:cs="Times New Roman"/>
          <w:b/>
          <w:caps/>
          <w:sz w:val="24"/>
          <w:szCs w:val="24"/>
        </w:rPr>
        <w:t>Consultation</w:t>
      </w:r>
    </w:p>
    <w:p w14:paraId="3E1C43FC" w14:textId="70130CF5" w:rsidR="006422FB" w:rsidRPr="00160353" w:rsidRDefault="006422FB" w:rsidP="006422FB">
      <w:pPr>
        <w:pStyle w:val="NoSpacing"/>
        <w:rPr>
          <w:rFonts w:ascii="Times New Roman" w:hAnsi="Times New Roman" w:cs="Times New Roman"/>
          <w:sz w:val="24"/>
          <w:szCs w:val="24"/>
        </w:rPr>
      </w:pPr>
      <w:r w:rsidRPr="00160353">
        <w:rPr>
          <w:rFonts w:ascii="Times New Roman" w:hAnsi="Times New Roman" w:cs="Times New Roman"/>
          <w:sz w:val="24"/>
          <w:szCs w:val="24"/>
        </w:rPr>
        <w:t xml:space="preserve">Consistent with the requirements of the </w:t>
      </w:r>
      <w:r w:rsidRPr="00160353">
        <w:rPr>
          <w:rFonts w:ascii="Times New Roman" w:hAnsi="Times New Roman" w:cs="Times New Roman"/>
          <w:i/>
          <w:sz w:val="24"/>
          <w:szCs w:val="24"/>
        </w:rPr>
        <w:t>Legislation Act 2003</w:t>
      </w:r>
      <w:r w:rsidRPr="00160353">
        <w:rPr>
          <w:rFonts w:ascii="Times New Roman" w:hAnsi="Times New Roman" w:cs="Times New Roman"/>
          <w:sz w:val="24"/>
          <w:szCs w:val="24"/>
        </w:rPr>
        <w:t>, the</w:t>
      </w:r>
      <w:r w:rsidR="00857DC3">
        <w:rPr>
          <w:rFonts w:ascii="Times New Roman" w:hAnsi="Times New Roman" w:cs="Times New Roman"/>
          <w:sz w:val="24"/>
          <w:szCs w:val="24"/>
        </w:rPr>
        <w:t xml:space="preserve"> Amendment</w:t>
      </w:r>
      <w:r w:rsidRPr="00160353">
        <w:rPr>
          <w:rFonts w:ascii="Times New Roman" w:hAnsi="Times New Roman" w:cs="Times New Roman"/>
          <w:sz w:val="24"/>
          <w:szCs w:val="24"/>
        </w:rPr>
        <w:t xml:space="preserve"> Regulations have been informed by consultation with the government agencies that have policy responsibility for the legislation to be removed from the </w:t>
      </w:r>
      <w:r w:rsidR="00857DC3">
        <w:rPr>
          <w:rFonts w:ascii="Times New Roman" w:hAnsi="Times New Roman" w:cs="Times New Roman"/>
          <w:sz w:val="24"/>
          <w:szCs w:val="24"/>
        </w:rPr>
        <w:t xml:space="preserve">Principal </w:t>
      </w:r>
      <w:r w:rsidRPr="00160353">
        <w:rPr>
          <w:rFonts w:ascii="Times New Roman" w:hAnsi="Times New Roman" w:cs="Times New Roman"/>
          <w:sz w:val="24"/>
          <w:szCs w:val="24"/>
        </w:rPr>
        <w:t xml:space="preserve">Regulations. Removal of exemptions facilitates additional avenues of communication with the government but does not prevent people communicating with government agencies through paper-based correspondence. </w:t>
      </w:r>
    </w:p>
    <w:p w14:paraId="5D68F43C" w14:textId="77777777" w:rsidR="002D7093" w:rsidRPr="00160353" w:rsidRDefault="002D7093" w:rsidP="006422FB">
      <w:pPr>
        <w:pStyle w:val="NoSpacing"/>
        <w:rPr>
          <w:rFonts w:ascii="Times New Roman" w:hAnsi="Times New Roman" w:cs="Times New Roman"/>
          <w:sz w:val="24"/>
          <w:szCs w:val="24"/>
        </w:rPr>
      </w:pPr>
    </w:p>
    <w:p w14:paraId="1E6E8BE6" w14:textId="1BBCAA7B" w:rsidR="006422FB" w:rsidRPr="00160353" w:rsidRDefault="006422FB" w:rsidP="006422FB">
      <w:pPr>
        <w:pStyle w:val="NoSpacing"/>
        <w:rPr>
          <w:rFonts w:ascii="Times New Roman" w:hAnsi="Times New Roman" w:cs="Times New Roman"/>
          <w:sz w:val="24"/>
          <w:szCs w:val="24"/>
        </w:rPr>
      </w:pPr>
      <w:r w:rsidRPr="00160353">
        <w:rPr>
          <w:rFonts w:ascii="Times New Roman" w:hAnsi="Times New Roman" w:cs="Times New Roman"/>
          <w:sz w:val="24"/>
          <w:szCs w:val="24"/>
        </w:rPr>
        <w:t xml:space="preserve">The following government agencies were consulted by the Deregulation Taskforce within the Department of </w:t>
      </w:r>
      <w:r w:rsidR="004C6A0A">
        <w:rPr>
          <w:rFonts w:ascii="Times New Roman" w:hAnsi="Times New Roman" w:cs="Times New Roman"/>
          <w:sz w:val="24"/>
          <w:szCs w:val="24"/>
        </w:rPr>
        <w:t xml:space="preserve">the </w:t>
      </w:r>
      <w:r w:rsidRPr="00160353">
        <w:rPr>
          <w:rFonts w:ascii="Times New Roman" w:hAnsi="Times New Roman" w:cs="Times New Roman"/>
          <w:sz w:val="24"/>
          <w:szCs w:val="24"/>
        </w:rPr>
        <w:t>Prime Minister and Cabinet</w:t>
      </w:r>
      <w:r w:rsidR="003F2AB5" w:rsidRPr="00160353">
        <w:rPr>
          <w:rFonts w:ascii="Times New Roman" w:hAnsi="Times New Roman" w:cs="Times New Roman"/>
          <w:sz w:val="24"/>
          <w:szCs w:val="24"/>
        </w:rPr>
        <w:t xml:space="preserve">: </w:t>
      </w:r>
    </w:p>
    <w:p w14:paraId="15F5F9C9" w14:textId="584DB10B" w:rsidR="006422FB" w:rsidRPr="00160353" w:rsidRDefault="006422FB" w:rsidP="006422FB">
      <w:pPr>
        <w:pStyle w:val="NoSpacing"/>
        <w:rPr>
          <w:rFonts w:ascii="Times New Roman" w:hAnsi="Times New Roman" w:cs="Times New Roman"/>
          <w:sz w:val="24"/>
          <w:szCs w:val="24"/>
        </w:rPr>
      </w:pPr>
      <w:r w:rsidRPr="00160353">
        <w:rPr>
          <w:rFonts w:ascii="Times New Roman" w:hAnsi="Times New Roman" w:cs="Times New Roman"/>
          <w:sz w:val="24"/>
          <w:szCs w:val="24"/>
        </w:rPr>
        <w:lastRenderedPageBreak/>
        <w:t>Department of Finance</w:t>
      </w:r>
    </w:p>
    <w:p w14:paraId="187C62D9" w14:textId="77777777" w:rsidR="006422FB" w:rsidRPr="00160353" w:rsidRDefault="006422FB" w:rsidP="006422FB">
      <w:pPr>
        <w:pStyle w:val="NoSpacing"/>
        <w:rPr>
          <w:rFonts w:ascii="Times New Roman" w:hAnsi="Times New Roman" w:cs="Times New Roman"/>
          <w:sz w:val="24"/>
          <w:szCs w:val="24"/>
        </w:rPr>
      </w:pPr>
      <w:r w:rsidRPr="00160353">
        <w:rPr>
          <w:rFonts w:ascii="Times New Roman" w:hAnsi="Times New Roman" w:cs="Times New Roman"/>
          <w:sz w:val="24"/>
          <w:szCs w:val="24"/>
        </w:rPr>
        <w:t>Department of Veterans’ Affairs</w:t>
      </w:r>
    </w:p>
    <w:p w14:paraId="76E8D59A" w14:textId="6923847F" w:rsidR="006422FB" w:rsidRPr="00160353" w:rsidRDefault="006422FB" w:rsidP="006422FB">
      <w:pPr>
        <w:pStyle w:val="NoSpacing"/>
        <w:rPr>
          <w:rFonts w:ascii="Times New Roman" w:hAnsi="Times New Roman" w:cs="Times New Roman"/>
          <w:sz w:val="24"/>
          <w:szCs w:val="24"/>
        </w:rPr>
      </w:pPr>
      <w:r w:rsidRPr="00160353">
        <w:rPr>
          <w:rFonts w:ascii="Times New Roman" w:hAnsi="Times New Roman" w:cs="Times New Roman"/>
          <w:sz w:val="24"/>
          <w:szCs w:val="24"/>
        </w:rPr>
        <w:t>Department of Infrastructure</w:t>
      </w:r>
      <w:r w:rsidR="000601C0" w:rsidRPr="00160353">
        <w:rPr>
          <w:rFonts w:ascii="Times New Roman" w:hAnsi="Times New Roman" w:cs="Times New Roman"/>
          <w:sz w:val="24"/>
          <w:szCs w:val="24"/>
        </w:rPr>
        <w:t>, Transport, Regional Development and Communications</w:t>
      </w:r>
    </w:p>
    <w:p w14:paraId="5D576CAE" w14:textId="77777777" w:rsidR="006422FB" w:rsidRPr="00160353" w:rsidRDefault="006422FB" w:rsidP="006422FB">
      <w:pPr>
        <w:pStyle w:val="NoSpacing"/>
        <w:rPr>
          <w:rFonts w:ascii="Times New Roman" w:hAnsi="Times New Roman" w:cs="Times New Roman"/>
          <w:sz w:val="24"/>
          <w:szCs w:val="24"/>
        </w:rPr>
      </w:pPr>
      <w:r w:rsidRPr="00160353">
        <w:rPr>
          <w:rFonts w:ascii="Times New Roman" w:hAnsi="Times New Roman" w:cs="Times New Roman"/>
          <w:sz w:val="24"/>
          <w:szCs w:val="24"/>
        </w:rPr>
        <w:t>Department of Foreign Affairs and Trade</w:t>
      </w:r>
    </w:p>
    <w:p w14:paraId="7DF1333D" w14:textId="77777777" w:rsidR="0097223A" w:rsidRPr="00160353" w:rsidRDefault="0097223A" w:rsidP="006422FB">
      <w:pPr>
        <w:pStyle w:val="NoSpacing"/>
        <w:rPr>
          <w:rFonts w:ascii="Times New Roman" w:hAnsi="Times New Roman" w:cs="Times New Roman"/>
          <w:sz w:val="24"/>
          <w:szCs w:val="24"/>
        </w:rPr>
      </w:pPr>
    </w:p>
    <w:p w14:paraId="294797CF" w14:textId="77777777" w:rsidR="006422FB" w:rsidRPr="00160353" w:rsidRDefault="006422FB" w:rsidP="006422FB">
      <w:pPr>
        <w:pStyle w:val="NoSpacing"/>
        <w:rPr>
          <w:rFonts w:ascii="Times New Roman" w:hAnsi="Times New Roman" w:cs="Times New Roman"/>
          <w:sz w:val="24"/>
          <w:szCs w:val="24"/>
        </w:rPr>
      </w:pPr>
      <w:r w:rsidRPr="00160353">
        <w:rPr>
          <w:rFonts w:ascii="Times New Roman" w:hAnsi="Times New Roman" w:cs="Times New Roman"/>
          <w:sz w:val="24"/>
          <w:szCs w:val="24"/>
        </w:rPr>
        <w:t xml:space="preserve">Further details of the Regulations are set out in </w:t>
      </w:r>
      <w:r w:rsidRPr="00160353">
        <w:rPr>
          <w:rFonts w:ascii="Times New Roman" w:hAnsi="Times New Roman" w:cs="Times New Roman"/>
          <w:b/>
          <w:sz w:val="24"/>
          <w:szCs w:val="24"/>
          <w:u w:val="single"/>
        </w:rPr>
        <w:t>Attachment A</w:t>
      </w:r>
      <w:r w:rsidRPr="00160353">
        <w:rPr>
          <w:rFonts w:ascii="Times New Roman" w:hAnsi="Times New Roman" w:cs="Times New Roman"/>
          <w:sz w:val="24"/>
          <w:szCs w:val="24"/>
        </w:rPr>
        <w:t>.</w:t>
      </w:r>
    </w:p>
    <w:p w14:paraId="3A97A25D" w14:textId="77777777" w:rsidR="006422FB" w:rsidRPr="00160353" w:rsidRDefault="006422FB" w:rsidP="006422FB">
      <w:pPr>
        <w:pStyle w:val="NoSpacing"/>
        <w:rPr>
          <w:rFonts w:ascii="Times New Roman" w:hAnsi="Times New Roman" w:cs="Times New Roman"/>
          <w:strike/>
          <w:sz w:val="24"/>
          <w:szCs w:val="24"/>
        </w:rPr>
      </w:pPr>
    </w:p>
    <w:p w14:paraId="663C8C2B" w14:textId="77777777" w:rsidR="006422FB" w:rsidRPr="00160353" w:rsidRDefault="006422FB" w:rsidP="006422FB">
      <w:pPr>
        <w:spacing w:line="360" w:lineRule="auto"/>
        <w:rPr>
          <w:rFonts w:ascii="Times New Roman" w:hAnsi="Times New Roman" w:cs="Times New Roman"/>
          <w:b/>
          <w:caps/>
          <w:sz w:val="24"/>
          <w:szCs w:val="24"/>
        </w:rPr>
      </w:pPr>
      <w:r w:rsidRPr="00160353">
        <w:rPr>
          <w:rFonts w:ascii="Times New Roman" w:hAnsi="Times New Roman" w:cs="Times New Roman"/>
          <w:b/>
          <w:caps/>
          <w:sz w:val="24"/>
          <w:szCs w:val="24"/>
        </w:rPr>
        <w:t>Regulation Impact Statement</w:t>
      </w:r>
    </w:p>
    <w:p w14:paraId="45129440" w14:textId="2CAB1356" w:rsidR="00E27438" w:rsidRPr="00160353" w:rsidRDefault="00E27438" w:rsidP="00E27438">
      <w:pPr>
        <w:spacing w:after="240" w:line="240" w:lineRule="auto"/>
        <w:rPr>
          <w:rFonts w:ascii="Times New Roman" w:hAnsi="Times New Roman" w:cs="Times New Roman"/>
          <w:sz w:val="24"/>
          <w:szCs w:val="24"/>
        </w:rPr>
      </w:pPr>
      <w:r w:rsidRPr="00160353">
        <w:rPr>
          <w:rFonts w:ascii="Times New Roman" w:hAnsi="Times New Roman" w:cs="Times New Roman"/>
          <w:sz w:val="24"/>
          <w:szCs w:val="24"/>
        </w:rPr>
        <w:t>The Office of Best Practice Regulation assessed the Regulations as having a minor regulatory impact on businesses, community organisations and individuals</w:t>
      </w:r>
      <w:r w:rsidR="00384D94" w:rsidRPr="00160353">
        <w:rPr>
          <w:rFonts w:ascii="Times New Roman" w:hAnsi="Times New Roman" w:cs="Times New Roman"/>
          <w:sz w:val="24"/>
          <w:szCs w:val="24"/>
        </w:rPr>
        <w:t xml:space="preserve"> (OBPR Reference: ID25033).</w:t>
      </w:r>
      <w:r w:rsidR="00384D94" w:rsidRPr="00160353">
        <w:rPr>
          <w:rFonts w:ascii="Times New Roman" w:hAnsi="Times New Roman" w:cs="Times New Roman"/>
          <w:i/>
          <w:sz w:val="24"/>
          <w:szCs w:val="24"/>
        </w:rPr>
        <w:t xml:space="preserve"> </w:t>
      </w:r>
      <w:r w:rsidRPr="00160353">
        <w:rPr>
          <w:rFonts w:ascii="Times New Roman" w:hAnsi="Times New Roman" w:cs="Times New Roman"/>
          <w:sz w:val="24"/>
          <w:szCs w:val="24"/>
        </w:rPr>
        <w:t>As such, a Regulation Impact Statement was not required</w:t>
      </w:r>
      <w:r w:rsidR="00384D94" w:rsidRPr="00160353">
        <w:rPr>
          <w:rFonts w:ascii="Times New Roman" w:hAnsi="Times New Roman" w:cs="Times New Roman"/>
          <w:sz w:val="24"/>
          <w:szCs w:val="24"/>
        </w:rPr>
        <w:t>.</w:t>
      </w:r>
    </w:p>
    <w:p w14:paraId="5D7C4B5C" w14:textId="77777777" w:rsidR="001A49BF" w:rsidRPr="00160353" w:rsidRDefault="001A49BF" w:rsidP="001A49BF">
      <w:pPr>
        <w:rPr>
          <w:rFonts w:ascii="Times New Roman" w:hAnsi="Times New Roman" w:cs="Times New Roman"/>
          <w:b/>
          <w:sz w:val="24"/>
          <w:szCs w:val="24"/>
        </w:rPr>
      </w:pPr>
      <w:r w:rsidRPr="00160353">
        <w:rPr>
          <w:rFonts w:ascii="Times New Roman" w:hAnsi="Times New Roman" w:cs="Times New Roman"/>
          <w:b/>
          <w:sz w:val="24"/>
          <w:szCs w:val="24"/>
        </w:rPr>
        <w:t>Statement of Compatibility with Human Rights</w:t>
      </w:r>
    </w:p>
    <w:p w14:paraId="0844E67F" w14:textId="3E979C12" w:rsidR="001A49BF" w:rsidRPr="00160353" w:rsidRDefault="001A49BF" w:rsidP="001A49BF">
      <w:pPr>
        <w:rPr>
          <w:rFonts w:ascii="Times New Roman" w:hAnsi="Times New Roman" w:cs="Times New Roman"/>
          <w:sz w:val="24"/>
          <w:szCs w:val="24"/>
        </w:rPr>
      </w:pPr>
      <w:r w:rsidRPr="00160353">
        <w:rPr>
          <w:rFonts w:ascii="Times New Roman" w:hAnsi="Times New Roman" w:cs="Times New Roman"/>
          <w:i/>
          <w:sz w:val="24"/>
          <w:szCs w:val="24"/>
        </w:rPr>
        <w:t>Prepared in accordance with Part 3 of the Human Rights (Parliamentary Scrutiny) Act 2011</w:t>
      </w:r>
    </w:p>
    <w:p w14:paraId="21E3973E" w14:textId="4EB5516A" w:rsidR="001A49BF" w:rsidRPr="00857DC3" w:rsidRDefault="001A49BF" w:rsidP="001A49BF">
      <w:pPr>
        <w:rPr>
          <w:rFonts w:ascii="Times New Roman" w:hAnsi="Times New Roman" w:cs="Times New Roman"/>
          <w:b/>
          <w:i/>
          <w:sz w:val="24"/>
          <w:szCs w:val="24"/>
        </w:rPr>
      </w:pPr>
      <w:r w:rsidRPr="00160353">
        <w:rPr>
          <w:rFonts w:ascii="Times New Roman" w:hAnsi="Times New Roman" w:cs="Times New Roman"/>
          <w:b/>
          <w:i/>
          <w:sz w:val="24"/>
          <w:szCs w:val="24"/>
        </w:rPr>
        <w:t xml:space="preserve">Electronic Transactions </w:t>
      </w:r>
      <w:r w:rsidR="00C477AB" w:rsidRPr="00160353">
        <w:rPr>
          <w:rFonts w:ascii="Times New Roman" w:hAnsi="Times New Roman" w:cs="Times New Roman"/>
          <w:b/>
          <w:i/>
          <w:sz w:val="24"/>
          <w:szCs w:val="24"/>
        </w:rPr>
        <w:t xml:space="preserve">Amendment </w:t>
      </w:r>
      <w:r w:rsidRPr="00160353">
        <w:rPr>
          <w:rFonts w:ascii="Times New Roman" w:hAnsi="Times New Roman" w:cs="Times New Roman"/>
          <w:b/>
          <w:i/>
          <w:sz w:val="24"/>
          <w:szCs w:val="24"/>
        </w:rPr>
        <w:t>Regulations 202</w:t>
      </w:r>
      <w:r w:rsidR="00C477AB" w:rsidRPr="00160353">
        <w:rPr>
          <w:rFonts w:ascii="Times New Roman" w:hAnsi="Times New Roman" w:cs="Times New Roman"/>
          <w:b/>
          <w:i/>
          <w:sz w:val="24"/>
          <w:szCs w:val="24"/>
        </w:rPr>
        <w:t>1</w:t>
      </w:r>
    </w:p>
    <w:p w14:paraId="0476FDCF" w14:textId="6A367C42" w:rsidR="001A49BF" w:rsidRPr="00160353" w:rsidRDefault="001A49BF" w:rsidP="001A49BF">
      <w:pPr>
        <w:rPr>
          <w:rFonts w:ascii="Times New Roman" w:hAnsi="Times New Roman" w:cs="Times New Roman"/>
          <w:sz w:val="24"/>
          <w:szCs w:val="24"/>
        </w:rPr>
      </w:pPr>
      <w:r w:rsidRPr="00160353">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160353">
        <w:rPr>
          <w:rFonts w:ascii="Times New Roman" w:hAnsi="Times New Roman" w:cs="Times New Roman"/>
          <w:i/>
          <w:sz w:val="24"/>
          <w:szCs w:val="24"/>
        </w:rPr>
        <w:t>Human Rights (Parliamentary Scrutiny) Act 2011</w:t>
      </w:r>
      <w:r w:rsidRPr="00160353">
        <w:rPr>
          <w:rFonts w:ascii="Times New Roman" w:hAnsi="Times New Roman" w:cs="Times New Roman"/>
          <w:sz w:val="24"/>
          <w:szCs w:val="24"/>
        </w:rPr>
        <w:t>.</w:t>
      </w:r>
    </w:p>
    <w:p w14:paraId="63F3A352" w14:textId="77777777" w:rsidR="001A49BF" w:rsidRPr="00160353" w:rsidRDefault="001A49BF" w:rsidP="001A49BF">
      <w:pPr>
        <w:rPr>
          <w:rFonts w:ascii="Times New Roman" w:hAnsi="Times New Roman" w:cs="Times New Roman"/>
          <w:b/>
          <w:sz w:val="24"/>
          <w:szCs w:val="24"/>
        </w:rPr>
      </w:pPr>
      <w:r w:rsidRPr="00160353">
        <w:rPr>
          <w:rFonts w:ascii="Times New Roman" w:hAnsi="Times New Roman" w:cs="Times New Roman"/>
          <w:b/>
          <w:sz w:val="24"/>
          <w:szCs w:val="24"/>
        </w:rPr>
        <w:t xml:space="preserve">Overview of the Disallowable Legislative Instrument </w:t>
      </w:r>
    </w:p>
    <w:p w14:paraId="14CD78AD" w14:textId="7871D997" w:rsidR="001A49BF" w:rsidRPr="00160353" w:rsidRDefault="001A49BF" w:rsidP="001A49BF">
      <w:pPr>
        <w:rPr>
          <w:rFonts w:ascii="Times New Roman" w:hAnsi="Times New Roman" w:cs="Times New Roman"/>
          <w:iCs/>
          <w:sz w:val="24"/>
          <w:szCs w:val="24"/>
        </w:rPr>
      </w:pPr>
      <w:r w:rsidRPr="00160353">
        <w:rPr>
          <w:rFonts w:ascii="Times New Roman" w:hAnsi="Times New Roman" w:cs="Times New Roman"/>
          <w:iCs/>
          <w:sz w:val="24"/>
          <w:szCs w:val="24"/>
        </w:rPr>
        <w:t xml:space="preserve">The </w:t>
      </w:r>
      <w:r w:rsidRPr="00160353">
        <w:rPr>
          <w:rFonts w:ascii="Times New Roman" w:hAnsi="Times New Roman" w:cs="Times New Roman"/>
          <w:i/>
          <w:iCs/>
          <w:sz w:val="24"/>
          <w:szCs w:val="24"/>
        </w:rPr>
        <w:t xml:space="preserve">Electronic </w:t>
      </w:r>
      <w:r w:rsidRPr="00160353">
        <w:rPr>
          <w:rFonts w:ascii="Times New Roman" w:hAnsi="Times New Roman" w:cs="Times New Roman"/>
          <w:i/>
          <w:sz w:val="24"/>
          <w:szCs w:val="24"/>
        </w:rPr>
        <w:t xml:space="preserve">Transactions </w:t>
      </w:r>
      <w:r w:rsidRPr="00160353">
        <w:rPr>
          <w:rFonts w:ascii="Times New Roman" w:hAnsi="Times New Roman" w:cs="Times New Roman"/>
          <w:i/>
          <w:iCs/>
          <w:sz w:val="24"/>
          <w:szCs w:val="24"/>
        </w:rPr>
        <w:t>Act 1999</w:t>
      </w:r>
      <w:r w:rsidRPr="00160353">
        <w:rPr>
          <w:rFonts w:ascii="Times New Roman" w:hAnsi="Times New Roman" w:cs="Times New Roman"/>
          <w:iCs/>
          <w:sz w:val="24"/>
          <w:szCs w:val="24"/>
        </w:rPr>
        <w:t xml:space="preserve"> (the Act) legally validates transactions under Commonwealth law taken place wholly or partly by means of electronic communications. This framework allows documents that are required in writing, contain a signature, or are to be produced or retained, to be met in an electronic form. The Act applies to all laws of the Commonwealth unless, pursuant to section 7A of the Act, they are specifically exempted by the </w:t>
      </w:r>
      <w:r w:rsidRPr="00160353">
        <w:rPr>
          <w:rFonts w:ascii="Times New Roman" w:hAnsi="Times New Roman" w:cs="Times New Roman"/>
          <w:i/>
          <w:iCs/>
          <w:sz w:val="24"/>
          <w:szCs w:val="24"/>
        </w:rPr>
        <w:t>Electronic Transactions Regulations 20</w:t>
      </w:r>
      <w:r w:rsidR="005627CF">
        <w:rPr>
          <w:rFonts w:ascii="Times New Roman" w:hAnsi="Times New Roman" w:cs="Times New Roman"/>
          <w:i/>
          <w:iCs/>
          <w:sz w:val="24"/>
          <w:szCs w:val="24"/>
        </w:rPr>
        <w:t>2</w:t>
      </w:r>
      <w:r w:rsidRPr="00160353">
        <w:rPr>
          <w:rFonts w:ascii="Times New Roman" w:hAnsi="Times New Roman" w:cs="Times New Roman"/>
          <w:i/>
          <w:iCs/>
          <w:sz w:val="24"/>
          <w:szCs w:val="24"/>
        </w:rPr>
        <w:t>0</w:t>
      </w:r>
      <w:r w:rsidRPr="00160353">
        <w:rPr>
          <w:rFonts w:ascii="Times New Roman" w:hAnsi="Times New Roman" w:cs="Times New Roman"/>
          <w:iCs/>
          <w:sz w:val="24"/>
          <w:szCs w:val="24"/>
        </w:rPr>
        <w:t xml:space="preserve"> or are exempted pursuant to section 7B of the Act. </w:t>
      </w:r>
    </w:p>
    <w:p w14:paraId="299B504D" w14:textId="7074BD7A" w:rsidR="001A49BF" w:rsidRPr="00160353" w:rsidRDefault="001A49BF" w:rsidP="001A49BF">
      <w:pPr>
        <w:rPr>
          <w:rFonts w:ascii="Times New Roman" w:hAnsi="Times New Roman" w:cs="Times New Roman"/>
          <w:iCs/>
          <w:sz w:val="24"/>
          <w:szCs w:val="24"/>
        </w:rPr>
      </w:pPr>
      <w:r w:rsidRPr="00160353">
        <w:rPr>
          <w:rFonts w:ascii="Times New Roman" w:hAnsi="Times New Roman" w:cs="Times New Roman"/>
          <w:iCs/>
          <w:sz w:val="24"/>
          <w:szCs w:val="24"/>
        </w:rPr>
        <w:t xml:space="preserve">Schedule 1 of the Regulations contains a list of Commonwealth laws that are exempted from the operation of the Act, or particular provisions of the Act. These exemptions are necessary to account for circumstances where it is not appropriate to provide information, documents or signatures electronically.  </w:t>
      </w:r>
    </w:p>
    <w:p w14:paraId="46647071" w14:textId="63276A22" w:rsidR="001A49BF" w:rsidRPr="00160353" w:rsidRDefault="001A49BF" w:rsidP="001A49BF">
      <w:pPr>
        <w:rPr>
          <w:rFonts w:ascii="Times New Roman" w:hAnsi="Times New Roman" w:cs="Times New Roman"/>
          <w:sz w:val="24"/>
          <w:szCs w:val="24"/>
        </w:rPr>
      </w:pPr>
      <w:r w:rsidRPr="00160353">
        <w:rPr>
          <w:rFonts w:ascii="Times New Roman" w:hAnsi="Times New Roman" w:cs="Times New Roman"/>
          <w:sz w:val="24"/>
          <w:szCs w:val="24"/>
        </w:rPr>
        <w:t xml:space="preserve">The purpose of the </w:t>
      </w:r>
      <w:r w:rsidRPr="00160353">
        <w:rPr>
          <w:rFonts w:ascii="Times New Roman" w:hAnsi="Times New Roman" w:cs="Times New Roman"/>
          <w:i/>
          <w:sz w:val="24"/>
          <w:szCs w:val="24"/>
        </w:rPr>
        <w:t xml:space="preserve">Electronic Transactions </w:t>
      </w:r>
      <w:r w:rsidR="00857DC3">
        <w:rPr>
          <w:rFonts w:ascii="Times New Roman" w:hAnsi="Times New Roman" w:cs="Times New Roman"/>
          <w:i/>
          <w:sz w:val="24"/>
          <w:szCs w:val="24"/>
        </w:rPr>
        <w:t>Amendment Regulations 2021</w:t>
      </w:r>
      <w:r w:rsidR="00E21483">
        <w:rPr>
          <w:rFonts w:ascii="Times New Roman" w:hAnsi="Times New Roman" w:cs="Times New Roman"/>
          <w:i/>
          <w:sz w:val="24"/>
          <w:szCs w:val="24"/>
        </w:rPr>
        <w:t xml:space="preserve"> </w:t>
      </w:r>
      <w:r w:rsidR="00E21483">
        <w:rPr>
          <w:rFonts w:ascii="Times New Roman" w:hAnsi="Times New Roman" w:cs="Times New Roman"/>
          <w:sz w:val="24"/>
          <w:szCs w:val="24"/>
        </w:rPr>
        <w:t>(the Amendment Regulations)</w:t>
      </w:r>
      <w:r w:rsidR="00857DC3">
        <w:rPr>
          <w:rFonts w:ascii="Times New Roman" w:hAnsi="Times New Roman" w:cs="Times New Roman"/>
          <w:i/>
          <w:sz w:val="24"/>
          <w:szCs w:val="24"/>
        </w:rPr>
        <w:t xml:space="preserve"> </w:t>
      </w:r>
      <w:r w:rsidRPr="00160353">
        <w:rPr>
          <w:rFonts w:ascii="Times New Roman" w:hAnsi="Times New Roman" w:cs="Times New Roman"/>
          <w:sz w:val="24"/>
          <w:szCs w:val="24"/>
        </w:rPr>
        <w:t xml:space="preserve">is to ensure that the exemptions to the operation of the Act remain relevant in light of current and emerging digital channels and consumer preferences. The exemptions provided in Schedule 1 of the Regulations are regularly reviewed to reflect evolving business practices and consumer behaviours. 33 current exemptions have now been identified as conducive to electronic communications, and are </w:t>
      </w:r>
      <w:r w:rsidR="00014E6B">
        <w:rPr>
          <w:rFonts w:ascii="Times New Roman" w:hAnsi="Times New Roman" w:cs="Times New Roman"/>
          <w:sz w:val="24"/>
          <w:szCs w:val="24"/>
        </w:rPr>
        <w:t>to be removed</w:t>
      </w:r>
      <w:r w:rsidRPr="00160353">
        <w:rPr>
          <w:rFonts w:ascii="Times New Roman" w:hAnsi="Times New Roman" w:cs="Times New Roman"/>
          <w:sz w:val="24"/>
          <w:szCs w:val="24"/>
        </w:rPr>
        <w:t xml:space="preserve"> from Schedule 1 of the </w:t>
      </w:r>
      <w:r w:rsidRPr="00160353">
        <w:rPr>
          <w:rFonts w:ascii="Times New Roman" w:hAnsi="Times New Roman" w:cs="Times New Roman"/>
          <w:i/>
          <w:sz w:val="24"/>
          <w:szCs w:val="24"/>
        </w:rPr>
        <w:t>Electronic Transactions Regulations 2020</w:t>
      </w:r>
      <w:r w:rsidRPr="00160353">
        <w:rPr>
          <w:rFonts w:ascii="Times New Roman" w:hAnsi="Times New Roman" w:cs="Times New Roman"/>
          <w:sz w:val="24"/>
          <w:szCs w:val="24"/>
        </w:rPr>
        <w:t xml:space="preserve">. Part XV of the </w:t>
      </w:r>
      <w:bookmarkStart w:id="5" w:name="_Hlk88130326"/>
      <w:r w:rsidRPr="00160353">
        <w:rPr>
          <w:rFonts w:ascii="Times New Roman" w:hAnsi="Times New Roman" w:cs="Times New Roman"/>
          <w:i/>
          <w:sz w:val="24"/>
          <w:szCs w:val="24"/>
        </w:rPr>
        <w:t>Commonwealth Electoral Act 1918</w:t>
      </w:r>
      <w:r w:rsidRPr="00160353">
        <w:rPr>
          <w:rFonts w:ascii="Times New Roman" w:hAnsi="Times New Roman" w:cs="Times New Roman"/>
          <w:sz w:val="24"/>
          <w:szCs w:val="24"/>
        </w:rPr>
        <w:t xml:space="preserve"> </w:t>
      </w:r>
      <w:bookmarkEnd w:id="5"/>
      <w:r w:rsidRPr="00160353">
        <w:rPr>
          <w:rFonts w:ascii="Times New Roman" w:hAnsi="Times New Roman" w:cs="Times New Roman"/>
          <w:sz w:val="24"/>
          <w:szCs w:val="24"/>
        </w:rPr>
        <w:t>has been amended to reflect newly inserted provisions and the existing exemption</w:t>
      </w:r>
      <w:r w:rsidR="00014E6B" w:rsidRPr="00014E6B">
        <w:rPr>
          <w:rFonts w:ascii="Times New Roman" w:hAnsi="Times New Roman" w:cs="Times New Roman"/>
          <w:sz w:val="24"/>
          <w:szCs w:val="24"/>
        </w:rPr>
        <w:t xml:space="preserve"> </w:t>
      </w:r>
      <w:r w:rsidR="00014E6B">
        <w:rPr>
          <w:rFonts w:ascii="Times New Roman" w:hAnsi="Times New Roman" w:cs="Times New Roman"/>
          <w:sz w:val="24"/>
          <w:szCs w:val="24"/>
        </w:rPr>
        <w:t>will be reduced in scope</w:t>
      </w:r>
      <w:r w:rsidRPr="00160353">
        <w:rPr>
          <w:rFonts w:ascii="Times New Roman" w:hAnsi="Times New Roman" w:cs="Times New Roman"/>
          <w:sz w:val="24"/>
          <w:szCs w:val="24"/>
        </w:rPr>
        <w:t xml:space="preserve">. </w:t>
      </w:r>
    </w:p>
    <w:p w14:paraId="50A3E58A" w14:textId="77777777" w:rsidR="001A49BF" w:rsidRPr="00160353" w:rsidRDefault="001A49BF" w:rsidP="001A49BF">
      <w:pPr>
        <w:rPr>
          <w:rFonts w:ascii="Times New Roman" w:hAnsi="Times New Roman" w:cs="Times New Roman"/>
          <w:b/>
          <w:sz w:val="24"/>
          <w:szCs w:val="24"/>
        </w:rPr>
      </w:pPr>
      <w:r w:rsidRPr="00160353">
        <w:rPr>
          <w:rFonts w:ascii="Times New Roman" w:hAnsi="Times New Roman" w:cs="Times New Roman"/>
          <w:b/>
          <w:sz w:val="24"/>
          <w:szCs w:val="24"/>
        </w:rPr>
        <w:lastRenderedPageBreak/>
        <w:t>Human rights implications</w:t>
      </w:r>
    </w:p>
    <w:p w14:paraId="3AA9AFE8" w14:textId="77777777" w:rsidR="001A49BF" w:rsidRPr="00160353" w:rsidRDefault="001A49BF" w:rsidP="001A49BF">
      <w:pPr>
        <w:rPr>
          <w:rFonts w:ascii="Times New Roman" w:hAnsi="Times New Roman" w:cs="Times New Roman"/>
          <w:sz w:val="24"/>
          <w:szCs w:val="24"/>
        </w:rPr>
      </w:pPr>
      <w:r w:rsidRPr="00160353">
        <w:rPr>
          <w:rFonts w:ascii="Times New Roman" w:hAnsi="Times New Roman" w:cs="Times New Roman"/>
          <w:sz w:val="24"/>
          <w:szCs w:val="24"/>
        </w:rPr>
        <w:t xml:space="preserve">Item 1 of the Amendment Regulations amends the </w:t>
      </w:r>
      <w:r w:rsidRPr="00160353">
        <w:rPr>
          <w:rFonts w:ascii="Times New Roman" w:hAnsi="Times New Roman" w:cs="Times New Roman"/>
          <w:i/>
          <w:sz w:val="24"/>
          <w:szCs w:val="24"/>
        </w:rPr>
        <w:t>Electronic Transactions Regulations 2020</w:t>
      </w:r>
      <w:r w:rsidRPr="00160353">
        <w:rPr>
          <w:rFonts w:ascii="Times New Roman" w:hAnsi="Times New Roman" w:cs="Times New Roman"/>
          <w:sz w:val="24"/>
          <w:szCs w:val="24"/>
        </w:rPr>
        <w:t xml:space="preserve"> by inserting subparagraphs 194(1A)(a)(ii) and (iii) and paragraph 194(1A)(d) of the </w:t>
      </w:r>
      <w:r w:rsidRPr="00160353">
        <w:rPr>
          <w:rFonts w:ascii="Times New Roman" w:hAnsi="Times New Roman" w:cs="Times New Roman"/>
          <w:i/>
          <w:iCs/>
          <w:sz w:val="24"/>
          <w:szCs w:val="24"/>
        </w:rPr>
        <w:t xml:space="preserve">Commonwealth Electoral Act 1918 </w:t>
      </w:r>
      <w:r w:rsidRPr="00160353">
        <w:rPr>
          <w:rFonts w:ascii="Times New Roman" w:hAnsi="Times New Roman" w:cs="Times New Roman"/>
          <w:iCs/>
          <w:sz w:val="24"/>
          <w:szCs w:val="24"/>
        </w:rPr>
        <w:t>in Schedule 1</w:t>
      </w:r>
      <w:r w:rsidRPr="00160353">
        <w:rPr>
          <w:rFonts w:ascii="Times New Roman" w:hAnsi="Times New Roman" w:cs="Times New Roman"/>
          <w:sz w:val="24"/>
          <w:szCs w:val="24"/>
        </w:rPr>
        <w:t xml:space="preserve">, with the effect of removing those provisions from the exemption to the </w:t>
      </w:r>
      <w:r w:rsidRPr="00160353">
        <w:rPr>
          <w:rFonts w:ascii="Times New Roman" w:hAnsi="Times New Roman" w:cs="Times New Roman"/>
          <w:i/>
          <w:sz w:val="24"/>
          <w:szCs w:val="24"/>
        </w:rPr>
        <w:t>Electronic Transactions Act 1999</w:t>
      </w:r>
      <w:r w:rsidRPr="00160353">
        <w:rPr>
          <w:rFonts w:ascii="Times New Roman" w:hAnsi="Times New Roman" w:cs="Times New Roman"/>
          <w:sz w:val="24"/>
          <w:szCs w:val="24"/>
        </w:rPr>
        <w:t xml:space="preserve">. The newly inserted provisions will facilitate both paper-based and electronic processes for postal voters outside Australia to securely self-certify their postal vote certificate by providing official documented evidence of identity where they are unable to find an authorised witness. </w:t>
      </w:r>
    </w:p>
    <w:p w14:paraId="1ACE29C8" w14:textId="77777777" w:rsidR="001A49BF" w:rsidRPr="00160353" w:rsidRDefault="001A49BF" w:rsidP="001A49BF">
      <w:pPr>
        <w:rPr>
          <w:rFonts w:ascii="Times New Roman" w:hAnsi="Times New Roman" w:cs="Times New Roman"/>
          <w:sz w:val="24"/>
          <w:szCs w:val="24"/>
        </w:rPr>
      </w:pPr>
      <w:r w:rsidRPr="00160353">
        <w:rPr>
          <w:rFonts w:ascii="Times New Roman" w:hAnsi="Times New Roman" w:cs="Times New Roman"/>
          <w:sz w:val="24"/>
          <w:szCs w:val="24"/>
        </w:rPr>
        <w:t xml:space="preserve">Enabling electronic process for postal voters engages the right to take part in public affairs and elections by providing access to voting. This right is promoted by expanding the methods in which postal votes can be received. </w:t>
      </w:r>
    </w:p>
    <w:p w14:paraId="4044A3EF" w14:textId="740567FA" w:rsidR="00217801" w:rsidRPr="00217801" w:rsidRDefault="001A49BF" w:rsidP="00217801">
      <w:pPr>
        <w:shd w:val="clear" w:color="auto" w:fill="FFFFFF"/>
        <w:spacing w:before="288" w:after="288"/>
        <w:rPr>
          <w:rFonts w:ascii="Calibri" w:eastAsia="Times New Roman" w:hAnsi="Calibri" w:cs="Calibri"/>
          <w:color w:val="000000"/>
          <w:lang w:eastAsia="en-AU"/>
        </w:rPr>
      </w:pPr>
      <w:r w:rsidRPr="00160353">
        <w:rPr>
          <w:rFonts w:ascii="Times New Roman" w:hAnsi="Times New Roman" w:cs="Times New Roman"/>
          <w:sz w:val="24"/>
          <w:szCs w:val="24"/>
        </w:rPr>
        <w:t xml:space="preserve">Item 2 of the Amendment Regulations amends the </w:t>
      </w:r>
      <w:r w:rsidRPr="00160353">
        <w:rPr>
          <w:rFonts w:ascii="Times New Roman" w:hAnsi="Times New Roman" w:cs="Times New Roman"/>
          <w:i/>
          <w:sz w:val="24"/>
          <w:szCs w:val="24"/>
        </w:rPr>
        <w:t xml:space="preserve">Electronic Transactions Regulations 2020 </w:t>
      </w:r>
      <w:r w:rsidRPr="00160353">
        <w:rPr>
          <w:rFonts w:ascii="Times New Roman" w:hAnsi="Times New Roman" w:cs="Times New Roman"/>
          <w:sz w:val="24"/>
          <w:szCs w:val="24"/>
        </w:rPr>
        <w:t xml:space="preserve">by removing </w:t>
      </w:r>
      <w:r w:rsidR="00217801">
        <w:rPr>
          <w:rFonts w:ascii="Times New Roman" w:hAnsi="Times New Roman" w:cs="Times New Roman"/>
          <w:sz w:val="24"/>
          <w:szCs w:val="24"/>
        </w:rPr>
        <w:t xml:space="preserve">33 exemptions </w:t>
      </w:r>
      <w:r w:rsidRPr="00160353">
        <w:rPr>
          <w:rFonts w:ascii="Times New Roman" w:hAnsi="Times New Roman" w:cs="Times New Roman"/>
          <w:sz w:val="24"/>
          <w:szCs w:val="24"/>
        </w:rPr>
        <w:t xml:space="preserve">from Schedule 1. </w:t>
      </w:r>
      <w:r w:rsidR="00217801">
        <w:rPr>
          <w:rFonts w:ascii="Times New Roman" w:eastAsia="Times New Roman" w:hAnsi="Times New Roman" w:cs="Times New Roman"/>
          <w:color w:val="000000"/>
          <w:sz w:val="24"/>
          <w:szCs w:val="24"/>
          <w:lang w:val="en-GB" w:eastAsia="en-AU"/>
        </w:rPr>
        <w:t>This item</w:t>
      </w:r>
      <w:r w:rsidR="00217801" w:rsidRPr="00217801">
        <w:rPr>
          <w:rFonts w:ascii="Times New Roman" w:eastAsia="Times New Roman" w:hAnsi="Times New Roman" w:cs="Times New Roman"/>
          <w:color w:val="000000"/>
          <w:sz w:val="24"/>
          <w:szCs w:val="24"/>
          <w:lang w:val="en-GB" w:eastAsia="en-AU"/>
        </w:rPr>
        <w:t xml:space="preserve"> do</w:t>
      </w:r>
      <w:r w:rsidR="00217801">
        <w:rPr>
          <w:rFonts w:ascii="Times New Roman" w:eastAsia="Times New Roman" w:hAnsi="Times New Roman" w:cs="Times New Roman"/>
          <w:color w:val="000000"/>
          <w:sz w:val="24"/>
          <w:szCs w:val="24"/>
          <w:lang w:val="en-GB" w:eastAsia="en-AU"/>
        </w:rPr>
        <w:t>es</w:t>
      </w:r>
      <w:r w:rsidR="00217801" w:rsidRPr="00217801">
        <w:rPr>
          <w:rFonts w:ascii="Times New Roman" w:eastAsia="Times New Roman" w:hAnsi="Times New Roman" w:cs="Times New Roman"/>
          <w:color w:val="000000"/>
          <w:sz w:val="24"/>
          <w:szCs w:val="24"/>
          <w:lang w:val="en-GB" w:eastAsia="en-AU"/>
        </w:rPr>
        <w:t xml:space="preserve"> not raise human rights issues as the amendments will reduce regulatory impact as far as practicable and increase the certainty and availability of electronic transactions.</w:t>
      </w:r>
    </w:p>
    <w:p w14:paraId="77B28EF0" w14:textId="77777777" w:rsidR="00217801" w:rsidRPr="00217801" w:rsidRDefault="00217801" w:rsidP="00217801">
      <w:pPr>
        <w:rPr>
          <w:rFonts w:ascii="Times New Roman" w:hAnsi="Times New Roman" w:cs="Times New Roman"/>
          <w:sz w:val="24"/>
          <w:szCs w:val="24"/>
        </w:rPr>
      </w:pPr>
      <w:r w:rsidRPr="00217801">
        <w:rPr>
          <w:rFonts w:ascii="Times New Roman" w:hAnsi="Times New Roman" w:cs="Times New Roman"/>
          <w:sz w:val="24"/>
          <w:szCs w:val="24"/>
        </w:rPr>
        <w:t>Removing the exemptions from the operation of the Act for particular provisions of Commonwealth law enables, but does not compel or mandate, the use of electronic communications by business and individuals in their dealings with government.  Removing exemptions merely allows for a requirement or permission to provide information in writing under a law of the Commonwealth to be fulfilled in electronic form, in addition to written paper form.   </w:t>
      </w:r>
    </w:p>
    <w:p w14:paraId="0A3E4FB8" w14:textId="77777777" w:rsidR="001A49BF" w:rsidRPr="00160353" w:rsidRDefault="001A49BF" w:rsidP="001A49BF">
      <w:pPr>
        <w:rPr>
          <w:rFonts w:ascii="Times New Roman" w:hAnsi="Times New Roman" w:cs="Times New Roman"/>
          <w:b/>
          <w:sz w:val="24"/>
          <w:szCs w:val="24"/>
        </w:rPr>
      </w:pPr>
      <w:r w:rsidRPr="00160353">
        <w:rPr>
          <w:rFonts w:ascii="Times New Roman" w:hAnsi="Times New Roman" w:cs="Times New Roman"/>
          <w:b/>
          <w:sz w:val="24"/>
          <w:szCs w:val="24"/>
        </w:rPr>
        <w:t>Conclusion</w:t>
      </w:r>
    </w:p>
    <w:p w14:paraId="04B5B150" w14:textId="77777777" w:rsidR="006C5320" w:rsidRDefault="006C5320" w:rsidP="006C5320">
      <w:pPr>
        <w:rPr>
          <w:rFonts w:ascii="Times New Roman" w:hAnsi="Times New Roman" w:cs="Times New Roman"/>
          <w:sz w:val="24"/>
          <w:szCs w:val="24"/>
        </w:rPr>
      </w:pPr>
      <w:r>
        <w:rPr>
          <w:rFonts w:ascii="Times New Roman" w:hAnsi="Times New Roman" w:cs="Times New Roman"/>
          <w:sz w:val="24"/>
          <w:szCs w:val="24"/>
        </w:rPr>
        <w:t xml:space="preserve">Item 1 of this Disallowable Legislative Instrument is compatible with human rights because it promotes the right to take part in public affairs and elections. </w:t>
      </w:r>
    </w:p>
    <w:p w14:paraId="1CBEAE73" w14:textId="495FF49F" w:rsidR="00214916" w:rsidRDefault="006C5320" w:rsidP="006C5320">
      <w:pPr>
        <w:rPr>
          <w:rFonts w:ascii="Times New Roman" w:hAnsi="Times New Roman" w:cs="Times New Roman"/>
          <w:sz w:val="24"/>
          <w:szCs w:val="24"/>
        </w:rPr>
      </w:pPr>
      <w:r>
        <w:rPr>
          <w:rFonts w:ascii="Times New Roman" w:hAnsi="Times New Roman" w:cs="Times New Roman"/>
          <w:sz w:val="24"/>
          <w:szCs w:val="24"/>
        </w:rPr>
        <w:t>Item 2 of this Instrument does not raise human rights issues.</w:t>
      </w:r>
    </w:p>
    <w:p w14:paraId="48EB6B07" w14:textId="77777777" w:rsidR="006422FB" w:rsidRPr="00160353" w:rsidRDefault="006422FB" w:rsidP="006422FB">
      <w:pPr>
        <w:rPr>
          <w:rFonts w:ascii="Times New Roman" w:hAnsi="Times New Roman" w:cs="Times New Roman"/>
          <w:b/>
          <w:sz w:val="24"/>
          <w:szCs w:val="24"/>
        </w:rPr>
      </w:pPr>
      <w:r w:rsidRPr="00160353">
        <w:rPr>
          <w:rFonts w:ascii="Times New Roman" w:hAnsi="Times New Roman" w:cs="Times New Roman"/>
          <w:b/>
          <w:sz w:val="24"/>
          <w:szCs w:val="24"/>
        </w:rPr>
        <w:br w:type="page"/>
      </w:r>
    </w:p>
    <w:p w14:paraId="76EEA67D" w14:textId="77777777" w:rsidR="00B4702A" w:rsidRPr="00B4702A" w:rsidRDefault="00B4702A" w:rsidP="00B4702A">
      <w:pPr>
        <w:spacing w:after="0" w:line="240" w:lineRule="auto"/>
        <w:ind w:right="91"/>
        <w:jc w:val="right"/>
        <w:rPr>
          <w:rFonts w:ascii="Times New Roman" w:eastAsia="Times New Roman" w:hAnsi="Times New Roman" w:cs="Times New Roman"/>
          <w:sz w:val="24"/>
          <w:szCs w:val="24"/>
          <w:u w:val="single"/>
          <w:lang w:eastAsia="en-AU"/>
        </w:rPr>
      </w:pPr>
      <w:r w:rsidRPr="00B4702A">
        <w:rPr>
          <w:rFonts w:ascii="Times New Roman" w:eastAsia="Times New Roman" w:hAnsi="Times New Roman" w:cs="Times New Roman"/>
          <w:b/>
          <w:sz w:val="24"/>
          <w:szCs w:val="24"/>
          <w:u w:val="single"/>
          <w:lang w:eastAsia="en-AU"/>
        </w:rPr>
        <w:lastRenderedPageBreak/>
        <w:t>ATTACHMENT A</w:t>
      </w:r>
    </w:p>
    <w:p w14:paraId="3C76099D" w14:textId="77777777" w:rsidR="00B4702A" w:rsidRPr="00B4702A" w:rsidRDefault="00B4702A" w:rsidP="00B4702A">
      <w:pPr>
        <w:spacing w:after="0" w:line="240" w:lineRule="auto"/>
        <w:ind w:right="91"/>
        <w:jc w:val="right"/>
        <w:rPr>
          <w:rFonts w:ascii="Times New Roman" w:eastAsia="Times New Roman" w:hAnsi="Times New Roman" w:cs="Times New Roman"/>
          <w:sz w:val="24"/>
          <w:szCs w:val="24"/>
          <w:lang w:eastAsia="en-AU"/>
        </w:rPr>
      </w:pPr>
    </w:p>
    <w:p w14:paraId="175B9DC9" w14:textId="77777777" w:rsidR="00B4702A" w:rsidRPr="00B4702A" w:rsidRDefault="00B4702A" w:rsidP="00B4702A">
      <w:pPr>
        <w:spacing w:after="0" w:line="240" w:lineRule="auto"/>
        <w:ind w:right="91"/>
        <w:rPr>
          <w:rFonts w:ascii="Times New Roman" w:eastAsia="Times New Roman" w:hAnsi="Times New Roman" w:cs="Times New Roman"/>
          <w:b/>
          <w:sz w:val="24"/>
          <w:szCs w:val="24"/>
          <w:u w:val="single"/>
          <w:lang w:eastAsia="en-AU"/>
        </w:rPr>
      </w:pPr>
    </w:p>
    <w:p w14:paraId="30C0E204" w14:textId="77777777" w:rsidR="00B4702A" w:rsidRPr="00B4702A" w:rsidRDefault="00B4702A" w:rsidP="00B4702A">
      <w:pPr>
        <w:spacing w:after="0" w:line="240" w:lineRule="auto"/>
        <w:ind w:right="91"/>
        <w:rPr>
          <w:rFonts w:ascii="Times New Roman" w:eastAsia="Times New Roman" w:hAnsi="Times New Roman" w:cs="Times New Roman"/>
          <w:b/>
          <w:i/>
          <w:sz w:val="24"/>
          <w:szCs w:val="24"/>
          <w:u w:val="single"/>
          <w:lang w:eastAsia="en-AU"/>
        </w:rPr>
      </w:pPr>
      <w:r w:rsidRPr="00B4702A">
        <w:rPr>
          <w:rFonts w:ascii="Times New Roman" w:eastAsia="Times New Roman" w:hAnsi="Times New Roman" w:cs="Times New Roman"/>
          <w:b/>
          <w:sz w:val="24"/>
          <w:szCs w:val="24"/>
          <w:u w:val="single"/>
          <w:lang w:eastAsia="en-AU"/>
        </w:rPr>
        <w:t xml:space="preserve">Details of the </w:t>
      </w:r>
      <w:r w:rsidRPr="00B4702A">
        <w:rPr>
          <w:rFonts w:ascii="Times New Roman" w:eastAsia="Times New Roman" w:hAnsi="Times New Roman" w:cs="Times New Roman"/>
          <w:b/>
          <w:i/>
          <w:sz w:val="24"/>
          <w:szCs w:val="24"/>
          <w:u w:val="single"/>
          <w:lang w:eastAsia="en-AU"/>
        </w:rPr>
        <w:t>Electronic Transactions Amendment Regulations 2021</w:t>
      </w:r>
    </w:p>
    <w:p w14:paraId="72AB7D8E" w14:textId="77777777" w:rsidR="00B4702A" w:rsidRPr="00B4702A" w:rsidRDefault="00B4702A" w:rsidP="00B4702A">
      <w:pPr>
        <w:spacing w:after="0" w:line="240" w:lineRule="auto"/>
        <w:ind w:right="91"/>
        <w:rPr>
          <w:rFonts w:ascii="Times New Roman" w:eastAsia="Times New Roman" w:hAnsi="Times New Roman" w:cs="Times New Roman"/>
          <w:sz w:val="24"/>
          <w:szCs w:val="24"/>
          <w:lang w:eastAsia="en-AU"/>
        </w:rPr>
      </w:pPr>
    </w:p>
    <w:p w14:paraId="37FCA314" w14:textId="77777777" w:rsidR="00B4702A" w:rsidRPr="00BC5112" w:rsidRDefault="00B4702A" w:rsidP="00BC5112">
      <w:pPr>
        <w:pStyle w:val="NoSpacing"/>
        <w:rPr>
          <w:rFonts w:ascii="Times New Roman" w:hAnsi="Times New Roman" w:cs="Times New Roman"/>
          <w:b/>
          <w:sz w:val="24"/>
          <w:szCs w:val="24"/>
          <w:u w:val="single"/>
          <w:lang w:val="en-GB"/>
        </w:rPr>
      </w:pPr>
      <w:r w:rsidRPr="00BC5112">
        <w:rPr>
          <w:rFonts w:ascii="Times New Roman" w:hAnsi="Times New Roman" w:cs="Times New Roman"/>
          <w:b/>
          <w:sz w:val="24"/>
          <w:szCs w:val="24"/>
          <w:u w:val="single"/>
          <w:lang w:val="en-GB"/>
        </w:rPr>
        <w:t>Section 1 – Name</w:t>
      </w:r>
    </w:p>
    <w:p w14:paraId="7208FEB8" w14:textId="77777777" w:rsidR="00B4702A" w:rsidRPr="00BC5112" w:rsidRDefault="00B4702A" w:rsidP="00BC5112">
      <w:pPr>
        <w:pStyle w:val="NoSpacing"/>
        <w:rPr>
          <w:rFonts w:ascii="Times New Roman" w:hAnsi="Times New Roman" w:cs="Times New Roman"/>
          <w:sz w:val="24"/>
          <w:szCs w:val="24"/>
          <w:lang w:val="en-GB"/>
        </w:rPr>
      </w:pPr>
      <w:r w:rsidRPr="00BC5112">
        <w:rPr>
          <w:rFonts w:ascii="Times New Roman" w:hAnsi="Times New Roman" w:cs="Times New Roman"/>
          <w:sz w:val="24"/>
          <w:szCs w:val="24"/>
          <w:lang w:val="en-GB"/>
        </w:rPr>
        <w:t xml:space="preserve">This section provides that the title of the proposed instrument is the </w:t>
      </w:r>
      <w:r w:rsidRPr="00BC5112">
        <w:rPr>
          <w:rFonts w:ascii="Times New Roman" w:hAnsi="Times New Roman" w:cs="Times New Roman"/>
          <w:i/>
          <w:sz w:val="24"/>
          <w:szCs w:val="24"/>
          <w:lang w:val="en-GB"/>
        </w:rPr>
        <w:t>Electronic Transactions Amendment Regulations 2021</w:t>
      </w:r>
      <w:r w:rsidRPr="00BC5112">
        <w:rPr>
          <w:rFonts w:ascii="Times New Roman" w:hAnsi="Times New Roman" w:cs="Times New Roman"/>
          <w:sz w:val="24"/>
          <w:szCs w:val="24"/>
          <w:lang w:val="en-GB"/>
        </w:rPr>
        <w:t xml:space="preserve">. </w:t>
      </w:r>
      <w:r w:rsidRPr="00BC5112">
        <w:rPr>
          <w:rFonts w:ascii="Times New Roman" w:hAnsi="Times New Roman" w:cs="Times New Roman"/>
          <w:sz w:val="24"/>
          <w:szCs w:val="24"/>
          <w:lang w:val="en-GB"/>
        </w:rPr>
        <w:br/>
      </w:r>
    </w:p>
    <w:p w14:paraId="5E20CB7C" w14:textId="77777777" w:rsidR="00B4702A" w:rsidRPr="00BC5112" w:rsidRDefault="00B4702A" w:rsidP="00BC5112">
      <w:pPr>
        <w:pStyle w:val="NoSpacing"/>
        <w:rPr>
          <w:rFonts w:ascii="Times New Roman" w:hAnsi="Times New Roman" w:cs="Times New Roman"/>
          <w:b/>
          <w:sz w:val="24"/>
          <w:szCs w:val="24"/>
          <w:u w:val="single"/>
          <w:lang w:val="en-GB"/>
        </w:rPr>
      </w:pPr>
      <w:r w:rsidRPr="00BC5112">
        <w:rPr>
          <w:rFonts w:ascii="Times New Roman" w:hAnsi="Times New Roman" w:cs="Times New Roman"/>
          <w:b/>
          <w:sz w:val="24"/>
          <w:szCs w:val="24"/>
          <w:u w:val="single"/>
          <w:lang w:val="en-GB"/>
        </w:rPr>
        <w:t xml:space="preserve">Section 2 – Commencement </w:t>
      </w:r>
    </w:p>
    <w:p w14:paraId="2B2B2A97" w14:textId="77777777" w:rsidR="00B4702A" w:rsidRPr="00BC5112" w:rsidRDefault="00B4702A" w:rsidP="00BC5112">
      <w:pPr>
        <w:pStyle w:val="NoSpacing"/>
        <w:rPr>
          <w:rFonts w:ascii="Times New Roman" w:eastAsia="Times New Roman" w:hAnsi="Times New Roman" w:cs="Times New Roman"/>
          <w:sz w:val="24"/>
          <w:szCs w:val="24"/>
          <w:lang w:eastAsia="en-AU"/>
        </w:rPr>
      </w:pPr>
      <w:r w:rsidRPr="00BC5112">
        <w:rPr>
          <w:rFonts w:ascii="Times New Roman" w:eastAsia="Times New Roman" w:hAnsi="Times New Roman" w:cs="Times New Roman"/>
          <w:sz w:val="24"/>
          <w:szCs w:val="24"/>
          <w:lang w:eastAsia="en-AU"/>
        </w:rPr>
        <w:t>This regulation would provide that the Regulations commence on the day after they are registered on the Federal Register of Legislation.</w:t>
      </w:r>
    </w:p>
    <w:p w14:paraId="320DB4D4" w14:textId="77777777" w:rsidR="00B4702A" w:rsidRPr="00BC5112" w:rsidRDefault="00B4702A" w:rsidP="00BC5112">
      <w:pPr>
        <w:pStyle w:val="NoSpacing"/>
        <w:rPr>
          <w:rFonts w:ascii="Times New Roman" w:eastAsia="Times New Roman" w:hAnsi="Times New Roman" w:cs="Times New Roman"/>
          <w:sz w:val="24"/>
          <w:szCs w:val="24"/>
          <w:lang w:eastAsia="en-AU"/>
        </w:rPr>
      </w:pPr>
    </w:p>
    <w:p w14:paraId="4ED9B01D" w14:textId="77777777" w:rsidR="00B4702A" w:rsidRPr="00BC5112" w:rsidRDefault="00B4702A" w:rsidP="00BC5112">
      <w:pPr>
        <w:pStyle w:val="NoSpacing"/>
        <w:rPr>
          <w:rFonts w:ascii="Times New Roman" w:hAnsi="Times New Roman" w:cs="Times New Roman"/>
          <w:b/>
          <w:sz w:val="24"/>
          <w:szCs w:val="24"/>
          <w:u w:val="single"/>
          <w:lang w:val="en-GB"/>
        </w:rPr>
      </w:pPr>
      <w:r w:rsidRPr="00BC5112">
        <w:rPr>
          <w:rFonts w:ascii="Times New Roman" w:hAnsi="Times New Roman" w:cs="Times New Roman"/>
          <w:b/>
          <w:sz w:val="24"/>
          <w:szCs w:val="24"/>
          <w:u w:val="single"/>
          <w:lang w:val="en-GB"/>
        </w:rPr>
        <w:t xml:space="preserve">Section 3 – Authority </w:t>
      </w:r>
    </w:p>
    <w:p w14:paraId="104615CA" w14:textId="77777777" w:rsidR="00B4702A" w:rsidRPr="00BC5112" w:rsidRDefault="00B4702A" w:rsidP="00BC5112">
      <w:pPr>
        <w:pStyle w:val="NoSpacing"/>
        <w:rPr>
          <w:rFonts w:ascii="Times New Roman" w:hAnsi="Times New Roman" w:cs="Times New Roman"/>
          <w:sz w:val="24"/>
          <w:szCs w:val="24"/>
          <w:lang w:val="en-GB"/>
        </w:rPr>
      </w:pPr>
      <w:r w:rsidRPr="00BC5112">
        <w:rPr>
          <w:rFonts w:ascii="Times New Roman" w:hAnsi="Times New Roman" w:cs="Times New Roman"/>
          <w:sz w:val="24"/>
          <w:szCs w:val="24"/>
          <w:lang w:val="en-GB"/>
        </w:rPr>
        <w:t xml:space="preserve">This section provides that the proposed Regulations are made under the </w:t>
      </w:r>
      <w:r w:rsidRPr="00BC5112">
        <w:rPr>
          <w:rFonts w:ascii="Times New Roman" w:hAnsi="Times New Roman" w:cs="Times New Roman"/>
          <w:i/>
          <w:sz w:val="24"/>
          <w:szCs w:val="24"/>
          <w:lang w:val="en-GB"/>
        </w:rPr>
        <w:t>Electronic Transactions Act 1999.</w:t>
      </w:r>
      <w:r w:rsidRPr="00BC5112">
        <w:rPr>
          <w:rFonts w:ascii="Times New Roman" w:hAnsi="Times New Roman" w:cs="Times New Roman"/>
          <w:sz w:val="24"/>
          <w:szCs w:val="24"/>
          <w:lang w:val="en-GB"/>
        </w:rPr>
        <w:t xml:space="preserve"> </w:t>
      </w:r>
      <w:r w:rsidRPr="00BC5112">
        <w:rPr>
          <w:rFonts w:ascii="Times New Roman" w:hAnsi="Times New Roman" w:cs="Times New Roman"/>
          <w:sz w:val="24"/>
          <w:szCs w:val="24"/>
          <w:lang w:val="en-GB"/>
        </w:rPr>
        <w:br/>
      </w:r>
    </w:p>
    <w:p w14:paraId="6BBEA445" w14:textId="77777777" w:rsidR="00B4702A" w:rsidRPr="00BC5112" w:rsidRDefault="00B4702A" w:rsidP="00BC5112">
      <w:pPr>
        <w:pStyle w:val="NoSpacing"/>
        <w:rPr>
          <w:rFonts w:ascii="Times New Roman" w:hAnsi="Times New Roman" w:cs="Times New Roman"/>
          <w:b/>
          <w:sz w:val="24"/>
          <w:szCs w:val="24"/>
          <w:u w:val="single"/>
          <w:lang w:val="en-GB"/>
        </w:rPr>
      </w:pPr>
      <w:r w:rsidRPr="00BC5112">
        <w:rPr>
          <w:rFonts w:ascii="Times New Roman" w:hAnsi="Times New Roman" w:cs="Times New Roman"/>
          <w:b/>
          <w:sz w:val="24"/>
          <w:szCs w:val="24"/>
          <w:u w:val="single"/>
          <w:lang w:val="en-GB"/>
        </w:rPr>
        <w:t>Section 4 – Schedules</w:t>
      </w:r>
    </w:p>
    <w:p w14:paraId="0BB0EC9F" w14:textId="5592B64F" w:rsidR="00B4702A" w:rsidRDefault="000C2DAD" w:rsidP="00BC5112">
      <w:pPr>
        <w:pStyle w:val="NoSpacing"/>
        <w:rPr>
          <w:rFonts w:ascii="Times New Roman" w:hAnsi="Times New Roman" w:cs="Times New Roman"/>
          <w:sz w:val="24"/>
          <w:szCs w:val="24"/>
          <w:lang w:val="en-GB"/>
        </w:rPr>
      </w:pPr>
      <w:r w:rsidRPr="00BC5112">
        <w:rPr>
          <w:rFonts w:ascii="Times New Roman" w:hAnsi="Times New Roman" w:cs="Times New Roman"/>
          <w:sz w:val="24"/>
          <w:szCs w:val="24"/>
          <w:lang w:val="en-GB"/>
        </w:rPr>
        <w:t>This section notes that instruments to be specified in a Schedule to this instrument will be amended or repealed. Any other item in a Schedule to this instrument will have effect according to its terms.</w:t>
      </w:r>
    </w:p>
    <w:p w14:paraId="7868CF22" w14:textId="77777777" w:rsidR="00BC5112" w:rsidRPr="00BC5112" w:rsidRDefault="00BC5112" w:rsidP="00BC5112">
      <w:pPr>
        <w:pStyle w:val="NoSpacing"/>
        <w:rPr>
          <w:rFonts w:ascii="Times New Roman" w:hAnsi="Times New Roman" w:cs="Times New Roman"/>
          <w:sz w:val="24"/>
          <w:szCs w:val="24"/>
          <w:lang w:val="en-GB"/>
        </w:rPr>
      </w:pPr>
    </w:p>
    <w:p w14:paraId="1D72457D" w14:textId="77777777" w:rsidR="00B4702A" w:rsidRPr="00B4702A" w:rsidRDefault="00B4702A" w:rsidP="00B4702A">
      <w:pPr>
        <w:spacing w:after="160" w:line="240" w:lineRule="auto"/>
        <w:rPr>
          <w:rFonts w:ascii="Times New Roman" w:hAnsi="Times New Roman" w:cs="Times New Roman"/>
          <w:b/>
          <w:sz w:val="24"/>
          <w:szCs w:val="24"/>
          <w:u w:val="single"/>
          <w:lang w:val="en-GB"/>
        </w:rPr>
      </w:pPr>
      <w:r w:rsidRPr="00B4702A">
        <w:rPr>
          <w:rFonts w:ascii="Times New Roman" w:hAnsi="Times New Roman" w:cs="Times New Roman"/>
          <w:b/>
          <w:sz w:val="24"/>
          <w:szCs w:val="24"/>
          <w:u w:val="single"/>
          <w:lang w:val="en-GB"/>
        </w:rPr>
        <w:t>Schedule 1– Laws of the Commonwealth to which certain provisions of the Act do not apply</w:t>
      </w:r>
    </w:p>
    <w:p w14:paraId="43E088F4" w14:textId="77777777" w:rsidR="00B4702A" w:rsidRPr="00B4702A" w:rsidRDefault="00B4702A" w:rsidP="00B4702A">
      <w:pPr>
        <w:spacing w:after="160" w:line="240" w:lineRule="auto"/>
        <w:rPr>
          <w:rFonts w:ascii="Times New Roman" w:hAnsi="Times New Roman" w:cs="Times New Roman"/>
          <w:b/>
          <w:sz w:val="24"/>
          <w:szCs w:val="24"/>
          <w:u w:val="single"/>
          <w:lang w:val="en-GB"/>
        </w:rPr>
      </w:pPr>
      <w:r w:rsidRPr="00B4702A">
        <w:rPr>
          <w:rFonts w:ascii="Times New Roman" w:hAnsi="Times New Roman" w:cs="Times New Roman"/>
          <w:b/>
          <w:sz w:val="24"/>
          <w:szCs w:val="24"/>
          <w:u w:val="single"/>
          <w:lang w:val="en-GB"/>
        </w:rPr>
        <w:br/>
      </w:r>
      <w:r w:rsidRPr="00B4702A">
        <w:rPr>
          <w:rFonts w:ascii="Times New Roman" w:hAnsi="Times New Roman" w:cs="Times New Roman"/>
          <w:b/>
          <w:sz w:val="24"/>
          <w:szCs w:val="24"/>
          <w:lang w:val="en-GB"/>
        </w:rPr>
        <w:t xml:space="preserve">Section 1 – </w:t>
      </w:r>
      <w:r w:rsidRPr="00B4702A">
        <w:rPr>
          <w:rFonts w:ascii="Times New Roman" w:hAnsi="Times New Roman" w:cs="Times New Roman"/>
          <w:b/>
          <w:sz w:val="24"/>
          <w:szCs w:val="24"/>
        </w:rPr>
        <w:t>Clause 1 of Schedule 1 (cell at table item 19, column 1, paragraph (b))</w:t>
      </w:r>
    </w:p>
    <w:p w14:paraId="17F2C97E" w14:textId="007E05E8" w:rsidR="00B4702A" w:rsidRPr="00B4702A" w:rsidRDefault="00B4702A" w:rsidP="00B4702A">
      <w:pPr>
        <w:spacing w:after="0" w:line="240" w:lineRule="auto"/>
        <w:rPr>
          <w:rFonts w:ascii="Times New Roman" w:hAnsi="Times New Roman" w:cs="Times New Roman"/>
          <w:sz w:val="24"/>
          <w:szCs w:val="24"/>
        </w:rPr>
      </w:pPr>
      <w:bookmarkStart w:id="6" w:name="_Hlk87965147"/>
      <w:r w:rsidRPr="00B4702A">
        <w:rPr>
          <w:rFonts w:ascii="Times New Roman" w:hAnsi="Times New Roman" w:cs="Times New Roman"/>
          <w:sz w:val="24"/>
          <w:szCs w:val="24"/>
        </w:rPr>
        <w:t xml:space="preserve">The Amended Regulations reduce the scope of </w:t>
      </w:r>
      <w:r w:rsidR="00160353">
        <w:rPr>
          <w:rFonts w:ascii="Times New Roman" w:hAnsi="Times New Roman" w:cs="Times New Roman"/>
          <w:sz w:val="24"/>
          <w:szCs w:val="24"/>
        </w:rPr>
        <w:t>one former</w:t>
      </w:r>
      <w:r w:rsidRPr="00B4702A">
        <w:rPr>
          <w:rFonts w:ascii="Times New Roman" w:hAnsi="Times New Roman" w:cs="Times New Roman"/>
          <w:sz w:val="24"/>
          <w:szCs w:val="24"/>
        </w:rPr>
        <w:t xml:space="preserve"> exemption under Part XV of the </w:t>
      </w:r>
      <w:r w:rsidR="00197AE3" w:rsidRPr="00197AE3">
        <w:rPr>
          <w:rFonts w:ascii="Times New Roman" w:hAnsi="Times New Roman" w:cs="Times New Roman"/>
          <w:sz w:val="24"/>
          <w:szCs w:val="24"/>
        </w:rPr>
        <w:t>Commonwealth Electoral Act 1918 (the Electoral Act)</w:t>
      </w:r>
      <w:r w:rsidRPr="00B4702A">
        <w:rPr>
          <w:rFonts w:ascii="Times New Roman" w:hAnsi="Times New Roman" w:cs="Times New Roman"/>
          <w:sz w:val="24"/>
          <w:szCs w:val="24"/>
        </w:rPr>
        <w:t xml:space="preserve">. The commencement of the </w:t>
      </w:r>
      <w:r w:rsidRPr="00B4702A">
        <w:rPr>
          <w:rFonts w:ascii="Times New Roman" w:hAnsi="Times New Roman" w:cs="Times New Roman"/>
          <w:i/>
          <w:sz w:val="24"/>
          <w:szCs w:val="24"/>
        </w:rPr>
        <w:t xml:space="preserve">Electoral Legislation Amendment (Counting, Scrutiny and Operational Efficiencies) Act 2021 </w:t>
      </w:r>
      <w:r w:rsidRPr="00B4702A">
        <w:rPr>
          <w:rFonts w:ascii="Times New Roman" w:hAnsi="Times New Roman" w:cs="Times New Roman"/>
          <w:sz w:val="24"/>
          <w:szCs w:val="24"/>
        </w:rPr>
        <w:t>inserted new subparagraphs 194(1A</w:t>
      </w:r>
      <w:proofErr w:type="gramStart"/>
      <w:r w:rsidRPr="00B4702A">
        <w:rPr>
          <w:rFonts w:ascii="Times New Roman" w:hAnsi="Times New Roman" w:cs="Times New Roman"/>
          <w:sz w:val="24"/>
          <w:szCs w:val="24"/>
        </w:rPr>
        <w:t>)(</w:t>
      </w:r>
      <w:proofErr w:type="gramEnd"/>
      <w:r w:rsidRPr="00B4702A">
        <w:rPr>
          <w:rFonts w:ascii="Times New Roman" w:hAnsi="Times New Roman" w:cs="Times New Roman"/>
          <w:sz w:val="24"/>
          <w:szCs w:val="24"/>
        </w:rPr>
        <w:t>a)</w:t>
      </w:r>
      <w:r w:rsidR="00804FA3">
        <w:rPr>
          <w:rFonts w:ascii="Times New Roman" w:hAnsi="Times New Roman" w:cs="Times New Roman"/>
          <w:sz w:val="24"/>
          <w:szCs w:val="24"/>
        </w:rPr>
        <w:t>(</w:t>
      </w:r>
      <w:r w:rsidRPr="00B4702A">
        <w:rPr>
          <w:rFonts w:ascii="Times New Roman" w:hAnsi="Times New Roman" w:cs="Times New Roman"/>
          <w:sz w:val="24"/>
          <w:szCs w:val="24"/>
        </w:rPr>
        <w:t>ii) and (iii) and 194(1A)(d) into the</w:t>
      </w:r>
      <w:r w:rsidR="00197AE3">
        <w:rPr>
          <w:rFonts w:ascii="Times New Roman" w:hAnsi="Times New Roman" w:cs="Times New Roman"/>
          <w:sz w:val="24"/>
          <w:szCs w:val="24"/>
        </w:rPr>
        <w:t xml:space="preserve"> </w:t>
      </w:r>
      <w:r w:rsidR="00197AE3" w:rsidRPr="00B4702A">
        <w:rPr>
          <w:rFonts w:ascii="Times New Roman" w:hAnsi="Times New Roman" w:cs="Times New Roman"/>
          <w:sz w:val="24"/>
          <w:szCs w:val="24"/>
        </w:rPr>
        <w:t>Electoral Act</w:t>
      </w:r>
      <w:r w:rsidRPr="00B4702A">
        <w:rPr>
          <w:rFonts w:ascii="Times New Roman" w:hAnsi="Times New Roman" w:cs="Times New Roman"/>
          <w:sz w:val="24"/>
          <w:szCs w:val="24"/>
        </w:rPr>
        <w:t>. These amendments to the Electoral Act facilitate a paper-based and electronic process for postal voters outside Australia to securely self</w:t>
      </w:r>
      <w:r w:rsidRPr="00B4702A">
        <w:rPr>
          <w:rFonts w:ascii="Times New Roman" w:hAnsi="Times New Roman" w:cs="Times New Roman"/>
          <w:sz w:val="24"/>
          <w:szCs w:val="24"/>
        </w:rPr>
        <w:noBreakHyphen/>
        <w:t>certify their postal vote certificate by providing official documented evidence of identity where they are unable to find ‘an authorised witness’. The amendments to the Regulations remove subsections 194(1A</w:t>
      </w:r>
      <w:proofErr w:type="gramStart"/>
      <w:r w:rsidRPr="00B4702A">
        <w:rPr>
          <w:rFonts w:ascii="Times New Roman" w:hAnsi="Times New Roman" w:cs="Times New Roman"/>
          <w:sz w:val="24"/>
          <w:szCs w:val="24"/>
        </w:rPr>
        <w:t>)(</w:t>
      </w:r>
      <w:proofErr w:type="gramEnd"/>
      <w:r w:rsidRPr="00B4702A">
        <w:rPr>
          <w:rFonts w:ascii="Times New Roman" w:hAnsi="Times New Roman" w:cs="Times New Roman"/>
          <w:sz w:val="24"/>
          <w:szCs w:val="24"/>
        </w:rPr>
        <w:t xml:space="preserve">a)(ii), 194(1A)(a)(iii) and 194(1A)(d) from </w:t>
      </w:r>
      <w:r w:rsidR="00310C8E">
        <w:rPr>
          <w:rFonts w:ascii="Times New Roman" w:hAnsi="Times New Roman" w:cs="Times New Roman"/>
          <w:sz w:val="24"/>
          <w:szCs w:val="24"/>
        </w:rPr>
        <w:t>the former</w:t>
      </w:r>
      <w:r w:rsidRPr="00B4702A">
        <w:rPr>
          <w:rFonts w:ascii="Times New Roman" w:hAnsi="Times New Roman" w:cs="Times New Roman"/>
          <w:sz w:val="24"/>
          <w:szCs w:val="24"/>
        </w:rPr>
        <w:t xml:space="preserve"> exemption and subject those provisions </w:t>
      </w:r>
      <w:r w:rsidR="00C664F9">
        <w:rPr>
          <w:rFonts w:ascii="Times New Roman" w:hAnsi="Times New Roman" w:cs="Times New Roman"/>
          <w:sz w:val="24"/>
          <w:szCs w:val="24"/>
        </w:rPr>
        <w:t xml:space="preserve">instead </w:t>
      </w:r>
      <w:r w:rsidRPr="00B4702A">
        <w:rPr>
          <w:rFonts w:ascii="Times New Roman" w:hAnsi="Times New Roman" w:cs="Times New Roman"/>
          <w:sz w:val="24"/>
          <w:szCs w:val="24"/>
        </w:rPr>
        <w:t>to the application of the Act.</w:t>
      </w:r>
    </w:p>
    <w:bookmarkEnd w:id="6"/>
    <w:p w14:paraId="582899E0" w14:textId="77777777" w:rsidR="00B4702A" w:rsidRPr="00B4702A" w:rsidRDefault="00B4702A" w:rsidP="00B4702A">
      <w:pPr>
        <w:spacing w:after="0" w:line="240" w:lineRule="auto"/>
        <w:rPr>
          <w:rFonts w:ascii="Times New Roman" w:eastAsia="Times New Roman" w:hAnsi="Times New Roman" w:cs="Times New Roman"/>
          <w:sz w:val="24"/>
          <w:szCs w:val="24"/>
          <w:lang w:eastAsia="en-AU"/>
        </w:rPr>
      </w:pPr>
    </w:p>
    <w:p w14:paraId="28A3FB92" w14:textId="77777777" w:rsidR="00B4702A" w:rsidRPr="00B4702A" w:rsidRDefault="00B4702A" w:rsidP="00B4702A">
      <w:pPr>
        <w:spacing w:after="0" w:line="240" w:lineRule="auto"/>
        <w:rPr>
          <w:rFonts w:ascii="Times New Roman" w:eastAsia="Times New Roman" w:hAnsi="Times New Roman" w:cs="Times New Roman"/>
          <w:b/>
          <w:sz w:val="24"/>
          <w:szCs w:val="24"/>
          <w:lang w:eastAsia="en-AU"/>
        </w:rPr>
      </w:pPr>
      <w:r w:rsidRPr="00B4702A">
        <w:rPr>
          <w:rFonts w:ascii="Times New Roman" w:eastAsia="Times New Roman" w:hAnsi="Times New Roman" w:cs="Times New Roman"/>
          <w:b/>
          <w:sz w:val="24"/>
          <w:szCs w:val="24"/>
          <w:lang w:eastAsia="en-AU"/>
        </w:rPr>
        <w:t>Section 2 - Clause 1 of Schedule 1 (table items 31 to 34, 38 to 41, 46 to 48, 50, 51, 54 to 56, 61, 62, 64 to 66, 68, 70 to 76, 79, 80, 92 and 93)</w:t>
      </w:r>
    </w:p>
    <w:p w14:paraId="35F6D7AC" w14:textId="77777777" w:rsidR="00B4702A" w:rsidRPr="00B4702A" w:rsidRDefault="00B4702A" w:rsidP="00B4702A">
      <w:pPr>
        <w:spacing w:after="0" w:line="240" w:lineRule="auto"/>
        <w:rPr>
          <w:rFonts w:ascii="Times New Roman" w:eastAsia="Times New Roman" w:hAnsi="Times New Roman" w:cs="Times New Roman"/>
          <w:sz w:val="24"/>
          <w:szCs w:val="24"/>
          <w:lang w:eastAsia="en-AU"/>
        </w:rPr>
      </w:pPr>
    </w:p>
    <w:p w14:paraId="6671E6C3" w14:textId="3E5992DD" w:rsidR="00B823BF" w:rsidRDefault="00B4702A" w:rsidP="00632A8F">
      <w:pPr>
        <w:spacing w:after="0" w:line="240" w:lineRule="auto"/>
        <w:rPr>
          <w:rFonts w:ascii="Times New Roman" w:eastAsia="Times New Roman" w:hAnsi="Times New Roman" w:cs="Times New Roman"/>
          <w:sz w:val="24"/>
          <w:szCs w:val="24"/>
        </w:rPr>
      </w:pPr>
      <w:r w:rsidRPr="00B4702A">
        <w:rPr>
          <w:rFonts w:ascii="Times New Roman" w:eastAsia="Times New Roman" w:hAnsi="Times New Roman" w:cs="Times New Roman"/>
          <w:sz w:val="24"/>
          <w:szCs w:val="24"/>
        </w:rPr>
        <w:t xml:space="preserve">The above items </w:t>
      </w:r>
      <w:r w:rsidR="00F66B60">
        <w:rPr>
          <w:rFonts w:ascii="Times New Roman" w:eastAsia="Times New Roman" w:hAnsi="Times New Roman" w:cs="Times New Roman"/>
          <w:sz w:val="24"/>
          <w:szCs w:val="24"/>
        </w:rPr>
        <w:t xml:space="preserve">(which are also extracted below) </w:t>
      </w:r>
      <w:r w:rsidRPr="00B4702A">
        <w:rPr>
          <w:rFonts w:ascii="Times New Roman" w:eastAsia="Times New Roman" w:hAnsi="Times New Roman" w:cs="Times New Roman"/>
          <w:sz w:val="24"/>
          <w:szCs w:val="24"/>
        </w:rPr>
        <w:t>will be repealed from the table in Schedule 1</w:t>
      </w:r>
      <w:r w:rsidR="0024455F">
        <w:rPr>
          <w:rFonts w:ascii="Times New Roman" w:eastAsia="Times New Roman" w:hAnsi="Times New Roman" w:cs="Times New Roman"/>
          <w:sz w:val="24"/>
          <w:szCs w:val="24"/>
        </w:rPr>
        <w:t>. This will</w:t>
      </w:r>
      <w:r w:rsidRPr="00B4702A">
        <w:rPr>
          <w:rFonts w:ascii="Times New Roman" w:eastAsia="Times New Roman" w:hAnsi="Times New Roman" w:cs="Times New Roman"/>
          <w:sz w:val="24"/>
          <w:szCs w:val="24"/>
        </w:rPr>
        <w:t xml:space="preserve"> </w:t>
      </w:r>
      <w:r w:rsidR="0024455F">
        <w:rPr>
          <w:rFonts w:ascii="Times New Roman" w:eastAsia="Times New Roman" w:hAnsi="Times New Roman" w:cs="Times New Roman"/>
          <w:sz w:val="24"/>
          <w:szCs w:val="24"/>
        </w:rPr>
        <w:t>result in</w:t>
      </w:r>
      <w:r w:rsidRPr="00B4702A">
        <w:rPr>
          <w:rFonts w:ascii="Times New Roman" w:eastAsia="Times New Roman" w:hAnsi="Times New Roman" w:cs="Times New Roman"/>
          <w:sz w:val="24"/>
          <w:szCs w:val="24"/>
        </w:rPr>
        <w:t xml:space="preserve"> the removal of those exemptions from the </w:t>
      </w:r>
      <w:r w:rsidR="0024455F">
        <w:rPr>
          <w:rFonts w:ascii="Times New Roman" w:eastAsia="Times New Roman" w:hAnsi="Times New Roman" w:cs="Times New Roman"/>
          <w:sz w:val="24"/>
          <w:szCs w:val="24"/>
        </w:rPr>
        <w:t xml:space="preserve">application of </w:t>
      </w:r>
      <w:r w:rsidRPr="00B4702A">
        <w:rPr>
          <w:rFonts w:ascii="Times New Roman" w:eastAsia="Times New Roman" w:hAnsi="Times New Roman" w:cs="Times New Roman"/>
          <w:sz w:val="24"/>
          <w:szCs w:val="24"/>
        </w:rPr>
        <w:t xml:space="preserve">Act. </w:t>
      </w:r>
      <w:r w:rsidR="00EF0328" w:rsidRPr="00EF0328">
        <w:rPr>
          <w:rFonts w:ascii="Times New Roman" w:eastAsia="Times New Roman" w:hAnsi="Times New Roman" w:cs="Times New Roman"/>
          <w:sz w:val="24"/>
          <w:szCs w:val="24"/>
        </w:rPr>
        <w:t xml:space="preserve">The effect of removing these 33 exemptions </w:t>
      </w:r>
      <w:r w:rsidR="00804FA3">
        <w:rPr>
          <w:rFonts w:ascii="Times New Roman" w:eastAsia="Times New Roman" w:hAnsi="Times New Roman" w:cs="Times New Roman"/>
          <w:sz w:val="24"/>
          <w:szCs w:val="24"/>
        </w:rPr>
        <w:t>will be to subject</w:t>
      </w:r>
      <w:r w:rsidR="00EF0328" w:rsidRPr="00EF0328">
        <w:rPr>
          <w:rFonts w:ascii="Times New Roman" w:eastAsia="Times New Roman" w:hAnsi="Times New Roman" w:cs="Times New Roman"/>
          <w:sz w:val="24"/>
          <w:szCs w:val="24"/>
        </w:rPr>
        <w:t xml:space="preserve"> each of those laws to the application of the </w:t>
      </w:r>
      <w:r w:rsidR="00EF0328" w:rsidRPr="00EF0328">
        <w:rPr>
          <w:rFonts w:ascii="Times New Roman" w:eastAsia="Times New Roman" w:hAnsi="Times New Roman" w:cs="Times New Roman"/>
          <w:i/>
          <w:sz w:val="24"/>
          <w:szCs w:val="24"/>
        </w:rPr>
        <w:t>Electronic Transactions Act 1999</w:t>
      </w:r>
      <w:r w:rsidR="00EF0328" w:rsidRPr="00EF0328">
        <w:rPr>
          <w:rFonts w:ascii="Times New Roman" w:eastAsia="Times New Roman" w:hAnsi="Times New Roman" w:cs="Times New Roman"/>
          <w:sz w:val="24"/>
          <w:szCs w:val="24"/>
        </w:rPr>
        <w:t xml:space="preserve">. </w:t>
      </w:r>
      <w:r w:rsidR="00804FA3">
        <w:rPr>
          <w:rFonts w:ascii="Times New Roman" w:eastAsia="Times New Roman" w:hAnsi="Times New Roman" w:cs="Times New Roman"/>
          <w:sz w:val="24"/>
          <w:szCs w:val="24"/>
        </w:rPr>
        <w:t xml:space="preserve">The Act is a law of general application and in the absence of an exemption the Act will apply. </w:t>
      </w:r>
      <w:r w:rsidR="00EF0328" w:rsidRPr="00EF0328">
        <w:rPr>
          <w:rFonts w:ascii="Times New Roman" w:eastAsia="Times New Roman" w:hAnsi="Times New Roman" w:cs="Times New Roman"/>
          <w:sz w:val="24"/>
          <w:szCs w:val="24"/>
        </w:rPr>
        <w:t xml:space="preserve">Application of the Act </w:t>
      </w:r>
      <w:r w:rsidR="0024455F">
        <w:rPr>
          <w:rFonts w:ascii="Times New Roman" w:eastAsia="Times New Roman" w:hAnsi="Times New Roman" w:cs="Times New Roman"/>
          <w:sz w:val="24"/>
          <w:szCs w:val="24"/>
        </w:rPr>
        <w:t xml:space="preserve">will ensure that a transaction will not be invalid simply because it was conducted </w:t>
      </w:r>
      <w:r w:rsidR="00EF0328" w:rsidRPr="00EF0328">
        <w:rPr>
          <w:rFonts w:ascii="Times New Roman" w:eastAsia="Times New Roman" w:hAnsi="Times New Roman" w:cs="Times New Roman"/>
          <w:sz w:val="24"/>
          <w:szCs w:val="24"/>
        </w:rPr>
        <w:t>by means of electronic communications.</w:t>
      </w:r>
      <w:r w:rsidR="00EF0328">
        <w:rPr>
          <w:rFonts w:ascii="Times New Roman" w:eastAsia="Times New Roman" w:hAnsi="Times New Roman" w:cs="Times New Roman"/>
          <w:sz w:val="24"/>
          <w:szCs w:val="24"/>
        </w:rPr>
        <w:t xml:space="preserve"> </w:t>
      </w:r>
      <w:r w:rsidR="00273CB9">
        <w:rPr>
          <w:rFonts w:ascii="Times New Roman" w:eastAsia="Times New Roman" w:hAnsi="Times New Roman" w:cs="Times New Roman"/>
          <w:sz w:val="24"/>
          <w:szCs w:val="24"/>
        </w:rPr>
        <w:t xml:space="preserve">Transactions that have taken place by electronic communications are recognised as functionally equivalent to paper-based counterparts. </w:t>
      </w:r>
      <w:r w:rsidR="00160353">
        <w:rPr>
          <w:rFonts w:ascii="Times New Roman" w:eastAsia="Times New Roman" w:hAnsi="Times New Roman" w:cs="Times New Roman"/>
          <w:sz w:val="24"/>
          <w:szCs w:val="24"/>
        </w:rPr>
        <w:t>Removal</w:t>
      </w:r>
      <w:r w:rsidRPr="00B4702A">
        <w:rPr>
          <w:rFonts w:ascii="Times New Roman" w:eastAsia="Times New Roman" w:hAnsi="Times New Roman" w:cs="Times New Roman"/>
          <w:sz w:val="24"/>
          <w:szCs w:val="24"/>
        </w:rPr>
        <w:t xml:space="preserve"> of exemptions </w:t>
      </w:r>
      <w:r w:rsidRPr="00B4702A">
        <w:rPr>
          <w:rFonts w:ascii="Times New Roman" w:eastAsia="Times New Roman" w:hAnsi="Times New Roman" w:cs="Times New Roman"/>
          <w:sz w:val="24"/>
          <w:szCs w:val="24"/>
        </w:rPr>
        <w:lastRenderedPageBreak/>
        <w:t>facilitates additional avenues of communication with the government but will not prevent people communicating with government agencies through paper-based correspondence.</w:t>
      </w:r>
      <w:r w:rsidR="00155749">
        <w:rPr>
          <w:rFonts w:ascii="Times New Roman" w:eastAsia="Times New Roman" w:hAnsi="Times New Roman" w:cs="Times New Roman"/>
          <w:sz w:val="24"/>
          <w:szCs w:val="24"/>
        </w:rPr>
        <w:t xml:space="preserve"> </w:t>
      </w:r>
    </w:p>
    <w:p w14:paraId="5A187D34" w14:textId="78882AE0" w:rsidR="005A3ACE" w:rsidRDefault="005A3ACE" w:rsidP="00632A8F">
      <w:pPr>
        <w:spacing w:after="0" w:line="240" w:lineRule="auto"/>
        <w:rPr>
          <w:rFonts w:ascii="Times New Roman" w:eastAsia="Times New Roman" w:hAnsi="Times New Roman" w:cs="Times New Roman"/>
          <w:sz w:val="24"/>
          <w:szCs w:val="24"/>
          <w:lang w:eastAsia="en-AU"/>
        </w:rPr>
      </w:pPr>
    </w:p>
    <w:p w14:paraId="614E4B3D" w14:textId="7974C4A9" w:rsidR="005A3ACE" w:rsidRPr="00F35CAF" w:rsidRDefault="00F66B60" w:rsidP="005A3ACE">
      <w:pPr>
        <w:pStyle w:val="NoSpacing"/>
        <w:rPr>
          <w:rFonts w:ascii="Times New Roman" w:hAnsi="Times New Roman" w:cs="Times New Roman"/>
          <w:i/>
          <w:sz w:val="24"/>
          <w:szCs w:val="24"/>
        </w:rPr>
      </w:pPr>
      <w:r w:rsidRPr="00F35CAF">
        <w:rPr>
          <w:rFonts w:ascii="Times New Roman" w:hAnsi="Times New Roman" w:cs="Times New Roman"/>
          <w:i/>
          <w:sz w:val="24"/>
          <w:szCs w:val="24"/>
        </w:rPr>
        <w:t>Current e</w:t>
      </w:r>
      <w:r w:rsidR="005A3ACE" w:rsidRPr="00F35CAF">
        <w:rPr>
          <w:rFonts w:ascii="Times New Roman" w:hAnsi="Times New Roman" w:cs="Times New Roman"/>
          <w:i/>
          <w:sz w:val="24"/>
          <w:szCs w:val="24"/>
        </w:rPr>
        <w:t>xemptions to be repealed</w:t>
      </w:r>
    </w:p>
    <w:p w14:paraId="627B6DCB" w14:textId="77777777" w:rsidR="005A3ACE" w:rsidRPr="00452E6E" w:rsidRDefault="005A3ACE" w:rsidP="005A3ACE">
      <w:pPr>
        <w:pStyle w:val="NoSpacing"/>
        <w:rPr>
          <w:rFonts w:ascii="Times New Roman" w:hAnsi="Times New Roman" w:cs="Times New Roman"/>
          <w:b/>
          <w:sz w:val="24"/>
          <w:szCs w:val="24"/>
        </w:rPr>
      </w:pPr>
    </w:p>
    <w:tbl>
      <w:tblPr>
        <w:tblStyle w:val="TableGrid"/>
        <w:tblpPr w:leftFromText="180" w:rightFromText="180" w:vertAnchor="text" w:tblpY="1"/>
        <w:tblOverlap w:val="never"/>
        <w:tblW w:w="9067" w:type="dxa"/>
        <w:tblInd w:w="0" w:type="dxa"/>
        <w:tblLook w:val="04A0" w:firstRow="1" w:lastRow="0" w:firstColumn="1" w:lastColumn="0" w:noHBand="0" w:noVBand="1"/>
      </w:tblPr>
      <w:tblGrid>
        <w:gridCol w:w="846"/>
        <w:gridCol w:w="4819"/>
        <w:gridCol w:w="3402"/>
      </w:tblGrid>
      <w:tr w:rsidR="005A3ACE" w:rsidRPr="0061637C" w14:paraId="72721E89" w14:textId="77777777" w:rsidTr="00781CF5">
        <w:trPr>
          <w:trHeight w:val="319"/>
        </w:trPr>
        <w:tc>
          <w:tcPr>
            <w:tcW w:w="846" w:type="dxa"/>
            <w:tcBorders>
              <w:top w:val="single" w:sz="4" w:space="0" w:color="auto"/>
              <w:left w:val="single" w:sz="4" w:space="0" w:color="auto"/>
              <w:bottom w:val="single" w:sz="4" w:space="0" w:color="auto"/>
              <w:right w:val="single" w:sz="4" w:space="0" w:color="auto"/>
            </w:tcBorders>
            <w:hideMark/>
          </w:tcPr>
          <w:p w14:paraId="342FF9EF"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sz w:val="24"/>
                <w:szCs w:val="24"/>
              </w:rPr>
              <w:t>Item</w:t>
            </w:r>
          </w:p>
        </w:tc>
        <w:tc>
          <w:tcPr>
            <w:tcW w:w="4819" w:type="dxa"/>
            <w:tcBorders>
              <w:top w:val="single" w:sz="4" w:space="0" w:color="auto"/>
              <w:left w:val="single" w:sz="4" w:space="0" w:color="auto"/>
              <w:bottom w:val="single" w:sz="4" w:space="0" w:color="auto"/>
              <w:right w:val="single" w:sz="4" w:space="0" w:color="auto"/>
            </w:tcBorders>
            <w:hideMark/>
          </w:tcPr>
          <w:p w14:paraId="2F9422F6"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sz w:val="24"/>
                <w:szCs w:val="24"/>
              </w:rPr>
              <w:t>Exemption</w:t>
            </w:r>
          </w:p>
        </w:tc>
        <w:tc>
          <w:tcPr>
            <w:tcW w:w="3402" w:type="dxa"/>
            <w:tcBorders>
              <w:top w:val="single" w:sz="4" w:space="0" w:color="auto"/>
              <w:left w:val="single" w:sz="4" w:space="0" w:color="auto"/>
              <w:bottom w:val="single" w:sz="4" w:space="0" w:color="auto"/>
              <w:right w:val="single" w:sz="4" w:space="0" w:color="auto"/>
            </w:tcBorders>
            <w:hideMark/>
          </w:tcPr>
          <w:p w14:paraId="610E08BD" w14:textId="3193D2A0" w:rsidR="005A3ACE" w:rsidRPr="0061637C" w:rsidRDefault="00DC72E8" w:rsidP="00781CF5">
            <w:pPr>
              <w:rPr>
                <w:rFonts w:ascii="Times New Roman" w:hAnsi="Times New Roman" w:cs="Times New Roman"/>
                <w:sz w:val="24"/>
                <w:szCs w:val="24"/>
              </w:rPr>
            </w:pPr>
            <w:r w:rsidRPr="00DC72E8">
              <w:rPr>
                <w:rFonts w:ascii="Times New Roman" w:hAnsi="Times New Roman" w:cs="Times New Roman"/>
                <w:sz w:val="24"/>
                <w:szCs w:val="24"/>
              </w:rPr>
              <w:t xml:space="preserve">Parts of the </w:t>
            </w:r>
            <w:r w:rsidRPr="00DC72E8">
              <w:rPr>
                <w:rFonts w:ascii="Times New Roman" w:hAnsi="Times New Roman" w:cs="Times New Roman"/>
                <w:i/>
                <w:sz w:val="24"/>
                <w:szCs w:val="24"/>
              </w:rPr>
              <w:t>Electronic Transactions Act 1999</w:t>
            </w:r>
            <w:r w:rsidRPr="00DC72E8">
              <w:rPr>
                <w:rFonts w:ascii="Times New Roman" w:hAnsi="Times New Roman" w:cs="Times New Roman"/>
                <w:sz w:val="24"/>
                <w:szCs w:val="24"/>
              </w:rPr>
              <w:t xml:space="preserve"> which do not apply to the listed exemption</w:t>
            </w:r>
          </w:p>
        </w:tc>
      </w:tr>
      <w:tr w:rsidR="005A3ACE" w:rsidRPr="0061637C" w14:paraId="6C93B4B5" w14:textId="77777777" w:rsidTr="00781CF5">
        <w:trPr>
          <w:trHeight w:val="319"/>
        </w:trPr>
        <w:tc>
          <w:tcPr>
            <w:tcW w:w="846" w:type="dxa"/>
            <w:tcBorders>
              <w:top w:val="single" w:sz="4" w:space="0" w:color="auto"/>
              <w:left w:val="single" w:sz="4" w:space="0" w:color="auto"/>
              <w:bottom w:val="single" w:sz="4" w:space="0" w:color="auto"/>
              <w:right w:val="single" w:sz="4" w:space="0" w:color="auto"/>
            </w:tcBorders>
            <w:hideMark/>
          </w:tcPr>
          <w:p w14:paraId="1F0A72D8"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sz w:val="24"/>
                <w:szCs w:val="24"/>
              </w:rPr>
              <w:t>31</w:t>
            </w:r>
          </w:p>
          <w:p w14:paraId="6EE492B8" w14:textId="77777777" w:rsidR="005A3ACE" w:rsidRPr="0061637C" w:rsidRDefault="005A3ACE" w:rsidP="00781CF5">
            <w:pP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14:paraId="51DD9D45"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i/>
                <w:iCs/>
                <w:color w:val="000000"/>
                <w:sz w:val="24"/>
                <w:szCs w:val="24"/>
                <w:shd w:val="clear" w:color="auto" w:fill="FFFFFF"/>
              </w:rPr>
              <w:t>Evidence Act 1995</w:t>
            </w:r>
            <w:r w:rsidRPr="0061637C">
              <w:rPr>
                <w:rFonts w:ascii="Times New Roman" w:hAnsi="Times New Roman" w:cs="Times New Roman"/>
                <w:color w:val="000000"/>
                <w:sz w:val="24"/>
                <w:szCs w:val="24"/>
                <w:shd w:val="clear" w:color="auto" w:fill="FFFFFF"/>
              </w:rPr>
              <w:t>, sections 161 and 162</w:t>
            </w:r>
          </w:p>
        </w:tc>
        <w:tc>
          <w:tcPr>
            <w:tcW w:w="3402" w:type="dxa"/>
            <w:tcBorders>
              <w:top w:val="single" w:sz="4" w:space="0" w:color="auto"/>
              <w:left w:val="single" w:sz="4" w:space="0" w:color="auto"/>
              <w:bottom w:val="single" w:sz="4" w:space="0" w:color="auto"/>
              <w:right w:val="single" w:sz="4" w:space="0" w:color="auto"/>
            </w:tcBorders>
            <w:hideMark/>
          </w:tcPr>
          <w:p w14:paraId="3DE746CB"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color w:val="000000"/>
                <w:sz w:val="24"/>
                <w:szCs w:val="24"/>
                <w:shd w:val="clear" w:color="auto" w:fill="FFFFFF"/>
              </w:rPr>
              <w:t>Sections 14, 14A and 14B</w:t>
            </w:r>
          </w:p>
        </w:tc>
      </w:tr>
      <w:tr w:rsidR="005A3ACE" w:rsidRPr="0061637C" w14:paraId="51A12E75" w14:textId="77777777" w:rsidTr="00781CF5">
        <w:trPr>
          <w:trHeight w:val="611"/>
        </w:trPr>
        <w:tc>
          <w:tcPr>
            <w:tcW w:w="846" w:type="dxa"/>
            <w:tcBorders>
              <w:top w:val="single" w:sz="4" w:space="0" w:color="auto"/>
              <w:left w:val="single" w:sz="4" w:space="0" w:color="auto"/>
              <w:bottom w:val="single" w:sz="4" w:space="0" w:color="auto"/>
              <w:right w:val="single" w:sz="4" w:space="0" w:color="auto"/>
            </w:tcBorders>
            <w:hideMark/>
          </w:tcPr>
          <w:p w14:paraId="79887139"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color w:val="000000"/>
                <w:sz w:val="24"/>
                <w:szCs w:val="24"/>
              </w:rPr>
              <w:t>32</w:t>
            </w:r>
          </w:p>
        </w:tc>
        <w:tc>
          <w:tcPr>
            <w:tcW w:w="4819" w:type="dxa"/>
            <w:tcBorders>
              <w:top w:val="single" w:sz="4" w:space="0" w:color="auto"/>
              <w:left w:val="single" w:sz="4" w:space="0" w:color="auto"/>
              <w:bottom w:val="single" w:sz="4" w:space="0" w:color="auto"/>
              <w:right w:val="single" w:sz="4" w:space="0" w:color="auto"/>
            </w:tcBorders>
            <w:hideMark/>
          </w:tcPr>
          <w:p w14:paraId="026C8016" w14:textId="77777777" w:rsidR="005A3ACE" w:rsidRPr="0061637C" w:rsidRDefault="005A3ACE" w:rsidP="00781CF5">
            <w:pPr>
              <w:pStyle w:val="tabletext"/>
              <w:spacing w:before="60" w:after="0" w:line="240" w:lineRule="atLeast"/>
              <w:rPr>
                <w:color w:val="000000"/>
              </w:rPr>
            </w:pPr>
            <w:r w:rsidRPr="0061637C">
              <w:rPr>
                <w:i/>
                <w:iCs/>
                <w:color w:val="000000"/>
              </w:rPr>
              <w:t>Extradition Act 1988</w:t>
            </w:r>
            <w:r w:rsidRPr="0061637C">
              <w:rPr>
                <w:color w:val="000000"/>
              </w:rPr>
              <w:t>, subsections 26(1) and 38(1)</w:t>
            </w:r>
          </w:p>
        </w:tc>
        <w:tc>
          <w:tcPr>
            <w:tcW w:w="3402" w:type="dxa"/>
            <w:tcBorders>
              <w:top w:val="single" w:sz="4" w:space="0" w:color="auto"/>
              <w:left w:val="single" w:sz="4" w:space="0" w:color="auto"/>
              <w:bottom w:val="single" w:sz="4" w:space="0" w:color="auto"/>
              <w:right w:val="single" w:sz="4" w:space="0" w:color="auto"/>
            </w:tcBorders>
            <w:hideMark/>
          </w:tcPr>
          <w:p w14:paraId="177A8085" w14:textId="77777777" w:rsidR="005A3ACE" w:rsidRPr="0061637C" w:rsidRDefault="005A3ACE" w:rsidP="00781CF5">
            <w:pPr>
              <w:pStyle w:val="tabletext"/>
              <w:spacing w:before="60" w:after="0" w:line="240" w:lineRule="atLeast"/>
              <w:rPr>
                <w:color w:val="000000"/>
              </w:rPr>
            </w:pPr>
            <w:r w:rsidRPr="0061637C">
              <w:rPr>
                <w:color w:val="000000"/>
              </w:rPr>
              <w:t>Sections 9 and 10</w:t>
            </w:r>
          </w:p>
        </w:tc>
      </w:tr>
      <w:tr w:rsidR="005A3ACE" w:rsidRPr="0061637C" w14:paraId="150BEE0A" w14:textId="77777777" w:rsidTr="00781CF5">
        <w:trPr>
          <w:trHeight w:val="611"/>
        </w:trPr>
        <w:tc>
          <w:tcPr>
            <w:tcW w:w="846" w:type="dxa"/>
            <w:tcBorders>
              <w:top w:val="single" w:sz="4" w:space="0" w:color="auto"/>
              <w:left w:val="single" w:sz="4" w:space="0" w:color="auto"/>
              <w:bottom w:val="single" w:sz="4" w:space="0" w:color="auto"/>
              <w:right w:val="single" w:sz="4" w:space="0" w:color="auto"/>
            </w:tcBorders>
            <w:hideMark/>
          </w:tcPr>
          <w:p w14:paraId="2F801B91"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color w:val="000000"/>
                <w:sz w:val="24"/>
                <w:szCs w:val="24"/>
              </w:rPr>
              <w:t>33</w:t>
            </w:r>
          </w:p>
        </w:tc>
        <w:tc>
          <w:tcPr>
            <w:tcW w:w="4819" w:type="dxa"/>
            <w:tcBorders>
              <w:top w:val="single" w:sz="4" w:space="0" w:color="auto"/>
              <w:left w:val="single" w:sz="4" w:space="0" w:color="auto"/>
              <w:bottom w:val="single" w:sz="4" w:space="0" w:color="auto"/>
              <w:right w:val="single" w:sz="4" w:space="0" w:color="auto"/>
            </w:tcBorders>
            <w:hideMark/>
          </w:tcPr>
          <w:p w14:paraId="60AE5414"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i/>
                <w:iCs/>
                <w:color w:val="000000"/>
                <w:sz w:val="24"/>
                <w:szCs w:val="24"/>
                <w:shd w:val="clear" w:color="auto" w:fill="FFFFFF"/>
              </w:rPr>
              <w:t>Extradition Act 1988</w:t>
            </w:r>
            <w:r w:rsidRPr="0061637C">
              <w:rPr>
                <w:rFonts w:ascii="Times New Roman" w:hAnsi="Times New Roman" w:cs="Times New Roman"/>
                <w:color w:val="000000"/>
                <w:sz w:val="24"/>
                <w:szCs w:val="24"/>
                <w:shd w:val="clear" w:color="auto" w:fill="FFFFFF"/>
              </w:rPr>
              <w:t>, subsection 43(2)</w:t>
            </w:r>
          </w:p>
        </w:tc>
        <w:tc>
          <w:tcPr>
            <w:tcW w:w="3402" w:type="dxa"/>
            <w:tcBorders>
              <w:top w:val="single" w:sz="4" w:space="0" w:color="auto"/>
              <w:left w:val="single" w:sz="4" w:space="0" w:color="auto"/>
              <w:bottom w:val="single" w:sz="4" w:space="0" w:color="auto"/>
              <w:right w:val="single" w:sz="4" w:space="0" w:color="auto"/>
            </w:tcBorders>
            <w:hideMark/>
          </w:tcPr>
          <w:p w14:paraId="1ADC6B45"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color w:val="000000"/>
                <w:sz w:val="24"/>
                <w:szCs w:val="24"/>
                <w:shd w:val="clear" w:color="auto" w:fill="FFFFFF"/>
              </w:rPr>
              <w:t>Subsection 8(1), Division 2 of Part 2 and sections 14, 14A, 14B and 15</w:t>
            </w:r>
          </w:p>
        </w:tc>
      </w:tr>
      <w:tr w:rsidR="005A3ACE" w:rsidRPr="0061637C" w14:paraId="26976052" w14:textId="77777777" w:rsidTr="00781CF5">
        <w:trPr>
          <w:trHeight w:val="611"/>
        </w:trPr>
        <w:tc>
          <w:tcPr>
            <w:tcW w:w="846" w:type="dxa"/>
            <w:tcBorders>
              <w:top w:val="single" w:sz="4" w:space="0" w:color="auto"/>
              <w:left w:val="single" w:sz="4" w:space="0" w:color="auto"/>
              <w:bottom w:val="single" w:sz="4" w:space="0" w:color="auto"/>
              <w:right w:val="single" w:sz="4" w:space="0" w:color="auto"/>
            </w:tcBorders>
            <w:hideMark/>
          </w:tcPr>
          <w:p w14:paraId="05B7C36A"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color w:val="000000"/>
                <w:sz w:val="24"/>
                <w:szCs w:val="24"/>
              </w:rPr>
              <w:t>34</w:t>
            </w:r>
          </w:p>
        </w:tc>
        <w:tc>
          <w:tcPr>
            <w:tcW w:w="4819" w:type="dxa"/>
            <w:tcBorders>
              <w:top w:val="single" w:sz="4" w:space="0" w:color="auto"/>
              <w:left w:val="single" w:sz="4" w:space="0" w:color="auto"/>
              <w:bottom w:val="single" w:sz="4" w:space="0" w:color="auto"/>
              <w:right w:val="single" w:sz="4" w:space="0" w:color="auto"/>
            </w:tcBorders>
            <w:hideMark/>
          </w:tcPr>
          <w:p w14:paraId="75D05B73"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i/>
                <w:iCs/>
                <w:color w:val="000000"/>
                <w:sz w:val="24"/>
                <w:szCs w:val="24"/>
                <w:shd w:val="clear" w:color="auto" w:fill="FFFFFF"/>
              </w:rPr>
              <w:t>Extradition Regulations 1988</w:t>
            </w:r>
            <w:r w:rsidRPr="0061637C">
              <w:rPr>
                <w:rFonts w:ascii="Times New Roman" w:hAnsi="Times New Roman" w:cs="Times New Roman"/>
                <w:color w:val="000000"/>
                <w:sz w:val="24"/>
                <w:szCs w:val="24"/>
                <w:shd w:val="clear" w:color="auto" w:fill="FFFFFF"/>
              </w:rPr>
              <w:t xml:space="preserve">, </w:t>
            </w:r>
            <w:proofErr w:type="spellStart"/>
            <w:r w:rsidRPr="0061637C">
              <w:rPr>
                <w:rFonts w:ascii="Times New Roman" w:hAnsi="Times New Roman" w:cs="Times New Roman"/>
                <w:color w:val="000000"/>
                <w:sz w:val="24"/>
                <w:szCs w:val="24"/>
                <w:shd w:val="clear" w:color="auto" w:fill="FFFFFF"/>
              </w:rPr>
              <w:t>subregulation</w:t>
            </w:r>
            <w:proofErr w:type="spellEnd"/>
            <w:r w:rsidRPr="0061637C">
              <w:rPr>
                <w:rFonts w:ascii="Times New Roman" w:hAnsi="Times New Roman" w:cs="Times New Roman"/>
                <w:color w:val="000000"/>
                <w:sz w:val="24"/>
                <w:szCs w:val="24"/>
                <w:shd w:val="clear" w:color="auto" w:fill="FFFFFF"/>
              </w:rPr>
              <w:t> 4(1)</w:t>
            </w:r>
          </w:p>
        </w:tc>
        <w:tc>
          <w:tcPr>
            <w:tcW w:w="3402" w:type="dxa"/>
            <w:tcBorders>
              <w:top w:val="single" w:sz="4" w:space="0" w:color="auto"/>
              <w:left w:val="single" w:sz="4" w:space="0" w:color="auto"/>
              <w:bottom w:val="single" w:sz="4" w:space="0" w:color="auto"/>
              <w:right w:val="single" w:sz="4" w:space="0" w:color="auto"/>
            </w:tcBorders>
            <w:hideMark/>
          </w:tcPr>
          <w:p w14:paraId="55512F7B"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color w:val="000000"/>
                <w:sz w:val="24"/>
                <w:szCs w:val="24"/>
                <w:shd w:val="clear" w:color="auto" w:fill="FFFFFF"/>
              </w:rPr>
              <w:t>Subsection 8(1), Division 2 of Part 2 and sections 14, 14A, 14B and 15</w:t>
            </w:r>
          </w:p>
        </w:tc>
      </w:tr>
      <w:tr w:rsidR="005A3ACE" w:rsidRPr="0061637C" w14:paraId="73AEC8B6" w14:textId="77777777" w:rsidTr="00781CF5">
        <w:trPr>
          <w:trHeight w:val="611"/>
        </w:trPr>
        <w:tc>
          <w:tcPr>
            <w:tcW w:w="846" w:type="dxa"/>
            <w:tcBorders>
              <w:top w:val="single" w:sz="4" w:space="0" w:color="auto"/>
              <w:left w:val="single" w:sz="4" w:space="0" w:color="auto"/>
              <w:bottom w:val="single" w:sz="4" w:space="0" w:color="auto"/>
              <w:right w:val="single" w:sz="4" w:space="0" w:color="auto"/>
            </w:tcBorders>
            <w:hideMark/>
          </w:tcPr>
          <w:p w14:paraId="1856ED14"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color w:val="000000"/>
                <w:sz w:val="24"/>
                <w:szCs w:val="24"/>
              </w:rPr>
              <w:t>38</w:t>
            </w:r>
          </w:p>
        </w:tc>
        <w:tc>
          <w:tcPr>
            <w:tcW w:w="4819" w:type="dxa"/>
            <w:tcBorders>
              <w:top w:val="single" w:sz="4" w:space="0" w:color="auto"/>
              <w:left w:val="single" w:sz="4" w:space="0" w:color="auto"/>
              <w:bottom w:val="single" w:sz="4" w:space="0" w:color="auto"/>
              <w:right w:val="single" w:sz="4" w:space="0" w:color="auto"/>
            </w:tcBorders>
            <w:hideMark/>
          </w:tcPr>
          <w:p w14:paraId="59D1D016"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i/>
                <w:iCs/>
                <w:color w:val="000000"/>
                <w:sz w:val="24"/>
                <w:szCs w:val="24"/>
                <w:shd w:val="clear" w:color="auto" w:fill="FFFFFF"/>
              </w:rPr>
              <w:t>International Criminal Court Act 2002</w:t>
            </w:r>
            <w:r w:rsidRPr="0061637C">
              <w:rPr>
                <w:rFonts w:ascii="Times New Roman" w:hAnsi="Times New Roman" w:cs="Times New Roman"/>
                <w:color w:val="000000"/>
                <w:sz w:val="24"/>
                <w:szCs w:val="24"/>
                <w:shd w:val="clear" w:color="auto" w:fill="FFFFFF"/>
              </w:rPr>
              <w:t>, subsection 65(3) and section 66</w:t>
            </w:r>
          </w:p>
        </w:tc>
        <w:tc>
          <w:tcPr>
            <w:tcW w:w="3402" w:type="dxa"/>
            <w:tcBorders>
              <w:top w:val="single" w:sz="4" w:space="0" w:color="auto"/>
              <w:left w:val="single" w:sz="4" w:space="0" w:color="auto"/>
              <w:bottom w:val="single" w:sz="4" w:space="0" w:color="auto"/>
              <w:right w:val="single" w:sz="4" w:space="0" w:color="auto"/>
            </w:tcBorders>
            <w:hideMark/>
          </w:tcPr>
          <w:p w14:paraId="6128C231"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color w:val="000000"/>
                <w:sz w:val="24"/>
                <w:szCs w:val="24"/>
                <w:shd w:val="clear" w:color="auto" w:fill="FFFFFF"/>
              </w:rPr>
              <w:t>Subsection 8(1), Division 2 of Part 2 and sections 14, 14A, 14B and 15</w:t>
            </w:r>
          </w:p>
        </w:tc>
      </w:tr>
      <w:tr w:rsidR="005A3ACE" w:rsidRPr="0061637C" w14:paraId="67D0AA8A" w14:textId="77777777" w:rsidTr="00781CF5">
        <w:trPr>
          <w:trHeight w:val="611"/>
        </w:trPr>
        <w:tc>
          <w:tcPr>
            <w:tcW w:w="846" w:type="dxa"/>
            <w:tcBorders>
              <w:top w:val="single" w:sz="4" w:space="0" w:color="auto"/>
              <w:left w:val="single" w:sz="4" w:space="0" w:color="auto"/>
              <w:bottom w:val="single" w:sz="4" w:space="0" w:color="auto"/>
              <w:right w:val="single" w:sz="4" w:space="0" w:color="auto"/>
            </w:tcBorders>
            <w:hideMark/>
          </w:tcPr>
          <w:p w14:paraId="1356D213"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color w:val="000000"/>
                <w:sz w:val="24"/>
                <w:szCs w:val="24"/>
              </w:rPr>
              <w:t>39</w:t>
            </w:r>
          </w:p>
        </w:tc>
        <w:tc>
          <w:tcPr>
            <w:tcW w:w="4819" w:type="dxa"/>
            <w:tcBorders>
              <w:top w:val="single" w:sz="4" w:space="0" w:color="auto"/>
              <w:left w:val="single" w:sz="4" w:space="0" w:color="auto"/>
              <w:bottom w:val="single" w:sz="4" w:space="0" w:color="auto"/>
              <w:right w:val="single" w:sz="4" w:space="0" w:color="auto"/>
            </w:tcBorders>
            <w:hideMark/>
          </w:tcPr>
          <w:p w14:paraId="04C5E25F"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i/>
                <w:iCs/>
                <w:color w:val="000000"/>
                <w:sz w:val="24"/>
                <w:szCs w:val="24"/>
                <w:shd w:val="clear" w:color="auto" w:fill="FFFFFF"/>
              </w:rPr>
              <w:t>International War Crimes Tribunals Act 1995</w:t>
            </w:r>
            <w:r w:rsidRPr="0061637C">
              <w:rPr>
                <w:rFonts w:ascii="Times New Roman" w:hAnsi="Times New Roman" w:cs="Times New Roman"/>
                <w:color w:val="000000"/>
                <w:sz w:val="24"/>
                <w:szCs w:val="24"/>
                <w:shd w:val="clear" w:color="auto" w:fill="FFFFFF"/>
              </w:rPr>
              <w:t>, subsection 18(2)</w:t>
            </w:r>
          </w:p>
        </w:tc>
        <w:tc>
          <w:tcPr>
            <w:tcW w:w="3402" w:type="dxa"/>
            <w:tcBorders>
              <w:top w:val="single" w:sz="4" w:space="0" w:color="auto"/>
              <w:left w:val="single" w:sz="4" w:space="0" w:color="auto"/>
              <w:bottom w:val="single" w:sz="4" w:space="0" w:color="auto"/>
              <w:right w:val="single" w:sz="4" w:space="0" w:color="auto"/>
            </w:tcBorders>
            <w:hideMark/>
          </w:tcPr>
          <w:p w14:paraId="368A0438"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color w:val="000000"/>
                <w:sz w:val="24"/>
                <w:szCs w:val="24"/>
                <w:shd w:val="clear" w:color="auto" w:fill="FFFFFF"/>
              </w:rPr>
              <w:t>Sections 9 and 10</w:t>
            </w:r>
          </w:p>
        </w:tc>
      </w:tr>
      <w:tr w:rsidR="005A3ACE" w:rsidRPr="0061637C" w14:paraId="7AB0E06E" w14:textId="77777777" w:rsidTr="00781CF5">
        <w:trPr>
          <w:trHeight w:val="611"/>
        </w:trPr>
        <w:tc>
          <w:tcPr>
            <w:tcW w:w="846" w:type="dxa"/>
            <w:tcBorders>
              <w:top w:val="single" w:sz="4" w:space="0" w:color="auto"/>
              <w:left w:val="single" w:sz="4" w:space="0" w:color="auto"/>
              <w:bottom w:val="single" w:sz="4" w:space="0" w:color="auto"/>
              <w:right w:val="single" w:sz="4" w:space="0" w:color="auto"/>
            </w:tcBorders>
            <w:hideMark/>
          </w:tcPr>
          <w:p w14:paraId="4B2B53F0"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color w:val="000000"/>
                <w:sz w:val="24"/>
                <w:szCs w:val="24"/>
              </w:rPr>
              <w:t>40</w:t>
            </w:r>
          </w:p>
        </w:tc>
        <w:tc>
          <w:tcPr>
            <w:tcW w:w="4819" w:type="dxa"/>
            <w:tcBorders>
              <w:top w:val="single" w:sz="4" w:space="0" w:color="auto"/>
              <w:left w:val="single" w:sz="4" w:space="0" w:color="auto"/>
              <w:bottom w:val="single" w:sz="4" w:space="0" w:color="auto"/>
              <w:right w:val="single" w:sz="4" w:space="0" w:color="auto"/>
            </w:tcBorders>
            <w:hideMark/>
          </w:tcPr>
          <w:p w14:paraId="583FF5ED"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i/>
                <w:sz w:val="24"/>
                <w:szCs w:val="24"/>
              </w:rPr>
              <w:t>International War Crimes Tribunals Act 1995</w:t>
            </w:r>
            <w:r w:rsidRPr="0061637C">
              <w:rPr>
                <w:rFonts w:ascii="Times New Roman" w:hAnsi="Times New Roman" w:cs="Times New Roman"/>
                <w:sz w:val="24"/>
                <w:szCs w:val="24"/>
              </w:rPr>
              <w:t>, subsections 27(2), 28(2) and 28(3)</w:t>
            </w:r>
          </w:p>
        </w:tc>
        <w:tc>
          <w:tcPr>
            <w:tcW w:w="3402" w:type="dxa"/>
            <w:tcBorders>
              <w:top w:val="single" w:sz="4" w:space="0" w:color="auto"/>
              <w:left w:val="single" w:sz="4" w:space="0" w:color="auto"/>
              <w:bottom w:val="single" w:sz="4" w:space="0" w:color="auto"/>
              <w:right w:val="single" w:sz="4" w:space="0" w:color="auto"/>
            </w:tcBorders>
            <w:hideMark/>
          </w:tcPr>
          <w:p w14:paraId="28CA79D6"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sz w:val="24"/>
                <w:szCs w:val="24"/>
              </w:rPr>
              <w:t>Subsection 8(1), Division 2 of Part 2 and sections 14, 14A, 14B and 15</w:t>
            </w:r>
          </w:p>
        </w:tc>
      </w:tr>
      <w:tr w:rsidR="005A3ACE" w:rsidRPr="0061637C" w14:paraId="3CF8CC7A" w14:textId="77777777" w:rsidTr="00781CF5">
        <w:trPr>
          <w:trHeight w:val="611"/>
        </w:trPr>
        <w:tc>
          <w:tcPr>
            <w:tcW w:w="846" w:type="dxa"/>
            <w:tcBorders>
              <w:top w:val="single" w:sz="4" w:space="0" w:color="auto"/>
              <w:left w:val="single" w:sz="4" w:space="0" w:color="auto"/>
              <w:bottom w:val="single" w:sz="4" w:space="0" w:color="auto"/>
              <w:right w:val="single" w:sz="4" w:space="0" w:color="auto"/>
            </w:tcBorders>
            <w:hideMark/>
          </w:tcPr>
          <w:p w14:paraId="6E9EC60F"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color w:val="000000"/>
                <w:sz w:val="24"/>
                <w:szCs w:val="24"/>
              </w:rPr>
              <w:t>41</w:t>
            </w:r>
          </w:p>
        </w:tc>
        <w:tc>
          <w:tcPr>
            <w:tcW w:w="4819" w:type="dxa"/>
            <w:tcBorders>
              <w:top w:val="single" w:sz="4" w:space="0" w:color="auto"/>
              <w:left w:val="single" w:sz="4" w:space="0" w:color="auto"/>
              <w:bottom w:val="single" w:sz="4" w:space="0" w:color="auto"/>
              <w:right w:val="single" w:sz="4" w:space="0" w:color="auto"/>
            </w:tcBorders>
            <w:hideMark/>
          </w:tcPr>
          <w:p w14:paraId="5C210F14"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i/>
                <w:sz w:val="24"/>
                <w:szCs w:val="24"/>
              </w:rPr>
              <w:t>International War Crimes Tribunals Regulations 1995</w:t>
            </w:r>
            <w:r w:rsidRPr="0061637C">
              <w:rPr>
                <w:rFonts w:ascii="Times New Roman" w:hAnsi="Times New Roman" w:cs="Times New Roman"/>
                <w:sz w:val="24"/>
                <w:szCs w:val="24"/>
              </w:rPr>
              <w:t>, sub regulation 6(1)</w:t>
            </w:r>
          </w:p>
        </w:tc>
        <w:tc>
          <w:tcPr>
            <w:tcW w:w="3402" w:type="dxa"/>
            <w:tcBorders>
              <w:top w:val="single" w:sz="4" w:space="0" w:color="auto"/>
              <w:left w:val="single" w:sz="4" w:space="0" w:color="auto"/>
              <w:bottom w:val="single" w:sz="4" w:space="0" w:color="auto"/>
              <w:right w:val="single" w:sz="4" w:space="0" w:color="auto"/>
            </w:tcBorders>
            <w:hideMark/>
          </w:tcPr>
          <w:p w14:paraId="7B4C662D"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color w:val="000000"/>
                <w:sz w:val="24"/>
                <w:szCs w:val="24"/>
                <w:shd w:val="clear" w:color="auto" w:fill="FFFFFF"/>
              </w:rPr>
              <w:t>Subsection 8(1), Division 2 of Part 2 and sections 14, 14A, 14B and 15</w:t>
            </w:r>
          </w:p>
        </w:tc>
      </w:tr>
      <w:tr w:rsidR="005A3ACE" w:rsidRPr="0061637C" w14:paraId="11D7D1DA" w14:textId="77777777" w:rsidTr="00781CF5">
        <w:trPr>
          <w:trHeight w:val="611"/>
        </w:trPr>
        <w:tc>
          <w:tcPr>
            <w:tcW w:w="846" w:type="dxa"/>
            <w:tcBorders>
              <w:top w:val="single" w:sz="4" w:space="0" w:color="auto"/>
              <w:left w:val="single" w:sz="4" w:space="0" w:color="auto"/>
              <w:bottom w:val="single" w:sz="4" w:space="0" w:color="auto"/>
              <w:right w:val="single" w:sz="4" w:space="0" w:color="auto"/>
            </w:tcBorders>
          </w:tcPr>
          <w:p w14:paraId="2FC92F2D"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color w:val="000000"/>
                <w:sz w:val="24"/>
                <w:szCs w:val="24"/>
              </w:rPr>
              <w:t>46</w:t>
            </w:r>
          </w:p>
        </w:tc>
        <w:tc>
          <w:tcPr>
            <w:tcW w:w="4819" w:type="dxa"/>
            <w:tcBorders>
              <w:top w:val="single" w:sz="4" w:space="0" w:color="auto"/>
              <w:left w:val="single" w:sz="4" w:space="0" w:color="auto"/>
              <w:bottom w:val="single" w:sz="4" w:space="0" w:color="auto"/>
              <w:right w:val="single" w:sz="4" w:space="0" w:color="auto"/>
            </w:tcBorders>
          </w:tcPr>
          <w:p w14:paraId="5423966E" w14:textId="77777777" w:rsidR="005A3ACE" w:rsidRPr="0061637C" w:rsidRDefault="005A3ACE" w:rsidP="00781CF5">
            <w:pPr>
              <w:pStyle w:val="tabletext"/>
              <w:spacing w:before="60" w:after="0" w:line="240" w:lineRule="atLeast"/>
              <w:rPr>
                <w:color w:val="000000"/>
              </w:rPr>
            </w:pPr>
            <w:r w:rsidRPr="0061637C">
              <w:rPr>
                <w:i/>
                <w:iCs/>
                <w:color w:val="000000"/>
              </w:rPr>
              <w:t>Military Rehabilitation and Compensation Act 2004</w:t>
            </w:r>
            <w:r w:rsidRPr="0061637C">
              <w:rPr>
                <w:color w:val="000000"/>
              </w:rPr>
              <w:t>, sections 319, 323, 330, 405 and 406</w:t>
            </w:r>
          </w:p>
        </w:tc>
        <w:tc>
          <w:tcPr>
            <w:tcW w:w="3402" w:type="dxa"/>
            <w:tcBorders>
              <w:top w:val="single" w:sz="4" w:space="0" w:color="auto"/>
              <w:left w:val="single" w:sz="4" w:space="0" w:color="auto"/>
              <w:bottom w:val="single" w:sz="4" w:space="0" w:color="auto"/>
              <w:right w:val="single" w:sz="4" w:space="0" w:color="auto"/>
            </w:tcBorders>
          </w:tcPr>
          <w:p w14:paraId="744EE5EE"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color w:val="000000"/>
                <w:sz w:val="24"/>
                <w:szCs w:val="24"/>
                <w:shd w:val="clear" w:color="auto" w:fill="FFFFFF"/>
              </w:rPr>
              <w:t>Sections 9, 10 and 11</w:t>
            </w:r>
          </w:p>
        </w:tc>
      </w:tr>
      <w:tr w:rsidR="005A3ACE" w:rsidRPr="0061637C" w14:paraId="60E1D539" w14:textId="77777777" w:rsidTr="00781CF5">
        <w:trPr>
          <w:trHeight w:val="611"/>
        </w:trPr>
        <w:tc>
          <w:tcPr>
            <w:tcW w:w="846" w:type="dxa"/>
            <w:tcBorders>
              <w:top w:val="single" w:sz="4" w:space="0" w:color="auto"/>
              <w:left w:val="single" w:sz="4" w:space="0" w:color="auto"/>
              <w:bottom w:val="single" w:sz="4" w:space="0" w:color="auto"/>
              <w:right w:val="single" w:sz="4" w:space="0" w:color="auto"/>
            </w:tcBorders>
          </w:tcPr>
          <w:p w14:paraId="1F9A4B60"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color w:val="000000"/>
                <w:sz w:val="24"/>
                <w:szCs w:val="24"/>
              </w:rPr>
              <w:t>47</w:t>
            </w:r>
          </w:p>
        </w:tc>
        <w:tc>
          <w:tcPr>
            <w:tcW w:w="4819" w:type="dxa"/>
            <w:tcBorders>
              <w:top w:val="single" w:sz="4" w:space="0" w:color="auto"/>
              <w:left w:val="single" w:sz="4" w:space="0" w:color="auto"/>
              <w:bottom w:val="single" w:sz="4" w:space="0" w:color="auto"/>
              <w:right w:val="single" w:sz="4" w:space="0" w:color="auto"/>
            </w:tcBorders>
          </w:tcPr>
          <w:p w14:paraId="7D4A57AC" w14:textId="77777777" w:rsidR="005A3ACE" w:rsidRPr="0061637C" w:rsidRDefault="005A3ACE" w:rsidP="00781CF5">
            <w:pPr>
              <w:rPr>
                <w:rFonts w:ascii="Times New Roman" w:hAnsi="Times New Roman" w:cs="Times New Roman"/>
                <w:i/>
                <w:sz w:val="24"/>
                <w:szCs w:val="24"/>
              </w:rPr>
            </w:pPr>
            <w:r w:rsidRPr="0061637C">
              <w:rPr>
                <w:rFonts w:ascii="Times New Roman" w:hAnsi="Times New Roman" w:cs="Times New Roman"/>
                <w:i/>
                <w:sz w:val="24"/>
                <w:szCs w:val="24"/>
              </w:rPr>
              <w:t>Motor Vehicle Standards Act 1989</w:t>
            </w:r>
          </w:p>
        </w:tc>
        <w:tc>
          <w:tcPr>
            <w:tcW w:w="3402" w:type="dxa"/>
            <w:tcBorders>
              <w:top w:val="single" w:sz="4" w:space="0" w:color="auto"/>
              <w:left w:val="single" w:sz="4" w:space="0" w:color="auto"/>
              <w:bottom w:val="single" w:sz="4" w:space="0" w:color="auto"/>
              <w:right w:val="single" w:sz="4" w:space="0" w:color="auto"/>
            </w:tcBorders>
          </w:tcPr>
          <w:p w14:paraId="28124B5C"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sz w:val="24"/>
                <w:szCs w:val="24"/>
              </w:rPr>
              <w:t>Subsection 8(1), Division 2 of Part 2 and sections 14, 14A, 14B and 15</w:t>
            </w:r>
          </w:p>
        </w:tc>
      </w:tr>
      <w:tr w:rsidR="005A3ACE" w:rsidRPr="0061637C" w14:paraId="4B549A31" w14:textId="77777777" w:rsidTr="00781CF5">
        <w:trPr>
          <w:trHeight w:val="611"/>
        </w:trPr>
        <w:tc>
          <w:tcPr>
            <w:tcW w:w="846" w:type="dxa"/>
            <w:tcBorders>
              <w:top w:val="single" w:sz="4" w:space="0" w:color="auto"/>
              <w:left w:val="single" w:sz="4" w:space="0" w:color="auto"/>
              <w:bottom w:val="single" w:sz="4" w:space="0" w:color="auto"/>
              <w:right w:val="single" w:sz="4" w:space="0" w:color="auto"/>
            </w:tcBorders>
          </w:tcPr>
          <w:p w14:paraId="52BDCC83"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color w:val="000000"/>
                <w:sz w:val="24"/>
                <w:szCs w:val="24"/>
              </w:rPr>
              <w:t>48</w:t>
            </w:r>
          </w:p>
        </w:tc>
        <w:tc>
          <w:tcPr>
            <w:tcW w:w="4819" w:type="dxa"/>
            <w:tcBorders>
              <w:top w:val="single" w:sz="4" w:space="0" w:color="auto"/>
              <w:left w:val="single" w:sz="4" w:space="0" w:color="auto"/>
              <w:bottom w:val="single" w:sz="4" w:space="0" w:color="auto"/>
              <w:right w:val="single" w:sz="4" w:space="0" w:color="auto"/>
            </w:tcBorders>
          </w:tcPr>
          <w:p w14:paraId="565BB181" w14:textId="77777777" w:rsidR="005A3ACE" w:rsidRPr="0061637C" w:rsidRDefault="005A3ACE" w:rsidP="00781CF5">
            <w:pPr>
              <w:rPr>
                <w:rFonts w:ascii="Times New Roman" w:hAnsi="Times New Roman" w:cs="Times New Roman"/>
                <w:i/>
                <w:sz w:val="24"/>
                <w:szCs w:val="24"/>
              </w:rPr>
            </w:pPr>
            <w:r w:rsidRPr="0061637C">
              <w:rPr>
                <w:rFonts w:ascii="Times New Roman" w:hAnsi="Times New Roman" w:cs="Times New Roman"/>
                <w:i/>
                <w:sz w:val="24"/>
                <w:szCs w:val="24"/>
              </w:rPr>
              <w:t>Motor Vehicle Standards Regulations 1989</w:t>
            </w:r>
          </w:p>
        </w:tc>
        <w:tc>
          <w:tcPr>
            <w:tcW w:w="3402" w:type="dxa"/>
            <w:tcBorders>
              <w:top w:val="single" w:sz="4" w:space="0" w:color="auto"/>
              <w:left w:val="single" w:sz="4" w:space="0" w:color="auto"/>
              <w:bottom w:val="single" w:sz="4" w:space="0" w:color="auto"/>
              <w:right w:val="single" w:sz="4" w:space="0" w:color="auto"/>
            </w:tcBorders>
          </w:tcPr>
          <w:p w14:paraId="16B57BA1"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sz w:val="24"/>
                <w:szCs w:val="24"/>
              </w:rPr>
              <w:t>Subsection 8(1), Division 2 of Part 2 and sections 14, 14A, 14B and 15</w:t>
            </w:r>
          </w:p>
        </w:tc>
      </w:tr>
      <w:tr w:rsidR="005A3ACE" w:rsidRPr="0061637C" w14:paraId="2A2967E4" w14:textId="77777777" w:rsidTr="00781CF5">
        <w:trPr>
          <w:trHeight w:val="611"/>
        </w:trPr>
        <w:tc>
          <w:tcPr>
            <w:tcW w:w="846" w:type="dxa"/>
            <w:tcBorders>
              <w:top w:val="single" w:sz="4" w:space="0" w:color="auto"/>
              <w:left w:val="single" w:sz="4" w:space="0" w:color="auto"/>
              <w:bottom w:val="single" w:sz="4" w:space="0" w:color="auto"/>
              <w:right w:val="single" w:sz="4" w:space="0" w:color="auto"/>
            </w:tcBorders>
            <w:hideMark/>
          </w:tcPr>
          <w:p w14:paraId="07AC2751"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color w:val="000000"/>
                <w:sz w:val="24"/>
                <w:szCs w:val="24"/>
              </w:rPr>
              <w:lastRenderedPageBreak/>
              <w:t>50</w:t>
            </w:r>
          </w:p>
        </w:tc>
        <w:tc>
          <w:tcPr>
            <w:tcW w:w="4819" w:type="dxa"/>
            <w:tcBorders>
              <w:top w:val="single" w:sz="4" w:space="0" w:color="auto"/>
              <w:left w:val="single" w:sz="4" w:space="0" w:color="auto"/>
              <w:bottom w:val="single" w:sz="4" w:space="0" w:color="auto"/>
              <w:right w:val="single" w:sz="4" w:space="0" w:color="auto"/>
            </w:tcBorders>
            <w:hideMark/>
          </w:tcPr>
          <w:p w14:paraId="726CF5E9"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i/>
                <w:sz w:val="24"/>
                <w:szCs w:val="24"/>
              </w:rPr>
              <w:t>Mutual Assistance in Criminal Matters Act 1987</w:t>
            </w:r>
            <w:r w:rsidRPr="0061637C">
              <w:rPr>
                <w:rFonts w:ascii="Times New Roman" w:hAnsi="Times New Roman" w:cs="Times New Roman"/>
                <w:sz w:val="24"/>
                <w:szCs w:val="24"/>
              </w:rPr>
              <w:t>, subsection 13(2)</w:t>
            </w:r>
          </w:p>
        </w:tc>
        <w:tc>
          <w:tcPr>
            <w:tcW w:w="3402" w:type="dxa"/>
            <w:tcBorders>
              <w:top w:val="single" w:sz="4" w:space="0" w:color="auto"/>
              <w:left w:val="single" w:sz="4" w:space="0" w:color="auto"/>
              <w:bottom w:val="single" w:sz="4" w:space="0" w:color="auto"/>
              <w:right w:val="single" w:sz="4" w:space="0" w:color="auto"/>
            </w:tcBorders>
            <w:hideMark/>
          </w:tcPr>
          <w:p w14:paraId="5922E148"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sz w:val="24"/>
                <w:szCs w:val="24"/>
              </w:rPr>
              <w:t>Subsection 8(1), Division 2 of Part 2 and sections 14, 14A, 14B and 15</w:t>
            </w:r>
          </w:p>
        </w:tc>
      </w:tr>
      <w:tr w:rsidR="005A3ACE" w:rsidRPr="0061637C" w14:paraId="1B507DD5" w14:textId="77777777" w:rsidTr="00781CF5">
        <w:trPr>
          <w:trHeight w:val="611"/>
        </w:trPr>
        <w:tc>
          <w:tcPr>
            <w:tcW w:w="846" w:type="dxa"/>
            <w:tcBorders>
              <w:top w:val="single" w:sz="4" w:space="0" w:color="auto"/>
              <w:left w:val="single" w:sz="4" w:space="0" w:color="auto"/>
              <w:bottom w:val="single" w:sz="4" w:space="0" w:color="auto"/>
              <w:right w:val="single" w:sz="4" w:space="0" w:color="auto"/>
            </w:tcBorders>
            <w:hideMark/>
          </w:tcPr>
          <w:p w14:paraId="11835C6A"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color w:val="000000"/>
                <w:sz w:val="24"/>
                <w:szCs w:val="24"/>
              </w:rPr>
              <w:t>51</w:t>
            </w:r>
          </w:p>
        </w:tc>
        <w:tc>
          <w:tcPr>
            <w:tcW w:w="4819" w:type="dxa"/>
            <w:tcBorders>
              <w:top w:val="single" w:sz="4" w:space="0" w:color="auto"/>
              <w:left w:val="single" w:sz="4" w:space="0" w:color="auto"/>
              <w:bottom w:val="single" w:sz="4" w:space="0" w:color="auto"/>
              <w:right w:val="single" w:sz="4" w:space="0" w:color="auto"/>
            </w:tcBorders>
            <w:hideMark/>
          </w:tcPr>
          <w:p w14:paraId="777D0607"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i/>
                <w:sz w:val="24"/>
                <w:szCs w:val="24"/>
              </w:rPr>
              <w:t>Mutual Assistance in Criminal Matters Regulations</w:t>
            </w:r>
            <w:r w:rsidRPr="0061637C">
              <w:rPr>
                <w:rFonts w:ascii="Times New Roman" w:hAnsi="Times New Roman" w:cs="Times New Roman"/>
                <w:sz w:val="24"/>
                <w:szCs w:val="24"/>
              </w:rPr>
              <w:t xml:space="preserve">, </w:t>
            </w:r>
            <w:proofErr w:type="spellStart"/>
            <w:r w:rsidRPr="0061637C">
              <w:rPr>
                <w:rFonts w:ascii="Times New Roman" w:hAnsi="Times New Roman" w:cs="Times New Roman"/>
                <w:sz w:val="24"/>
                <w:szCs w:val="24"/>
              </w:rPr>
              <w:t>subregulation</w:t>
            </w:r>
            <w:proofErr w:type="spellEnd"/>
            <w:r w:rsidRPr="0061637C">
              <w:rPr>
                <w:rFonts w:ascii="Times New Roman" w:hAnsi="Times New Roman" w:cs="Times New Roman"/>
                <w:sz w:val="24"/>
                <w:szCs w:val="24"/>
              </w:rPr>
              <w:t xml:space="preserve"> 3(1)</w:t>
            </w:r>
          </w:p>
        </w:tc>
        <w:tc>
          <w:tcPr>
            <w:tcW w:w="3402" w:type="dxa"/>
            <w:tcBorders>
              <w:top w:val="single" w:sz="4" w:space="0" w:color="auto"/>
              <w:left w:val="single" w:sz="4" w:space="0" w:color="auto"/>
              <w:bottom w:val="single" w:sz="4" w:space="0" w:color="auto"/>
              <w:right w:val="single" w:sz="4" w:space="0" w:color="auto"/>
            </w:tcBorders>
            <w:hideMark/>
          </w:tcPr>
          <w:p w14:paraId="125D2B3D"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sz w:val="24"/>
                <w:szCs w:val="24"/>
              </w:rPr>
              <w:t>Subsection 8(1), Division 2 of Part 2 and sections 14, 14A, 14B and 15</w:t>
            </w:r>
          </w:p>
        </w:tc>
      </w:tr>
      <w:tr w:rsidR="005A3ACE" w:rsidRPr="0061637C" w14:paraId="36F46211" w14:textId="77777777" w:rsidTr="00781CF5">
        <w:trPr>
          <w:trHeight w:val="611"/>
        </w:trPr>
        <w:tc>
          <w:tcPr>
            <w:tcW w:w="846" w:type="dxa"/>
            <w:tcBorders>
              <w:top w:val="single" w:sz="4" w:space="0" w:color="auto"/>
              <w:left w:val="single" w:sz="4" w:space="0" w:color="auto"/>
              <w:bottom w:val="single" w:sz="4" w:space="0" w:color="auto"/>
              <w:right w:val="single" w:sz="4" w:space="0" w:color="auto"/>
            </w:tcBorders>
          </w:tcPr>
          <w:p w14:paraId="79F81078"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sz w:val="24"/>
                <w:szCs w:val="24"/>
              </w:rPr>
              <w:t>54</w:t>
            </w:r>
          </w:p>
        </w:tc>
        <w:tc>
          <w:tcPr>
            <w:tcW w:w="4819" w:type="dxa"/>
            <w:tcBorders>
              <w:top w:val="single" w:sz="4" w:space="0" w:color="auto"/>
              <w:left w:val="single" w:sz="4" w:space="0" w:color="auto"/>
              <w:bottom w:val="single" w:sz="4" w:space="0" w:color="auto"/>
              <w:right w:val="single" w:sz="4" w:space="0" w:color="auto"/>
            </w:tcBorders>
          </w:tcPr>
          <w:p w14:paraId="3C9CBF5C"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i/>
                <w:iCs/>
                <w:color w:val="000000"/>
                <w:sz w:val="24"/>
                <w:szCs w:val="24"/>
                <w:shd w:val="clear" w:color="auto" w:fill="FFFFFF"/>
              </w:rPr>
              <w:t>Navigation Act 2012</w:t>
            </w:r>
            <w:r w:rsidRPr="0061637C">
              <w:rPr>
                <w:rFonts w:ascii="Times New Roman" w:hAnsi="Times New Roman" w:cs="Times New Roman"/>
                <w:color w:val="000000"/>
                <w:sz w:val="24"/>
                <w:szCs w:val="24"/>
                <w:shd w:val="clear" w:color="auto" w:fill="FFFFFF"/>
              </w:rPr>
              <w:t>, subsection 39(1) and sections 40 and 317</w:t>
            </w:r>
          </w:p>
        </w:tc>
        <w:tc>
          <w:tcPr>
            <w:tcW w:w="3402" w:type="dxa"/>
            <w:tcBorders>
              <w:top w:val="single" w:sz="4" w:space="0" w:color="auto"/>
              <w:left w:val="single" w:sz="4" w:space="0" w:color="auto"/>
              <w:bottom w:val="single" w:sz="4" w:space="0" w:color="auto"/>
              <w:right w:val="single" w:sz="4" w:space="0" w:color="auto"/>
            </w:tcBorders>
          </w:tcPr>
          <w:p w14:paraId="6465F853"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color w:val="000000"/>
                <w:sz w:val="24"/>
                <w:szCs w:val="24"/>
                <w:shd w:val="clear" w:color="auto" w:fill="FFFFFF"/>
              </w:rPr>
              <w:t>Section 11</w:t>
            </w:r>
          </w:p>
        </w:tc>
      </w:tr>
      <w:tr w:rsidR="005A3ACE" w:rsidRPr="0061637C" w14:paraId="66A6586F" w14:textId="77777777" w:rsidTr="00781CF5">
        <w:trPr>
          <w:trHeight w:val="611"/>
        </w:trPr>
        <w:tc>
          <w:tcPr>
            <w:tcW w:w="846" w:type="dxa"/>
            <w:tcBorders>
              <w:top w:val="single" w:sz="4" w:space="0" w:color="auto"/>
              <w:left w:val="single" w:sz="4" w:space="0" w:color="auto"/>
              <w:bottom w:val="single" w:sz="4" w:space="0" w:color="auto"/>
              <w:right w:val="single" w:sz="4" w:space="0" w:color="auto"/>
            </w:tcBorders>
          </w:tcPr>
          <w:p w14:paraId="5862FED1"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sz w:val="24"/>
                <w:szCs w:val="24"/>
              </w:rPr>
              <w:t>55</w:t>
            </w:r>
          </w:p>
        </w:tc>
        <w:tc>
          <w:tcPr>
            <w:tcW w:w="4819" w:type="dxa"/>
            <w:tcBorders>
              <w:top w:val="single" w:sz="4" w:space="0" w:color="auto"/>
              <w:left w:val="single" w:sz="4" w:space="0" w:color="auto"/>
              <w:bottom w:val="single" w:sz="4" w:space="0" w:color="auto"/>
              <w:right w:val="single" w:sz="4" w:space="0" w:color="auto"/>
            </w:tcBorders>
          </w:tcPr>
          <w:p w14:paraId="68D66D31"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i/>
                <w:sz w:val="24"/>
                <w:szCs w:val="24"/>
              </w:rPr>
              <w:t>Navigation Act 2012</w:t>
            </w:r>
            <w:r w:rsidRPr="0061637C">
              <w:rPr>
                <w:rFonts w:ascii="Times New Roman" w:hAnsi="Times New Roman" w:cs="Times New Roman"/>
                <w:sz w:val="24"/>
                <w:szCs w:val="24"/>
              </w:rPr>
              <w:t>, section 309 and subparagraph 312(1)(b)(</w:t>
            </w:r>
            <w:proofErr w:type="spellStart"/>
            <w:r w:rsidRPr="0061637C">
              <w:rPr>
                <w:rFonts w:ascii="Times New Roman" w:hAnsi="Times New Roman" w:cs="Times New Roman"/>
                <w:sz w:val="24"/>
                <w:szCs w:val="24"/>
              </w:rPr>
              <w:t>i</w:t>
            </w:r>
            <w:proofErr w:type="spellEnd"/>
            <w:r w:rsidRPr="0061637C">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0527E5C5"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sz w:val="24"/>
                <w:szCs w:val="24"/>
              </w:rPr>
              <w:t>Sections 9, 10 and 11</w:t>
            </w:r>
          </w:p>
        </w:tc>
      </w:tr>
      <w:tr w:rsidR="005A3ACE" w:rsidRPr="0061637C" w14:paraId="1C159AF8" w14:textId="77777777" w:rsidTr="00781CF5">
        <w:trPr>
          <w:trHeight w:val="611"/>
        </w:trPr>
        <w:tc>
          <w:tcPr>
            <w:tcW w:w="846" w:type="dxa"/>
            <w:tcBorders>
              <w:top w:val="single" w:sz="4" w:space="0" w:color="auto"/>
              <w:left w:val="single" w:sz="4" w:space="0" w:color="auto"/>
              <w:bottom w:val="single" w:sz="4" w:space="0" w:color="auto"/>
              <w:right w:val="single" w:sz="4" w:space="0" w:color="auto"/>
            </w:tcBorders>
            <w:hideMark/>
          </w:tcPr>
          <w:p w14:paraId="169B7810"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color w:val="000000"/>
                <w:sz w:val="24"/>
                <w:szCs w:val="24"/>
              </w:rPr>
              <w:t>61</w:t>
            </w:r>
          </w:p>
        </w:tc>
        <w:tc>
          <w:tcPr>
            <w:tcW w:w="4819" w:type="dxa"/>
            <w:tcBorders>
              <w:top w:val="single" w:sz="4" w:space="0" w:color="auto"/>
              <w:left w:val="single" w:sz="4" w:space="0" w:color="auto"/>
              <w:bottom w:val="single" w:sz="4" w:space="0" w:color="auto"/>
              <w:right w:val="single" w:sz="4" w:space="0" w:color="auto"/>
            </w:tcBorders>
            <w:hideMark/>
          </w:tcPr>
          <w:p w14:paraId="6559BA34"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i/>
                <w:sz w:val="24"/>
                <w:szCs w:val="24"/>
              </w:rPr>
              <w:t>Papua New Guinea (Members of the Forces Benefits) Act</w:t>
            </w:r>
            <w:r w:rsidRPr="0061637C">
              <w:rPr>
                <w:rFonts w:ascii="Times New Roman" w:hAnsi="Times New Roman" w:cs="Times New Roman"/>
                <w:sz w:val="24"/>
                <w:szCs w:val="24"/>
              </w:rPr>
              <w:t xml:space="preserve"> 1957</w:t>
            </w:r>
          </w:p>
        </w:tc>
        <w:tc>
          <w:tcPr>
            <w:tcW w:w="3402" w:type="dxa"/>
            <w:tcBorders>
              <w:top w:val="single" w:sz="4" w:space="0" w:color="auto"/>
              <w:left w:val="single" w:sz="4" w:space="0" w:color="auto"/>
              <w:bottom w:val="single" w:sz="4" w:space="0" w:color="auto"/>
              <w:right w:val="single" w:sz="4" w:space="0" w:color="auto"/>
            </w:tcBorders>
            <w:hideMark/>
          </w:tcPr>
          <w:p w14:paraId="3E49462A"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sz w:val="24"/>
                <w:szCs w:val="24"/>
              </w:rPr>
              <w:t>Subsection 8(1), Division 2 of Part 2 and sections 14, 14A, 14B and 15</w:t>
            </w:r>
          </w:p>
        </w:tc>
      </w:tr>
      <w:tr w:rsidR="005A3ACE" w:rsidRPr="0061637C" w14:paraId="3BB8CADA" w14:textId="77777777" w:rsidTr="00781CF5">
        <w:trPr>
          <w:trHeight w:val="611"/>
        </w:trPr>
        <w:tc>
          <w:tcPr>
            <w:tcW w:w="846" w:type="dxa"/>
            <w:tcBorders>
              <w:top w:val="single" w:sz="4" w:space="0" w:color="auto"/>
              <w:left w:val="single" w:sz="4" w:space="0" w:color="auto"/>
              <w:bottom w:val="single" w:sz="4" w:space="0" w:color="auto"/>
              <w:right w:val="single" w:sz="4" w:space="0" w:color="auto"/>
            </w:tcBorders>
            <w:hideMark/>
          </w:tcPr>
          <w:p w14:paraId="03E6CA2E"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color w:val="000000"/>
                <w:sz w:val="24"/>
                <w:szCs w:val="24"/>
              </w:rPr>
              <w:t>62</w:t>
            </w:r>
          </w:p>
        </w:tc>
        <w:tc>
          <w:tcPr>
            <w:tcW w:w="4819" w:type="dxa"/>
            <w:tcBorders>
              <w:top w:val="single" w:sz="4" w:space="0" w:color="auto"/>
              <w:left w:val="single" w:sz="4" w:space="0" w:color="auto"/>
              <w:bottom w:val="single" w:sz="4" w:space="0" w:color="auto"/>
              <w:right w:val="single" w:sz="4" w:space="0" w:color="auto"/>
            </w:tcBorders>
            <w:hideMark/>
          </w:tcPr>
          <w:p w14:paraId="47E6EF06"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i/>
                <w:sz w:val="24"/>
                <w:szCs w:val="24"/>
              </w:rPr>
              <w:t>Papua New Guinea (Members of the Forces Benefits) Regulations</w:t>
            </w:r>
            <w:r w:rsidRPr="0061637C">
              <w:rPr>
                <w:rFonts w:ascii="Times New Roman" w:hAnsi="Times New Roman" w:cs="Times New Roman"/>
                <w:sz w:val="24"/>
                <w:szCs w:val="24"/>
              </w:rPr>
              <w:t xml:space="preserve"> 2016</w:t>
            </w:r>
          </w:p>
        </w:tc>
        <w:tc>
          <w:tcPr>
            <w:tcW w:w="3402" w:type="dxa"/>
            <w:tcBorders>
              <w:top w:val="single" w:sz="4" w:space="0" w:color="auto"/>
              <w:left w:val="single" w:sz="4" w:space="0" w:color="auto"/>
              <w:bottom w:val="single" w:sz="4" w:space="0" w:color="auto"/>
              <w:right w:val="single" w:sz="4" w:space="0" w:color="auto"/>
            </w:tcBorders>
            <w:hideMark/>
          </w:tcPr>
          <w:p w14:paraId="016C8862"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sz w:val="24"/>
                <w:szCs w:val="24"/>
              </w:rPr>
              <w:t>Subsection 8(1), Division 2 of Part 2 and sections 14, 14A, 14B and 15</w:t>
            </w:r>
          </w:p>
        </w:tc>
      </w:tr>
      <w:tr w:rsidR="005A3ACE" w:rsidRPr="0061637C" w14:paraId="5C99E930" w14:textId="77777777" w:rsidTr="00781CF5">
        <w:trPr>
          <w:trHeight w:val="611"/>
        </w:trPr>
        <w:tc>
          <w:tcPr>
            <w:tcW w:w="846" w:type="dxa"/>
            <w:tcBorders>
              <w:top w:val="single" w:sz="4" w:space="0" w:color="auto"/>
              <w:left w:val="single" w:sz="4" w:space="0" w:color="auto"/>
              <w:bottom w:val="single" w:sz="4" w:space="0" w:color="auto"/>
              <w:right w:val="single" w:sz="4" w:space="0" w:color="auto"/>
            </w:tcBorders>
          </w:tcPr>
          <w:p w14:paraId="3B4AF054"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sz w:val="24"/>
                <w:szCs w:val="24"/>
              </w:rPr>
              <w:t>64</w:t>
            </w:r>
          </w:p>
        </w:tc>
        <w:tc>
          <w:tcPr>
            <w:tcW w:w="4819" w:type="dxa"/>
            <w:tcBorders>
              <w:top w:val="single" w:sz="4" w:space="0" w:color="auto"/>
              <w:left w:val="single" w:sz="4" w:space="0" w:color="auto"/>
              <w:bottom w:val="single" w:sz="4" w:space="0" w:color="auto"/>
              <w:right w:val="single" w:sz="4" w:space="0" w:color="auto"/>
            </w:tcBorders>
          </w:tcPr>
          <w:p w14:paraId="44F2915E"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i/>
                <w:sz w:val="24"/>
                <w:szCs w:val="24"/>
              </w:rPr>
              <w:t>Protection of the Sea (1992 Fund) Regulations 1994</w:t>
            </w:r>
            <w:r w:rsidRPr="0061637C">
              <w:rPr>
                <w:rFonts w:ascii="Times New Roman" w:hAnsi="Times New Roman" w:cs="Times New Roman"/>
                <w:sz w:val="24"/>
                <w:szCs w:val="24"/>
              </w:rPr>
              <w:t xml:space="preserve">, </w:t>
            </w:r>
            <w:proofErr w:type="spellStart"/>
            <w:r w:rsidRPr="0061637C">
              <w:rPr>
                <w:rFonts w:ascii="Times New Roman" w:hAnsi="Times New Roman" w:cs="Times New Roman"/>
                <w:sz w:val="24"/>
                <w:szCs w:val="24"/>
              </w:rPr>
              <w:t>subregulation</w:t>
            </w:r>
            <w:proofErr w:type="spellEnd"/>
            <w:r w:rsidRPr="0061637C">
              <w:rPr>
                <w:rFonts w:ascii="Times New Roman" w:hAnsi="Times New Roman" w:cs="Times New Roman"/>
                <w:sz w:val="24"/>
                <w:szCs w:val="24"/>
              </w:rPr>
              <w:t xml:space="preserve"> 24(1)</w:t>
            </w:r>
          </w:p>
        </w:tc>
        <w:tc>
          <w:tcPr>
            <w:tcW w:w="3402" w:type="dxa"/>
            <w:tcBorders>
              <w:top w:val="single" w:sz="4" w:space="0" w:color="auto"/>
              <w:left w:val="single" w:sz="4" w:space="0" w:color="auto"/>
              <w:bottom w:val="single" w:sz="4" w:space="0" w:color="auto"/>
              <w:right w:val="single" w:sz="4" w:space="0" w:color="auto"/>
            </w:tcBorders>
          </w:tcPr>
          <w:p w14:paraId="28BFAE99"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sz w:val="24"/>
                <w:szCs w:val="24"/>
              </w:rPr>
              <w:t>Section 11</w:t>
            </w:r>
          </w:p>
        </w:tc>
      </w:tr>
      <w:tr w:rsidR="005A3ACE" w:rsidRPr="0061637C" w14:paraId="34DF823E" w14:textId="77777777" w:rsidTr="00781CF5">
        <w:trPr>
          <w:trHeight w:val="611"/>
        </w:trPr>
        <w:tc>
          <w:tcPr>
            <w:tcW w:w="846" w:type="dxa"/>
            <w:tcBorders>
              <w:top w:val="single" w:sz="4" w:space="0" w:color="auto"/>
              <w:left w:val="single" w:sz="4" w:space="0" w:color="auto"/>
              <w:bottom w:val="single" w:sz="4" w:space="0" w:color="auto"/>
              <w:right w:val="single" w:sz="4" w:space="0" w:color="auto"/>
            </w:tcBorders>
          </w:tcPr>
          <w:p w14:paraId="1793CCD4"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sz w:val="24"/>
                <w:szCs w:val="24"/>
              </w:rPr>
              <w:t>65</w:t>
            </w:r>
          </w:p>
        </w:tc>
        <w:tc>
          <w:tcPr>
            <w:tcW w:w="4819" w:type="dxa"/>
            <w:tcBorders>
              <w:top w:val="single" w:sz="4" w:space="0" w:color="auto"/>
              <w:left w:val="single" w:sz="4" w:space="0" w:color="auto"/>
              <w:bottom w:val="single" w:sz="4" w:space="0" w:color="auto"/>
              <w:right w:val="single" w:sz="4" w:space="0" w:color="auto"/>
            </w:tcBorders>
          </w:tcPr>
          <w:p w14:paraId="1C259432"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i/>
                <w:sz w:val="24"/>
                <w:szCs w:val="24"/>
              </w:rPr>
              <w:t>Protection of the Sea (Civil Liability) Act 1981</w:t>
            </w:r>
            <w:r w:rsidRPr="0061637C">
              <w:rPr>
                <w:rFonts w:ascii="Times New Roman" w:hAnsi="Times New Roman" w:cs="Times New Roman"/>
                <w:sz w:val="24"/>
                <w:szCs w:val="24"/>
              </w:rPr>
              <w:t>, subsections 15(4), 17(5) and 19C(2)</w:t>
            </w:r>
          </w:p>
        </w:tc>
        <w:tc>
          <w:tcPr>
            <w:tcW w:w="3402" w:type="dxa"/>
            <w:tcBorders>
              <w:top w:val="single" w:sz="4" w:space="0" w:color="auto"/>
              <w:left w:val="single" w:sz="4" w:space="0" w:color="auto"/>
              <w:bottom w:val="single" w:sz="4" w:space="0" w:color="auto"/>
              <w:right w:val="single" w:sz="4" w:space="0" w:color="auto"/>
            </w:tcBorders>
          </w:tcPr>
          <w:p w14:paraId="68B2F7F6"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sz w:val="24"/>
                <w:szCs w:val="24"/>
              </w:rPr>
              <w:t>Section 11</w:t>
            </w:r>
          </w:p>
        </w:tc>
      </w:tr>
      <w:tr w:rsidR="005A3ACE" w:rsidRPr="0061637C" w14:paraId="154AC7CE" w14:textId="77777777" w:rsidTr="00781CF5">
        <w:trPr>
          <w:trHeight w:val="611"/>
        </w:trPr>
        <w:tc>
          <w:tcPr>
            <w:tcW w:w="846" w:type="dxa"/>
            <w:tcBorders>
              <w:top w:val="single" w:sz="4" w:space="0" w:color="auto"/>
              <w:left w:val="single" w:sz="4" w:space="0" w:color="auto"/>
              <w:bottom w:val="single" w:sz="4" w:space="0" w:color="auto"/>
              <w:right w:val="single" w:sz="4" w:space="0" w:color="auto"/>
            </w:tcBorders>
          </w:tcPr>
          <w:p w14:paraId="7D94513F"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sz w:val="24"/>
                <w:szCs w:val="24"/>
              </w:rPr>
              <w:t>66</w:t>
            </w:r>
          </w:p>
        </w:tc>
        <w:tc>
          <w:tcPr>
            <w:tcW w:w="4819" w:type="dxa"/>
            <w:tcBorders>
              <w:top w:val="single" w:sz="4" w:space="0" w:color="auto"/>
              <w:left w:val="single" w:sz="4" w:space="0" w:color="auto"/>
              <w:bottom w:val="single" w:sz="4" w:space="0" w:color="auto"/>
              <w:right w:val="single" w:sz="4" w:space="0" w:color="auto"/>
            </w:tcBorders>
          </w:tcPr>
          <w:p w14:paraId="3DFDDE17"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i/>
                <w:sz w:val="24"/>
                <w:szCs w:val="24"/>
              </w:rPr>
              <w:t>Protection of the Sea (Civil Liability) Act 1981</w:t>
            </w:r>
            <w:r w:rsidRPr="0061637C">
              <w:rPr>
                <w:rFonts w:ascii="Times New Roman" w:hAnsi="Times New Roman" w:cs="Times New Roman"/>
                <w:sz w:val="24"/>
                <w:szCs w:val="24"/>
              </w:rPr>
              <w:t>, subsections 15(1), 15(2), 15(3) and 19C(1)</w:t>
            </w:r>
          </w:p>
        </w:tc>
        <w:tc>
          <w:tcPr>
            <w:tcW w:w="3402" w:type="dxa"/>
            <w:tcBorders>
              <w:top w:val="single" w:sz="4" w:space="0" w:color="auto"/>
              <w:left w:val="single" w:sz="4" w:space="0" w:color="auto"/>
              <w:bottom w:val="single" w:sz="4" w:space="0" w:color="auto"/>
              <w:right w:val="single" w:sz="4" w:space="0" w:color="auto"/>
            </w:tcBorders>
          </w:tcPr>
          <w:p w14:paraId="4F3DEA1A"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sz w:val="24"/>
                <w:szCs w:val="24"/>
              </w:rPr>
              <w:t>Section 12</w:t>
            </w:r>
          </w:p>
        </w:tc>
      </w:tr>
      <w:tr w:rsidR="005A3ACE" w:rsidRPr="0061637C" w14:paraId="7C69AB65" w14:textId="77777777" w:rsidTr="00781CF5">
        <w:trPr>
          <w:trHeight w:val="611"/>
        </w:trPr>
        <w:tc>
          <w:tcPr>
            <w:tcW w:w="846" w:type="dxa"/>
            <w:tcBorders>
              <w:top w:val="single" w:sz="4" w:space="0" w:color="auto"/>
              <w:left w:val="single" w:sz="4" w:space="0" w:color="auto"/>
              <w:bottom w:val="single" w:sz="4" w:space="0" w:color="auto"/>
              <w:right w:val="single" w:sz="4" w:space="0" w:color="auto"/>
            </w:tcBorders>
          </w:tcPr>
          <w:p w14:paraId="70DFF3F0"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sz w:val="24"/>
                <w:szCs w:val="24"/>
              </w:rPr>
              <w:t>68</w:t>
            </w:r>
          </w:p>
        </w:tc>
        <w:tc>
          <w:tcPr>
            <w:tcW w:w="4819" w:type="dxa"/>
            <w:tcBorders>
              <w:top w:val="single" w:sz="4" w:space="0" w:color="auto"/>
              <w:left w:val="single" w:sz="4" w:space="0" w:color="auto"/>
              <w:bottom w:val="single" w:sz="4" w:space="0" w:color="auto"/>
              <w:right w:val="single" w:sz="4" w:space="0" w:color="auto"/>
            </w:tcBorders>
          </w:tcPr>
          <w:p w14:paraId="5A9E30AD"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i/>
                <w:sz w:val="24"/>
                <w:szCs w:val="24"/>
              </w:rPr>
              <w:t>Protection of the Sea (Harmful Anti‑fouling Systems) Act 2006</w:t>
            </w:r>
            <w:r w:rsidRPr="0061637C">
              <w:rPr>
                <w:rFonts w:ascii="Times New Roman" w:hAnsi="Times New Roman" w:cs="Times New Roman"/>
                <w:sz w:val="24"/>
                <w:szCs w:val="24"/>
              </w:rPr>
              <w:t>, subsections 13(1), 13(2), 15(1) and 15(2)</w:t>
            </w:r>
          </w:p>
        </w:tc>
        <w:tc>
          <w:tcPr>
            <w:tcW w:w="3402" w:type="dxa"/>
            <w:tcBorders>
              <w:top w:val="single" w:sz="4" w:space="0" w:color="auto"/>
              <w:left w:val="single" w:sz="4" w:space="0" w:color="auto"/>
              <w:bottom w:val="single" w:sz="4" w:space="0" w:color="auto"/>
              <w:right w:val="single" w:sz="4" w:space="0" w:color="auto"/>
            </w:tcBorders>
          </w:tcPr>
          <w:p w14:paraId="01BE4BAC"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color w:val="000000"/>
                <w:sz w:val="24"/>
                <w:szCs w:val="24"/>
                <w:shd w:val="clear" w:color="auto" w:fill="FFFFFF"/>
              </w:rPr>
              <w:t>Section 12</w:t>
            </w:r>
          </w:p>
        </w:tc>
      </w:tr>
      <w:tr w:rsidR="005A3ACE" w:rsidRPr="0061637C" w14:paraId="748AE00C" w14:textId="77777777" w:rsidTr="00781CF5">
        <w:trPr>
          <w:trHeight w:val="611"/>
        </w:trPr>
        <w:tc>
          <w:tcPr>
            <w:tcW w:w="846" w:type="dxa"/>
            <w:tcBorders>
              <w:top w:val="single" w:sz="4" w:space="0" w:color="auto"/>
              <w:left w:val="single" w:sz="4" w:space="0" w:color="auto"/>
              <w:bottom w:val="single" w:sz="4" w:space="0" w:color="auto"/>
              <w:right w:val="single" w:sz="4" w:space="0" w:color="auto"/>
            </w:tcBorders>
          </w:tcPr>
          <w:p w14:paraId="7CE13E72"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color w:val="000000"/>
                <w:sz w:val="24"/>
                <w:szCs w:val="24"/>
              </w:rPr>
              <w:t>70</w:t>
            </w:r>
          </w:p>
        </w:tc>
        <w:tc>
          <w:tcPr>
            <w:tcW w:w="4819" w:type="dxa"/>
            <w:tcBorders>
              <w:top w:val="single" w:sz="4" w:space="0" w:color="auto"/>
              <w:left w:val="single" w:sz="4" w:space="0" w:color="auto"/>
              <w:bottom w:val="single" w:sz="4" w:space="0" w:color="auto"/>
              <w:right w:val="single" w:sz="4" w:space="0" w:color="auto"/>
            </w:tcBorders>
          </w:tcPr>
          <w:p w14:paraId="68259CD0"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i/>
                <w:sz w:val="24"/>
                <w:szCs w:val="24"/>
              </w:rPr>
              <w:t>Protection of the Sea (Prevention of Pollution from Ships) Act 1983</w:t>
            </w:r>
            <w:r w:rsidRPr="0061637C">
              <w:rPr>
                <w:rFonts w:ascii="Times New Roman" w:hAnsi="Times New Roman" w:cs="Times New Roman"/>
                <w:sz w:val="24"/>
                <w:szCs w:val="24"/>
              </w:rPr>
              <w:t xml:space="preserve"> subsections 12(2) and 14(3) and paragraph 21A(1)(b); subsections 23(2) and 25(3)</w:t>
            </w:r>
          </w:p>
        </w:tc>
        <w:tc>
          <w:tcPr>
            <w:tcW w:w="3402" w:type="dxa"/>
            <w:tcBorders>
              <w:top w:val="single" w:sz="4" w:space="0" w:color="auto"/>
              <w:left w:val="single" w:sz="4" w:space="0" w:color="auto"/>
              <w:bottom w:val="single" w:sz="4" w:space="0" w:color="auto"/>
              <w:right w:val="single" w:sz="4" w:space="0" w:color="auto"/>
            </w:tcBorders>
          </w:tcPr>
          <w:p w14:paraId="05FDCC14"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sz w:val="24"/>
                <w:szCs w:val="24"/>
              </w:rPr>
              <w:t>Section 12</w:t>
            </w:r>
          </w:p>
        </w:tc>
      </w:tr>
      <w:tr w:rsidR="005A3ACE" w:rsidRPr="0061637C" w14:paraId="0EFE49F2" w14:textId="77777777" w:rsidTr="00781CF5">
        <w:trPr>
          <w:trHeight w:val="611"/>
        </w:trPr>
        <w:tc>
          <w:tcPr>
            <w:tcW w:w="846" w:type="dxa"/>
            <w:tcBorders>
              <w:top w:val="single" w:sz="4" w:space="0" w:color="auto"/>
              <w:left w:val="single" w:sz="4" w:space="0" w:color="auto"/>
              <w:bottom w:val="single" w:sz="4" w:space="0" w:color="auto"/>
              <w:right w:val="single" w:sz="4" w:space="0" w:color="auto"/>
            </w:tcBorders>
          </w:tcPr>
          <w:p w14:paraId="0EC222D3"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color w:val="000000"/>
                <w:sz w:val="24"/>
                <w:szCs w:val="24"/>
              </w:rPr>
              <w:t>71</w:t>
            </w:r>
          </w:p>
        </w:tc>
        <w:tc>
          <w:tcPr>
            <w:tcW w:w="4819" w:type="dxa"/>
            <w:tcBorders>
              <w:top w:val="single" w:sz="4" w:space="0" w:color="auto"/>
              <w:left w:val="single" w:sz="4" w:space="0" w:color="auto"/>
              <w:bottom w:val="single" w:sz="4" w:space="0" w:color="auto"/>
              <w:right w:val="single" w:sz="4" w:space="0" w:color="auto"/>
            </w:tcBorders>
          </w:tcPr>
          <w:p w14:paraId="48BEB2DF"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i/>
                <w:sz w:val="24"/>
                <w:szCs w:val="24"/>
              </w:rPr>
              <w:t>Protection of the Sea (Prevention of Pollution from Ships) Act 1983</w:t>
            </w:r>
            <w:r w:rsidRPr="0061637C">
              <w:rPr>
                <w:rFonts w:ascii="Times New Roman" w:hAnsi="Times New Roman" w:cs="Times New Roman"/>
                <w:sz w:val="24"/>
                <w:szCs w:val="24"/>
              </w:rPr>
              <w:t>, subsections 12(3), 12(7) and 23(8)</w:t>
            </w:r>
          </w:p>
        </w:tc>
        <w:tc>
          <w:tcPr>
            <w:tcW w:w="3402" w:type="dxa"/>
            <w:tcBorders>
              <w:top w:val="single" w:sz="4" w:space="0" w:color="auto"/>
              <w:left w:val="single" w:sz="4" w:space="0" w:color="auto"/>
              <w:bottom w:val="single" w:sz="4" w:space="0" w:color="auto"/>
              <w:right w:val="single" w:sz="4" w:space="0" w:color="auto"/>
            </w:tcBorders>
          </w:tcPr>
          <w:p w14:paraId="56E0F405"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sz w:val="24"/>
                <w:szCs w:val="24"/>
              </w:rPr>
              <w:t>Section 10</w:t>
            </w:r>
          </w:p>
        </w:tc>
      </w:tr>
      <w:tr w:rsidR="005A3ACE" w:rsidRPr="0061637C" w14:paraId="30BD355F" w14:textId="77777777" w:rsidTr="00781CF5">
        <w:trPr>
          <w:trHeight w:val="611"/>
        </w:trPr>
        <w:tc>
          <w:tcPr>
            <w:tcW w:w="846" w:type="dxa"/>
            <w:tcBorders>
              <w:top w:val="single" w:sz="4" w:space="0" w:color="auto"/>
              <w:left w:val="single" w:sz="4" w:space="0" w:color="auto"/>
              <w:bottom w:val="single" w:sz="4" w:space="0" w:color="auto"/>
              <w:right w:val="single" w:sz="4" w:space="0" w:color="auto"/>
            </w:tcBorders>
          </w:tcPr>
          <w:p w14:paraId="4C67927E"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color w:val="000000"/>
                <w:sz w:val="24"/>
                <w:szCs w:val="24"/>
              </w:rPr>
              <w:t>72</w:t>
            </w:r>
          </w:p>
        </w:tc>
        <w:tc>
          <w:tcPr>
            <w:tcW w:w="4819" w:type="dxa"/>
            <w:tcBorders>
              <w:top w:val="single" w:sz="4" w:space="0" w:color="auto"/>
              <w:left w:val="single" w:sz="4" w:space="0" w:color="auto"/>
              <w:bottom w:val="single" w:sz="4" w:space="0" w:color="auto"/>
              <w:right w:val="single" w:sz="4" w:space="0" w:color="auto"/>
            </w:tcBorders>
          </w:tcPr>
          <w:p w14:paraId="3C6BD3D9"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i/>
                <w:sz w:val="24"/>
                <w:szCs w:val="24"/>
              </w:rPr>
              <w:t>Protection of the Sea (Prevention of Pollution from Ships) Act</w:t>
            </w:r>
            <w:r w:rsidRPr="0061637C">
              <w:rPr>
                <w:rFonts w:ascii="Times New Roman" w:hAnsi="Times New Roman" w:cs="Times New Roman"/>
                <w:sz w:val="24"/>
                <w:szCs w:val="24"/>
              </w:rPr>
              <w:t xml:space="preserve"> 1983, subsection 12(6)</w:t>
            </w:r>
          </w:p>
        </w:tc>
        <w:tc>
          <w:tcPr>
            <w:tcW w:w="3402" w:type="dxa"/>
            <w:tcBorders>
              <w:top w:val="single" w:sz="4" w:space="0" w:color="auto"/>
              <w:left w:val="single" w:sz="4" w:space="0" w:color="auto"/>
              <w:bottom w:val="single" w:sz="4" w:space="0" w:color="auto"/>
              <w:right w:val="single" w:sz="4" w:space="0" w:color="auto"/>
            </w:tcBorders>
          </w:tcPr>
          <w:p w14:paraId="0FAB1123"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sz w:val="24"/>
                <w:szCs w:val="24"/>
              </w:rPr>
              <w:t>Sections 9 and 10</w:t>
            </w:r>
          </w:p>
        </w:tc>
      </w:tr>
      <w:tr w:rsidR="005A3ACE" w:rsidRPr="0061637C" w14:paraId="42E081ED" w14:textId="77777777" w:rsidTr="00781CF5">
        <w:trPr>
          <w:trHeight w:val="611"/>
        </w:trPr>
        <w:tc>
          <w:tcPr>
            <w:tcW w:w="846" w:type="dxa"/>
            <w:tcBorders>
              <w:top w:val="single" w:sz="4" w:space="0" w:color="auto"/>
              <w:left w:val="single" w:sz="4" w:space="0" w:color="auto"/>
              <w:bottom w:val="single" w:sz="4" w:space="0" w:color="auto"/>
              <w:right w:val="single" w:sz="4" w:space="0" w:color="auto"/>
            </w:tcBorders>
          </w:tcPr>
          <w:p w14:paraId="65B54631"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color w:val="000000"/>
                <w:sz w:val="24"/>
                <w:szCs w:val="24"/>
              </w:rPr>
              <w:lastRenderedPageBreak/>
              <w:t>73</w:t>
            </w:r>
          </w:p>
        </w:tc>
        <w:tc>
          <w:tcPr>
            <w:tcW w:w="4819" w:type="dxa"/>
            <w:tcBorders>
              <w:top w:val="single" w:sz="4" w:space="0" w:color="auto"/>
              <w:left w:val="single" w:sz="4" w:space="0" w:color="auto"/>
              <w:bottom w:val="single" w:sz="4" w:space="0" w:color="auto"/>
              <w:right w:val="single" w:sz="4" w:space="0" w:color="auto"/>
            </w:tcBorders>
          </w:tcPr>
          <w:p w14:paraId="7652A6FB"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i/>
                <w:sz w:val="24"/>
                <w:szCs w:val="24"/>
              </w:rPr>
              <w:t>Protection of the Sea (Prevention of Pollution from Ships) Act</w:t>
            </w:r>
            <w:r w:rsidRPr="0061637C">
              <w:rPr>
                <w:rFonts w:ascii="Times New Roman" w:hAnsi="Times New Roman" w:cs="Times New Roman"/>
                <w:sz w:val="24"/>
                <w:szCs w:val="24"/>
              </w:rPr>
              <w:t xml:space="preserve"> 1983, subsections 14(1) and 25(1)</w:t>
            </w:r>
          </w:p>
        </w:tc>
        <w:tc>
          <w:tcPr>
            <w:tcW w:w="3402" w:type="dxa"/>
            <w:tcBorders>
              <w:top w:val="single" w:sz="4" w:space="0" w:color="auto"/>
              <w:left w:val="single" w:sz="4" w:space="0" w:color="auto"/>
              <w:bottom w:val="single" w:sz="4" w:space="0" w:color="auto"/>
              <w:right w:val="single" w:sz="4" w:space="0" w:color="auto"/>
            </w:tcBorders>
          </w:tcPr>
          <w:p w14:paraId="5BDCDB93"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sz w:val="24"/>
                <w:szCs w:val="24"/>
              </w:rPr>
              <w:t>Sections 11 and 12</w:t>
            </w:r>
          </w:p>
        </w:tc>
      </w:tr>
      <w:tr w:rsidR="005A3ACE" w:rsidRPr="0061637C" w14:paraId="19BF6E67" w14:textId="77777777" w:rsidTr="00781CF5">
        <w:trPr>
          <w:trHeight w:val="611"/>
        </w:trPr>
        <w:tc>
          <w:tcPr>
            <w:tcW w:w="846" w:type="dxa"/>
            <w:tcBorders>
              <w:top w:val="single" w:sz="4" w:space="0" w:color="auto"/>
              <w:left w:val="single" w:sz="4" w:space="0" w:color="auto"/>
              <w:bottom w:val="single" w:sz="4" w:space="0" w:color="auto"/>
              <w:right w:val="single" w:sz="4" w:space="0" w:color="auto"/>
            </w:tcBorders>
          </w:tcPr>
          <w:p w14:paraId="39E52DAD"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color w:val="000000"/>
                <w:sz w:val="24"/>
                <w:szCs w:val="24"/>
              </w:rPr>
              <w:t>74</w:t>
            </w:r>
          </w:p>
        </w:tc>
        <w:tc>
          <w:tcPr>
            <w:tcW w:w="4819" w:type="dxa"/>
            <w:tcBorders>
              <w:top w:val="single" w:sz="4" w:space="0" w:color="auto"/>
              <w:left w:val="single" w:sz="4" w:space="0" w:color="auto"/>
              <w:bottom w:val="single" w:sz="4" w:space="0" w:color="auto"/>
              <w:right w:val="single" w:sz="4" w:space="0" w:color="auto"/>
            </w:tcBorders>
          </w:tcPr>
          <w:p w14:paraId="281611C0"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i/>
                <w:sz w:val="24"/>
                <w:szCs w:val="24"/>
              </w:rPr>
              <w:t>Protection of the Sea (Prevention of Pollution from Ships) Act 1983</w:t>
            </w:r>
            <w:r w:rsidRPr="0061637C">
              <w:rPr>
                <w:rFonts w:ascii="Times New Roman" w:hAnsi="Times New Roman" w:cs="Times New Roman"/>
                <w:sz w:val="24"/>
                <w:szCs w:val="24"/>
              </w:rPr>
              <w:t>, subsections 14(6) and 25(6) and paragraph 27(1)(k)</w:t>
            </w:r>
          </w:p>
        </w:tc>
        <w:tc>
          <w:tcPr>
            <w:tcW w:w="3402" w:type="dxa"/>
            <w:tcBorders>
              <w:top w:val="single" w:sz="4" w:space="0" w:color="auto"/>
              <w:left w:val="single" w:sz="4" w:space="0" w:color="auto"/>
              <w:bottom w:val="single" w:sz="4" w:space="0" w:color="auto"/>
              <w:right w:val="single" w:sz="4" w:space="0" w:color="auto"/>
            </w:tcBorders>
          </w:tcPr>
          <w:p w14:paraId="71B3CCA9"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sz w:val="24"/>
                <w:szCs w:val="24"/>
              </w:rPr>
              <w:t>Section 11</w:t>
            </w:r>
          </w:p>
        </w:tc>
      </w:tr>
      <w:tr w:rsidR="005A3ACE" w:rsidRPr="0061637C" w14:paraId="5C63D3E8" w14:textId="77777777" w:rsidTr="00781CF5">
        <w:trPr>
          <w:trHeight w:val="611"/>
        </w:trPr>
        <w:tc>
          <w:tcPr>
            <w:tcW w:w="846" w:type="dxa"/>
            <w:tcBorders>
              <w:top w:val="single" w:sz="4" w:space="0" w:color="auto"/>
              <w:left w:val="single" w:sz="4" w:space="0" w:color="auto"/>
              <w:bottom w:val="single" w:sz="4" w:space="0" w:color="auto"/>
              <w:right w:val="single" w:sz="4" w:space="0" w:color="auto"/>
            </w:tcBorders>
          </w:tcPr>
          <w:p w14:paraId="5FFB1465"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color w:val="000000"/>
                <w:sz w:val="24"/>
                <w:szCs w:val="24"/>
              </w:rPr>
              <w:t>75</w:t>
            </w:r>
          </w:p>
        </w:tc>
        <w:tc>
          <w:tcPr>
            <w:tcW w:w="4819" w:type="dxa"/>
            <w:tcBorders>
              <w:top w:val="single" w:sz="4" w:space="0" w:color="auto"/>
              <w:left w:val="single" w:sz="4" w:space="0" w:color="auto"/>
              <w:bottom w:val="single" w:sz="4" w:space="0" w:color="auto"/>
              <w:right w:val="single" w:sz="4" w:space="0" w:color="auto"/>
            </w:tcBorders>
          </w:tcPr>
          <w:p w14:paraId="3E4A62A0"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i/>
                <w:sz w:val="24"/>
                <w:szCs w:val="24"/>
              </w:rPr>
              <w:t>Protection of the Sea (Prevention of Pollution from Ships) Act</w:t>
            </w:r>
            <w:r w:rsidRPr="0061637C">
              <w:rPr>
                <w:rFonts w:ascii="Times New Roman" w:hAnsi="Times New Roman" w:cs="Times New Roman"/>
                <w:sz w:val="24"/>
                <w:szCs w:val="24"/>
              </w:rPr>
              <w:t xml:space="preserve"> </w:t>
            </w:r>
            <w:r w:rsidRPr="0061637C">
              <w:rPr>
                <w:rFonts w:ascii="Times New Roman" w:hAnsi="Times New Roman" w:cs="Times New Roman"/>
                <w:i/>
                <w:sz w:val="24"/>
                <w:szCs w:val="24"/>
              </w:rPr>
              <w:t>1983</w:t>
            </w:r>
            <w:r w:rsidRPr="0061637C">
              <w:rPr>
                <w:rFonts w:ascii="Times New Roman" w:hAnsi="Times New Roman" w:cs="Times New Roman"/>
                <w:sz w:val="24"/>
                <w:szCs w:val="24"/>
              </w:rPr>
              <w:t>, section 26G</w:t>
            </w:r>
          </w:p>
        </w:tc>
        <w:tc>
          <w:tcPr>
            <w:tcW w:w="3402" w:type="dxa"/>
            <w:tcBorders>
              <w:top w:val="single" w:sz="4" w:space="0" w:color="auto"/>
              <w:left w:val="single" w:sz="4" w:space="0" w:color="auto"/>
              <w:bottom w:val="single" w:sz="4" w:space="0" w:color="auto"/>
              <w:right w:val="single" w:sz="4" w:space="0" w:color="auto"/>
            </w:tcBorders>
          </w:tcPr>
          <w:p w14:paraId="46B6583C"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sz w:val="24"/>
                <w:szCs w:val="24"/>
              </w:rPr>
              <w:t xml:space="preserve">Sections 9 and 11 </w:t>
            </w:r>
          </w:p>
        </w:tc>
      </w:tr>
      <w:tr w:rsidR="005A3ACE" w:rsidRPr="0061637C" w14:paraId="3E111B8C" w14:textId="77777777" w:rsidTr="00781CF5">
        <w:trPr>
          <w:trHeight w:val="611"/>
        </w:trPr>
        <w:tc>
          <w:tcPr>
            <w:tcW w:w="846" w:type="dxa"/>
            <w:tcBorders>
              <w:top w:val="single" w:sz="4" w:space="0" w:color="auto"/>
              <w:left w:val="single" w:sz="4" w:space="0" w:color="auto"/>
              <w:bottom w:val="single" w:sz="4" w:space="0" w:color="auto"/>
              <w:right w:val="single" w:sz="4" w:space="0" w:color="auto"/>
            </w:tcBorders>
          </w:tcPr>
          <w:p w14:paraId="7CC54A83"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color w:val="000000"/>
                <w:sz w:val="24"/>
                <w:szCs w:val="24"/>
              </w:rPr>
              <w:t>79</w:t>
            </w:r>
          </w:p>
        </w:tc>
        <w:tc>
          <w:tcPr>
            <w:tcW w:w="4819" w:type="dxa"/>
            <w:tcBorders>
              <w:top w:val="single" w:sz="4" w:space="0" w:color="auto"/>
              <w:left w:val="single" w:sz="4" w:space="0" w:color="auto"/>
              <w:bottom w:val="single" w:sz="4" w:space="0" w:color="auto"/>
              <w:right w:val="single" w:sz="4" w:space="0" w:color="auto"/>
            </w:tcBorders>
          </w:tcPr>
          <w:p w14:paraId="37C87E9F" w14:textId="77777777" w:rsidR="005A3ACE" w:rsidRPr="0061637C" w:rsidRDefault="005A3ACE" w:rsidP="00781CF5">
            <w:pPr>
              <w:rPr>
                <w:rFonts w:ascii="Times New Roman" w:hAnsi="Times New Roman" w:cs="Times New Roman"/>
                <w:i/>
                <w:sz w:val="24"/>
                <w:szCs w:val="24"/>
              </w:rPr>
            </w:pPr>
            <w:r w:rsidRPr="0061637C">
              <w:rPr>
                <w:rFonts w:ascii="Times New Roman" w:hAnsi="Times New Roman" w:cs="Times New Roman"/>
                <w:i/>
                <w:sz w:val="24"/>
                <w:szCs w:val="24"/>
              </w:rPr>
              <w:t>Registration of Deaths Abroad Act 1984</w:t>
            </w:r>
          </w:p>
        </w:tc>
        <w:tc>
          <w:tcPr>
            <w:tcW w:w="3402" w:type="dxa"/>
            <w:tcBorders>
              <w:top w:val="single" w:sz="4" w:space="0" w:color="auto"/>
              <w:left w:val="single" w:sz="4" w:space="0" w:color="auto"/>
              <w:bottom w:val="single" w:sz="4" w:space="0" w:color="auto"/>
              <w:right w:val="single" w:sz="4" w:space="0" w:color="auto"/>
            </w:tcBorders>
          </w:tcPr>
          <w:p w14:paraId="21AE7D7E"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sz w:val="24"/>
                <w:szCs w:val="24"/>
              </w:rPr>
              <w:t>Subsection 8(1), Division 2 of Part 2 and sections 14, 14A, 14B and 15</w:t>
            </w:r>
          </w:p>
        </w:tc>
      </w:tr>
      <w:tr w:rsidR="005A3ACE" w:rsidRPr="0061637C" w14:paraId="2A28924D" w14:textId="77777777" w:rsidTr="00781CF5">
        <w:trPr>
          <w:trHeight w:val="611"/>
        </w:trPr>
        <w:tc>
          <w:tcPr>
            <w:tcW w:w="846" w:type="dxa"/>
            <w:tcBorders>
              <w:top w:val="single" w:sz="4" w:space="0" w:color="auto"/>
              <w:left w:val="single" w:sz="4" w:space="0" w:color="auto"/>
              <w:bottom w:val="single" w:sz="4" w:space="0" w:color="auto"/>
              <w:right w:val="single" w:sz="4" w:space="0" w:color="auto"/>
            </w:tcBorders>
          </w:tcPr>
          <w:p w14:paraId="315A9C5B"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color w:val="000000"/>
                <w:sz w:val="24"/>
                <w:szCs w:val="24"/>
              </w:rPr>
              <w:t>80</w:t>
            </w:r>
          </w:p>
        </w:tc>
        <w:tc>
          <w:tcPr>
            <w:tcW w:w="4819" w:type="dxa"/>
            <w:tcBorders>
              <w:top w:val="single" w:sz="4" w:space="0" w:color="auto"/>
              <w:left w:val="single" w:sz="4" w:space="0" w:color="auto"/>
              <w:bottom w:val="single" w:sz="4" w:space="0" w:color="auto"/>
              <w:right w:val="single" w:sz="4" w:space="0" w:color="auto"/>
            </w:tcBorders>
          </w:tcPr>
          <w:p w14:paraId="7C2D285F" w14:textId="77777777" w:rsidR="005A3ACE" w:rsidRPr="0061637C" w:rsidRDefault="005A3ACE" w:rsidP="00781CF5">
            <w:pPr>
              <w:rPr>
                <w:rFonts w:ascii="Times New Roman" w:hAnsi="Times New Roman" w:cs="Times New Roman"/>
                <w:i/>
                <w:sz w:val="24"/>
                <w:szCs w:val="24"/>
              </w:rPr>
            </w:pPr>
            <w:r w:rsidRPr="0061637C">
              <w:rPr>
                <w:rFonts w:ascii="Times New Roman" w:hAnsi="Times New Roman" w:cs="Times New Roman"/>
                <w:i/>
                <w:sz w:val="24"/>
                <w:szCs w:val="24"/>
              </w:rPr>
              <w:t>Registration of Deaths Abroad Regulations 1985</w:t>
            </w:r>
          </w:p>
        </w:tc>
        <w:tc>
          <w:tcPr>
            <w:tcW w:w="3402" w:type="dxa"/>
            <w:tcBorders>
              <w:top w:val="single" w:sz="4" w:space="0" w:color="auto"/>
              <w:left w:val="single" w:sz="4" w:space="0" w:color="auto"/>
              <w:bottom w:val="single" w:sz="4" w:space="0" w:color="auto"/>
              <w:right w:val="single" w:sz="4" w:space="0" w:color="auto"/>
            </w:tcBorders>
          </w:tcPr>
          <w:p w14:paraId="6B72B221"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sz w:val="24"/>
                <w:szCs w:val="24"/>
              </w:rPr>
              <w:t>Subsection 8(1), Division 2 of Part 2 and sections 14, 14A, 14B and 15</w:t>
            </w:r>
          </w:p>
        </w:tc>
      </w:tr>
      <w:tr w:rsidR="005A3ACE" w:rsidRPr="0061637C" w14:paraId="31568CF1" w14:textId="77777777" w:rsidTr="00781CF5">
        <w:trPr>
          <w:trHeight w:val="611"/>
        </w:trPr>
        <w:tc>
          <w:tcPr>
            <w:tcW w:w="846" w:type="dxa"/>
            <w:tcBorders>
              <w:top w:val="single" w:sz="4" w:space="0" w:color="auto"/>
              <w:left w:val="single" w:sz="4" w:space="0" w:color="auto"/>
              <w:bottom w:val="single" w:sz="4" w:space="0" w:color="auto"/>
              <w:right w:val="single" w:sz="4" w:space="0" w:color="auto"/>
            </w:tcBorders>
            <w:hideMark/>
          </w:tcPr>
          <w:p w14:paraId="7181669E"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color w:val="000000"/>
                <w:sz w:val="24"/>
                <w:szCs w:val="24"/>
              </w:rPr>
              <w:t>92</w:t>
            </w:r>
          </w:p>
        </w:tc>
        <w:tc>
          <w:tcPr>
            <w:tcW w:w="4819" w:type="dxa"/>
            <w:tcBorders>
              <w:top w:val="single" w:sz="4" w:space="0" w:color="auto"/>
              <w:left w:val="single" w:sz="4" w:space="0" w:color="auto"/>
              <w:bottom w:val="single" w:sz="4" w:space="0" w:color="auto"/>
              <w:right w:val="single" w:sz="4" w:space="0" w:color="auto"/>
            </w:tcBorders>
            <w:hideMark/>
          </w:tcPr>
          <w:p w14:paraId="0C4AA2A7"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i/>
                <w:sz w:val="24"/>
                <w:szCs w:val="24"/>
              </w:rPr>
              <w:t>Veterans’ Entitlements Act 1986</w:t>
            </w:r>
            <w:r w:rsidRPr="0061637C">
              <w:rPr>
                <w:rFonts w:ascii="Times New Roman" w:hAnsi="Times New Roman" w:cs="Times New Roman"/>
                <w:sz w:val="24"/>
                <w:szCs w:val="24"/>
              </w:rPr>
              <w:t>, sections 5T, 30M and 79X</w:t>
            </w:r>
          </w:p>
        </w:tc>
        <w:tc>
          <w:tcPr>
            <w:tcW w:w="3402" w:type="dxa"/>
            <w:tcBorders>
              <w:top w:val="single" w:sz="4" w:space="0" w:color="auto"/>
              <w:left w:val="single" w:sz="4" w:space="0" w:color="auto"/>
              <w:bottom w:val="single" w:sz="4" w:space="0" w:color="auto"/>
              <w:right w:val="single" w:sz="4" w:space="0" w:color="auto"/>
            </w:tcBorders>
            <w:hideMark/>
          </w:tcPr>
          <w:p w14:paraId="264E9FD6"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sz w:val="24"/>
                <w:szCs w:val="24"/>
              </w:rPr>
              <w:t>Sections 9, 10 and 11</w:t>
            </w:r>
          </w:p>
        </w:tc>
      </w:tr>
      <w:tr w:rsidR="005A3ACE" w:rsidRPr="0061637C" w14:paraId="3D5D0CAA" w14:textId="77777777" w:rsidTr="00781CF5">
        <w:trPr>
          <w:trHeight w:val="611"/>
        </w:trPr>
        <w:tc>
          <w:tcPr>
            <w:tcW w:w="846" w:type="dxa"/>
            <w:tcBorders>
              <w:top w:val="single" w:sz="4" w:space="0" w:color="auto"/>
              <w:left w:val="single" w:sz="4" w:space="0" w:color="auto"/>
              <w:bottom w:val="single" w:sz="4" w:space="0" w:color="auto"/>
              <w:right w:val="single" w:sz="4" w:space="0" w:color="auto"/>
            </w:tcBorders>
            <w:hideMark/>
          </w:tcPr>
          <w:p w14:paraId="6069B5DE"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color w:val="000000"/>
                <w:sz w:val="24"/>
                <w:szCs w:val="24"/>
              </w:rPr>
              <w:t>93</w:t>
            </w:r>
          </w:p>
        </w:tc>
        <w:tc>
          <w:tcPr>
            <w:tcW w:w="4819" w:type="dxa"/>
            <w:tcBorders>
              <w:top w:val="single" w:sz="4" w:space="0" w:color="auto"/>
              <w:left w:val="single" w:sz="4" w:space="0" w:color="auto"/>
              <w:bottom w:val="single" w:sz="4" w:space="0" w:color="auto"/>
              <w:right w:val="single" w:sz="4" w:space="0" w:color="auto"/>
            </w:tcBorders>
            <w:hideMark/>
          </w:tcPr>
          <w:p w14:paraId="5272E7F4"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sz w:val="24"/>
                <w:szCs w:val="24"/>
              </w:rPr>
              <w:t xml:space="preserve">Subordinate legislation made under the </w:t>
            </w:r>
            <w:r w:rsidRPr="0061637C">
              <w:rPr>
                <w:rFonts w:ascii="Times New Roman" w:hAnsi="Times New Roman" w:cs="Times New Roman"/>
                <w:i/>
                <w:sz w:val="24"/>
                <w:szCs w:val="24"/>
              </w:rPr>
              <w:t>Veterans’ Entitlements Act 1986</w:t>
            </w:r>
          </w:p>
        </w:tc>
        <w:tc>
          <w:tcPr>
            <w:tcW w:w="3402" w:type="dxa"/>
            <w:tcBorders>
              <w:top w:val="single" w:sz="4" w:space="0" w:color="auto"/>
              <w:left w:val="single" w:sz="4" w:space="0" w:color="auto"/>
              <w:bottom w:val="single" w:sz="4" w:space="0" w:color="auto"/>
              <w:right w:val="single" w:sz="4" w:space="0" w:color="auto"/>
            </w:tcBorders>
            <w:hideMark/>
          </w:tcPr>
          <w:p w14:paraId="1D396178" w14:textId="77777777" w:rsidR="005A3ACE" w:rsidRPr="0061637C" w:rsidRDefault="005A3ACE" w:rsidP="00781CF5">
            <w:pPr>
              <w:rPr>
                <w:rFonts w:ascii="Times New Roman" w:hAnsi="Times New Roman" w:cs="Times New Roman"/>
                <w:sz w:val="24"/>
                <w:szCs w:val="24"/>
              </w:rPr>
            </w:pPr>
            <w:r w:rsidRPr="0061637C">
              <w:rPr>
                <w:rFonts w:ascii="Times New Roman" w:hAnsi="Times New Roman" w:cs="Times New Roman"/>
                <w:sz w:val="24"/>
                <w:szCs w:val="24"/>
              </w:rPr>
              <w:t>Sections 9, 10 and 11</w:t>
            </w:r>
          </w:p>
        </w:tc>
      </w:tr>
    </w:tbl>
    <w:p w14:paraId="35BBA7F5" w14:textId="77777777" w:rsidR="005A3ACE" w:rsidRPr="0061637C" w:rsidRDefault="005A3ACE" w:rsidP="005A3ACE">
      <w:pPr>
        <w:pStyle w:val="NoSpacing"/>
        <w:rPr>
          <w:sz w:val="24"/>
          <w:szCs w:val="24"/>
        </w:rPr>
      </w:pPr>
    </w:p>
    <w:p w14:paraId="7B271F71" w14:textId="3156CFB6" w:rsidR="005A3ACE" w:rsidRDefault="00DC72E8" w:rsidP="00F66B60">
      <w:pPr>
        <w:pStyle w:val="NoSpacing"/>
        <w:rPr>
          <w:rFonts w:ascii="Times New Roman" w:hAnsi="Times New Roman" w:cs="Times New Roman"/>
          <w:i/>
          <w:sz w:val="24"/>
          <w:szCs w:val="24"/>
        </w:rPr>
      </w:pPr>
      <w:r>
        <w:rPr>
          <w:rFonts w:ascii="Times New Roman" w:hAnsi="Times New Roman" w:cs="Times New Roman"/>
          <w:i/>
          <w:sz w:val="24"/>
          <w:szCs w:val="24"/>
        </w:rPr>
        <w:t>E</w:t>
      </w:r>
      <w:r w:rsidR="005A3ACE" w:rsidRPr="00F35CAF">
        <w:rPr>
          <w:rFonts w:ascii="Times New Roman" w:hAnsi="Times New Roman" w:cs="Times New Roman"/>
          <w:i/>
          <w:sz w:val="24"/>
          <w:szCs w:val="24"/>
        </w:rPr>
        <w:t>xemptions to be amended</w:t>
      </w:r>
    </w:p>
    <w:p w14:paraId="678FBEB2" w14:textId="77777777" w:rsidR="00F35CAF" w:rsidRPr="00F35CAF" w:rsidRDefault="00F35CAF" w:rsidP="00F66B60">
      <w:pPr>
        <w:pStyle w:val="NoSpacing"/>
        <w:rPr>
          <w:rFonts w:ascii="Times New Roman" w:hAnsi="Times New Roman" w:cs="Times New Roman"/>
          <w:i/>
          <w:sz w:val="24"/>
          <w:szCs w:val="24"/>
        </w:rPr>
      </w:pPr>
    </w:p>
    <w:tbl>
      <w:tblPr>
        <w:tblStyle w:val="TableGrid"/>
        <w:tblW w:w="9067" w:type="dxa"/>
        <w:tblInd w:w="0" w:type="dxa"/>
        <w:tblLook w:val="04A0" w:firstRow="1" w:lastRow="0" w:firstColumn="1" w:lastColumn="0" w:noHBand="0" w:noVBand="1"/>
      </w:tblPr>
      <w:tblGrid>
        <w:gridCol w:w="833"/>
        <w:gridCol w:w="2094"/>
        <w:gridCol w:w="2738"/>
        <w:gridCol w:w="3402"/>
      </w:tblGrid>
      <w:tr w:rsidR="005A3ACE" w:rsidRPr="0061637C" w14:paraId="09583EB7" w14:textId="77777777" w:rsidTr="00781CF5">
        <w:trPr>
          <w:cantSplit/>
          <w:trHeight w:val="144"/>
        </w:trPr>
        <w:tc>
          <w:tcPr>
            <w:tcW w:w="833" w:type="dxa"/>
            <w:tcBorders>
              <w:top w:val="single" w:sz="4" w:space="0" w:color="auto"/>
              <w:left w:val="single" w:sz="4" w:space="0" w:color="auto"/>
              <w:bottom w:val="single" w:sz="4" w:space="0" w:color="auto"/>
              <w:right w:val="single" w:sz="4" w:space="0" w:color="auto"/>
            </w:tcBorders>
            <w:hideMark/>
          </w:tcPr>
          <w:p w14:paraId="26EE3028"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color w:val="000000"/>
                <w:sz w:val="24"/>
                <w:szCs w:val="24"/>
              </w:rPr>
              <w:t>Item</w:t>
            </w:r>
          </w:p>
        </w:tc>
        <w:tc>
          <w:tcPr>
            <w:tcW w:w="2094" w:type="dxa"/>
            <w:tcBorders>
              <w:top w:val="single" w:sz="4" w:space="0" w:color="auto"/>
              <w:left w:val="single" w:sz="4" w:space="0" w:color="auto"/>
              <w:bottom w:val="single" w:sz="4" w:space="0" w:color="auto"/>
              <w:right w:val="single" w:sz="4" w:space="0" w:color="auto"/>
            </w:tcBorders>
            <w:hideMark/>
          </w:tcPr>
          <w:p w14:paraId="1ABA3CFC" w14:textId="45C5C57D" w:rsidR="005A3ACE" w:rsidRPr="0061637C" w:rsidRDefault="005A3ACE" w:rsidP="00DC72E8">
            <w:pPr>
              <w:rPr>
                <w:rFonts w:ascii="Times New Roman" w:hAnsi="Times New Roman" w:cs="Times New Roman"/>
                <w:iCs/>
                <w:color w:val="000000"/>
                <w:sz w:val="24"/>
                <w:szCs w:val="24"/>
              </w:rPr>
            </w:pPr>
            <w:r w:rsidRPr="0061637C">
              <w:rPr>
                <w:rFonts w:ascii="Times New Roman" w:hAnsi="Times New Roman" w:cs="Times New Roman"/>
                <w:iCs/>
                <w:color w:val="000000"/>
                <w:sz w:val="24"/>
                <w:szCs w:val="24"/>
              </w:rPr>
              <w:t xml:space="preserve">Commonwealth Act’s original </w:t>
            </w:r>
            <w:r w:rsidR="00DC72E8">
              <w:rPr>
                <w:rFonts w:ascii="Times New Roman" w:hAnsi="Times New Roman" w:cs="Times New Roman"/>
                <w:iCs/>
                <w:color w:val="000000"/>
                <w:sz w:val="24"/>
                <w:szCs w:val="24"/>
              </w:rPr>
              <w:t>exemption</w:t>
            </w:r>
          </w:p>
        </w:tc>
        <w:tc>
          <w:tcPr>
            <w:tcW w:w="2738" w:type="dxa"/>
            <w:tcBorders>
              <w:top w:val="single" w:sz="4" w:space="0" w:color="auto"/>
              <w:left w:val="single" w:sz="4" w:space="0" w:color="auto"/>
              <w:bottom w:val="single" w:sz="4" w:space="0" w:color="auto"/>
              <w:right w:val="single" w:sz="4" w:space="0" w:color="auto"/>
            </w:tcBorders>
            <w:hideMark/>
          </w:tcPr>
          <w:p w14:paraId="75C249D7" w14:textId="244469A2" w:rsidR="005A3ACE" w:rsidRPr="0061637C" w:rsidRDefault="005A3ACE" w:rsidP="00DC72E8">
            <w:pPr>
              <w:rPr>
                <w:rFonts w:ascii="Times New Roman" w:hAnsi="Times New Roman" w:cs="Times New Roman"/>
                <w:color w:val="000000"/>
                <w:sz w:val="24"/>
                <w:szCs w:val="24"/>
              </w:rPr>
            </w:pPr>
            <w:r w:rsidRPr="0061637C">
              <w:rPr>
                <w:rFonts w:ascii="Times New Roman" w:hAnsi="Times New Roman" w:cs="Times New Roman"/>
                <w:color w:val="000000"/>
                <w:sz w:val="24"/>
                <w:szCs w:val="24"/>
              </w:rPr>
              <w:t xml:space="preserve">Commonwealth Act’s new </w:t>
            </w:r>
            <w:r w:rsidR="00DC72E8">
              <w:rPr>
                <w:rFonts w:ascii="Times New Roman" w:hAnsi="Times New Roman" w:cs="Times New Roman"/>
                <w:color w:val="000000"/>
                <w:sz w:val="24"/>
                <w:szCs w:val="24"/>
              </w:rPr>
              <w:t>exemption</w:t>
            </w:r>
          </w:p>
        </w:tc>
        <w:tc>
          <w:tcPr>
            <w:tcW w:w="3402" w:type="dxa"/>
            <w:tcBorders>
              <w:top w:val="single" w:sz="4" w:space="0" w:color="auto"/>
              <w:left w:val="single" w:sz="4" w:space="0" w:color="auto"/>
              <w:bottom w:val="single" w:sz="4" w:space="0" w:color="auto"/>
              <w:right w:val="single" w:sz="4" w:space="0" w:color="auto"/>
            </w:tcBorders>
            <w:hideMark/>
          </w:tcPr>
          <w:p w14:paraId="3997A315" w14:textId="4BF17D12" w:rsidR="005A3ACE" w:rsidRPr="0061637C" w:rsidRDefault="00DC72E8" w:rsidP="00781CF5">
            <w:pPr>
              <w:rPr>
                <w:rFonts w:ascii="Times New Roman" w:hAnsi="Times New Roman" w:cs="Times New Roman"/>
                <w:color w:val="000000"/>
                <w:sz w:val="24"/>
                <w:szCs w:val="24"/>
              </w:rPr>
            </w:pPr>
            <w:r w:rsidRPr="00DC72E8">
              <w:rPr>
                <w:rFonts w:ascii="Times New Roman" w:hAnsi="Times New Roman" w:cs="Times New Roman"/>
                <w:color w:val="000000"/>
                <w:sz w:val="24"/>
                <w:szCs w:val="24"/>
              </w:rPr>
              <w:t xml:space="preserve">Parts of the </w:t>
            </w:r>
            <w:r w:rsidRPr="00DC72E8">
              <w:rPr>
                <w:rFonts w:ascii="Times New Roman" w:hAnsi="Times New Roman" w:cs="Times New Roman"/>
                <w:i/>
                <w:color w:val="000000"/>
                <w:sz w:val="24"/>
                <w:szCs w:val="24"/>
              </w:rPr>
              <w:t>Electronic Transactions Act 1999</w:t>
            </w:r>
            <w:r w:rsidRPr="00DC72E8">
              <w:rPr>
                <w:rFonts w:ascii="Times New Roman" w:hAnsi="Times New Roman" w:cs="Times New Roman"/>
                <w:color w:val="000000"/>
                <w:sz w:val="24"/>
                <w:szCs w:val="24"/>
              </w:rPr>
              <w:t xml:space="preserve"> which do not apply to the listed exemption</w:t>
            </w:r>
          </w:p>
        </w:tc>
      </w:tr>
      <w:tr w:rsidR="005A3ACE" w:rsidRPr="00A044EE" w14:paraId="6395D7CC" w14:textId="77777777" w:rsidTr="00781CF5">
        <w:trPr>
          <w:cantSplit/>
          <w:trHeight w:val="144"/>
        </w:trPr>
        <w:tc>
          <w:tcPr>
            <w:tcW w:w="833" w:type="dxa"/>
            <w:tcBorders>
              <w:top w:val="single" w:sz="4" w:space="0" w:color="auto"/>
              <w:left w:val="single" w:sz="4" w:space="0" w:color="auto"/>
              <w:bottom w:val="single" w:sz="4" w:space="0" w:color="auto"/>
              <w:right w:val="single" w:sz="4" w:space="0" w:color="auto"/>
            </w:tcBorders>
            <w:hideMark/>
          </w:tcPr>
          <w:p w14:paraId="196A9D0B"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color w:val="000000"/>
                <w:sz w:val="24"/>
                <w:szCs w:val="24"/>
              </w:rPr>
              <w:t>19</w:t>
            </w:r>
          </w:p>
        </w:tc>
        <w:tc>
          <w:tcPr>
            <w:tcW w:w="2094" w:type="dxa"/>
            <w:tcBorders>
              <w:top w:val="single" w:sz="4" w:space="0" w:color="auto"/>
              <w:left w:val="single" w:sz="4" w:space="0" w:color="auto"/>
              <w:bottom w:val="single" w:sz="4" w:space="0" w:color="auto"/>
              <w:right w:val="single" w:sz="4" w:space="0" w:color="auto"/>
            </w:tcBorders>
            <w:hideMark/>
          </w:tcPr>
          <w:p w14:paraId="2A176911" w14:textId="77777777" w:rsidR="005A3ACE" w:rsidRPr="00BC5112" w:rsidRDefault="005A3ACE" w:rsidP="00BC5112">
            <w:pPr>
              <w:pStyle w:val="NoSpacing"/>
              <w:rPr>
                <w:rFonts w:ascii="Times New Roman" w:hAnsi="Times New Roman" w:cs="Times New Roman"/>
                <w:sz w:val="24"/>
                <w:szCs w:val="24"/>
              </w:rPr>
            </w:pPr>
            <w:r w:rsidRPr="00BC5112">
              <w:rPr>
                <w:rFonts w:ascii="Times New Roman" w:hAnsi="Times New Roman" w:cs="Times New Roman"/>
                <w:sz w:val="24"/>
                <w:szCs w:val="24"/>
              </w:rPr>
              <w:t xml:space="preserve">The following provisions of the </w:t>
            </w:r>
            <w:r w:rsidRPr="00F66B60">
              <w:rPr>
                <w:rFonts w:ascii="Times New Roman" w:hAnsi="Times New Roman" w:cs="Times New Roman"/>
                <w:i/>
                <w:sz w:val="24"/>
                <w:szCs w:val="24"/>
              </w:rPr>
              <w:t>Commonwealth Electoral Act 1918</w:t>
            </w:r>
            <w:r w:rsidRPr="00BC5112">
              <w:rPr>
                <w:rFonts w:ascii="Times New Roman" w:hAnsi="Times New Roman" w:cs="Times New Roman"/>
                <w:sz w:val="24"/>
                <w:szCs w:val="24"/>
              </w:rPr>
              <w:t>:</w:t>
            </w:r>
          </w:p>
          <w:p w14:paraId="5F26823F" w14:textId="77777777" w:rsidR="005A3ACE" w:rsidRPr="00BC5112" w:rsidRDefault="005A3ACE" w:rsidP="00BC5112">
            <w:pPr>
              <w:pStyle w:val="NoSpacing"/>
              <w:rPr>
                <w:rFonts w:ascii="Times New Roman" w:hAnsi="Times New Roman" w:cs="Times New Roman"/>
                <w:sz w:val="24"/>
                <w:szCs w:val="24"/>
              </w:rPr>
            </w:pPr>
            <w:r w:rsidRPr="00BC5112">
              <w:rPr>
                <w:rFonts w:ascii="Times New Roman" w:hAnsi="Times New Roman" w:cs="Times New Roman"/>
                <w:sz w:val="24"/>
                <w:szCs w:val="24"/>
              </w:rPr>
              <w:t>(a) section 115;</w:t>
            </w:r>
          </w:p>
          <w:p w14:paraId="635F9941" w14:textId="77777777" w:rsidR="005A3ACE" w:rsidRPr="00BC5112" w:rsidRDefault="005A3ACE" w:rsidP="00BC5112">
            <w:pPr>
              <w:pStyle w:val="NoSpacing"/>
              <w:rPr>
                <w:rFonts w:ascii="Times New Roman" w:hAnsi="Times New Roman" w:cs="Times New Roman"/>
                <w:sz w:val="24"/>
                <w:szCs w:val="24"/>
              </w:rPr>
            </w:pPr>
            <w:r w:rsidRPr="00BC5112">
              <w:rPr>
                <w:rFonts w:ascii="Times New Roman" w:hAnsi="Times New Roman" w:cs="Times New Roman"/>
                <w:sz w:val="24"/>
                <w:szCs w:val="24"/>
              </w:rPr>
              <w:t>(b) Part XV (other than sections 184 and 184A);</w:t>
            </w:r>
          </w:p>
          <w:p w14:paraId="658741CE" w14:textId="77777777" w:rsidR="005A3ACE" w:rsidRPr="00BC5112" w:rsidRDefault="005A3ACE" w:rsidP="00BC5112">
            <w:pPr>
              <w:pStyle w:val="NoSpacing"/>
              <w:rPr>
                <w:rFonts w:ascii="Times New Roman" w:hAnsi="Times New Roman" w:cs="Times New Roman"/>
                <w:sz w:val="24"/>
                <w:szCs w:val="24"/>
              </w:rPr>
            </w:pPr>
            <w:r w:rsidRPr="00BC5112">
              <w:rPr>
                <w:rFonts w:ascii="Times New Roman" w:hAnsi="Times New Roman" w:cs="Times New Roman"/>
                <w:sz w:val="24"/>
                <w:szCs w:val="24"/>
              </w:rPr>
              <w:t>(c) Part XVA;</w:t>
            </w:r>
          </w:p>
          <w:p w14:paraId="10F46AF5" w14:textId="77777777" w:rsidR="005A3ACE" w:rsidRPr="00BC5112" w:rsidRDefault="005A3ACE" w:rsidP="00BC5112">
            <w:pPr>
              <w:pStyle w:val="NoSpacing"/>
              <w:rPr>
                <w:rFonts w:ascii="Times New Roman" w:hAnsi="Times New Roman" w:cs="Times New Roman"/>
                <w:sz w:val="24"/>
                <w:szCs w:val="24"/>
              </w:rPr>
            </w:pPr>
            <w:r w:rsidRPr="00BC5112">
              <w:rPr>
                <w:rFonts w:ascii="Times New Roman" w:hAnsi="Times New Roman" w:cs="Times New Roman"/>
                <w:sz w:val="24"/>
                <w:szCs w:val="24"/>
              </w:rPr>
              <w:t>(d) Part XVI (other than subsections 202A(1), (2), (4) and (5))</w:t>
            </w:r>
          </w:p>
        </w:tc>
        <w:tc>
          <w:tcPr>
            <w:tcW w:w="2738" w:type="dxa"/>
            <w:tcBorders>
              <w:top w:val="single" w:sz="4" w:space="0" w:color="auto"/>
              <w:left w:val="single" w:sz="4" w:space="0" w:color="auto"/>
              <w:bottom w:val="single" w:sz="4" w:space="0" w:color="auto"/>
              <w:right w:val="single" w:sz="4" w:space="0" w:color="auto"/>
            </w:tcBorders>
            <w:hideMark/>
          </w:tcPr>
          <w:p w14:paraId="0BB7FACB" w14:textId="77777777" w:rsidR="005A3ACE" w:rsidRPr="00BC5112" w:rsidRDefault="005A3ACE" w:rsidP="00BC5112">
            <w:pPr>
              <w:pStyle w:val="NoSpacing"/>
              <w:rPr>
                <w:rFonts w:ascii="Times New Roman" w:hAnsi="Times New Roman" w:cs="Times New Roman"/>
                <w:sz w:val="24"/>
                <w:szCs w:val="24"/>
              </w:rPr>
            </w:pPr>
            <w:r w:rsidRPr="00BC5112">
              <w:rPr>
                <w:rFonts w:ascii="Times New Roman" w:hAnsi="Times New Roman" w:cs="Times New Roman"/>
                <w:sz w:val="24"/>
                <w:szCs w:val="24"/>
              </w:rPr>
              <w:t xml:space="preserve">The </w:t>
            </w:r>
            <w:r w:rsidRPr="00F66B60">
              <w:rPr>
                <w:rFonts w:ascii="Times New Roman" w:hAnsi="Times New Roman" w:cs="Times New Roman"/>
                <w:i/>
                <w:sz w:val="24"/>
                <w:szCs w:val="24"/>
              </w:rPr>
              <w:t>Commonwealth Electoral Act 1918</w:t>
            </w:r>
            <w:r w:rsidRPr="00BC5112">
              <w:rPr>
                <w:rFonts w:ascii="Times New Roman" w:hAnsi="Times New Roman" w:cs="Times New Roman"/>
                <w:sz w:val="24"/>
                <w:szCs w:val="24"/>
              </w:rPr>
              <w:t xml:space="preserve">: </w:t>
            </w:r>
          </w:p>
          <w:p w14:paraId="2C1D03A8" w14:textId="77777777" w:rsidR="005A3ACE" w:rsidRPr="00BC5112" w:rsidRDefault="005A3ACE" w:rsidP="00BC5112">
            <w:pPr>
              <w:pStyle w:val="NoSpacing"/>
              <w:rPr>
                <w:rFonts w:ascii="Times New Roman" w:hAnsi="Times New Roman" w:cs="Times New Roman"/>
                <w:sz w:val="24"/>
                <w:szCs w:val="24"/>
              </w:rPr>
            </w:pPr>
            <w:r w:rsidRPr="00BC5112">
              <w:rPr>
                <w:rFonts w:ascii="Times New Roman" w:hAnsi="Times New Roman" w:cs="Times New Roman"/>
                <w:sz w:val="24"/>
                <w:szCs w:val="24"/>
              </w:rPr>
              <w:t>a) section 115</w:t>
            </w:r>
          </w:p>
          <w:p w14:paraId="70220990" w14:textId="77777777" w:rsidR="005A3ACE" w:rsidRPr="00BC5112" w:rsidRDefault="005A3ACE" w:rsidP="00BC5112">
            <w:pPr>
              <w:pStyle w:val="NoSpacing"/>
              <w:rPr>
                <w:rFonts w:ascii="Times New Roman" w:hAnsi="Times New Roman" w:cs="Times New Roman"/>
                <w:sz w:val="24"/>
                <w:szCs w:val="24"/>
              </w:rPr>
            </w:pPr>
            <w:r w:rsidRPr="00BC5112">
              <w:rPr>
                <w:rFonts w:ascii="Times New Roman" w:hAnsi="Times New Roman" w:cs="Times New Roman"/>
                <w:sz w:val="24"/>
                <w:szCs w:val="24"/>
              </w:rPr>
              <w:t>b) Part XV (other than sections 184, 184A, 194(1A)(a)(ii), 194(1A)(a)(iii) and 194(1A)(d)</w:t>
            </w:r>
          </w:p>
          <w:p w14:paraId="64D5C8BB" w14:textId="77777777" w:rsidR="005A3ACE" w:rsidRPr="00BC5112" w:rsidRDefault="005A3ACE" w:rsidP="00BC5112">
            <w:pPr>
              <w:pStyle w:val="NoSpacing"/>
              <w:rPr>
                <w:rFonts w:ascii="Times New Roman" w:hAnsi="Times New Roman" w:cs="Times New Roman"/>
                <w:sz w:val="24"/>
                <w:szCs w:val="24"/>
              </w:rPr>
            </w:pPr>
            <w:r w:rsidRPr="00BC5112">
              <w:rPr>
                <w:rFonts w:ascii="Times New Roman" w:hAnsi="Times New Roman" w:cs="Times New Roman"/>
                <w:sz w:val="24"/>
                <w:szCs w:val="24"/>
              </w:rPr>
              <w:t>c) Part XVA</w:t>
            </w:r>
          </w:p>
          <w:p w14:paraId="78828BAA" w14:textId="77777777" w:rsidR="005A3ACE" w:rsidRPr="0061637C" w:rsidRDefault="005A3ACE" w:rsidP="00BC5112">
            <w:pPr>
              <w:pStyle w:val="NoSpacing"/>
            </w:pPr>
            <w:r w:rsidRPr="00BC5112">
              <w:rPr>
                <w:rFonts w:ascii="Times New Roman" w:hAnsi="Times New Roman" w:cs="Times New Roman"/>
                <w:sz w:val="24"/>
                <w:szCs w:val="24"/>
              </w:rPr>
              <w:t>d) Part XVI (other than subsections 202A(1), (2), (4) and (5))</w:t>
            </w:r>
          </w:p>
        </w:tc>
        <w:tc>
          <w:tcPr>
            <w:tcW w:w="3402" w:type="dxa"/>
            <w:tcBorders>
              <w:top w:val="single" w:sz="4" w:space="0" w:color="auto"/>
              <w:left w:val="single" w:sz="4" w:space="0" w:color="auto"/>
              <w:bottom w:val="single" w:sz="4" w:space="0" w:color="auto"/>
              <w:right w:val="single" w:sz="4" w:space="0" w:color="auto"/>
            </w:tcBorders>
            <w:hideMark/>
          </w:tcPr>
          <w:p w14:paraId="433501E0" w14:textId="77777777" w:rsidR="005A3ACE" w:rsidRPr="0061637C" w:rsidRDefault="005A3ACE" w:rsidP="00781CF5">
            <w:pPr>
              <w:rPr>
                <w:rFonts w:ascii="Times New Roman" w:hAnsi="Times New Roman" w:cs="Times New Roman"/>
                <w:color w:val="000000"/>
                <w:sz w:val="24"/>
                <w:szCs w:val="24"/>
              </w:rPr>
            </w:pPr>
            <w:r w:rsidRPr="0061637C">
              <w:rPr>
                <w:rFonts w:ascii="Times New Roman" w:hAnsi="Times New Roman" w:cs="Times New Roman"/>
                <w:color w:val="000000"/>
                <w:sz w:val="24"/>
                <w:szCs w:val="24"/>
              </w:rPr>
              <w:t>Subsection 8(1), Division 2 of Part 2 and sections 14, 14A, 14B and 15</w:t>
            </w:r>
            <w:bookmarkStart w:id="7" w:name="_GoBack"/>
            <w:bookmarkEnd w:id="7"/>
          </w:p>
        </w:tc>
      </w:tr>
    </w:tbl>
    <w:p w14:paraId="1AE1BE4D" w14:textId="77777777" w:rsidR="005A3ACE" w:rsidRPr="00632A8F" w:rsidRDefault="005A3ACE" w:rsidP="00632A8F">
      <w:pPr>
        <w:spacing w:after="0" w:line="240" w:lineRule="auto"/>
        <w:rPr>
          <w:rFonts w:ascii="Times New Roman" w:eastAsia="Times New Roman" w:hAnsi="Times New Roman" w:cs="Times New Roman"/>
          <w:sz w:val="24"/>
          <w:szCs w:val="24"/>
          <w:lang w:eastAsia="en-AU"/>
        </w:rPr>
      </w:pPr>
    </w:p>
    <w:sectPr w:rsidR="005A3ACE" w:rsidRPr="00632A8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FC1CF" w14:textId="77777777" w:rsidR="00AC537F" w:rsidRDefault="00AC537F">
      <w:pPr>
        <w:spacing w:after="0" w:line="240" w:lineRule="auto"/>
      </w:pPr>
      <w:r>
        <w:separator/>
      </w:r>
    </w:p>
  </w:endnote>
  <w:endnote w:type="continuationSeparator" w:id="0">
    <w:p w14:paraId="69EE0D02" w14:textId="77777777" w:rsidR="00AC537F" w:rsidRDefault="00AC5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604314554"/>
      <w:docPartObj>
        <w:docPartGallery w:val="Page Numbers (Bottom of Page)"/>
        <w:docPartUnique/>
      </w:docPartObj>
    </w:sdtPr>
    <w:sdtEndPr>
      <w:rPr>
        <w:noProof/>
      </w:rPr>
    </w:sdtEndPr>
    <w:sdtContent>
      <w:p w14:paraId="11937FD4" w14:textId="77777777" w:rsidR="007469E8" w:rsidRPr="00197AE3" w:rsidRDefault="007469E8">
        <w:pPr>
          <w:pStyle w:val="Footer"/>
          <w:jc w:val="right"/>
          <w:rPr>
            <w:rFonts w:ascii="Times New Roman" w:hAnsi="Times New Roman" w:cs="Times New Roman"/>
          </w:rPr>
        </w:pPr>
        <w:r w:rsidRPr="00197AE3">
          <w:rPr>
            <w:rFonts w:ascii="Times New Roman" w:hAnsi="Times New Roman" w:cs="Times New Roman"/>
          </w:rPr>
          <w:fldChar w:fldCharType="begin"/>
        </w:r>
        <w:r w:rsidRPr="00197AE3">
          <w:rPr>
            <w:rFonts w:ascii="Times New Roman" w:hAnsi="Times New Roman" w:cs="Times New Roman"/>
          </w:rPr>
          <w:instrText xml:space="preserve"> PAGE   \* MERGEFORMAT </w:instrText>
        </w:r>
        <w:r w:rsidRPr="00197AE3">
          <w:rPr>
            <w:rFonts w:ascii="Times New Roman" w:hAnsi="Times New Roman" w:cs="Times New Roman"/>
          </w:rPr>
          <w:fldChar w:fldCharType="separate"/>
        </w:r>
        <w:r w:rsidR="00840B07">
          <w:rPr>
            <w:rFonts w:ascii="Times New Roman" w:hAnsi="Times New Roman" w:cs="Times New Roman"/>
            <w:noProof/>
          </w:rPr>
          <w:t>8</w:t>
        </w:r>
        <w:r w:rsidRPr="00197AE3">
          <w:rPr>
            <w:rFonts w:ascii="Times New Roman" w:hAnsi="Times New Roman" w:cs="Times New Roman"/>
            <w:noProof/>
          </w:rPr>
          <w:fldChar w:fldCharType="end"/>
        </w:r>
      </w:p>
    </w:sdtContent>
  </w:sdt>
  <w:p w14:paraId="629B9B1D" w14:textId="77777777" w:rsidR="007469E8" w:rsidRDefault="007469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A04A6" w14:textId="77777777" w:rsidR="00AC537F" w:rsidRDefault="00AC537F">
      <w:pPr>
        <w:spacing w:after="0" w:line="240" w:lineRule="auto"/>
      </w:pPr>
      <w:r>
        <w:separator/>
      </w:r>
    </w:p>
  </w:footnote>
  <w:footnote w:type="continuationSeparator" w:id="0">
    <w:p w14:paraId="6A811248" w14:textId="77777777" w:rsidR="00AC537F" w:rsidRDefault="00AC53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22A02"/>
    <w:multiLevelType w:val="hybridMultilevel"/>
    <w:tmpl w:val="A1B40F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1174E74"/>
    <w:multiLevelType w:val="hybridMultilevel"/>
    <w:tmpl w:val="EE5616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2FB"/>
    <w:rsid w:val="00014E6B"/>
    <w:rsid w:val="00015D10"/>
    <w:rsid w:val="00036BD1"/>
    <w:rsid w:val="00037856"/>
    <w:rsid w:val="000601C0"/>
    <w:rsid w:val="000C2DAD"/>
    <w:rsid w:val="000C73F4"/>
    <w:rsid w:val="00116566"/>
    <w:rsid w:val="00140994"/>
    <w:rsid w:val="00155749"/>
    <w:rsid w:val="0015580C"/>
    <w:rsid w:val="00160353"/>
    <w:rsid w:val="001603E7"/>
    <w:rsid w:val="00165B4D"/>
    <w:rsid w:val="00166214"/>
    <w:rsid w:val="00190285"/>
    <w:rsid w:val="00197AE3"/>
    <w:rsid w:val="001A49BF"/>
    <w:rsid w:val="001B4AB7"/>
    <w:rsid w:val="00200B7C"/>
    <w:rsid w:val="00214916"/>
    <w:rsid w:val="00217801"/>
    <w:rsid w:val="0024455F"/>
    <w:rsid w:val="0025704A"/>
    <w:rsid w:val="00273CB9"/>
    <w:rsid w:val="00296E81"/>
    <w:rsid w:val="002A37DE"/>
    <w:rsid w:val="002B0C6B"/>
    <w:rsid w:val="002B0DFB"/>
    <w:rsid w:val="002D18E0"/>
    <w:rsid w:val="002D7093"/>
    <w:rsid w:val="002F4016"/>
    <w:rsid w:val="00303F9A"/>
    <w:rsid w:val="00310C8E"/>
    <w:rsid w:val="003144BF"/>
    <w:rsid w:val="0035182C"/>
    <w:rsid w:val="003531A2"/>
    <w:rsid w:val="00353932"/>
    <w:rsid w:val="00364FA4"/>
    <w:rsid w:val="0037585F"/>
    <w:rsid w:val="00384D94"/>
    <w:rsid w:val="003F2AB5"/>
    <w:rsid w:val="003F5656"/>
    <w:rsid w:val="004249B3"/>
    <w:rsid w:val="004272AF"/>
    <w:rsid w:val="00443F38"/>
    <w:rsid w:val="0045107B"/>
    <w:rsid w:val="004A314B"/>
    <w:rsid w:val="004C5C58"/>
    <w:rsid w:val="004C6A0A"/>
    <w:rsid w:val="004D75EC"/>
    <w:rsid w:val="004E1F3C"/>
    <w:rsid w:val="004E7E1B"/>
    <w:rsid w:val="00511ADE"/>
    <w:rsid w:val="0052302D"/>
    <w:rsid w:val="00523F1F"/>
    <w:rsid w:val="00561F22"/>
    <w:rsid w:val="005627CF"/>
    <w:rsid w:val="00582615"/>
    <w:rsid w:val="00592B08"/>
    <w:rsid w:val="00593897"/>
    <w:rsid w:val="005A22B7"/>
    <w:rsid w:val="005A3ACE"/>
    <w:rsid w:val="005A4CDA"/>
    <w:rsid w:val="005E5408"/>
    <w:rsid w:val="0061637C"/>
    <w:rsid w:val="00616A5F"/>
    <w:rsid w:val="00632A8F"/>
    <w:rsid w:val="00635357"/>
    <w:rsid w:val="006422FB"/>
    <w:rsid w:val="0064497C"/>
    <w:rsid w:val="00667551"/>
    <w:rsid w:val="00671B5C"/>
    <w:rsid w:val="006A6205"/>
    <w:rsid w:val="006B331F"/>
    <w:rsid w:val="006B6071"/>
    <w:rsid w:val="006C2C4C"/>
    <w:rsid w:val="006C5320"/>
    <w:rsid w:val="006C74EF"/>
    <w:rsid w:val="006D00D2"/>
    <w:rsid w:val="006F438F"/>
    <w:rsid w:val="006F7582"/>
    <w:rsid w:val="00704978"/>
    <w:rsid w:val="00710954"/>
    <w:rsid w:val="0071295E"/>
    <w:rsid w:val="00722C0C"/>
    <w:rsid w:val="007469E8"/>
    <w:rsid w:val="007529CC"/>
    <w:rsid w:val="00775A46"/>
    <w:rsid w:val="00777AAF"/>
    <w:rsid w:val="0079691C"/>
    <w:rsid w:val="007A19BC"/>
    <w:rsid w:val="007B03FA"/>
    <w:rsid w:val="007C4E65"/>
    <w:rsid w:val="007D6B39"/>
    <w:rsid w:val="007F7402"/>
    <w:rsid w:val="00804FA3"/>
    <w:rsid w:val="00840B07"/>
    <w:rsid w:val="0084366F"/>
    <w:rsid w:val="00846312"/>
    <w:rsid w:val="00857DC3"/>
    <w:rsid w:val="00862B22"/>
    <w:rsid w:val="00865771"/>
    <w:rsid w:val="008A62D1"/>
    <w:rsid w:val="008C3E5D"/>
    <w:rsid w:val="008D4DC8"/>
    <w:rsid w:val="008F240F"/>
    <w:rsid w:val="009554C1"/>
    <w:rsid w:val="00956300"/>
    <w:rsid w:val="0097223A"/>
    <w:rsid w:val="00976A33"/>
    <w:rsid w:val="00986124"/>
    <w:rsid w:val="00995A2A"/>
    <w:rsid w:val="009965C8"/>
    <w:rsid w:val="009A4CFC"/>
    <w:rsid w:val="009B2C90"/>
    <w:rsid w:val="009D4C8E"/>
    <w:rsid w:val="009F6CFD"/>
    <w:rsid w:val="00A10E1F"/>
    <w:rsid w:val="00A6636E"/>
    <w:rsid w:val="00A70557"/>
    <w:rsid w:val="00AB4AD1"/>
    <w:rsid w:val="00AB5BBF"/>
    <w:rsid w:val="00AC537F"/>
    <w:rsid w:val="00AD380D"/>
    <w:rsid w:val="00B278B5"/>
    <w:rsid w:val="00B34C8D"/>
    <w:rsid w:val="00B36F55"/>
    <w:rsid w:val="00B4702A"/>
    <w:rsid w:val="00B62F00"/>
    <w:rsid w:val="00B823BF"/>
    <w:rsid w:val="00BC5112"/>
    <w:rsid w:val="00BD70A9"/>
    <w:rsid w:val="00C042FD"/>
    <w:rsid w:val="00C46009"/>
    <w:rsid w:val="00C46F56"/>
    <w:rsid w:val="00C477AB"/>
    <w:rsid w:val="00C61F6A"/>
    <w:rsid w:val="00C664F9"/>
    <w:rsid w:val="00C76D89"/>
    <w:rsid w:val="00C859FA"/>
    <w:rsid w:val="00CB0335"/>
    <w:rsid w:val="00CE034D"/>
    <w:rsid w:val="00D141D0"/>
    <w:rsid w:val="00D2383B"/>
    <w:rsid w:val="00D66284"/>
    <w:rsid w:val="00D7168C"/>
    <w:rsid w:val="00D72A1B"/>
    <w:rsid w:val="00DA1C95"/>
    <w:rsid w:val="00DB5B5D"/>
    <w:rsid w:val="00DC72E8"/>
    <w:rsid w:val="00DE05BA"/>
    <w:rsid w:val="00E210A0"/>
    <w:rsid w:val="00E21483"/>
    <w:rsid w:val="00E237ED"/>
    <w:rsid w:val="00E27438"/>
    <w:rsid w:val="00E365EA"/>
    <w:rsid w:val="00E45BBF"/>
    <w:rsid w:val="00E73318"/>
    <w:rsid w:val="00E73E10"/>
    <w:rsid w:val="00E85E19"/>
    <w:rsid w:val="00EA356D"/>
    <w:rsid w:val="00EA60DF"/>
    <w:rsid w:val="00EB5A77"/>
    <w:rsid w:val="00EC0E25"/>
    <w:rsid w:val="00EC6854"/>
    <w:rsid w:val="00ED081B"/>
    <w:rsid w:val="00EF0328"/>
    <w:rsid w:val="00F034F6"/>
    <w:rsid w:val="00F32343"/>
    <w:rsid w:val="00F32F4F"/>
    <w:rsid w:val="00F35CAF"/>
    <w:rsid w:val="00F449BD"/>
    <w:rsid w:val="00F63B36"/>
    <w:rsid w:val="00F66B60"/>
    <w:rsid w:val="00F72FD6"/>
    <w:rsid w:val="00F73577"/>
    <w:rsid w:val="00FA37EC"/>
    <w:rsid w:val="00FC1AE3"/>
    <w:rsid w:val="00FF1F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247C6"/>
  <w15:chartTrackingRefBased/>
  <w15:docId w15:val="{F07815F2-6138-4273-BB9B-88C605FB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2FB"/>
    <w:pPr>
      <w:spacing w:after="200" w:line="276" w:lineRule="auto"/>
    </w:pPr>
  </w:style>
  <w:style w:type="paragraph" w:styleId="Heading1">
    <w:name w:val="heading 1"/>
    <w:basedOn w:val="Normal"/>
    <w:next w:val="Normal"/>
    <w:link w:val="Heading1Char"/>
    <w:uiPriority w:val="9"/>
    <w:qFormat/>
    <w:rsid w:val="006422FB"/>
    <w:pPr>
      <w:keepNext/>
      <w:spacing w:before="240" w:after="60"/>
      <w:outlineLvl w:val="0"/>
    </w:pPr>
    <w:rPr>
      <w:rFonts w:ascii="Cambria" w:eastAsia="Times New Roman" w:hAnsi="Cambria" w:cs="Times New Roman"/>
      <w:bCs/>
      <w:caps/>
      <w:kern w:val="32"/>
      <w:sz w:val="32"/>
      <w:szCs w:val="32"/>
    </w:rPr>
  </w:style>
  <w:style w:type="paragraph" w:styleId="Heading2">
    <w:name w:val="heading 2"/>
    <w:basedOn w:val="Normal"/>
    <w:next w:val="Normal"/>
    <w:link w:val="Heading2Char"/>
    <w:uiPriority w:val="9"/>
    <w:semiHidden/>
    <w:unhideWhenUsed/>
    <w:qFormat/>
    <w:rsid w:val="001A49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A49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2FB"/>
    <w:rPr>
      <w:rFonts w:ascii="Cambria" w:eastAsia="Times New Roman" w:hAnsi="Cambria" w:cs="Times New Roman"/>
      <w:bCs/>
      <w:caps/>
      <w:kern w:val="32"/>
      <w:sz w:val="32"/>
      <w:szCs w:val="32"/>
    </w:rPr>
  </w:style>
  <w:style w:type="paragraph" w:styleId="Header">
    <w:name w:val="header"/>
    <w:basedOn w:val="Normal"/>
    <w:link w:val="HeaderChar"/>
    <w:unhideWhenUsed/>
    <w:rsid w:val="006422FB"/>
    <w:pPr>
      <w:tabs>
        <w:tab w:val="center" w:pos="4513"/>
        <w:tab w:val="right" w:pos="9026"/>
      </w:tabs>
      <w:spacing w:after="0" w:line="240" w:lineRule="auto"/>
    </w:pPr>
  </w:style>
  <w:style w:type="character" w:customStyle="1" w:styleId="HeaderChar">
    <w:name w:val="Header Char"/>
    <w:basedOn w:val="DefaultParagraphFont"/>
    <w:link w:val="Header"/>
    <w:rsid w:val="006422FB"/>
  </w:style>
  <w:style w:type="paragraph" w:styleId="Footer">
    <w:name w:val="footer"/>
    <w:basedOn w:val="Normal"/>
    <w:link w:val="FooterChar"/>
    <w:uiPriority w:val="99"/>
    <w:unhideWhenUsed/>
    <w:rsid w:val="00642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2FB"/>
  </w:style>
  <w:style w:type="paragraph" w:styleId="NormalWeb">
    <w:name w:val="Normal (Web)"/>
    <w:basedOn w:val="Normal"/>
    <w:uiPriority w:val="99"/>
    <w:unhideWhenUsed/>
    <w:rsid w:val="006422F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6422FB"/>
    <w:pPr>
      <w:spacing w:after="0" w:line="240" w:lineRule="auto"/>
    </w:pPr>
  </w:style>
  <w:style w:type="character" w:styleId="CommentReference">
    <w:name w:val="annotation reference"/>
    <w:basedOn w:val="DefaultParagraphFont"/>
    <w:uiPriority w:val="99"/>
    <w:semiHidden/>
    <w:unhideWhenUsed/>
    <w:rsid w:val="004272AF"/>
    <w:rPr>
      <w:sz w:val="16"/>
      <w:szCs w:val="16"/>
    </w:rPr>
  </w:style>
  <w:style w:type="paragraph" w:styleId="CommentText">
    <w:name w:val="annotation text"/>
    <w:basedOn w:val="Normal"/>
    <w:link w:val="CommentTextChar"/>
    <w:uiPriority w:val="99"/>
    <w:semiHidden/>
    <w:unhideWhenUsed/>
    <w:rsid w:val="004272AF"/>
    <w:pPr>
      <w:spacing w:line="240" w:lineRule="auto"/>
    </w:pPr>
    <w:rPr>
      <w:sz w:val="20"/>
      <w:szCs w:val="20"/>
    </w:rPr>
  </w:style>
  <w:style w:type="character" w:customStyle="1" w:styleId="CommentTextChar">
    <w:name w:val="Comment Text Char"/>
    <w:basedOn w:val="DefaultParagraphFont"/>
    <w:link w:val="CommentText"/>
    <w:uiPriority w:val="99"/>
    <w:semiHidden/>
    <w:rsid w:val="004272AF"/>
    <w:rPr>
      <w:sz w:val="20"/>
      <w:szCs w:val="20"/>
    </w:rPr>
  </w:style>
  <w:style w:type="paragraph" w:styleId="CommentSubject">
    <w:name w:val="annotation subject"/>
    <w:basedOn w:val="CommentText"/>
    <w:next w:val="CommentText"/>
    <w:link w:val="CommentSubjectChar"/>
    <w:uiPriority w:val="99"/>
    <w:semiHidden/>
    <w:unhideWhenUsed/>
    <w:rsid w:val="004272AF"/>
    <w:rPr>
      <w:b/>
      <w:bCs/>
    </w:rPr>
  </w:style>
  <w:style w:type="character" w:customStyle="1" w:styleId="CommentSubjectChar">
    <w:name w:val="Comment Subject Char"/>
    <w:basedOn w:val="CommentTextChar"/>
    <w:link w:val="CommentSubject"/>
    <w:uiPriority w:val="99"/>
    <w:semiHidden/>
    <w:rsid w:val="004272AF"/>
    <w:rPr>
      <w:b/>
      <w:bCs/>
      <w:sz w:val="20"/>
      <w:szCs w:val="20"/>
    </w:rPr>
  </w:style>
  <w:style w:type="paragraph" w:styleId="BalloonText">
    <w:name w:val="Balloon Text"/>
    <w:basedOn w:val="Normal"/>
    <w:link w:val="BalloonTextChar"/>
    <w:uiPriority w:val="99"/>
    <w:semiHidden/>
    <w:unhideWhenUsed/>
    <w:rsid w:val="004272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2AF"/>
    <w:rPr>
      <w:rFonts w:ascii="Segoe UI" w:hAnsi="Segoe UI" w:cs="Segoe UI"/>
      <w:sz w:val="18"/>
      <w:szCs w:val="18"/>
    </w:rPr>
  </w:style>
  <w:style w:type="paragraph" w:styleId="Revision">
    <w:name w:val="Revision"/>
    <w:hidden/>
    <w:uiPriority w:val="99"/>
    <w:semiHidden/>
    <w:rsid w:val="004E1F3C"/>
    <w:pPr>
      <w:spacing w:after="0" w:line="240" w:lineRule="auto"/>
    </w:pPr>
  </w:style>
  <w:style w:type="paragraph" w:styleId="ListParagraph">
    <w:name w:val="List Paragraph"/>
    <w:basedOn w:val="Normal"/>
    <w:uiPriority w:val="34"/>
    <w:qFormat/>
    <w:rsid w:val="003144BF"/>
    <w:pPr>
      <w:ind w:left="720"/>
      <w:contextualSpacing/>
    </w:pPr>
  </w:style>
  <w:style w:type="character" w:customStyle="1" w:styleId="Heading2Char">
    <w:name w:val="Heading 2 Char"/>
    <w:basedOn w:val="DefaultParagraphFont"/>
    <w:link w:val="Heading2"/>
    <w:uiPriority w:val="9"/>
    <w:semiHidden/>
    <w:rsid w:val="001A49B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A49BF"/>
    <w:rPr>
      <w:rFonts w:asciiTheme="majorHAnsi" w:eastAsiaTheme="majorEastAsia" w:hAnsiTheme="majorHAnsi" w:cstheme="majorBidi"/>
      <w:color w:val="1F3763" w:themeColor="accent1" w:themeShade="7F"/>
      <w:sz w:val="24"/>
      <w:szCs w:val="24"/>
    </w:rPr>
  </w:style>
  <w:style w:type="paragraph" w:customStyle="1" w:styleId="tabletext">
    <w:name w:val="tabletext"/>
    <w:basedOn w:val="Normal"/>
    <w:rsid w:val="005A3ACE"/>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5A3AC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45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1B020156593240BCFA79E928085C7F" ma:contentTypeVersion="" ma:contentTypeDescription="PDMS Document Site Content Type" ma:contentTypeScope="" ma:versionID="d6ad8303df506a5534e9a9d841d5bcb5">
  <xsd:schema xmlns:xsd="http://www.w3.org/2001/XMLSchema" xmlns:xs="http://www.w3.org/2001/XMLSchema" xmlns:p="http://schemas.microsoft.com/office/2006/metadata/properties" xmlns:ns2="ED7A14A7-83B6-46D8-8F49-2FA0EDEC8A05" targetNamespace="http://schemas.microsoft.com/office/2006/metadata/properties" ma:root="true" ma:fieldsID="567fb78c41756306bfa99b09cbf08bd4" ns2:_="">
    <xsd:import namespace="ED7A14A7-83B6-46D8-8F49-2FA0EDEC8A0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A14A7-83B6-46D8-8F49-2FA0EDEC8A0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D7A14A7-83B6-46D8-8F49-2FA0EDEC8A0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AEFD2-7FB3-4560-8B66-194B1CA2B403}">
  <ds:schemaRefs>
    <ds:schemaRef ds:uri="http://schemas.microsoft.com/sharepoint/v3/contenttype/forms"/>
  </ds:schemaRefs>
</ds:datastoreItem>
</file>

<file path=customXml/itemProps2.xml><?xml version="1.0" encoding="utf-8"?>
<ds:datastoreItem xmlns:ds="http://schemas.openxmlformats.org/officeDocument/2006/customXml" ds:itemID="{AC9DBC11-E9EB-45D4-85EF-FB418D394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A14A7-83B6-46D8-8F49-2FA0EDEC8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BBEFBE-7C69-482A-B240-AAAFB81C2374}">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D7A14A7-83B6-46D8-8F49-2FA0EDEC8A05"/>
    <ds:schemaRef ds:uri="http://www.w3.org/XML/1998/namespace"/>
    <ds:schemaRef ds:uri="http://purl.org/dc/dcmitype/"/>
  </ds:schemaRefs>
</ds:datastoreItem>
</file>

<file path=customXml/itemProps4.xml><?xml version="1.0" encoding="utf-8"?>
<ds:datastoreItem xmlns:ds="http://schemas.openxmlformats.org/officeDocument/2006/customXml" ds:itemID="{9E2E83B7-A12C-4094-B01B-FB91C5C51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8</Pages>
  <Words>2573</Words>
  <Characters>14669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Dewendra, Sulithi</dc:creator>
  <cp:keywords/>
  <dc:description/>
  <cp:lastModifiedBy>Lee, Edward</cp:lastModifiedBy>
  <cp:revision>112</cp:revision>
  <dcterms:created xsi:type="dcterms:W3CDTF">2021-11-11T05:10:00Z</dcterms:created>
  <dcterms:modified xsi:type="dcterms:W3CDTF">2021-11-29T01:00:00Z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0x010100266966F133664895A6EE3632470D45F500A51B020156593240BCFA79E928085C7F</vt:lpwstr>
  </property>
</Properties>
</file>