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572B7" w14:textId="77777777" w:rsidR="00651CE8" w:rsidRPr="00651CE8" w:rsidRDefault="00651CE8" w:rsidP="00651CE8">
      <w:pPr>
        <w:widowControl w:val="0"/>
        <w:spacing w:before="120" w:after="120"/>
        <w:rPr>
          <w:rFonts w:eastAsia="Times New Roman" w:cs="Times New Roman"/>
          <w:b/>
          <w:szCs w:val="24"/>
          <w:lang w:val="en-AU" w:eastAsia="en-GB"/>
        </w:rPr>
      </w:pPr>
      <w:bookmarkStart w:id="0" w:name="_GoBack"/>
      <w:bookmarkEnd w:id="0"/>
      <w:r w:rsidRPr="00651CE8">
        <w:rPr>
          <w:rFonts w:eastAsia="Times New Roman" w:cs="Times New Roman"/>
          <w:b/>
          <w:szCs w:val="24"/>
          <w:lang w:val="en-AU" w:eastAsia="en-GB"/>
        </w:rPr>
        <w:t>1.</w:t>
      </w:r>
      <w:r w:rsidRPr="00651CE8">
        <w:rPr>
          <w:rFonts w:eastAsia="Times New Roman" w:cs="Times New Roman"/>
          <w:b/>
          <w:szCs w:val="24"/>
          <w:lang w:val="en-AU" w:eastAsia="en-GB"/>
        </w:rPr>
        <w:tab/>
        <w:t>Authority</w:t>
      </w:r>
    </w:p>
    <w:p w14:paraId="062E8ED5" w14:textId="77777777" w:rsidR="00651CE8" w:rsidRPr="00651CE8" w:rsidRDefault="00651CE8" w:rsidP="00651CE8">
      <w:pPr>
        <w:autoSpaceDE w:val="0"/>
        <w:autoSpaceDN w:val="0"/>
        <w:adjustRightInd w:val="0"/>
        <w:spacing w:before="120" w:after="120"/>
        <w:jc w:val="both"/>
        <w:rPr>
          <w:rFonts w:eastAsia="Calibri" w:cs="Arial"/>
          <w:bCs/>
          <w:lang w:val="en-AU"/>
        </w:rPr>
      </w:pPr>
      <w:r w:rsidRPr="00651CE8">
        <w:rPr>
          <w:rFonts w:eastAsia="Calibri" w:cs="Arial"/>
          <w:bCs/>
          <w:lang w:val="en-AU"/>
        </w:rPr>
        <w:t xml:space="preserve">Section 13 of the </w:t>
      </w:r>
      <w:r w:rsidRPr="00651CE8">
        <w:rPr>
          <w:rFonts w:eastAsia="Calibri" w:cs="Arial"/>
          <w:bCs/>
          <w:i/>
          <w:lang w:val="en-AU"/>
        </w:rPr>
        <w:t>Food Standards Australia New Zealand Act 1991</w:t>
      </w:r>
      <w:r w:rsidRPr="00651CE8">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651CE8">
        <w:rPr>
          <w:rFonts w:eastAsia="Calibri" w:cs="Arial"/>
          <w:bCs/>
          <w:i/>
          <w:lang w:val="en-AU"/>
        </w:rPr>
        <w:t>Australia New Zealand Food Standards Code</w:t>
      </w:r>
      <w:r w:rsidRPr="00651CE8">
        <w:rPr>
          <w:rFonts w:eastAsia="Calibri" w:cs="Arial"/>
          <w:bCs/>
          <w:lang w:val="en-AU"/>
        </w:rPr>
        <w:t xml:space="preserve"> (the Code).</w:t>
      </w:r>
    </w:p>
    <w:p w14:paraId="432A2545" w14:textId="77777777" w:rsidR="00651CE8" w:rsidRPr="00651CE8" w:rsidRDefault="00651CE8" w:rsidP="00651CE8">
      <w:pPr>
        <w:autoSpaceDE w:val="0"/>
        <w:autoSpaceDN w:val="0"/>
        <w:adjustRightInd w:val="0"/>
        <w:spacing w:before="120" w:after="120"/>
        <w:jc w:val="both"/>
        <w:rPr>
          <w:rFonts w:eastAsia="Calibri" w:cs="Arial"/>
          <w:bCs/>
          <w:lang w:val="en-AU"/>
        </w:rPr>
      </w:pPr>
      <w:r w:rsidRPr="00651CE8">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2E4A221" w14:textId="77777777" w:rsidR="00651CE8" w:rsidRPr="00651CE8" w:rsidRDefault="00651CE8" w:rsidP="00651CE8">
      <w:pPr>
        <w:autoSpaceDE w:val="0"/>
        <w:autoSpaceDN w:val="0"/>
        <w:adjustRightInd w:val="0"/>
        <w:spacing w:before="120" w:after="120"/>
        <w:jc w:val="both"/>
        <w:rPr>
          <w:rFonts w:eastAsia="Calibri" w:cs="Arial"/>
          <w:bCs/>
          <w:lang w:val="en-AU"/>
        </w:rPr>
      </w:pPr>
      <w:r w:rsidRPr="00651CE8">
        <w:rPr>
          <w:rFonts w:eastAsia="Calibri" w:cs="Arial"/>
          <w:bCs/>
          <w:lang w:val="en-AU"/>
        </w:rPr>
        <w:t xml:space="preserve">The Authority accepted Application A1178 which sought an amendment to the Code to </w:t>
      </w:r>
      <w:r w:rsidRPr="00651CE8">
        <w:rPr>
          <w:rFonts w:eastAsia="Times New Roman" w:cs="Times New Roman"/>
          <w:szCs w:val="24"/>
          <w:lang w:bidi="en-US"/>
        </w:rPr>
        <w:t xml:space="preserve">permit </w:t>
      </w:r>
      <w:r w:rsidRPr="00651CE8">
        <w:rPr>
          <w:rFonts w:eastAsia="Times New Roman" w:cs="Arial"/>
          <w:lang w:bidi="en-US"/>
        </w:rPr>
        <w:t>the use of a new method of analysis for determining total dietary fibre in food. The method is AOAC</w:t>
      </w:r>
      <w:r w:rsidRPr="00651CE8">
        <w:rPr>
          <w:rFonts w:eastAsia="Times New Roman" w:cs="Arial"/>
          <w:vertAlign w:val="superscript"/>
          <w:lang w:bidi="en-US"/>
        </w:rPr>
        <w:footnoteReference w:id="1"/>
      </w:r>
      <w:r w:rsidRPr="00651CE8">
        <w:rPr>
          <w:rFonts w:eastAsia="Times New Roman" w:cs="Arial"/>
          <w:lang w:bidi="en-US"/>
        </w:rPr>
        <w:t xml:space="preserve"> Official Method 2017.16 (</w:t>
      </w:r>
      <w:r w:rsidRPr="00651CE8">
        <w:rPr>
          <w:rFonts w:eastAsia="Times New Roman" w:cs="Arial"/>
          <w:bCs/>
          <w:lang w:bidi="en-US"/>
        </w:rPr>
        <w:t>Rapid Integrated Total Dietary Fibre method of analysis) (AOAC 2017.16).</w:t>
      </w:r>
      <w:r w:rsidRPr="00651CE8">
        <w:rPr>
          <w:rFonts w:eastAsia="Calibri" w:cs="Arial"/>
          <w:bCs/>
          <w:lang w:val="en-AU"/>
        </w:rPr>
        <w:t xml:space="preserve"> The Authority considered the Application in accordance with Division 1 of Part 3 and has approved a draft variation. </w:t>
      </w:r>
    </w:p>
    <w:p w14:paraId="1F3E95BE" w14:textId="77777777" w:rsidR="00651CE8" w:rsidRPr="00651CE8" w:rsidRDefault="00651CE8" w:rsidP="00651CE8">
      <w:pPr>
        <w:autoSpaceDE w:val="0"/>
        <w:autoSpaceDN w:val="0"/>
        <w:adjustRightInd w:val="0"/>
        <w:spacing w:before="120" w:after="120"/>
        <w:jc w:val="both"/>
        <w:rPr>
          <w:rFonts w:eastAsia="Calibri" w:cs="Arial"/>
          <w:bCs/>
          <w:lang w:val="en-AU"/>
        </w:rPr>
      </w:pPr>
      <w:r w:rsidRPr="00651CE8">
        <w:rPr>
          <w:rFonts w:eastAsia="Calibri" w:cs="Arial"/>
          <w:bCs/>
          <w:lang w:val="en-AU"/>
        </w:rPr>
        <w:t>Following consideration by the Food Ministers’ Meeting</w:t>
      </w:r>
      <w:r w:rsidRPr="00651CE8">
        <w:rPr>
          <w:rFonts w:eastAsia="Times New Roman" w:cs="Arial"/>
          <w:szCs w:val="24"/>
          <w:vertAlign w:val="superscript"/>
          <w:lang w:bidi="en-US"/>
        </w:rPr>
        <w:footnoteReference w:id="2"/>
      </w:r>
      <w:r w:rsidRPr="00651CE8">
        <w:rPr>
          <w:rFonts w:eastAsia="Calibri" w:cs="Arial"/>
          <w:bCs/>
          <w:lang w:val="en-AU"/>
        </w:rPr>
        <w:t xml:space="preserve">, section 92 of the FSANZ Act stipulates that the Authority must publish a notice about the standard or draft variation of a standard. </w:t>
      </w:r>
    </w:p>
    <w:p w14:paraId="7ECF0180" w14:textId="77777777" w:rsidR="00651CE8" w:rsidRPr="00651CE8" w:rsidRDefault="00651CE8" w:rsidP="00651CE8">
      <w:pPr>
        <w:autoSpaceDE w:val="0"/>
        <w:autoSpaceDN w:val="0"/>
        <w:adjustRightInd w:val="0"/>
        <w:spacing w:before="120" w:after="120"/>
        <w:jc w:val="both"/>
        <w:rPr>
          <w:rFonts w:eastAsia="Calibri" w:cs="Arial"/>
          <w:color w:val="000000"/>
          <w:lang w:val="en-AU"/>
        </w:rPr>
      </w:pPr>
      <w:r w:rsidRPr="00651CE8">
        <w:rPr>
          <w:rFonts w:eastAsia="Calibri" w:cs="Arial"/>
          <w:bCs/>
          <w:color w:val="000000"/>
          <w:lang w:val="en-AU"/>
        </w:rPr>
        <w:t>Section 94 of the FSANZ Act specifies that a</w:t>
      </w:r>
      <w:r w:rsidRPr="00651CE8">
        <w:rPr>
          <w:rFonts w:eastAsia="Calibri" w:cs="Arial"/>
          <w:color w:val="000000"/>
          <w:lang w:val="en-AU"/>
        </w:rPr>
        <w:t xml:space="preserve"> standard, or a variation of a standard, in relation to which a notice is published under section 92 is a legislative instrument, but is not subject to parliamentary disallowance or sunsetting under the </w:t>
      </w:r>
      <w:r w:rsidRPr="00651CE8">
        <w:rPr>
          <w:rFonts w:eastAsia="Calibri" w:cs="Arial"/>
          <w:i/>
          <w:color w:val="000000"/>
          <w:lang w:val="en-AU"/>
        </w:rPr>
        <w:t>Legislation Act 2003</w:t>
      </w:r>
      <w:r w:rsidRPr="00651CE8">
        <w:rPr>
          <w:rFonts w:eastAsia="Calibri" w:cs="Arial"/>
          <w:color w:val="000000"/>
          <w:lang w:val="en-AU"/>
        </w:rPr>
        <w:t>.</w:t>
      </w:r>
    </w:p>
    <w:p w14:paraId="6679985D" w14:textId="77777777" w:rsidR="00651CE8" w:rsidRPr="00651CE8" w:rsidRDefault="00651CE8" w:rsidP="00651CE8">
      <w:pPr>
        <w:widowControl w:val="0"/>
        <w:spacing w:before="120" w:after="120"/>
        <w:rPr>
          <w:rFonts w:eastAsia="Times New Roman" w:cs="Times New Roman"/>
          <w:b/>
          <w:szCs w:val="24"/>
          <w:lang w:val="en-AU" w:eastAsia="en-GB"/>
        </w:rPr>
      </w:pPr>
      <w:r w:rsidRPr="00651CE8">
        <w:rPr>
          <w:rFonts w:eastAsia="Times New Roman" w:cs="Times New Roman"/>
          <w:b/>
          <w:szCs w:val="24"/>
          <w:lang w:val="en-AU" w:eastAsia="en-GB"/>
        </w:rPr>
        <w:t>2.</w:t>
      </w:r>
      <w:r w:rsidRPr="00651CE8">
        <w:rPr>
          <w:rFonts w:eastAsia="Times New Roman" w:cs="Times New Roman"/>
          <w:b/>
          <w:szCs w:val="24"/>
          <w:lang w:val="en-AU" w:eastAsia="en-GB"/>
        </w:rPr>
        <w:tab/>
        <w:t xml:space="preserve">Purpose </w:t>
      </w:r>
    </w:p>
    <w:p w14:paraId="61D71434" w14:textId="77777777" w:rsidR="00651CE8" w:rsidRPr="00651CE8" w:rsidRDefault="00651CE8" w:rsidP="00651CE8">
      <w:pPr>
        <w:spacing w:before="120" w:after="120"/>
        <w:jc w:val="both"/>
        <w:rPr>
          <w:rFonts w:eastAsia="Times New Roman" w:cs="Arial"/>
          <w:lang w:bidi="en-US"/>
        </w:rPr>
      </w:pPr>
      <w:r w:rsidRPr="00651CE8">
        <w:rPr>
          <w:rFonts w:eastAsia="Times New Roman" w:cs="Times New Roman"/>
          <w:szCs w:val="24"/>
          <w:lang w:eastAsia="en-GB" w:bidi="en-US"/>
        </w:rPr>
        <w:t xml:space="preserve">The Authority has approved the draft variation, which amends </w:t>
      </w:r>
      <w:r w:rsidRPr="00651CE8">
        <w:rPr>
          <w:rFonts w:eastAsia="Times New Roman" w:cs="Arial"/>
          <w:lang w:bidi="en-US"/>
        </w:rPr>
        <w:t xml:space="preserve">section S11—4 of </w:t>
      </w:r>
      <w:r w:rsidRPr="00651CE8">
        <w:rPr>
          <w:rFonts w:eastAsia="Times New Roman" w:cs="Times New Roman"/>
          <w:szCs w:val="24"/>
          <w:lang w:eastAsia="en-GB" w:bidi="en-US"/>
        </w:rPr>
        <w:t>the Code, to</w:t>
      </w:r>
      <w:r w:rsidRPr="00651CE8">
        <w:rPr>
          <w:rFonts w:eastAsia="Times New Roman" w:cs="Arial"/>
          <w:szCs w:val="24"/>
          <w:lang w:eastAsia="en-GB" w:bidi="en-US"/>
        </w:rPr>
        <w:t xml:space="preserve"> permit the use of </w:t>
      </w:r>
      <w:r w:rsidRPr="00651CE8">
        <w:rPr>
          <w:rFonts w:eastAsia="Times New Roman" w:cs="Arial"/>
          <w:lang w:bidi="en-US"/>
        </w:rPr>
        <w:t>AOAC 2017.16</w:t>
      </w:r>
      <w:r w:rsidRPr="00651CE8">
        <w:rPr>
          <w:rFonts w:eastAsia="Times New Roman" w:cs="Arial"/>
          <w:szCs w:val="24"/>
          <w:lang w:eastAsia="en-GB" w:bidi="en-US"/>
        </w:rPr>
        <w:t xml:space="preserve"> when determining the total amount of dietary fibre in food in accordance with section S11-—4 of the Code for the purposes of </w:t>
      </w:r>
      <w:r w:rsidRPr="00651CE8">
        <w:rPr>
          <w:rFonts w:eastAsia="Times New Roman" w:cs="Arial"/>
          <w:lang w:bidi="en-US"/>
        </w:rPr>
        <w:t xml:space="preserve">subsections 1.2.8—7(7) and S5—6(2) of the Code. </w:t>
      </w:r>
    </w:p>
    <w:p w14:paraId="132F08BA" w14:textId="77777777" w:rsidR="00651CE8" w:rsidRPr="00651CE8" w:rsidRDefault="00651CE8" w:rsidP="00651CE8">
      <w:pPr>
        <w:widowControl w:val="0"/>
        <w:spacing w:before="120" w:after="120"/>
        <w:rPr>
          <w:rFonts w:eastAsia="Times New Roman" w:cs="Times New Roman"/>
          <w:b/>
          <w:szCs w:val="24"/>
          <w:lang w:val="en-AU" w:eastAsia="en-GB"/>
        </w:rPr>
      </w:pPr>
      <w:r w:rsidRPr="00651CE8">
        <w:rPr>
          <w:rFonts w:eastAsia="Times New Roman" w:cs="Times New Roman"/>
          <w:b/>
          <w:szCs w:val="24"/>
          <w:lang w:val="en-AU" w:eastAsia="en-GB"/>
        </w:rPr>
        <w:t>3.</w:t>
      </w:r>
      <w:r w:rsidRPr="00651CE8">
        <w:rPr>
          <w:rFonts w:eastAsia="Times New Roman" w:cs="Times New Roman"/>
          <w:b/>
          <w:szCs w:val="24"/>
          <w:lang w:val="en-AU" w:eastAsia="en-GB"/>
        </w:rPr>
        <w:tab/>
        <w:t>Documents incorporated by reference</w:t>
      </w:r>
    </w:p>
    <w:p w14:paraId="0E6E8863" w14:textId="77777777" w:rsidR="00651CE8" w:rsidRPr="00651CE8" w:rsidRDefault="00651CE8" w:rsidP="00651CE8">
      <w:pPr>
        <w:autoSpaceDE w:val="0"/>
        <w:autoSpaceDN w:val="0"/>
        <w:adjustRightInd w:val="0"/>
        <w:jc w:val="both"/>
        <w:rPr>
          <w:rFonts w:eastAsia="Calibri" w:cs="Arial"/>
          <w:color w:val="000000"/>
        </w:rPr>
      </w:pPr>
      <w:r w:rsidRPr="00651CE8">
        <w:rPr>
          <w:rFonts w:eastAsia="Calibri" w:cs="Arial"/>
          <w:bCs/>
          <w:color w:val="000000"/>
        </w:rPr>
        <w:t xml:space="preserve">The approved draft variation </w:t>
      </w:r>
      <w:r w:rsidRPr="00651CE8">
        <w:rPr>
          <w:rFonts w:eastAsia="Calibri" w:cs="Arial"/>
          <w:color w:val="000000"/>
        </w:rPr>
        <w:t>amends a provision of the Code that incorporates methods of analysis by reference to a specific document that is or will be in force or existing at the commencement of the variation; namely, a specified edition of the</w:t>
      </w:r>
      <w:r w:rsidRPr="00651CE8">
        <w:rPr>
          <w:rFonts w:eastAsia="Times New Roman" w:cs="Arial"/>
          <w:sz w:val="18"/>
          <w:szCs w:val="19"/>
          <w:lang w:bidi="en-US"/>
        </w:rPr>
        <w:t xml:space="preserve"> </w:t>
      </w:r>
      <w:r w:rsidRPr="00651CE8">
        <w:rPr>
          <w:rFonts w:eastAsia="Calibri" w:cs="Arial"/>
          <w:i/>
          <w:color w:val="000000"/>
        </w:rPr>
        <w:t>Official Methods of Analysis of AOAC International</w:t>
      </w:r>
      <w:r w:rsidRPr="00651CE8">
        <w:rPr>
          <w:rFonts w:eastAsia="Calibri" w:cs="Arial"/>
          <w:color w:val="000000"/>
        </w:rPr>
        <w:t xml:space="preserve">, published by AOAC International. The </w:t>
      </w:r>
      <w:r w:rsidRPr="00651CE8">
        <w:rPr>
          <w:rFonts w:eastAsia="Calibri" w:cs="Arial"/>
          <w:bCs/>
          <w:color w:val="000000"/>
        </w:rPr>
        <w:t>approved draft variation amends the provision to refer to a new edition of that publication.</w:t>
      </w:r>
    </w:p>
    <w:p w14:paraId="4172F603" w14:textId="77777777" w:rsidR="00651CE8" w:rsidRPr="00651CE8" w:rsidRDefault="00651CE8" w:rsidP="00651CE8">
      <w:pPr>
        <w:autoSpaceDE w:val="0"/>
        <w:autoSpaceDN w:val="0"/>
        <w:adjustRightInd w:val="0"/>
        <w:spacing w:before="120" w:after="120"/>
        <w:jc w:val="both"/>
        <w:rPr>
          <w:rFonts w:eastAsia="Calibri" w:cs="Arial"/>
          <w:bCs/>
          <w:lang w:val="en-AU"/>
        </w:rPr>
      </w:pPr>
      <w:r w:rsidRPr="00651CE8">
        <w:rPr>
          <w:rFonts w:eastAsia="Calibri" w:cs="Arial"/>
          <w:color w:val="000000"/>
        </w:rPr>
        <w:t>This reference by incorporation is consistent with the current</w:t>
      </w:r>
      <w:r w:rsidRPr="00651CE8">
        <w:rPr>
          <w:rFonts w:eastAsia="Calibri" w:cs="Arial"/>
          <w:bCs/>
          <w:color w:val="000000"/>
        </w:rPr>
        <w:t xml:space="preserve"> </w:t>
      </w:r>
      <w:r w:rsidRPr="00651CE8">
        <w:rPr>
          <w:rFonts w:eastAsia="Calibri" w:cs="Arial"/>
          <w:color w:val="000000"/>
        </w:rPr>
        <w:t xml:space="preserve">practice in the Code, particularly </w:t>
      </w:r>
      <w:r w:rsidRPr="00651CE8">
        <w:rPr>
          <w:rFonts w:eastAsia="Times New Roman" w:cs="Arial"/>
          <w:lang w:bidi="en-US"/>
        </w:rPr>
        <w:t>section S11—4  and</w:t>
      </w:r>
      <w:r w:rsidRPr="00651CE8">
        <w:rPr>
          <w:rFonts w:eastAsia="Calibri" w:cs="Arial"/>
          <w:color w:val="000000"/>
        </w:rPr>
        <w:t xml:space="preserve"> </w:t>
      </w:r>
      <w:r w:rsidRPr="00651CE8">
        <w:rPr>
          <w:rFonts w:eastAsia="Calibri" w:cs="Arial"/>
          <w:bCs/>
          <w:color w:val="000000"/>
        </w:rPr>
        <w:t>Schedule 3.</w:t>
      </w:r>
    </w:p>
    <w:p w14:paraId="7254A5D5" w14:textId="77777777" w:rsidR="00651CE8" w:rsidRPr="00651CE8" w:rsidRDefault="00651CE8" w:rsidP="00651CE8">
      <w:pPr>
        <w:widowControl w:val="0"/>
        <w:spacing w:before="120" w:after="120"/>
        <w:rPr>
          <w:rFonts w:eastAsia="Times New Roman" w:cs="Times New Roman"/>
          <w:b/>
          <w:szCs w:val="24"/>
          <w:lang w:val="en-AU" w:eastAsia="en-GB"/>
        </w:rPr>
      </w:pPr>
      <w:r w:rsidRPr="00651CE8">
        <w:rPr>
          <w:rFonts w:eastAsia="Times New Roman" w:cs="Times New Roman"/>
          <w:b/>
          <w:szCs w:val="24"/>
          <w:lang w:val="en-AU" w:eastAsia="en-GB"/>
        </w:rPr>
        <w:t>4.</w:t>
      </w:r>
      <w:r w:rsidRPr="00651CE8">
        <w:rPr>
          <w:rFonts w:eastAsia="Times New Roman" w:cs="Times New Roman"/>
          <w:b/>
          <w:szCs w:val="24"/>
          <w:lang w:val="en-AU" w:eastAsia="en-GB"/>
        </w:rPr>
        <w:tab/>
        <w:t>Consultation</w:t>
      </w:r>
    </w:p>
    <w:p w14:paraId="346AC6EE" w14:textId="77777777" w:rsidR="00651CE8" w:rsidRPr="00651CE8" w:rsidRDefault="00651CE8" w:rsidP="00651CE8">
      <w:pPr>
        <w:widowControl w:val="0"/>
        <w:spacing w:before="120" w:after="120"/>
        <w:jc w:val="both"/>
        <w:rPr>
          <w:rFonts w:eastAsia="Times New Roman" w:cs="Times New Roman"/>
          <w:lang w:bidi="en-US"/>
        </w:rPr>
      </w:pPr>
      <w:r w:rsidRPr="00651CE8">
        <w:rPr>
          <w:rFonts w:eastAsia="Times New Roman" w:cs="Times New Roman"/>
          <w:lang w:bidi="en-US"/>
        </w:rPr>
        <w:t xml:space="preserve">In accordance with the procedure in Division 1 of Part 3 of the FSANZ Act, </w:t>
      </w:r>
      <w:r w:rsidRPr="00651CE8">
        <w:rPr>
          <w:rFonts w:eastAsia="Calibri" w:cs="Arial"/>
          <w:bCs/>
          <w:lang w:val="en-AU"/>
        </w:rPr>
        <w:t>the Authority</w:t>
      </w:r>
      <w:r w:rsidRPr="00651CE8">
        <w:rPr>
          <w:rFonts w:eastAsia="Times New Roman" w:cs="Times New Roman"/>
          <w:lang w:bidi="en-US"/>
        </w:rPr>
        <w:t xml:space="preserve">’s consideration of Application A1178 included one round of public consultation following an assessment and the preparation of a draft variation and associated report. Submissions were called for on 21 May 2021 for a four-week consultation period. </w:t>
      </w:r>
    </w:p>
    <w:p w14:paraId="7F5E5752" w14:textId="77777777" w:rsidR="00651CE8" w:rsidRPr="00651CE8" w:rsidRDefault="00651CE8" w:rsidP="00651CE8">
      <w:pPr>
        <w:spacing w:before="120" w:after="120"/>
        <w:jc w:val="both"/>
        <w:rPr>
          <w:rFonts w:eastAsia="Times New Roman" w:cs="Times New Roman"/>
          <w:szCs w:val="24"/>
          <w:lang w:bidi="en-US"/>
        </w:rPr>
      </w:pPr>
      <w:r w:rsidRPr="00651CE8">
        <w:rPr>
          <w:rFonts w:eastAsia="Times New Roman" w:cs="Times New Roman"/>
          <w:szCs w:val="24"/>
          <w:lang w:bidi="en-US"/>
        </w:rPr>
        <w:t xml:space="preserve">FSANZ received ten submissions and one late submission during the public consultation for A1178. Further consultation was undertaken after these were reviewed. FSANZ presented a paper to industry stakeholders at the July 2021 Retailers and Manufacturers Liaison Committee meeting and </w:t>
      </w:r>
      <w:r w:rsidRPr="00651CE8">
        <w:rPr>
          <w:rFonts w:eastAsia="Times New Roman" w:cs="Times New Roman"/>
          <w:szCs w:val="24"/>
          <w:lang w:bidi="en-US"/>
        </w:rPr>
        <w:lastRenderedPageBreak/>
        <w:t>held a targeted consultation with key industry representatives and submitting jurisdictions in August 2021.</w:t>
      </w:r>
    </w:p>
    <w:p w14:paraId="6148F433" w14:textId="77777777" w:rsidR="00651CE8" w:rsidRPr="00651CE8" w:rsidRDefault="00651CE8" w:rsidP="00651CE8">
      <w:pPr>
        <w:autoSpaceDE w:val="0"/>
        <w:autoSpaceDN w:val="0"/>
        <w:adjustRightInd w:val="0"/>
        <w:spacing w:before="120" w:after="120"/>
        <w:jc w:val="both"/>
        <w:rPr>
          <w:rFonts w:eastAsia="Calibri" w:cs="Arial"/>
          <w:b/>
          <w:bCs/>
          <w:lang w:val="en-AU"/>
        </w:rPr>
      </w:pPr>
      <w:r w:rsidRPr="00651CE8">
        <w:rPr>
          <w:rFonts w:eastAsia="Times New Roman" w:cs="Times New Roman"/>
          <w:szCs w:val="24"/>
          <w:lang w:bidi="en-US"/>
        </w:rPr>
        <w:t xml:space="preserve">A Standards Development Committee (SDC) was established with representatives from the industry sector, the relevant State and Territory government agencies and consumer organisations to provide ongoing advice to </w:t>
      </w:r>
      <w:r w:rsidRPr="00651CE8">
        <w:rPr>
          <w:rFonts w:eastAsia="Calibri" w:cs="Arial"/>
          <w:bCs/>
          <w:lang w:val="en-AU"/>
        </w:rPr>
        <w:t>the Authority</w:t>
      </w:r>
      <w:r w:rsidRPr="00651CE8">
        <w:rPr>
          <w:rFonts w:eastAsia="Times New Roman" w:cs="Times New Roman"/>
          <w:szCs w:val="24"/>
          <w:lang w:bidi="en-US"/>
        </w:rPr>
        <w:t xml:space="preserve"> throughout the standard development process. The SDC contributed a broad spectrum of knowledge and expertise covering industry, government, research and consu</w:t>
      </w:r>
      <w:r w:rsidRPr="00651CE8">
        <w:rPr>
          <w:rFonts w:eastAsia="Times New Roman" w:cs="Times New Roman"/>
          <w:lang w:bidi="en-US"/>
        </w:rPr>
        <w:t>mers</w:t>
      </w:r>
    </w:p>
    <w:p w14:paraId="46CD3BD8" w14:textId="77777777" w:rsidR="00651CE8" w:rsidRPr="00651CE8" w:rsidRDefault="00651CE8" w:rsidP="00651CE8">
      <w:pPr>
        <w:autoSpaceDE w:val="0"/>
        <w:autoSpaceDN w:val="0"/>
        <w:adjustRightInd w:val="0"/>
        <w:spacing w:before="120" w:after="120"/>
        <w:jc w:val="both"/>
        <w:rPr>
          <w:rFonts w:eastAsia="Times New Roman" w:cs="Times New Roman"/>
          <w:szCs w:val="24"/>
          <w:lang w:bidi="en-US"/>
        </w:rPr>
      </w:pPr>
      <w:r w:rsidRPr="00651CE8">
        <w:rPr>
          <w:rFonts w:eastAsia="Calibri" w:cs="Arial"/>
          <w:bCs/>
          <w:lang w:bidi="en-US"/>
        </w:rPr>
        <w:t xml:space="preserve">A Regulation Impact Statement (RIS) was not required because </w:t>
      </w:r>
      <w:r w:rsidRPr="00651CE8">
        <w:rPr>
          <w:rFonts w:eastAsia="Times New Roman" w:cs="Times New Roman"/>
          <w:szCs w:val="24"/>
          <w:lang w:bidi="en-US"/>
        </w:rPr>
        <w:t xml:space="preserve">the Office of Best Practice Regulation (OBPR) granted the Authority a standing exemption from the requirement to develop a RIS for applications requesting the use of optional methods of analysis (OBPR correspondence dated 16 April 2013, reference number 14943). This standing exemption was provided as permitting the optional method of analysis is voluntary and likely to not have more than a minor economic impact on businesses or individuals. </w:t>
      </w:r>
    </w:p>
    <w:p w14:paraId="4A7D95D9" w14:textId="77777777" w:rsidR="00651CE8" w:rsidRPr="00651CE8" w:rsidRDefault="00651CE8" w:rsidP="00651CE8">
      <w:pPr>
        <w:spacing w:before="120" w:after="120"/>
        <w:rPr>
          <w:rFonts w:eastAsia="Calibri" w:cs="Arial"/>
          <w:b/>
          <w:bCs/>
          <w:lang w:val="en-AU"/>
        </w:rPr>
      </w:pPr>
      <w:r w:rsidRPr="00651CE8">
        <w:rPr>
          <w:rFonts w:eastAsia="Calibri" w:cs="Arial"/>
          <w:b/>
          <w:bCs/>
          <w:lang w:val="en-AU"/>
        </w:rPr>
        <w:t>5.</w:t>
      </w:r>
      <w:r w:rsidRPr="00651CE8">
        <w:rPr>
          <w:rFonts w:eastAsia="Calibri" w:cs="Arial"/>
          <w:b/>
          <w:bCs/>
          <w:lang w:val="en-AU"/>
        </w:rPr>
        <w:tab/>
        <w:t>Statement of compatibility with human rights</w:t>
      </w:r>
    </w:p>
    <w:p w14:paraId="4EEA9181" w14:textId="77777777" w:rsidR="00651CE8" w:rsidRPr="00651CE8" w:rsidRDefault="00651CE8" w:rsidP="00651CE8">
      <w:pPr>
        <w:widowControl w:val="0"/>
        <w:spacing w:before="120" w:after="120"/>
        <w:jc w:val="both"/>
        <w:rPr>
          <w:rFonts w:eastAsia="Calibri" w:cs="Times New Roman"/>
          <w:szCs w:val="24"/>
          <w:lang w:val="en-AU"/>
        </w:rPr>
      </w:pPr>
      <w:r w:rsidRPr="00651CE8">
        <w:rPr>
          <w:rFonts w:eastAsia="Calibri" w:cs="Times New Roman"/>
          <w:szCs w:val="24"/>
          <w:lang w:val="en-AU"/>
        </w:rPr>
        <w:t>This instrument is exempt from the requirements for a statement of compatibility with human rights as it is a non-disallowable instrument under section 94 of the FSANZ Act.</w:t>
      </w:r>
    </w:p>
    <w:p w14:paraId="17DCDC61" w14:textId="77777777" w:rsidR="00651CE8" w:rsidRPr="00651CE8" w:rsidRDefault="00651CE8" w:rsidP="00651CE8">
      <w:pPr>
        <w:widowControl w:val="0"/>
        <w:spacing w:before="120" w:after="120"/>
        <w:rPr>
          <w:rFonts w:eastAsia="Times New Roman" w:cs="Times New Roman"/>
          <w:b/>
          <w:szCs w:val="24"/>
          <w:lang w:val="en-AU" w:eastAsia="en-GB"/>
        </w:rPr>
      </w:pPr>
      <w:r w:rsidRPr="00651CE8">
        <w:rPr>
          <w:rFonts w:eastAsia="Times New Roman" w:cs="Times New Roman"/>
          <w:b/>
          <w:szCs w:val="24"/>
          <w:lang w:bidi="en-US"/>
        </w:rPr>
        <w:t>6.</w:t>
      </w:r>
      <w:r w:rsidRPr="00651CE8">
        <w:rPr>
          <w:rFonts w:eastAsia="Times New Roman" w:cs="Times New Roman"/>
          <w:b/>
          <w:szCs w:val="24"/>
          <w:lang w:bidi="en-US"/>
        </w:rPr>
        <w:tab/>
      </w:r>
      <w:r w:rsidRPr="00651CE8">
        <w:rPr>
          <w:rFonts w:eastAsia="Times New Roman" w:cs="Times New Roman"/>
          <w:b/>
          <w:szCs w:val="24"/>
          <w:lang w:val="en-AU" w:eastAsia="en-GB"/>
        </w:rPr>
        <w:t>Variation</w:t>
      </w:r>
    </w:p>
    <w:p w14:paraId="0EFF38E7" w14:textId="77777777" w:rsidR="00651CE8" w:rsidRPr="00651CE8" w:rsidRDefault="00651CE8" w:rsidP="00651CE8">
      <w:pPr>
        <w:tabs>
          <w:tab w:val="left" w:pos="851"/>
        </w:tabs>
        <w:spacing w:before="120" w:after="120"/>
        <w:jc w:val="both"/>
        <w:rPr>
          <w:rFonts w:eastAsia="Times New Roman" w:cs="Times New Roman"/>
          <w:b/>
          <w:szCs w:val="20"/>
          <w:lang w:bidi="en-US"/>
        </w:rPr>
      </w:pPr>
      <w:r w:rsidRPr="00651CE8">
        <w:rPr>
          <w:rFonts w:eastAsia="Times New Roman" w:cs="Times New Roman"/>
          <w:b/>
          <w:szCs w:val="20"/>
          <w:lang w:bidi="en-US"/>
        </w:rPr>
        <w:t xml:space="preserve">Item [1] </w:t>
      </w:r>
      <w:r w:rsidRPr="00651CE8">
        <w:rPr>
          <w:rFonts w:eastAsia="Times New Roman" w:cs="Times New Roman"/>
          <w:szCs w:val="20"/>
          <w:lang w:bidi="en-US"/>
        </w:rPr>
        <w:t>of the approved draft variation amends section S11—4 of the Code.</w:t>
      </w:r>
      <w:r w:rsidRPr="00651CE8">
        <w:rPr>
          <w:rFonts w:eastAsia="Times New Roman" w:cs="Times New Roman"/>
          <w:b/>
          <w:szCs w:val="20"/>
          <w:lang w:bidi="en-US"/>
        </w:rPr>
        <w:t xml:space="preserve"> </w:t>
      </w:r>
    </w:p>
    <w:p w14:paraId="7036AA37" w14:textId="77777777" w:rsidR="00651CE8" w:rsidRPr="00651CE8" w:rsidRDefault="00651CE8" w:rsidP="00651CE8">
      <w:pPr>
        <w:tabs>
          <w:tab w:val="left" w:pos="851"/>
        </w:tabs>
        <w:spacing w:before="120" w:after="120"/>
        <w:jc w:val="both"/>
        <w:rPr>
          <w:rFonts w:eastAsia="Times New Roman" w:cs="Times New Roman"/>
          <w:szCs w:val="20"/>
          <w:lang w:bidi="en-US"/>
        </w:rPr>
      </w:pPr>
      <w:r w:rsidRPr="00651CE8">
        <w:rPr>
          <w:rFonts w:eastAsia="Times New Roman" w:cs="Times New Roman"/>
          <w:szCs w:val="20"/>
          <w:lang w:bidi="en-US"/>
        </w:rPr>
        <w:t xml:space="preserve">Section S11—4 requires the total dietary fibre (including the amount of any specifically named fibre) in a food to be determined in accordance with one or more methods contained in specified sections of the </w:t>
      </w:r>
      <w:r w:rsidRPr="00651CE8">
        <w:rPr>
          <w:rFonts w:eastAsia="Times New Roman" w:cs="Times New Roman"/>
          <w:i/>
          <w:lang w:bidi="en-US"/>
        </w:rPr>
        <w:t>Official Methods of Analysis of AOAC International</w:t>
      </w:r>
      <w:r w:rsidRPr="00651CE8">
        <w:rPr>
          <w:rFonts w:eastAsia="Times New Roman" w:cs="Times New Roman"/>
          <w:lang w:bidi="en-US"/>
        </w:rPr>
        <w:t xml:space="preserve">, eighteenth edition, 2005 (the previous AOAC), </w:t>
      </w:r>
      <w:r w:rsidRPr="00651CE8">
        <w:rPr>
          <w:rFonts w:eastAsia="Times New Roman" w:cs="Times New Roman"/>
          <w:szCs w:val="20"/>
          <w:lang w:bidi="en-US"/>
        </w:rPr>
        <w:t>for the purposes of subsections 1.2.8—7(7) and S5—6(2) of the Code.</w:t>
      </w:r>
    </w:p>
    <w:p w14:paraId="7C2CF7F0" w14:textId="77777777" w:rsidR="00651CE8" w:rsidRPr="00651CE8" w:rsidRDefault="00651CE8" w:rsidP="00651CE8">
      <w:pPr>
        <w:tabs>
          <w:tab w:val="left" w:pos="851"/>
        </w:tabs>
        <w:spacing w:before="120" w:after="120"/>
        <w:jc w:val="both"/>
        <w:rPr>
          <w:rFonts w:eastAsia="Times New Roman" w:cs="Times New Roman"/>
        </w:rPr>
      </w:pPr>
      <w:r w:rsidRPr="00651CE8">
        <w:rPr>
          <w:rFonts w:eastAsia="Times New Roman" w:cs="Times New Roman"/>
          <w:b/>
          <w:szCs w:val="20"/>
          <w:lang w:bidi="en-US"/>
        </w:rPr>
        <w:t>Sub-item [1.1]</w:t>
      </w:r>
      <w:r w:rsidRPr="00651CE8">
        <w:rPr>
          <w:rFonts w:eastAsia="Times New Roman" w:cs="Times New Roman"/>
          <w:szCs w:val="20"/>
          <w:lang w:bidi="en-US"/>
        </w:rPr>
        <w:t xml:space="preserve"> of the approved draft variation amends section S11—4 of the Code by omitting paragraph S11—4(2)(a) </w:t>
      </w:r>
      <w:r w:rsidRPr="00651CE8">
        <w:rPr>
          <w:rFonts w:eastAsia="Times New Roman" w:cs="Times New Roman"/>
          <w:lang w:bidi="en-US"/>
        </w:rPr>
        <w:t xml:space="preserve">and </w:t>
      </w:r>
      <w:r w:rsidRPr="00651CE8">
        <w:rPr>
          <w:rFonts w:eastAsia="Times New Roman" w:cs="Times New Roman"/>
        </w:rPr>
        <w:t>substituting:</w:t>
      </w:r>
    </w:p>
    <w:p w14:paraId="6430AB0C" w14:textId="77777777" w:rsidR="00651CE8" w:rsidRPr="00651CE8" w:rsidRDefault="00651CE8" w:rsidP="00651CE8">
      <w:pPr>
        <w:widowControl w:val="0"/>
        <w:tabs>
          <w:tab w:val="left" w:pos="1701"/>
        </w:tabs>
        <w:spacing w:before="120" w:after="120"/>
        <w:ind w:left="3119" w:hanging="2268"/>
        <w:jc w:val="both"/>
        <w:rPr>
          <w:rFonts w:eastAsia="Times New Roman" w:cs="Arial"/>
          <w:iCs/>
          <w:lang w:eastAsia="en-AU"/>
        </w:rPr>
      </w:pPr>
      <w:r w:rsidRPr="00651CE8">
        <w:rPr>
          <w:rFonts w:eastAsia="Times New Roman" w:cs="Arial"/>
          <w:lang w:eastAsia="en-AU"/>
        </w:rPr>
        <w:t>‘(a</w:t>
      </w:r>
      <w:r w:rsidRPr="00651CE8">
        <w:rPr>
          <w:rFonts w:eastAsia="Times New Roman" w:cs="Arial"/>
          <w:iCs/>
          <w:lang w:eastAsia="en-AU"/>
        </w:rPr>
        <w:t>)</w:t>
      </w:r>
      <w:r w:rsidRPr="00651CE8">
        <w:rPr>
          <w:rFonts w:eastAsia="Times New Roman" w:cs="Arial"/>
          <w:iCs/>
          <w:lang w:eastAsia="en-AU"/>
        </w:rPr>
        <w:tab/>
        <w:t>for dietary fibre—sections 985.29, or 991.43, or 2017.16;’</w:t>
      </w:r>
    </w:p>
    <w:p w14:paraId="3A1EC4C0" w14:textId="77777777" w:rsidR="00651CE8" w:rsidRPr="00651CE8" w:rsidRDefault="00651CE8" w:rsidP="00651CE8">
      <w:pPr>
        <w:tabs>
          <w:tab w:val="left" w:pos="851"/>
        </w:tabs>
        <w:spacing w:before="120" w:after="120"/>
        <w:jc w:val="both"/>
        <w:rPr>
          <w:rFonts w:eastAsia="Times New Roman" w:cs="Times New Roman"/>
          <w:szCs w:val="20"/>
          <w:lang w:bidi="en-US"/>
        </w:rPr>
      </w:pPr>
      <w:r w:rsidRPr="00651CE8">
        <w:rPr>
          <w:rFonts w:eastAsia="Times New Roman" w:cs="Times New Roman"/>
          <w:lang w:bidi="en-US"/>
        </w:rPr>
        <w:t xml:space="preserve">Section </w:t>
      </w:r>
      <w:r w:rsidRPr="00651CE8">
        <w:rPr>
          <w:rFonts w:eastAsia="Times New Roman" w:cs="Times New Roman"/>
          <w:szCs w:val="20"/>
          <w:lang w:bidi="en-US"/>
        </w:rPr>
        <w:t xml:space="preserve">2017.16 is a section of the </w:t>
      </w:r>
      <w:r w:rsidRPr="00651CE8">
        <w:rPr>
          <w:rFonts w:eastAsia="Times New Roman" w:cs="Times New Roman"/>
          <w:i/>
          <w:lang w:bidi="en-US"/>
        </w:rPr>
        <w:t xml:space="preserve">Official Methods of Analysis of AOAC International, </w:t>
      </w:r>
      <w:r w:rsidRPr="00651CE8">
        <w:rPr>
          <w:rFonts w:eastAsia="Times New Roman" w:cs="Times New Roman"/>
          <w:lang w:bidi="en-US"/>
        </w:rPr>
        <w:t>twenty first edition,</w:t>
      </w:r>
      <w:r w:rsidRPr="00651CE8">
        <w:rPr>
          <w:rFonts w:eastAsia="Times New Roman" w:cs="Times New Roman"/>
          <w:i/>
          <w:lang w:bidi="en-US"/>
        </w:rPr>
        <w:t xml:space="preserve"> </w:t>
      </w:r>
      <w:r w:rsidRPr="00651CE8">
        <w:rPr>
          <w:rFonts w:eastAsia="Times New Roman" w:cs="Times New Roman"/>
          <w:lang w:bidi="en-US"/>
        </w:rPr>
        <w:t xml:space="preserve">which </w:t>
      </w:r>
      <w:r w:rsidRPr="00651CE8">
        <w:rPr>
          <w:rFonts w:eastAsia="Times New Roman" w:cs="Times New Roman"/>
          <w:szCs w:val="20"/>
          <w:lang w:bidi="en-US"/>
        </w:rPr>
        <w:t>describes this particular AOAC method of analysis for determining total dietary fibre in foods and food ingredients—AOAC 2017.16.</w:t>
      </w:r>
    </w:p>
    <w:p w14:paraId="496EC7FA" w14:textId="77777777" w:rsidR="00651CE8" w:rsidRPr="00651CE8" w:rsidRDefault="00651CE8" w:rsidP="00651CE8">
      <w:pPr>
        <w:tabs>
          <w:tab w:val="left" w:pos="851"/>
        </w:tabs>
        <w:spacing w:before="120" w:after="120"/>
        <w:jc w:val="both"/>
        <w:rPr>
          <w:rFonts w:eastAsia="Times New Roman" w:cs="Times New Roman"/>
          <w:b/>
          <w:lang w:bidi="en-US"/>
        </w:rPr>
      </w:pPr>
      <w:r w:rsidRPr="00651CE8">
        <w:rPr>
          <w:rFonts w:eastAsia="Times New Roman" w:cs="Times New Roman"/>
          <w:szCs w:val="20"/>
          <w:lang w:bidi="en-US"/>
        </w:rPr>
        <w:t xml:space="preserve">AOAC 2017.16 would be listed in the Code, in addition and as an alternative to the other abovementioned methods of analysis, </w:t>
      </w:r>
      <w:r w:rsidRPr="00651CE8">
        <w:rPr>
          <w:rFonts w:eastAsia="Times New Roman" w:cs="Times New Roman"/>
          <w:lang w:bidi="en-US"/>
        </w:rPr>
        <w:t>which are</w:t>
      </w:r>
      <w:r w:rsidRPr="00651CE8">
        <w:rPr>
          <w:rFonts w:eastAsia="Times New Roman" w:cs="Times New Roman"/>
          <w:szCs w:val="20"/>
          <w:lang w:bidi="en-US"/>
        </w:rPr>
        <w:t xml:space="preserve"> currently listed in paragraph S11—4(2)(a) as permitted methods of analysis for determining total dietary fibre in food.</w:t>
      </w:r>
    </w:p>
    <w:p w14:paraId="39FA8D93" w14:textId="77777777" w:rsidR="00651CE8" w:rsidRPr="00651CE8" w:rsidRDefault="00651CE8" w:rsidP="00651CE8">
      <w:pPr>
        <w:tabs>
          <w:tab w:val="left" w:pos="851"/>
        </w:tabs>
        <w:spacing w:before="120" w:after="120"/>
        <w:jc w:val="both"/>
        <w:rPr>
          <w:rFonts w:eastAsia="Times New Roman" w:cs="Times New Roman"/>
          <w:lang w:bidi="en-US"/>
        </w:rPr>
      </w:pPr>
      <w:r w:rsidRPr="00651CE8">
        <w:rPr>
          <w:rFonts w:eastAsia="Times New Roman" w:cs="Times New Roman"/>
          <w:b/>
          <w:lang w:bidi="en-US"/>
        </w:rPr>
        <w:t>Sub-item [1.2]</w:t>
      </w:r>
      <w:r w:rsidRPr="00651CE8">
        <w:rPr>
          <w:rFonts w:eastAsia="Times New Roman" w:cs="Times New Roman"/>
          <w:lang w:bidi="en-US"/>
        </w:rPr>
        <w:t xml:space="preserve"> of the approved draft variation amends </w:t>
      </w:r>
      <w:r w:rsidRPr="00651CE8">
        <w:rPr>
          <w:rFonts w:eastAsia="Times New Roman" w:cs="Times New Roman"/>
          <w:szCs w:val="20"/>
          <w:lang w:bidi="en-US"/>
        </w:rPr>
        <w:t xml:space="preserve">section S11—4 Code by </w:t>
      </w:r>
      <w:r w:rsidRPr="00651CE8">
        <w:rPr>
          <w:rFonts w:eastAsia="Times New Roman" w:cs="Times New Roman"/>
          <w:lang w:bidi="en-US"/>
        </w:rPr>
        <w:t>omitting subsection S11—4(4) and substituting it with a new subsection S11—4(4), stating that in section S11—4:</w:t>
      </w:r>
    </w:p>
    <w:p w14:paraId="5C160C61" w14:textId="77777777" w:rsidR="00651CE8" w:rsidRPr="00651CE8" w:rsidRDefault="00651CE8" w:rsidP="00651CE8">
      <w:pPr>
        <w:tabs>
          <w:tab w:val="left" w:pos="851"/>
        </w:tabs>
        <w:spacing w:before="120" w:after="120"/>
        <w:ind w:left="851"/>
        <w:jc w:val="both"/>
        <w:rPr>
          <w:rFonts w:eastAsia="Times New Roman" w:cs="Times New Roman"/>
          <w:lang w:bidi="en-US"/>
        </w:rPr>
      </w:pPr>
      <w:r w:rsidRPr="00651CE8">
        <w:rPr>
          <w:rFonts w:eastAsia="Times New Roman" w:cs="Times New Roman"/>
          <w:lang w:bidi="en-US"/>
        </w:rPr>
        <w:t>‘</w:t>
      </w:r>
      <w:r w:rsidRPr="00651CE8">
        <w:rPr>
          <w:rFonts w:eastAsia="Times New Roman" w:cs="Times New Roman"/>
          <w:b/>
          <w:i/>
          <w:lang w:bidi="en-US"/>
        </w:rPr>
        <w:t>AOAC</w:t>
      </w:r>
      <w:r w:rsidRPr="00651CE8">
        <w:rPr>
          <w:rFonts w:eastAsia="Times New Roman" w:cs="Times New Roman"/>
          <w:lang w:bidi="en-US"/>
        </w:rPr>
        <w:t xml:space="preserve"> means the </w:t>
      </w:r>
      <w:r w:rsidRPr="00651CE8">
        <w:rPr>
          <w:rFonts w:eastAsia="Times New Roman" w:cs="Times New Roman"/>
          <w:i/>
          <w:lang w:bidi="en-US"/>
        </w:rPr>
        <w:t>Official Methods of Analysis of AOAC International</w:t>
      </w:r>
      <w:r w:rsidRPr="00651CE8">
        <w:rPr>
          <w:rFonts w:eastAsia="Times New Roman" w:cs="Times New Roman"/>
          <w:lang w:bidi="en-US"/>
        </w:rPr>
        <w:t xml:space="preserve">, twenty first edition, 2019, published by AOAC International, Maryland USA.’ </w:t>
      </w:r>
    </w:p>
    <w:p w14:paraId="54E5C61F" w14:textId="77777777" w:rsidR="00651CE8" w:rsidRPr="00651CE8" w:rsidRDefault="00651CE8" w:rsidP="00651CE8">
      <w:pPr>
        <w:tabs>
          <w:tab w:val="left" w:pos="851"/>
        </w:tabs>
        <w:spacing w:before="120" w:after="120"/>
        <w:jc w:val="both"/>
        <w:rPr>
          <w:rFonts w:eastAsia="Times New Roman" w:cs="Times New Roman"/>
          <w:lang w:bidi="en-US"/>
        </w:rPr>
      </w:pPr>
      <w:r w:rsidRPr="00651CE8">
        <w:rPr>
          <w:rFonts w:eastAsia="Times New Roman" w:cs="Times New Roman"/>
          <w:lang w:bidi="en-US"/>
        </w:rPr>
        <w:t xml:space="preserve">Subsection S11—4(4) currently refers to the previous AOAC, which does not list AOAC </w:t>
      </w:r>
      <w:r w:rsidRPr="00651CE8">
        <w:rPr>
          <w:rFonts w:eastAsia="Times New Roman" w:cs="Times New Roman"/>
          <w:szCs w:val="20"/>
          <w:lang w:bidi="en-US"/>
        </w:rPr>
        <w:t>2017.16</w:t>
      </w:r>
      <w:r w:rsidRPr="00651CE8">
        <w:rPr>
          <w:rFonts w:eastAsia="Times New Roman" w:cs="Times New Roman"/>
          <w:lang w:bidi="en-US"/>
        </w:rPr>
        <w:t>.</w:t>
      </w:r>
    </w:p>
    <w:p w14:paraId="0DEE67C9" w14:textId="77777777" w:rsidR="00651CE8" w:rsidRPr="00651CE8" w:rsidRDefault="00651CE8" w:rsidP="00651CE8">
      <w:pPr>
        <w:tabs>
          <w:tab w:val="left" w:pos="851"/>
        </w:tabs>
        <w:spacing w:before="120" w:after="120"/>
        <w:jc w:val="both"/>
        <w:rPr>
          <w:rFonts w:eastAsia="Times New Roman" w:cs="Times New Roman"/>
          <w:szCs w:val="20"/>
          <w:lang w:bidi="en-US"/>
        </w:rPr>
      </w:pPr>
      <w:r w:rsidRPr="00651CE8">
        <w:rPr>
          <w:rFonts w:eastAsia="Times New Roman" w:cs="Times New Roman"/>
          <w:szCs w:val="20"/>
          <w:lang w:bidi="en-US"/>
        </w:rPr>
        <w:t xml:space="preserve">In the </w:t>
      </w:r>
      <w:r w:rsidRPr="00651CE8">
        <w:rPr>
          <w:rFonts w:eastAsia="Times New Roman" w:cs="Times New Roman"/>
          <w:i/>
          <w:lang w:bidi="en-US"/>
        </w:rPr>
        <w:t xml:space="preserve">Official Methods of Analysis of AOAC International, </w:t>
      </w:r>
      <w:r w:rsidRPr="00651CE8">
        <w:rPr>
          <w:rFonts w:eastAsia="Times New Roman" w:cs="Times New Roman"/>
          <w:lang w:bidi="en-US"/>
        </w:rPr>
        <w:t>twenty first edition, 2019</w:t>
      </w:r>
      <w:r w:rsidRPr="00651CE8">
        <w:rPr>
          <w:rFonts w:eastAsia="Times New Roman" w:cs="Times New Roman"/>
          <w:i/>
          <w:lang w:bidi="en-US"/>
        </w:rPr>
        <w:t xml:space="preserve"> </w:t>
      </w:r>
      <w:r w:rsidRPr="00651CE8">
        <w:rPr>
          <w:rFonts w:eastAsia="Times New Roman" w:cs="Times New Roman"/>
          <w:lang w:bidi="en-US"/>
        </w:rPr>
        <w:t>(the current print version of the AOAC),</w:t>
      </w:r>
      <w:r w:rsidRPr="00651CE8">
        <w:rPr>
          <w:rFonts w:eastAsia="Times New Roman" w:cs="Times New Roman"/>
          <w:szCs w:val="20"/>
          <w:lang w:bidi="en-US"/>
        </w:rPr>
        <w:t xml:space="preserve"> AOAC 2017.16 is listed as only having a ‘First Action’ status. However, AOAC 2017.16 was ac</w:t>
      </w:r>
      <w:r w:rsidRPr="00651CE8">
        <w:rPr>
          <w:rFonts w:eastAsia="Times New Roman" w:cs="Times New Roman"/>
          <w:szCs w:val="20"/>
          <w:lang w:bidi="en-US"/>
        </w:rPr>
        <w:lastRenderedPageBreak/>
        <w:t xml:space="preserve">corded a ‘Final Action’ status in 2020, which is reflected in the online version of the </w:t>
      </w:r>
      <w:r w:rsidRPr="00651CE8">
        <w:rPr>
          <w:rFonts w:eastAsia="Times New Roman" w:cs="Times New Roman"/>
          <w:i/>
          <w:lang w:bidi="en-US"/>
        </w:rPr>
        <w:t xml:space="preserve">Official Methods of Analysis of AOAC International, </w:t>
      </w:r>
      <w:r w:rsidRPr="00651CE8">
        <w:rPr>
          <w:rFonts w:eastAsia="Times New Roman" w:cs="Times New Roman"/>
          <w:lang w:bidi="en-US"/>
        </w:rPr>
        <w:t>twenty first edition.</w:t>
      </w:r>
      <w:r w:rsidRPr="00651CE8">
        <w:rPr>
          <w:rFonts w:eastAsia="Times New Roman" w:cs="Times New Roman"/>
          <w:sz w:val="20"/>
          <w:szCs w:val="20"/>
        </w:rPr>
        <w:t xml:space="preserve"> </w:t>
      </w:r>
      <w:r w:rsidRPr="00651CE8">
        <w:rPr>
          <w:rFonts w:eastAsia="Times New Roman" w:cs="Times New Roman"/>
          <w:lang w:bidi="en-US"/>
        </w:rPr>
        <w:t>FSANZ understands that future revision of the current print version of the AOAC will reflect the AOAC 2017.16’s ‘Final Action’ status.</w:t>
      </w:r>
    </w:p>
    <w:p w14:paraId="0E10394D" w14:textId="77777777" w:rsidR="00651CE8" w:rsidRPr="00651CE8" w:rsidRDefault="00651CE8" w:rsidP="00651CE8">
      <w:pPr>
        <w:tabs>
          <w:tab w:val="left" w:pos="851"/>
        </w:tabs>
        <w:spacing w:before="120" w:after="120"/>
        <w:jc w:val="both"/>
        <w:rPr>
          <w:rFonts w:eastAsia="Times New Roman" w:cs="Times New Roman"/>
          <w:szCs w:val="20"/>
          <w:lang w:bidi="en-US"/>
        </w:rPr>
      </w:pPr>
      <w:r w:rsidRPr="00651CE8">
        <w:rPr>
          <w:rFonts w:eastAsia="Times New Roman" w:cs="Times New Roman"/>
          <w:szCs w:val="20"/>
          <w:lang w:bidi="en-US"/>
        </w:rPr>
        <w:t>The effects of both amendments would be to:</w:t>
      </w:r>
    </w:p>
    <w:p w14:paraId="1F730A0E" w14:textId="77777777" w:rsidR="00651CE8" w:rsidRPr="00651CE8" w:rsidRDefault="00651CE8" w:rsidP="00651CE8">
      <w:pPr>
        <w:widowControl w:val="0"/>
        <w:numPr>
          <w:ilvl w:val="0"/>
          <w:numId w:val="14"/>
        </w:numPr>
        <w:tabs>
          <w:tab w:val="left" w:pos="851"/>
        </w:tabs>
        <w:spacing w:before="120" w:after="120"/>
        <w:jc w:val="both"/>
        <w:rPr>
          <w:rFonts w:eastAsia="Times New Roman" w:cs="Times New Roman"/>
          <w:szCs w:val="20"/>
          <w:lang w:bidi="en-US"/>
        </w:rPr>
      </w:pPr>
      <w:r w:rsidRPr="00651CE8">
        <w:rPr>
          <w:rFonts w:eastAsia="Times New Roman" w:cs="Times New Roman"/>
          <w:szCs w:val="20"/>
          <w:lang w:bidi="en-US"/>
        </w:rPr>
        <w:t>for the purposes of subsections 1.2.8—7(7) and S5—6(2)—permit the use of the AOAC 2017.16 when determining the total amount of dietary fibre in food under section S11—4; and</w:t>
      </w:r>
    </w:p>
    <w:p w14:paraId="1B556EB7" w14:textId="77777777" w:rsidR="00651CE8" w:rsidRPr="00651CE8" w:rsidRDefault="00651CE8" w:rsidP="00651CE8">
      <w:pPr>
        <w:widowControl w:val="0"/>
        <w:numPr>
          <w:ilvl w:val="0"/>
          <w:numId w:val="14"/>
        </w:numPr>
        <w:tabs>
          <w:tab w:val="left" w:pos="851"/>
        </w:tabs>
        <w:spacing w:before="120" w:after="120"/>
        <w:jc w:val="both"/>
        <w:rPr>
          <w:rFonts w:eastAsia="Times New Roman" w:cs="Times New Roman"/>
          <w:szCs w:val="20"/>
          <w:lang w:bidi="en-US"/>
        </w:rPr>
      </w:pPr>
      <w:r w:rsidRPr="00651CE8">
        <w:rPr>
          <w:rFonts w:eastAsia="Times New Roman" w:cs="Times New Roman"/>
          <w:szCs w:val="20"/>
          <w:lang w:bidi="en-US"/>
        </w:rPr>
        <w:t xml:space="preserve">replace the current references in section S11—4 to the </w:t>
      </w:r>
      <w:r w:rsidRPr="00651CE8">
        <w:rPr>
          <w:rFonts w:eastAsia="Times New Roman" w:cs="Times New Roman"/>
          <w:lang w:bidi="en-US"/>
        </w:rPr>
        <w:t>eighteenth edition</w:t>
      </w:r>
      <w:r w:rsidRPr="00651CE8" w:rsidDel="00981CAC">
        <w:rPr>
          <w:rFonts w:eastAsia="Times New Roman" w:cs="Times New Roman"/>
          <w:szCs w:val="20"/>
          <w:lang w:bidi="en-US"/>
        </w:rPr>
        <w:t xml:space="preserve"> </w:t>
      </w:r>
      <w:r w:rsidRPr="00651CE8">
        <w:rPr>
          <w:rFonts w:eastAsia="Times New Roman" w:cs="Times New Roman"/>
          <w:szCs w:val="20"/>
          <w:lang w:bidi="en-US"/>
        </w:rPr>
        <w:t xml:space="preserve">of the AOAC with references to </w:t>
      </w:r>
      <w:r w:rsidRPr="00651CE8">
        <w:rPr>
          <w:rFonts w:eastAsia="Times New Roman" w:cs="Times New Roman"/>
          <w:lang w:bidi="en-US"/>
        </w:rPr>
        <w:t>the twenty first edition</w:t>
      </w:r>
      <w:r w:rsidRPr="00651CE8" w:rsidDel="00981CAC">
        <w:rPr>
          <w:rFonts w:eastAsia="Times New Roman" w:cs="Times New Roman"/>
          <w:lang w:bidi="en-US"/>
        </w:rPr>
        <w:t xml:space="preserve"> </w:t>
      </w:r>
      <w:r w:rsidRPr="00651CE8">
        <w:rPr>
          <w:rFonts w:eastAsia="Times New Roman" w:cs="Times New Roman"/>
          <w:lang w:bidi="en-US"/>
        </w:rPr>
        <w:t xml:space="preserve">of the AOAC, so that references </w:t>
      </w:r>
      <w:r w:rsidRPr="00651CE8">
        <w:rPr>
          <w:rFonts w:eastAsia="Times New Roman" w:cs="Times New Roman"/>
          <w:szCs w:val="20"/>
          <w:lang w:bidi="en-US"/>
        </w:rPr>
        <w:t xml:space="preserve">in section S11—4 </w:t>
      </w:r>
      <w:r w:rsidRPr="00651CE8">
        <w:rPr>
          <w:rFonts w:eastAsia="Times New Roman" w:cs="Times New Roman"/>
          <w:lang w:bidi="en-US"/>
        </w:rPr>
        <w:t>to methods of analysis contained in specified sections of the AOAC would be references to methods of analysis contained in specified sections of the twenty first edition of the AOAC</w:t>
      </w:r>
      <w:r w:rsidRPr="00651CE8">
        <w:rPr>
          <w:rFonts w:eastAsia="Times New Roman" w:cs="Times New Roman"/>
          <w:szCs w:val="20"/>
          <w:lang w:bidi="en-US"/>
        </w:rPr>
        <w:t>.</w:t>
      </w:r>
    </w:p>
    <w:p w14:paraId="37851BBA" w14:textId="77777777" w:rsidR="00D5526B" w:rsidRPr="003A01FB" w:rsidRDefault="00D5526B" w:rsidP="003A01FB"/>
    <w:sectPr w:rsidR="00D5526B" w:rsidRPr="003A01FB" w:rsidSect="00227EB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9549D" w14:textId="77777777" w:rsidR="006D0A26" w:rsidRDefault="006D0A26" w:rsidP="007973A5">
      <w:r>
        <w:separator/>
      </w:r>
    </w:p>
  </w:endnote>
  <w:endnote w:type="continuationSeparator" w:id="0">
    <w:p w14:paraId="63300910" w14:textId="77777777" w:rsidR="006D0A26" w:rsidRDefault="006D0A26" w:rsidP="0079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57FB9" w14:textId="77777777" w:rsidR="006D0A26" w:rsidRDefault="006D0A26" w:rsidP="007973A5">
      <w:r>
        <w:separator/>
      </w:r>
    </w:p>
  </w:footnote>
  <w:footnote w:type="continuationSeparator" w:id="0">
    <w:p w14:paraId="048184D2" w14:textId="77777777" w:rsidR="006D0A26" w:rsidRDefault="006D0A26" w:rsidP="007973A5">
      <w:r>
        <w:continuationSeparator/>
      </w:r>
    </w:p>
  </w:footnote>
  <w:footnote w:id="1">
    <w:p w14:paraId="77D130FF" w14:textId="77777777" w:rsidR="00651CE8" w:rsidRPr="005F2391" w:rsidRDefault="00651CE8" w:rsidP="00651CE8">
      <w:pPr>
        <w:pStyle w:val="FootnoteText"/>
        <w:rPr>
          <w:lang w:val="en-US"/>
        </w:rPr>
      </w:pPr>
      <w:r>
        <w:rPr>
          <w:rStyle w:val="FootnoteReference"/>
        </w:rPr>
        <w:footnoteRef/>
      </w:r>
      <w:r>
        <w:t xml:space="preserve"> </w:t>
      </w:r>
      <w:r w:rsidRPr="006900F4">
        <w:rPr>
          <w:rFonts w:cs="Arial"/>
          <w:b/>
          <w:i/>
          <w:sz w:val="16"/>
          <w:szCs w:val="19"/>
        </w:rPr>
        <w:t xml:space="preserve">AOAC </w:t>
      </w:r>
      <w:r w:rsidRPr="006900F4">
        <w:rPr>
          <w:rFonts w:cs="Arial"/>
          <w:sz w:val="16"/>
          <w:szCs w:val="19"/>
        </w:rPr>
        <w:t xml:space="preserve">means the </w:t>
      </w:r>
      <w:r w:rsidRPr="006900F4">
        <w:rPr>
          <w:rFonts w:cs="Arial"/>
          <w:i/>
          <w:sz w:val="16"/>
          <w:szCs w:val="19"/>
        </w:rPr>
        <w:t>Official Methods of Analysis of AOAC International</w:t>
      </w:r>
      <w:r w:rsidRPr="00914B04">
        <w:rPr>
          <w:rFonts w:cs="Arial"/>
          <w:sz w:val="16"/>
          <w:szCs w:val="19"/>
        </w:rPr>
        <w:t>, twenty first edition, 2019, published by AOAC International, Maryland USA.</w:t>
      </w:r>
    </w:p>
  </w:footnote>
  <w:footnote w:id="2">
    <w:p w14:paraId="2F519622" w14:textId="77777777" w:rsidR="00651CE8" w:rsidRPr="003B3EE3" w:rsidRDefault="00651CE8" w:rsidP="00651CE8">
      <w:pPr>
        <w:pStyle w:val="FootnoteText"/>
        <w:rPr>
          <w:lang w:val="en-AU"/>
        </w:rPr>
      </w:pPr>
      <w:r>
        <w:rPr>
          <w:rStyle w:val="FootnoteReference"/>
        </w:rPr>
        <w:footnoteRef/>
      </w:r>
      <w:r>
        <w:t xml:space="preserve"> </w:t>
      </w:r>
      <w:r w:rsidRPr="00F953D8">
        <w:rPr>
          <w:rFonts w:eastAsia="Calibri" w:cs="Arial"/>
          <w:bCs/>
          <w:sz w:val="16"/>
          <w:szCs w:val="22"/>
          <w:lang w:val="en-AU"/>
        </w:rPr>
        <w:t xml:space="preserve">Formerly the </w:t>
      </w:r>
      <w:r w:rsidRPr="00F953D8">
        <w:rPr>
          <w:rFonts w:cs="Helvetica"/>
          <w:sz w:val="16"/>
          <w:lang w:val="en-AU"/>
        </w:rPr>
        <w:t xml:space="preserve">Australia and New Zealand Ministerial Forum on Food </w:t>
      </w:r>
      <w:r w:rsidRPr="00F953D8">
        <w:rPr>
          <w:rFonts w:cs="Arial"/>
          <w:sz w:val="16"/>
        </w:rPr>
        <w:t>Regulation</w:t>
      </w:r>
      <w:r>
        <w:rPr>
          <w:rFonts w:cs="Arial"/>
          <w:sz w:val="16"/>
        </w:rPr>
        <w:t xml:space="preserve"> (the Forum)</w:t>
      </w:r>
      <w:r w:rsidRPr="00F953D8">
        <w:rPr>
          <w:sz w:val="16"/>
        </w:rPr>
        <w:t>. The Forum name change took effect on 21 February 2021 following a decision by Ministers.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38A12867"/>
    <w:multiLevelType w:val="hybridMultilevel"/>
    <w:tmpl w:val="74FEC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4"/>
  </w:num>
  <w:num w:numId="9">
    <w:abstractNumId w:val="2"/>
  </w:num>
  <w:num w:numId="10">
    <w:abstractNumId w:val="3"/>
  </w:num>
  <w:num w:numId="11">
    <w:abstractNumId w:val="4"/>
  </w:num>
  <w:num w:numId="12">
    <w:abstractNumId w:val="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3A5"/>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51CE8"/>
    <w:rsid w:val="006B6900"/>
    <w:rsid w:val="006D0A26"/>
    <w:rsid w:val="006D473E"/>
    <w:rsid w:val="007201F8"/>
    <w:rsid w:val="00793DE6"/>
    <w:rsid w:val="007973A5"/>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4461"/>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24569"/>
  <w15:chartTrackingRefBased/>
  <w15:docId w15:val="{37E7C0C4-3A37-46F8-808E-5AA7E594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rsid w:val="00651C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p:properties xmlns:p="http://schemas.microsoft.com/office/2006/metadata/properties" xmlns:xsi="http://www.w3.org/2001/XMLSchema-instance" xmlns:pc="http://schemas.microsoft.com/office/infopath/2007/PartnerControls">
  <documentManagement>
    <Abstract xmlns="5759555f-5bed-45a4-a4c2-4e28e2623455" xsi:nil="true"/>
    <Agenda xmlns="5759555f-5bed-45a4-a4c2-4e28e2623455" xsi:nil="true"/>
    <Attachement xmlns="5759555f-5bed-45a4-a4c2-4e28e2623455">true</Attachement>
    <Hyperlink xmlns="5759555f-5bed-45a4-a4c2-4e28e2623455">
      <Url xsi:nil="true"/>
      <Description xsi:nil="true"/>
    </Hyperlink>
    <Related_x0020_project xmlns="ec50576e-4a27-4780-a1e1-e59563bc70b8" xsi:nil="true"/>
    <TaxCatchAll xmlns="ec50576e-4a27-4780-a1e1-e59563bc70b8">
      <Value>531</Value>
    </TaxCatchAll>
    <Links xmlns="5759555f-5bed-45a4-a4c2-4e28e2623455" xsi:nil="true"/>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bd06d2da0152468b9236b575a71e0e7c>
    <_dlc_DocId xmlns="5759555f-5bed-45a4-a4c2-4e28e2623455">MMF7YEMDTSDN-199-16776</_dlc_DocId>
    <_dlc_DocIdUrl xmlns="5759555f-5bed-45a4-a4c2-4e28e2623455">
      <Url>http://fsintranet/Sections/pss/_layouts/15/DocIdRedir.aspx?ID=MMF7YEMDTSDN-199-16776</Url>
      <Description>MMF7YEMDTSDN-199-16776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C10D0F970AB1946B2221A8383DDC535" ma:contentTypeVersion="45" ma:contentTypeDescription="FSANZ Record" ma:contentTypeScope="" ma:versionID="44dafba06524bb1100cbe2217001059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6474ed6af55c1efd9c74e3d285c351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FF56A-401D-49DA-9A5C-37FF01ED4FDF}">
  <ds:schemaRefs>
    <ds:schemaRef ds:uri="http://schemas.microsoft.com/sharepoint/v3/contenttype/forms"/>
  </ds:schemaRefs>
</ds:datastoreItem>
</file>

<file path=customXml/itemProps2.xml><?xml version="1.0" encoding="utf-8"?>
<ds:datastoreItem xmlns:ds="http://schemas.openxmlformats.org/officeDocument/2006/customXml" ds:itemID="{98019545-A0FF-45D1-8249-1F067A0C96F6}">
  <ds:schemaRefs>
    <ds:schemaRef ds:uri="http://schemas.microsoft.com/office/2006/metadata/customXsn"/>
  </ds:schemaRefs>
</ds:datastoreItem>
</file>

<file path=customXml/itemProps3.xml><?xml version="1.0" encoding="utf-8"?>
<ds:datastoreItem xmlns:ds="http://schemas.openxmlformats.org/officeDocument/2006/customXml" ds:itemID="{C6FC3F08-F9ED-497F-9950-8B05C9838A8E}">
  <ds:schemaRefs>
    <ds:schemaRef ds:uri="http://schemas.microsoft.com/sharepoint/events"/>
  </ds:schemaRefs>
</ds:datastoreItem>
</file>

<file path=customXml/itemProps4.xml><?xml version="1.0" encoding="utf-8"?>
<ds:datastoreItem xmlns:ds="http://schemas.openxmlformats.org/officeDocument/2006/customXml" ds:itemID="{B3EE7FD9-91DF-4BE6-A8C3-73183CF6DEA7}">
  <ds:schemaRefs>
    <ds:schemaRef ds:uri="Microsoft.SharePoint.Taxonomy.ContentTypeSync"/>
  </ds:schemaRefs>
</ds:datastoreItem>
</file>

<file path=customXml/itemProps5.xml><?xml version="1.0" encoding="utf-8"?>
<ds:datastoreItem xmlns:ds="http://schemas.openxmlformats.org/officeDocument/2006/customXml" ds:itemID="{9E8FBDBE-B215-4A29-971C-09D774272898}">
  <ds:schemaRefs>
    <ds:schemaRef ds:uri="http://purl.org/dc/terms/"/>
    <ds:schemaRef ds:uri="http://purl.org/dc/dcmitype/"/>
    <ds:schemaRef ds:uri="http://schemas.microsoft.com/office/infopath/2007/PartnerControls"/>
    <ds:schemaRef ds:uri="5759555f-5bed-45a4-a4c2-4e28e2623455"/>
    <ds:schemaRef ds:uri="http://www.w3.org/XML/1998/namespace"/>
    <ds:schemaRef ds:uri="http://schemas.openxmlformats.org/package/2006/metadata/core-properties"/>
    <ds:schemaRef ds:uri="http://purl.org/dc/elements/1.1/"/>
    <ds:schemaRef ds:uri="ec50576e-4a27-4780-a1e1-e59563bc70b8"/>
    <ds:schemaRef ds:uri="http://schemas.microsoft.com/office/2006/documentManagement/types"/>
    <ds:schemaRef ds:uri="http://schemas.microsoft.com/office/2006/metadata/properties"/>
  </ds:schemaRefs>
</ds:datastoreItem>
</file>

<file path=customXml/itemProps6.xml><?xml version="1.0" encoding="utf-8"?>
<ds:datastoreItem xmlns:ds="http://schemas.openxmlformats.org/officeDocument/2006/customXml" ds:itemID="{BBDD5FF6-79D5-45C9-B5C4-F3B82568C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0623109-9269-4E6D-8A1A-96D84F048037}">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74AC8975-1ED8-4764-B27F-6CCC7D52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2</cp:revision>
  <dcterms:created xsi:type="dcterms:W3CDTF">2022-01-13T01:14:00Z</dcterms:created>
  <dcterms:modified xsi:type="dcterms:W3CDTF">2022-01-13T01:14:00Z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0d601ac4-a4c9-4a90-b24c-0fe9af5a99cd</vt:lpwstr>
  </property>
  <property fmtid="{D5CDD505-2E9C-101B-9397-08002B2CF9AE}" pid="3" name="bjSaver">
    <vt:lpwstr>F7CJ7+j1H4mVV8c3pro2WrI4n/XQdguU</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0x01010004C4C934AD08B647A78FCADD498BE3190200CC10D0F970AB1946B2221A8383DDC535</vt:lpwstr>
  </property>
  <property fmtid="{D5CDD505-2E9C-101B-9397-08002B2CF9AE}" pid="8" name="_dlc_DocIdItemGuid">
    <vt:lpwstr>d668acdb-6cff-43cd-8eb7-3a46b4939250</vt:lpwstr>
  </property>
  <property fmtid="{D5CDD505-2E9C-101B-9397-08002B2CF9AE}" pid="9" name="DisposalClass">
    <vt:lpwstr/>
  </property>
  <property fmtid="{D5CDD505-2E9C-101B-9397-08002B2CF9AE}" pid="10" name="BCS_">
    <vt:lpwstr>531;#Instruments|4a8ff5e5-1f0e-4751-ab44-bc0d33b46a80</vt:lpwstr>
  </property>
</Properties>
</file>