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1CBD" w14:textId="77777777" w:rsidR="00C24A76" w:rsidRPr="006E241F" w:rsidRDefault="00C24A76" w:rsidP="00C24A76">
      <w:pPr>
        <w:spacing w:after="200" w:line="276" w:lineRule="auto"/>
        <w:jc w:val="center"/>
        <w:rPr>
          <w:rFonts w:eastAsia="Calibri"/>
          <w:b/>
          <w:sz w:val="22"/>
          <w:szCs w:val="22"/>
          <w:lang w:eastAsia="en-US"/>
        </w:rPr>
      </w:pPr>
      <w:r w:rsidRPr="006E241F">
        <w:rPr>
          <w:rFonts w:eastAsia="Calibri"/>
          <w:b/>
          <w:sz w:val="22"/>
          <w:szCs w:val="22"/>
          <w:lang w:eastAsia="en-US"/>
        </w:rPr>
        <w:t>EXPLANATORY STATEMENT</w:t>
      </w:r>
    </w:p>
    <w:p w14:paraId="5C9C5A85" w14:textId="77777777" w:rsidR="00C24A76" w:rsidRPr="006E241F" w:rsidRDefault="00C24A76" w:rsidP="00C24A76">
      <w:pPr>
        <w:spacing w:after="200" w:line="276" w:lineRule="auto"/>
        <w:jc w:val="center"/>
        <w:rPr>
          <w:rFonts w:eastAsia="Calibri"/>
          <w:sz w:val="22"/>
          <w:szCs w:val="22"/>
          <w:lang w:eastAsia="en-US"/>
        </w:rPr>
      </w:pPr>
    </w:p>
    <w:p w14:paraId="754994AD" w14:textId="77F95F75" w:rsidR="00C24A76" w:rsidRPr="006E241F" w:rsidRDefault="00C24A76" w:rsidP="00C24A76">
      <w:pPr>
        <w:spacing w:after="200" w:line="276" w:lineRule="auto"/>
        <w:jc w:val="center"/>
        <w:rPr>
          <w:rFonts w:eastAsia="Calibri"/>
          <w:sz w:val="22"/>
          <w:szCs w:val="22"/>
          <w:lang w:eastAsia="en-US"/>
        </w:rPr>
      </w:pPr>
      <w:r w:rsidRPr="006E241F">
        <w:rPr>
          <w:rFonts w:eastAsia="Calibri"/>
          <w:sz w:val="22"/>
          <w:szCs w:val="22"/>
          <w:lang w:eastAsia="en-US"/>
        </w:rPr>
        <w:t xml:space="preserve">Issued by the </w:t>
      </w:r>
      <w:r w:rsidR="006E241F" w:rsidRPr="006E241F">
        <w:rPr>
          <w:rFonts w:eastAsia="Calibri"/>
          <w:sz w:val="22"/>
          <w:szCs w:val="22"/>
          <w:lang w:eastAsia="en-US"/>
        </w:rPr>
        <w:t>eSafety Commissioner</w:t>
      </w:r>
    </w:p>
    <w:p w14:paraId="48A45973" w14:textId="42E79ACF" w:rsidR="2B9191E8" w:rsidRDefault="2B9191E8" w:rsidP="7AEFFED5">
      <w:pPr>
        <w:spacing w:after="200" w:line="276" w:lineRule="auto"/>
        <w:jc w:val="center"/>
        <w:rPr>
          <w:rFonts w:eastAsia="Calibri"/>
          <w:i/>
          <w:iCs/>
          <w:sz w:val="22"/>
          <w:szCs w:val="22"/>
          <w:lang w:eastAsia="en-US"/>
        </w:rPr>
      </w:pPr>
      <w:r w:rsidRPr="7AEFFED5">
        <w:rPr>
          <w:rFonts w:eastAsia="Calibri"/>
          <w:i/>
          <w:iCs/>
          <w:lang w:eastAsia="en-US"/>
        </w:rPr>
        <w:t>Online Safety (Restricted Access Systems) Declaration 2022</w:t>
      </w:r>
    </w:p>
    <w:p w14:paraId="14EB6B94" w14:textId="79BC9EFF" w:rsidR="00C24A76" w:rsidRPr="006E241F" w:rsidRDefault="006E241F" w:rsidP="00C24A76">
      <w:pPr>
        <w:spacing w:after="200" w:line="276" w:lineRule="auto"/>
        <w:jc w:val="center"/>
        <w:rPr>
          <w:rFonts w:eastAsia="Calibri"/>
          <w:i/>
          <w:sz w:val="22"/>
          <w:szCs w:val="22"/>
          <w:lang w:eastAsia="en-US"/>
        </w:rPr>
      </w:pPr>
      <w:r w:rsidRPr="006E241F">
        <w:rPr>
          <w:rFonts w:eastAsia="Calibri"/>
          <w:i/>
          <w:sz w:val="22"/>
          <w:szCs w:val="22"/>
          <w:lang w:eastAsia="en-US"/>
        </w:rPr>
        <w:t>Online Safety Act 2021</w:t>
      </w:r>
    </w:p>
    <w:p w14:paraId="268AC62A" w14:textId="77777777" w:rsidR="00C24A76" w:rsidRPr="006E241F" w:rsidRDefault="00C24A76" w:rsidP="00C24A76">
      <w:pPr>
        <w:rPr>
          <w:b/>
        </w:rPr>
      </w:pPr>
    </w:p>
    <w:p w14:paraId="34E0F1FB" w14:textId="77777777" w:rsidR="00C24A76" w:rsidRPr="006E241F" w:rsidRDefault="00C24A76" w:rsidP="00C24A76">
      <w:pPr>
        <w:rPr>
          <w:b/>
          <w:szCs w:val="28"/>
        </w:rPr>
      </w:pPr>
      <w:r w:rsidRPr="006E241F">
        <w:rPr>
          <w:b/>
          <w:szCs w:val="28"/>
        </w:rPr>
        <w:t>Purpose</w:t>
      </w:r>
    </w:p>
    <w:p w14:paraId="34AFF0EB" w14:textId="77777777" w:rsidR="00C24A76" w:rsidRPr="006E241F" w:rsidRDefault="00C24A76" w:rsidP="00C24A76">
      <w:pPr>
        <w:pStyle w:val="ACMABodyText"/>
        <w:spacing w:before="0" w:after="0"/>
        <w:rPr>
          <w:b/>
          <w:i/>
          <w:szCs w:val="24"/>
        </w:rPr>
      </w:pPr>
    </w:p>
    <w:p w14:paraId="5CBA2CD4" w14:textId="03A50077" w:rsidR="00C24A76" w:rsidRPr="006E241F" w:rsidRDefault="00C24A76" w:rsidP="00C24A76">
      <w:pPr>
        <w:pStyle w:val="ACMABodyText"/>
        <w:spacing w:before="0" w:after="0"/>
      </w:pPr>
      <w:r>
        <w:t xml:space="preserve">The </w:t>
      </w:r>
      <w:r w:rsidR="530F97A4" w:rsidRPr="7AEFFED5">
        <w:rPr>
          <w:i/>
          <w:iCs/>
        </w:rPr>
        <w:t>Online Safety (</w:t>
      </w:r>
      <w:r w:rsidRPr="7AEFFED5">
        <w:rPr>
          <w:i/>
        </w:rPr>
        <w:t xml:space="preserve">Restricted </w:t>
      </w:r>
      <w:r w:rsidR="006E241F" w:rsidRPr="7AEFFED5">
        <w:rPr>
          <w:i/>
        </w:rPr>
        <w:t>Access Systems</w:t>
      </w:r>
      <w:r w:rsidR="530F97A4" w:rsidRPr="7AEFFED5">
        <w:rPr>
          <w:i/>
          <w:iCs/>
        </w:rPr>
        <w:t>)</w:t>
      </w:r>
      <w:r w:rsidR="006E241F" w:rsidRPr="7AEFFED5">
        <w:rPr>
          <w:i/>
        </w:rPr>
        <w:t xml:space="preserve"> Declaration 202</w:t>
      </w:r>
      <w:r w:rsidR="00021461" w:rsidRPr="7AEFFED5">
        <w:rPr>
          <w:i/>
        </w:rPr>
        <w:t>2</w:t>
      </w:r>
      <w:r w:rsidRPr="7AEFFED5">
        <w:rPr>
          <w:i/>
        </w:rPr>
        <w:t xml:space="preserve"> </w:t>
      </w:r>
      <w:r>
        <w:t xml:space="preserve">(the Declaration) has been made by the </w:t>
      </w:r>
      <w:r w:rsidR="006E241F">
        <w:t xml:space="preserve">eSafety Commissioner </w:t>
      </w:r>
      <w:r w:rsidR="00F45A2B">
        <w:t>(the Commissioner)</w:t>
      </w:r>
      <w:r w:rsidR="00F45A2B" w:rsidRPr="7AEFFED5">
        <w:rPr>
          <w:b/>
        </w:rPr>
        <w:t xml:space="preserve"> </w:t>
      </w:r>
      <w:r w:rsidR="006E241F">
        <w:t xml:space="preserve">under subsection 108(1) of the </w:t>
      </w:r>
      <w:r w:rsidR="006E241F" w:rsidRPr="7AEFFED5">
        <w:rPr>
          <w:i/>
        </w:rPr>
        <w:t>Online Safety Act 2021</w:t>
      </w:r>
      <w:r w:rsidR="006E241F">
        <w:t xml:space="preserve"> (the Act).</w:t>
      </w:r>
    </w:p>
    <w:p w14:paraId="6D56A977" w14:textId="77777777" w:rsidR="00C24A76" w:rsidRPr="006E241F" w:rsidRDefault="00C24A76" w:rsidP="00C24A76">
      <w:pPr>
        <w:pStyle w:val="ACMABodyText"/>
        <w:spacing w:before="0" w:after="0"/>
        <w:rPr>
          <w:szCs w:val="24"/>
        </w:rPr>
      </w:pPr>
    </w:p>
    <w:p w14:paraId="30B01C03" w14:textId="77777777" w:rsidR="00C24A76" w:rsidRPr="006E241F" w:rsidRDefault="00C24A76" w:rsidP="00C24A76">
      <w:pPr>
        <w:pStyle w:val="ACMABodyText"/>
        <w:spacing w:before="0" w:after="0"/>
        <w:rPr>
          <w:b/>
          <w:szCs w:val="24"/>
        </w:rPr>
      </w:pPr>
      <w:r w:rsidRPr="006E241F">
        <w:rPr>
          <w:b/>
          <w:szCs w:val="24"/>
        </w:rPr>
        <w:t>Legislative provisions</w:t>
      </w:r>
    </w:p>
    <w:p w14:paraId="6F2F7A93" w14:textId="77777777" w:rsidR="00C24A76" w:rsidRPr="006E241F" w:rsidRDefault="00C24A76" w:rsidP="00C24A76">
      <w:pPr>
        <w:pStyle w:val="ACMABodyText"/>
        <w:spacing w:before="0" w:after="0"/>
        <w:rPr>
          <w:szCs w:val="24"/>
        </w:rPr>
      </w:pPr>
    </w:p>
    <w:p w14:paraId="6E1E6C47" w14:textId="3F4AEA59" w:rsidR="002604E8" w:rsidRDefault="00F45A2B" w:rsidP="00F45A2B">
      <w:pPr>
        <w:pStyle w:val="ACMABodyText"/>
        <w:spacing w:before="0" w:after="0"/>
      </w:pPr>
      <w:r>
        <w:t>Section 108(1) empowers the Commissioner to declare</w:t>
      </w:r>
      <w:r w:rsidR="00510F66">
        <w:t>, by legislative instrument,</w:t>
      </w:r>
      <w:r>
        <w:t xml:space="preserve"> that a</w:t>
      </w:r>
      <w:r w:rsidR="00C24A76">
        <w:t xml:space="preserve"> </w:t>
      </w:r>
      <w:r>
        <w:t xml:space="preserve">specified </w:t>
      </w:r>
      <w:r w:rsidR="00C24A76">
        <w:t>access</w:t>
      </w:r>
      <w:r w:rsidR="00933891">
        <w:t>-</w:t>
      </w:r>
      <w:r>
        <w:t>control system</w:t>
      </w:r>
      <w:r w:rsidR="00C24A76">
        <w:t xml:space="preserve"> </w:t>
      </w:r>
      <w:r>
        <w:t xml:space="preserve">is a </w:t>
      </w:r>
      <w:r w:rsidRPr="391F50AF">
        <w:rPr>
          <w:b/>
          <w:bCs/>
          <w:i/>
          <w:iCs/>
        </w:rPr>
        <w:t>restricted access system</w:t>
      </w:r>
      <w:r>
        <w:t xml:space="preserve"> in relation to material for the purposes of the Act</w:t>
      </w:r>
      <w:r w:rsidR="00402537">
        <w:t xml:space="preserve"> (RAS Declaration)</w:t>
      </w:r>
      <w:r>
        <w:t xml:space="preserve">. </w:t>
      </w:r>
    </w:p>
    <w:p w14:paraId="73F352E2" w14:textId="77777777" w:rsidR="002604E8" w:rsidRDefault="002604E8" w:rsidP="00F45A2B">
      <w:pPr>
        <w:pStyle w:val="ACMABodyText"/>
        <w:spacing w:before="0" w:after="0"/>
        <w:rPr>
          <w:szCs w:val="24"/>
        </w:rPr>
      </w:pPr>
    </w:p>
    <w:p w14:paraId="621ED53E" w14:textId="380D2463" w:rsidR="00F45A2B" w:rsidRDefault="00F45A2B" w:rsidP="00F45A2B">
      <w:pPr>
        <w:pStyle w:val="ACMABodyText"/>
        <w:spacing w:before="0" w:after="0"/>
      </w:pPr>
      <w:r>
        <w:t>The Declaration specifies an access</w:t>
      </w:r>
      <w:r w:rsidR="00933891">
        <w:t>-</w:t>
      </w:r>
      <w:r>
        <w:t xml:space="preserve">control system as a restricted access system for </w:t>
      </w:r>
      <w:r w:rsidR="00AC3A89">
        <w:t xml:space="preserve">‘relevant </w:t>
      </w:r>
      <w:r>
        <w:t>class 2 material</w:t>
      </w:r>
      <w:r w:rsidR="002604E8">
        <w:t>’</w:t>
      </w:r>
      <w:r>
        <w:t xml:space="preserve"> </w:t>
      </w:r>
      <w:r w:rsidR="00AC3A89">
        <w:t>being the mater</w:t>
      </w:r>
      <w:r w:rsidR="00262990">
        <w:t xml:space="preserve">ial covered by </w:t>
      </w:r>
      <w:r w:rsidR="00851CCD">
        <w:t>sub</w:t>
      </w:r>
      <w:r w:rsidR="00F77A6F">
        <w:t>paragraphs</w:t>
      </w:r>
      <w:r>
        <w:t xml:space="preserve"> 107</w:t>
      </w:r>
      <w:r w:rsidR="002604E8">
        <w:t>(1)(f), (g), (h), (i), (j), (k) and (l)</w:t>
      </w:r>
      <w:r>
        <w:t xml:space="preserve"> of the Act. </w:t>
      </w:r>
      <w:r w:rsidR="002A6656">
        <w:t>By way of summary</w:t>
      </w:r>
      <w:r w:rsidR="002604E8">
        <w:t>, this</w:t>
      </w:r>
      <w:r>
        <w:t xml:space="preserve"> material includes</w:t>
      </w:r>
      <w:r w:rsidR="002A6656">
        <w:t xml:space="preserve"> the following</w:t>
      </w:r>
      <w:r>
        <w:t>:</w:t>
      </w:r>
    </w:p>
    <w:p w14:paraId="6BF0762C" w14:textId="2F5EF687" w:rsidR="00F45A2B" w:rsidRPr="00F45A2B" w:rsidRDefault="002A6656" w:rsidP="00F45A2B">
      <w:pPr>
        <w:pStyle w:val="ACMABodyText"/>
        <w:numPr>
          <w:ilvl w:val="0"/>
          <w:numId w:val="14"/>
        </w:numPr>
        <w:spacing w:before="0" w:after="0"/>
        <w:rPr>
          <w:i/>
        </w:rPr>
      </w:pPr>
      <w:r>
        <w:t xml:space="preserve">a </w:t>
      </w:r>
      <w:r w:rsidR="00F45A2B">
        <w:t>film</w:t>
      </w:r>
      <w:r>
        <w:t xml:space="preserve"> (or the contents of a film)</w:t>
      </w:r>
      <w:r w:rsidR="00F45A2B">
        <w:t xml:space="preserve"> that </w:t>
      </w:r>
      <w:r>
        <w:t>has</w:t>
      </w:r>
      <w:r w:rsidR="00F45A2B">
        <w:t xml:space="preserve"> been classified as R 18+ by the Classification Board established by the </w:t>
      </w:r>
      <w:r w:rsidR="00F45A2B" w:rsidRPr="00F45A2B">
        <w:rPr>
          <w:i/>
        </w:rPr>
        <w:t>Classification (Publications, Films and Computer Games) Act 1995</w:t>
      </w:r>
      <w:r w:rsidR="00E92589">
        <w:rPr>
          <w:i/>
        </w:rPr>
        <w:t xml:space="preserve"> </w:t>
      </w:r>
      <w:r w:rsidR="00E92589">
        <w:rPr>
          <w:iCs/>
        </w:rPr>
        <w:t>(Classification Board)</w:t>
      </w:r>
      <w:r w:rsidR="004948AA">
        <w:rPr>
          <w:iCs/>
        </w:rPr>
        <w:t>;</w:t>
      </w:r>
    </w:p>
    <w:p w14:paraId="623A9140" w14:textId="36F072EC" w:rsidR="00F45A2B" w:rsidRPr="002A6656" w:rsidRDefault="002A6656" w:rsidP="00F45A2B">
      <w:pPr>
        <w:pStyle w:val="ACMABodyText"/>
        <w:numPr>
          <w:ilvl w:val="0"/>
          <w:numId w:val="14"/>
        </w:numPr>
        <w:spacing w:before="0" w:after="0"/>
        <w:rPr>
          <w:i/>
        </w:rPr>
      </w:pPr>
      <w:r>
        <w:t>a publication (or the contents of a publication) that has been classified as Category 1 restricted by the Classification Board</w:t>
      </w:r>
      <w:r w:rsidR="004948AA">
        <w:t>;</w:t>
      </w:r>
    </w:p>
    <w:p w14:paraId="3235F8A9" w14:textId="641CDEF7" w:rsidR="002A6656" w:rsidRPr="002A6656" w:rsidRDefault="002A6656" w:rsidP="00F45A2B">
      <w:pPr>
        <w:pStyle w:val="ACMABodyText"/>
        <w:numPr>
          <w:ilvl w:val="0"/>
          <w:numId w:val="14"/>
        </w:numPr>
        <w:spacing w:before="0" w:after="0"/>
        <w:rPr>
          <w:i/>
        </w:rPr>
      </w:pPr>
      <w:r>
        <w:t>a computer game that has been classified as R 18+ by the Classification Board</w:t>
      </w:r>
      <w:r w:rsidR="00CF1648">
        <w:t>,</w:t>
      </w:r>
    </w:p>
    <w:p w14:paraId="5BE02FD3" w14:textId="54B6A4C3" w:rsidR="002A6656" w:rsidRPr="002A6656" w:rsidRDefault="002A6656" w:rsidP="00F45A2B">
      <w:pPr>
        <w:pStyle w:val="ACMABodyText"/>
        <w:numPr>
          <w:ilvl w:val="0"/>
          <w:numId w:val="14"/>
        </w:numPr>
        <w:spacing w:before="0" w:after="0"/>
        <w:rPr>
          <w:i/>
        </w:rPr>
      </w:pPr>
      <w:r>
        <w:t xml:space="preserve">a film, publication or computer game that has not been classified by the Classification Board, but if it were to be classified, would likely be classified in </w:t>
      </w:r>
      <w:r w:rsidR="00FA5AAA">
        <w:t>the relevant category mentioned above</w:t>
      </w:r>
      <w:r w:rsidR="004948AA">
        <w:t>;</w:t>
      </w:r>
      <w:r w:rsidR="00FB71C0">
        <w:t xml:space="preserve"> and</w:t>
      </w:r>
    </w:p>
    <w:p w14:paraId="447A9298" w14:textId="784037A8" w:rsidR="002A6656" w:rsidRPr="00F45A2B" w:rsidRDefault="002A6656" w:rsidP="00F45A2B">
      <w:pPr>
        <w:pStyle w:val="ACMABodyText"/>
        <w:numPr>
          <w:ilvl w:val="0"/>
          <w:numId w:val="14"/>
        </w:numPr>
        <w:spacing w:before="0" w:after="0"/>
        <w:rPr>
          <w:i/>
        </w:rPr>
      </w:pPr>
      <w:r>
        <w:t xml:space="preserve">any other kind of material </w:t>
      </w:r>
      <w:r w:rsidR="003134D9">
        <w:t>that, if it were to be classified by the Classification Board in a corresponding way to the way in which films are classified, would be likely to be classif</w:t>
      </w:r>
      <w:r w:rsidR="00FA5AAA">
        <w:t>ied as</w:t>
      </w:r>
      <w:r w:rsidR="003134D9">
        <w:t xml:space="preserve"> R 18+.</w:t>
      </w:r>
    </w:p>
    <w:p w14:paraId="08014F57" w14:textId="77777777" w:rsidR="00C24A76" w:rsidRDefault="00C24A76" w:rsidP="00C24A76">
      <w:pPr>
        <w:pStyle w:val="ACMABodyText"/>
        <w:spacing w:before="0" w:after="0"/>
        <w:rPr>
          <w:szCs w:val="24"/>
        </w:rPr>
      </w:pPr>
    </w:p>
    <w:p w14:paraId="23C2D51D" w14:textId="72109E43" w:rsidR="00AC3A89" w:rsidRDefault="003134D9" w:rsidP="00AC3A89">
      <w:pPr>
        <w:pStyle w:val="ACMABodyText"/>
        <w:spacing w:before="0" w:after="0"/>
        <w:rPr>
          <w:szCs w:val="24"/>
        </w:rPr>
      </w:pPr>
      <w:r>
        <w:rPr>
          <w:szCs w:val="24"/>
        </w:rPr>
        <w:t>Restricted access systems are relevant to a number of the provisions of the Act relating to</w:t>
      </w:r>
      <w:r w:rsidR="00DB79BF">
        <w:rPr>
          <w:szCs w:val="24"/>
        </w:rPr>
        <w:t xml:space="preserve"> relevant</w:t>
      </w:r>
      <w:r>
        <w:rPr>
          <w:szCs w:val="24"/>
        </w:rPr>
        <w:t xml:space="preserve"> class 2 material that is, or has been, provided on a social media service, relevant electronic service, or designated internet service (within the meaning of those terms in the Act)</w:t>
      </w:r>
      <w:r w:rsidR="00AC3A89">
        <w:rPr>
          <w:szCs w:val="24"/>
        </w:rPr>
        <w:t>. In particular:</w:t>
      </w:r>
    </w:p>
    <w:p w14:paraId="7EA068C7" w14:textId="6D402245" w:rsidR="003134D9" w:rsidRDefault="00AC3A89" w:rsidP="00AC3A89">
      <w:pPr>
        <w:pStyle w:val="ACMABodyText"/>
        <w:numPr>
          <w:ilvl w:val="0"/>
          <w:numId w:val="14"/>
        </w:numPr>
        <w:spacing w:before="0" w:after="0"/>
        <w:rPr>
          <w:szCs w:val="24"/>
        </w:rPr>
      </w:pPr>
      <w:r>
        <w:rPr>
          <w:szCs w:val="24"/>
        </w:rPr>
        <w:t>the Commissioner may investigate whether end-users in Australia can access relevant class 2 material</w:t>
      </w:r>
      <w:r w:rsidR="000A2C7A">
        <w:rPr>
          <w:szCs w:val="24"/>
        </w:rPr>
        <w:t>,</w:t>
      </w:r>
      <w:r w:rsidR="00402537">
        <w:rPr>
          <w:szCs w:val="24"/>
        </w:rPr>
        <w:t xml:space="preserve"> </w:t>
      </w:r>
      <w:r w:rsidR="000A2C7A">
        <w:rPr>
          <w:szCs w:val="24"/>
        </w:rPr>
        <w:t xml:space="preserve">and if so, whether this access </w:t>
      </w:r>
      <w:r>
        <w:rPr>
          <w:szCs w:val="24"/>
        </w:rPr>
        <w:t>is subject to a restricted access system under section 42 (</w:t>
      </w:r>
      <w:r w:rsidR="00402537">
        <w:rPr>
          <w:szCs w:val="24"/>
        </w:rPr>
        <w:t xml:space="preserve">either </w:t>
      </w:r>
      <w:r>
        <w:rPr>
          <w:szCs w:val="24"/>
        </w:rPr>
        <w:t>on the Commissioner’s own initiative, or after a complaint under subsection 38(2))</w:t>
      </w:r>
      <w:r w:rsidR="004948AA">
        <w:rPr>
          <w:szCs w:val="24"/>
        </w:rPr>
        <w:t>;</w:t>
      </w:r>
    </w:p>
    <w:p w14:paraId="30F87A22" w14:textId="66A304D0" w:rsidR="004839CB" w:rsidRDefault="00AC3A89" w:rsidP="00AC3A89">
      <w:pPr>
        <w:pStyle w:val="ACMABodyText"/>
        <w:numPr>
          <w:ilvl w:val="0"/>
          <w:numId w:val="14"/>
        </w:numPr>
        <w:spacing w:before="0" w:after="0"/>
        <w:rPr>
          <w:szCs w:val="24"/>
        </w:rPr>
      </w:pPr>
      <w:r>
        <w:rPr>
          <w:szCs w:val="24"/>
        </w:rPr>
        <w:t xml:space="preserve">in certain circumstances, the Commissioner may give a provider of a service allowing access to relevant class 2 material a remedial notice requiring the provider to ensure that </w:t>
      </w:r>
      <w:r w:rsidR="00072CCA">
        <w:rPr>
          <w:szCs w:val="24"/>
        </w:rPr>
        <w:t xml:space="preserve">material is removed from </w:t>
      </w:r>
      <w:r w:rsidR="005C2764">
        <w:rPr>
          <w:szCs w:val="24"/>
        </w:rPr>
        <w:t>the</w:t>
      </w:r>
      <w:r w:rsidR="00072CCA">
        <w:rPr>
          <w:szCs w:val="24"/>
        </w:rPr>
        <w:t xml:space="preserve"> service or </w:t>
      </w:r>
      <w:r>
        <w:rPr>
          <w:szCs w:val="24"/>
        </w:rPr>
        <w:t xml:space="preserve">access to the </w:t>
      </w:r>
      <w:r>
        <w:rPr>
          <w:szCs w:val="24"/>
        </w:rPr>
        <w:lastRenderedPageBreak/>
        <w:t>material is subject to a restricted access system (subparagraph 119(1)(f))</w:t>
      </w:r>
      <w:r w:rsidR="00710D33">
        <w:rPr>
          <w:szCs w:val="24"/>
        </w:rPr>
        <w:t xml:space="preserve">. </w:t>
      </w:r>
      <w:r w:rsidR="008764CB">
        <w:rPr>
          <w:szCs w:val="24"/>
        </w:rPr>
        <w:t>These n</w:t>
      </w:r>
      <w:r w:rsidR="008E78C5">
        <w:rPr>
          <w:szCs w:val="24"/>
        </w:rPr>
        <w:t>otices can only be issued where the</w:t>
      </w:r>
      <w:r w:rsidR="00710D33">
        <w:rPr>
          <w:szCs w:val="24"/>
        </w:rPr>
        <w:t xml:space="preserve"> service </w:t>
      </w:r>
      <w:r w:rsidR="008E78C5">
        <w:rPr>
          <w:szCs w:val="24"/>
        </w:rPr>
        <w:t>is</w:t>
      </w:r>
      <w:r w:rsidR="00710D33">
        <w:rPr>
          <w:szCs w:val="24"/>
        </w:rPr>
        <w:t xml:space="preserve"> provided </w:t>
      </w:r>
      <w:r w:rsidR="008E78C5">
        <w:rPr>
          <w:szCs w:val="24"/>
        </w:rPr>
        <w:t>from Australia (</w:t>
      </w:r>
      <w:r w:rsidR="00AB4AC4">
        <w:rPr>
          <w:szCs w:val="24"/>
        </w:rPr>
        <w:t>subparagraph</w:t>
      </w:r>
      <w:r w:rsidR="008E78C5">
        <w:rPr>
          <w:szCs w:val="24"/>
        </w:rPr>
        <w:t xml:space="preserve"> 119(1)</w:t>
      </w:r>
      <w:r w:rsidR="00AB4AC4">
        <w:rPr>
          <w:szCs w:val="24"/>
        </w:rPr>
        <w:t>(e))</w:t>
      </w:r>
      <w:r w:rsidR="004948AA">
        <w:rPr>
          <w:szCs w:val="24"/>
        </w:rPr>
        <w:t>;</w:t>
      </w:r>
      <w:r>
        <w:rPr>
          <w:szCs w:val="24"/>
        </w:rPr>
        <w:t xml:space="preserve"> </w:t>
      </w:r>
    </w:p>
    <w:p w14:paraId="2B2BF53A" w14:textId="726AAC51" w:rsidR="00AC3A89" w:rsidRDefault="004839CB" w:rsidP="00AC3A89">
      <w:pPr>
        <w:pStyle w:val="ACMABodyText"/>
        <w:numPr>
          <w:ilvl w:val="0"/>
          <w:numId w:val="14"/>
        </w:numPr>
        <w:spacing w:before="0" w:after="0"/>
        <w:rPr>
          <w:szCs w:val="24"/>
        </w:rPr>
      </w:pPr>
      <w:r>
        <w:rPr>
          <w:szCs w:val="24"/>
        </w:rPr>
        <w:t xml:space="preserve">in certain circumstances, the Commissioner may give </w:t>
      </w:r>
      <w:r w:rsidR="00120573">
        <w:rPr>
          <w:szCs w:val="24"/>
        </w:rPr>
        <w:t>a hosting service provider</w:t>
      </w:r>
      <w:r w:rsidR="000751FE">
        <w:rPr>
          <w:szCs w:val="24"/>
        </w:rPr>
        <w:t xml:space="preserve"> which hosts </w:t>
      </w:r>
      <w:r w:rsidR="00AF78E3">
        <w:rPr>
          <w:szCs w:val="24"/>
        </w:rPr>
        <w:t>relevant class 2 material</w:t>
      </w:r>
      <w:r w:rsidR="00283B79">
        <w:rPr>
          <w:szCs w:val="24"/>
        </w:rPr>
        <w:t xml:space="preserve"> a remedial notice requiring the provider to </w:t>
      </w:r>
      <w:r w:rsidR="00FA3E2A">
        <w:rPr>
          <w:szCs w:val="24"/>
        </w:rPr>
        <w:t>ensure that</w:t>
      </w:r>
      <w:r w:rsidR="006735F9">
        <w:rPr>
          <w:szCs w:val="24"/>
        </w:rPr>
        <w:t xml:space="preserve"> the service ceases to host the material</w:t>
      </w:r>
      <w:r w:rsidR="00283B79">
        <w:rPr>
          <w:szCs w:val="24"/>
        </w:rPr>
        <w:t xml:space="preserve"> or access to the material is subject to a restricted access system</w:t>
      </w:r>
      <w:r w:rsidR="006735F9">
        <w:rPr>
          <w:szCs w:val="24"/>
        </w:rPr>
        <w:t xml:space="preserve"> (subparagraph 120(1)(</w:t>
      </w:r>
      <w:r w:rsidR="006F3B48">
        <w:rPr>
          <w:szCs w:val="24"/>
        </w:rPr>
        <w:t>g)</w:t>
      </w:r>
      <w:r w:rsidR="006D4546">
        <w:rPr>
          <w:szCs w:val="24"/>
        </w:rPr>
        <w:t>)</w:t>
      </w:r>
      <w:r w:rsidR="00AB4AC4">
        <w:rPr>
          <w:szCs w:val="24"/>
        </w:rPr>
        <w:t xml:space="preserve">. </w:t>
      </w:r>
      <w:r w:rsidR="00EE6566">
        <w:rPr>
          <w:szCs w:val="24"/>
        </w:rPr>
        <w:t>These n</w:t>
      </w:r>
      <w:r w:rsidR="00AB4AC4">
        <w:rPr>
          <w:szCs w:val="24"/>
        </w:rPr>
        <w:t>otices can only be issued where the material is hosted in Australia (subparagraph 1</w:t>
      </w:r>
      <w:r w:rsidR="00942B1F">
        <w:rPr>
          <w:szCs w:val="24"/>
        </w:rPr>
        <w:t>20</w:t>
      </w:r>
      <w:r w:rsidR="00AB4AC4">
        <w:rPr>
          <w:szCs w:val="24"/>
        </w:rPr>
        <w:t>(1)(</w:t>
      </w:r>
      <w:r w:rsidR="00942B1F">
        <w:rPr>
          <w:szCs w:val="24"/>
        </w:rPr>
        <w:t>f</w:t>
      </w:r>
      <w:r w:rsidR="00907506">
        <w:rPr>
          <w:szCs w:val="24"/>
        </w:rPr>
        <w:t>)</w:t>
      </w:r>
      <w:r w:rsidR="00AC3A89">
        <w:rPr>
          <w:szCs w:val="24"/>
        </w:rPr>
        <w:t>)</w:t>
      </w:r>
      <w:r w:rsidR="004948AA">
        <w:rPr>
          <w:szCs w:val="24"/>
        </w:rPr>
        <w:t>;</w:t>
      </w:r>
      <w:r w:rsidR="00AC3A89">
        <w:rPr>
          <w:szCs w:val="24"/>
        </w:rPr>
        <w:t xml:space="preserve"> and</w:t>
      </w:r>
    </w:p>
    <w:p w14:paraId="7FE6F58D" w14:textId="621E4205" w:rsidR="00AC3A89" w:rsidRDefault="00AC3A89" w:rsidP="00AC3A89">
      <w:pPr>
        <w:pStyle w:val="ACMABodyText"/>
        <w:numPr>
          <w:ilvl w:val="0"/>
          <w:numId w:val="14"/>
        </w:numPr>
        <w:spacing w:before="0" w:after="0"/>
        <w:rPr>
          <w:szCs w:val="24"/>
        </w:rPr>
      </w:pPr>
      <w:r>
        <w:rPr>
          <w:szCs w:val="24"/>
        </w:rPr>
        <w:t xml:space="preserve">if the Commissioner is satisfied that relevant class 2 material is not, or was not, subject to </w:t>
      </w:r>
      <w:r w:rsidR="00402537">
        <w:rPr>
          <w:szCs w:val="24"/>
        </w:rPr>
        <w:t xml:space="preserve">a restricted </w:t>
      </w:r>
      <w:r>
        <w:rPr>
          <w:szCs w:val="24"/>
        </w:rPr>
        <w:t>access system (among other things) on 2 or more occasions in the previous 12 months, the Commissioner may prepare and publish a statement to that effect (section 123A).</w:t>
      </w:r>
    </w:p>
    <w:p w14:paraId="57BDAE61" w14:textId="77777777" w:rsidR="003134D9" w:rsidRDefault="003134D9" w:rsidP="00C24A76">
      <w:pPr>
        <w:pStyle w:val="ACMABodyText"/>
        <w:spacing w:before="0" w:after="0"/>
        <w:rPr>
          <w:szCs w:val="24"/>
        </w:rPr>
      </w:pPr>
    </w:p>
    <w:p w14:paraId="78CCC2FA" w14:textId="09781214" w:rsidR="00C24A76" w:rsidRPr="00570328" w:rsidRDefault="003134D9" w:rsidP="00C24A76">
      <w:pPr>
        <w:pStyle w:val="ACMABodyText"/>
        <w:spacing w:before="0" w:after="0"/>
        <w:rPr>
          <w:szCs w:val="24"/>
        </w:rPr>
      </w:pPr>
      <w:r w:rsidRPr="007A2E21">
        <w:rPr>
          <w:szCs w:val="24"/>
        </w:rPr>
        <w:t xml:space="preserve">The purpose </w:t>
      </w:r>
      <w:r w:rsidRPr="00570328">
        <w:rPr>
          <w:szCs w:val="24"/>
        </w:rPr>
        <w:t xml:space="preserve">of </w:t>
      </w:r>
      <w:r w:rsidR="009A5B16">
        <w:rPr>
          <w:szCs w:val="24"/>
        </w:rPr>
        <w:t>a RAS</w:t>
      </w:r>
      <w:r w:rsidRPr="00570328">
        <w:rPr>
          <w:szCs w:val="24"/>
        </w:rPr>
        <w:t xml:space="preserve"> Declaration is</w:t>
      </w:r>
      <w:r w:rsidR="00C24A76" w:rsidRPr="00570328">
        <w:rPr>
          <w:szCs w:val="24"/>
        </w:rPr>
        <w:t xml:space="preserve"> not to prevent access to </w:t>
      </w:r>
      <w:r w:rsidR="00AC3A89" w:rsidRPr="00570328">
        <w:rPr>
          <w:szCs w:val="24"/>
        </w:rPr>
        <w:t xml:space="preserve">relevant </w:t>
      </w:r>
      <w:r w:rsidRPr="00570328">
        <w:rPr>
          <w:szCs w:val="24"/>
        </w:rPr>
        <w:t>class 2 material</w:t>
      </w:r>
      <w:r w:rsidR="00C24A76" w:rsidRPr="00570328">
        <w:rPr>
          <w:szCs w:val="24"/>
        </w:rPr>
        <w:t xml:space="preserve"> (whether it is user-generated content or otherwise) via any platform, but to seek to ensure that:</w:t>
      </w:r>
    </w:p>
    <w:p w14:paraId="560E53C3" w14:textId="4192DED0" w:rsidR="008C1B6E" w:rsidRPr="007A2E21" w:rsidRDefault="00C24A76" w:rsidP="00C24A76">
      <w:pPr>
        <w:pStyle w:val="ACMABodyText"/>
        <w:numPr>
          <w:ilvl w:val="0"/>
          <w:numId w:val="15"/>
        </w:numPr>
        <w:spacing w:before="0" w:after="0"/>
        <w:rPr>
          <w:szCs w:val="24"/>
        </w:rPr>
      </w:pPr>
      <w:r w:rsidRPr="007A2E21">
        <w:t>access</w:t>
      </w:r>
      <w:r w:rsidR="00AC3A89" w:rsidRPr="007A2E21">
        <w:t xml:space="preserve"> to relevant class 2 material</w:t>
      </w:r>
      <w:r w:rsidRPr="007A2E21">
        <w:t xml:space="preserve"> is limited to persons 18 years</w:t>
      </w:r>
      <w:r w:rsidR="00190AFF">
        <w:t xml:space="preserve"> and over</w:t>
      </w:r>
      <w:r w:rsidRPr="007A2E21">
        <w:t>; and</w:t>
      </w:r>
    </w:p>
    <w:p w14:paraId="3E43280F" w14:textId="13838D72" w:rsidR="008C1B6E" w:rsidRPr="007A2E21" w:rsidRDefault="00C24A76">
      <w:pPr>
        <w:pStyle w:val="ACMABodyText"/>
        <w:numPr>
          <w:ilvl w:val="0"/>
          <w:numId w:val="15"/>
        </w:numPr>
        <w:spacing w:before="0" w:after="0"/>
        <w:rPr>
          <w:szCs w:val="24"/>
        </w:rPr>
      </w:pPr>
      <w:r w:rsidRPr="007A2E21">
        <w:t xml:space="preserve">the methods used for limiting this access meet a minimum standard. </w:t>
      </w:r>
    </w:p>
    <w:p w14:paraId="7D93FCED" w14:textId="77777777" w:rsidR="00BA7811" w:rsidRPr="00EE5E88" w:rsidRDefault="00BA7811" w:rsidP="007A2E21">
      <w:pPr>
        <w:pStyle w:val="ACMABodyText"/>
        <w:spacing w:before="0" w:after="0"/>
        <w:rPr>
          <w:szCs w:val="24"/>
          <w:lang w:val="en-US"/>
        </w:rPr>
      </w:pPr>
    </w:p>
    <w:p w14:paraId="48F3F756" w14:textId="4F5EB3E2" w:rsidR="00C24A76" w:rsidRPr="00BA7811" w:rsidRDefault="00C24A76" w:rsidP="007A2E21">
      <w:pPr>
        <w:pStyle w:val="ACMABodyText"/>
        <w:spacing w:before="0" w:after="0"/>
        <w:rPr>
          <w:szCs w:val="24"/>
          <w:lang w:val="en-US"/>
        </w:rPr>
      </w:pPr>
      <w:r w:rsidRPr="00BA7811">
        <w:rPr>
          <w:szCs w:val="24"/>
          <w:lang w:val="en-US"/>
        </w:rPr>
        <w:t xml:space="preserve">In making </w:t>
      </w:r>
      <w:r w:rsidR="00A60B73" w:rsidRPr="00BA7811">
        <w:rPr>
          <w:szCs w:val="24"/>
          <w:lang w:val="en-US"/>
        </w:rPr>
        <w:t>a RAS Declaration</w:t>
      </w:r>
      <w:r w:rsidRPr="00BA7811">
        <w:rPr>
          <w:szCs w:val="24"/>
          <w:lang w:val="en-US"/>
        </w:rPr>
        <w:t xml:space="preserve">, </w:t>
      </w:r>
      <w:r w:rsidR="00AC3A89" w:rsidRPr="00BA7811">
        <w:rPr>
          <w:szCs w:val="24"/>
          <w:lang w:val="en-US"/>
        </w:rPr>
        <w:t>the Commissioner</w:t>
      </w:r>
      <w:r w:rsidRPr="00BA7811">
        <w:rPr>
          <w:szCs w:val="24"/>
          <w:lang w:val="en-US"/>
        </w:rPr>
        <w:t xml:space="preserve"> must have regard to the following matters specified in </w:t>
      </w:r>
      <w:r w:rsidR="00AC3A89" w:rsidRPr="00BA7811">
        <w:rPr>
          <w:szCs w:val="24"/>
          <w:lang w:val="en-US"/>
        </w:rPr>
        <w:t>subsection 108(4)</w:t>
      </w:r>
      <w:r w:rsidRPr="00BA7811">
        <w:rPr>
          <w:szCs w:val="24"/>
          <w:lang w:val="en-US"/>
        </w:rPr>
        <w:t>:</w:t>
      </w:r>
    </w:p>
    <w:p w14:paraId="2A9C7362" w14:textId="19AEF13C" w:rsidR="00AC3A89" w:rsidRPr="00AC3A89" w:rsidRDefault="00AC3A89" w:rsidP="00AC3A89">
      <w:pPr>
        <w:pStyle w:val="paragraph"/>
        <w:tabs>
          <w:tab w:val="clear" w:pos="1531"/>
        </w:tabs>
        <w:ind w:left="567" w:hanging="567"/>
        <w:rPr>
          <w:snapToGrid w:val="0"/>
          <w:sz w:val="24"/>
          <w:lang w:val="en-US" w:eastAsia="en-US"/>
        </w:rPr>
      </w:pPr>
      <w:r w:rsidRPr="00AC3A89">
        <w:rPr>
          <w:snapToGrid w:val="0"/>
          <w:sz w:val="24"/>
          <w:lang w:val="en-US" w:eastAsia="en-US"/>
        </w:rPr>
        <w:t>(a)</w:t>
      </w:r>
      <w:r w:rsidRPr="00AC3A89">
        <w:rPr>
          <w:snapToGrid w:val="0"/>
          <w:sz w:val="24"/>
          <w:lang w:val="en-US" w:eastAsia="en-US"/>
        </w:rPr>
        <w:tab/>
        <w:t xml:space="preserve">the objective of protecting children from exposure to material </w:t>
      </w:r>
      <w:r w:rsidRPr="00AC3A89">
        <w:rPr>
          <w:sz w:val="24"/>
        </w:rPr>
        <w:t>that</w:t>
      </w:r>
      <w:r w:rsidRPr="00AC3A89">
        <w:rPr>
          <w:snapToGrid w:val="0"/>
          <w:sz w:val="24"/>
          <w:lang w:val="en-US" w:eastAsia="en-US"/>
        </w:rPr>
        <w:t xml:space="preserve"> is unsuitable for children; and</w:t>
      </w:r>
    </w:p>
    <w:p w14:paraId="4F034C18" w14:textId="676942EB" w:rsidR="00AC3A89" w:rsidRPr="00AC3A89" w:rsidRDefault="00AC3A89" w:rsidP="00AC3A89">
      <w:pPr>
        <w:pStyle w:val="paragraph"/>
        <w:tabs>
          <w:tab w:val="clear" w:pos="1531"/>
        </w:tabs>
        <w:ind w:left="567" w:hanging="567"/>
        <w:rPr>
          <w:snapToGrid w:val="0"/>
          <w:sz w:val="24"/>
          <w:lang w:val="en-US" w:eastAsia="en-US"/>
        </w:rPr>
      </w:pPr>
      <w:r w:rsidRPr="00AC3A89">
        <w:rPr>
          <w:snapToGrid w:val="0"/>
          <w:sz w:val="24"/>
          <w:lang w:val="en-US" w:eastAsia="en-US"/>
        </w:rPr>
        <w:t>(b)</w:t>
      </w:r>
      <w:r>
        <w:rPr>
          <w:snapToGrid w:val="0"/>
          <w:sz w:val="24"/>
          <w:lang w:val="en-US" w:eastAsia="en-US"/>
        </w:rPr>
        <w:tab/>
      </w:r>
      <w:r w:rsidRPr="00AC3A89">
        <w:rPr>
          <w:snapToGrid w:val="0"/>
          <w:sz w:val="24"/>
          <w:lang w:val="en-US" w:eastAsia="en-US"/>
        </w:rPr>
        <w:t xml:space="preserve">the extent to which the instrument would be </w:t>
      </w:r>
      <w:r w:rsidRPr="00AC3A89">
        <w:rPr>
          <w:sz w:val="24"/>
        </w:rPr>
        <w:t>likely</w:t>
      </w:r>
      <w:r w:rsidRPr="00AC3A89">
        <w:rPr>
          <w:snapToGrid w:val="0"/>
          <w:sz w:val="24"/>
          <w:lang w:val="en-US" w:eastAsia="en-US"/>
        </w:rPr>
        <w:t xml:space="preserve"> to result in a financial or administrative burden on providers of the following services:</w:t>
      </w:r>
    </w:p>
    <w:p w14:paraId="4C8B1839" w14:textId="4C390D15" w:rsidR="00AC3A89" w:rsidRPr="00AC3A89" w:rsidRDefault="00AC3A89" w:rsidP="00761AAF">
      <w:pPr>
        <w:pStyle w:val="paragraph"/>
        <w:tabs>
          <w:tab w:val="clear" w:pos="1531"/>
        </w:tabs>
        <w:ind w:left="1134" w:hanging="567"/>
        <w:rPr>
          <w:sz w:val="24"/>
        </w:rPr>
      </w:pPr>
      <w:r w:rsidRPr="00AC3A89">
        <w:rPr>
          <w:sz w:val="24"/>
        </w:rPr>
        <w:t>(i)</w:t>
      </w:r>
      <w:r w:rsidRPr="00AC3A89">
        <w:rPr>
          <w:sz w:val="24"/>
        </w:rPr>
        <w:tab/>
        <w:t>social media services;</w:t>
      </w:r>
    </w:p>
    <w:p w14:paraId="0F2D24F1" w14:textId="5E2A3E57" w:rsidR="00AC3A89" w:rsidRPr="00AC3A89" w:rsidRDefault="00AC3A89" w:rsidP="00761AAF">
      <w:pPr>
        <w:pStyle w:val="paragraph"/>
        <w:tabs>
          <w:tab w:val="clear" w:pos="1531"/>
        </w:tabs>
        <w:ind w:left="1134" w:hanging="567"/>
        <w:rPr>
          <w:sz w:val="24"/>
        </w:rPr>
      </w:pPr>
      <w:r w:rsidRPr="00AC3A89">
        <w:rPr>
          <w:sz w:val="24"/>
        </w:rPr>
        <w:t>(ii)</w:t>
      </w:r>
      <w:r>
        <w:rPr>
          <w:sz w:val="24"/>
        </w:rPr>
        <w:tab/>
      </w:r>
      <w:r w:rsidRPr="00AC3A89">
        <w:rPr>
          <w:sz w:val="24"/>
        </w:rPr>
        <w:t xml:space="preserve">relevant </w:t>
      </w:r>
      <w:r w:rsidRPr="00AC3A89">
        <w:rPr>
          <w:snapToGrid w:val="0"/>
          <w:sz w:val="24"/>
          <w:lang w:val="en-US" w:eastAsia="en-US"/>
        </w:rPr>
        <w:t>electronic</w:t>
      </w:r>
      <w:r w:rsidRPr="00AC3A89">
        <w:rPr>
          <w:sz w:val="24"/>
        </w:rPr>
        <w:t xml:space="preserve"> services;</w:t>
      </w:r>
    </w:p>
    <w:p w14:paraId="51EEEA0C" w14:textId="61DA67BB" w:rsidR="00AC3A89" w:rsidRPr="00AC3A89" w:rsidRDefault="00AC3A89" w:rsidP="00761AAF">
      <w:pPr>
        <w:pStyle w:val="paragraph"/>
        <w:tabs>
          <w:tab w:val="clear" w:pos="1531"/>
        </w:tabs>
        <w:ind w:left="1134" w:hanging="567"/>
        <w:rPr>
          <w:sz w:val="24"/>
        </w:rPr>
      </w:pPr>
      <w:r w:rsidRPr="00AC3A89">
        <w:rPr>
          <w:sz w:val="24"/>
        </w:rPr>
        <w:t>(iii)</w:t>
      </w:r>
      <w:r w:rsidRPr="00AC3A89">
        <w:rPr>
          <w:sz w:val="24"/>
        </w:rPr>
        <w:tab/>
        <w:t>designated internet services; and</w:t>
      </w:r>
    </w:p>
    <w:p w14:paraId="54F0A3CF" w14:textId="12CA62FA" w:rsidR="00C24A76" w:rsidRDefault="00AC3A89" w:rsidP="00AC3A89">
      <w:pPr>
        <w:pStyle w:val="paragraph"/>
        <w:tabs>
          <w:tab w:val="clear" w:pos="1531"/>
        </w:tabs>
        <w:ind w:left="567" w:hanging="567"/>
        <w:rPr>
          <w:snapToGrid w:val="0"/>
          <w:sz w:val="24"/>
          <w:lang w:val="en-US" w:eastAsia="en-US"/>
        </w:rPr>
      </w:pPr>
      <w:r w:rsidRPr="00AC3A89">
        <w:rPr>
          <w:snapToGrid w:val="0"/>
          <w:sz w:val="24"/>
          <w:lang w:val="en-US" w:eastAsia="en-US"/>
        </w:rPr>
        <w:t>(c)</w:t>
      </w:r>
      <w:r>
        <w:rPr>
          <w:snapToGrid w:val="0"/>
          <w:sz w:val="24"/>
          <w:lang w:val="en-US" w:eastAsia="en-US"/>
        </w:rPr>
        <w:tab/>
      </w:r>
      <w:r w:rsidRPr="00AC3A89">
        <w:rPr>
          <w:snapToGrid w:val="0"/>
          <w:sz w:val="24"/>
          <w:lang w:val="en-US" w:eastAsia="en-US"/>
        </w:rPr>
        <w:t xml:space="preserve">such other </w:t>
      </w:r>
      <w:r w:rsidRPr="00AC3A89">
        <w:rPr>
          <w:sz w:val="24"/>
        </w:rPr>
        <w:t>matters</w:t>
      </w:r>
      <w:r w:rsidRPr="00AC3A89">
        <w:rPr>
          <w:snapToGrid w:val="0"/>
          <w:sz w:val="24"/>
          <w:lang w:val="en-US" w:eastAsia="en-US"/>
        </w:rPr>
        <w:t xml:space="preserve"> (if any) as the Commissioner considers relevant.</w:t>
      </w:r>
    </w:p>
    <w:p w14:paraId="7943D5D3" w14:textId="77777777" w:rsidR="00761AAF" w:rsidRPr="00EE5E88" w:rsidRDefault="00761AAF" w:rsidP="00AC3A89">
      <w:pPr>
        <w:pStyle w:val="paragraph"/>
        <w:tabs>
          <w:tab w:val="clear" w:pos="1531"/>
        </w:tabs>
        <w:ind w:left="567" w:hanging="567"/>
        <w:rPr>
          <w:sz w:val="24"/>
        </w:rPr>
      </w:pPr>
    </w:p>
    <w:p w14:paraId="2EC9203B" w14:textId="152E5E74" w:rsidR="00C24A76" w:rsidRPr="007A2E21" w:rsidRDefault="00C24A76" w:rsidP="00C24A76">
      <w:pPr>
        <w:pStyle w:val="ACMABulletLevel1"/>
        <w:numPr>
          <w:ilvl w:val="0"/>
          <w:numId w:val="0"/>
        </w:numPr>
        <w:spacing w:after="0"/>
        <w:rPr>
          <w:szCs w:val="24"/>
        </w:rPr>
      </w:pPr>
      <w:r w:rsidRPr="007A2E21">
        <w:t>Other relevant matters</w:t>
      </w:r>
      <w:r w:rsidR="00360F12" w:rsidRPr="007A2E21">
        <w:t xml:space="preserve"> may</w:t>
      </w:r>
      <w:r w:rsidRPr="007A2E21">
        <w:t xml:space="preserve"> include regulatory policy considerations </w:t>
      </w:r>
      <w:r w:rsidR="006D2E89" w:rsidRPr="007A2E21">
        <w:t>such as:</w:t>
      </w:r>
    </w:p>
    <w:p w14:paraId="74E63DB7" w14:textId="4D99B9B8" w:rsidR="00C24A76" w:rsidRPr="007A2E21" w:rsidRDefault="00C24A76" w:rsidP="00C24A76">
      <w:pPr>
        <w:pStyle w:val="ACMABulletLevel1"/>
        <w:numPr>
          <w:ilvl w:val="0"/>
          <w:numId w:val="24"/>
        </w:numPr>
        <w:spacing w:after="0"/>
        <w:rPr>
          <w:szCs w:val="24"/>
        </w:rPr>
      </w:pPr>
      <w:r w:rsidRPr="007A2E21">
        <w:rPr>
          <w:szCs w:val="24"/>
        </w:rPr>
        <w:t>address</w:t>
      </w:r>
      <w:r w:rsidR="00A70A74" w:rsidRPr="007A2E21">
        <w:rPr>
          <w:szCs w:val="24"/>
        </w:rPr>
        <w:t>ing</w:t>
      </w:r>
      <w:r w:rsidRPr="007A2E21">
        <w:rPr>
          <w:szCs w:val="24"/>
        </w:rPr>
        <w:t xml:space="preserve"> public interest considerations while not imposing unnecessary financial and administrative burdens on industry; and</w:t>
      </w:r>
    </w:p>
    <w:p w14:paraId="3FDA7DDB" w14:textId="6C6779C2" w:rsidR="00C24A76" w:rsidRPr="007A2E21" w:rsidRDefault="00C24A76" w:rsidP="00C24A76">
      <w:pPr>
        <w:pStyle w:val="ACMABulletLevel1"/>
        <w:numPr>
          <w:ilvl w:val="0"/>
          <w:numId w:val="24"/>
        </w:numPr>
        <w:spacing w:after="0"/>
        <w:rPr>
          <w:szCs w:val="24"/>
        </w:rPr>
      </w:pPr>
      <w:r w:rsidRPr="007A2E21">
        <w:t>accommodat</w:t>
      </w:r>
      <w:r w:rsidR="00A70A74" w:rsidRPr="007A2E21">
        <w:t>ing</w:t>
      </w:r>
      <w:r w:rsidRPr="007A2E21">
        <w:t xml:space="preserve"> technological change; and</w:t>
      </w:r>
    </w:p>
    <w:p w14:paraId="6CDBE933" w14:textId="006F32CF" w:rsidR="00223903" w:rsidRPr="007A2E21" w:rsidRDefault="00C24A76" w:rsidP="00223903">
      <w:pPr>
        <w:pStyle w:val="ACMABulletLevel1"/>
        <w:numPr>
          <w:ilvl w:val="0"/>
          <w:numId w:val="24"/>
        </w:numPr>
        <w:spacing w:after="0"/>
      </w:pPr>
      <w:r w:rsidRPr="007A2E21">
        <w:t>encourag</w:t>
      </w:r>
      <w:r w:rsidR="00A70A74" w:rsidRPr="007A2E21">
        <w:t>ing</w:t>
      </w:r>
      <w:r w:rsidRPr="007A2E21">
        <w:t xml:space="preserve"> the development of technologies and services.</w:t>
      </w:r>
    </w:p>
    <w:p w14:paraId="61055B63" w14:textId="77777777" w:rsidR="00D76FDD" w:rsidRPr="00EE5E88" w:rsidRDefault="00D76FDD" w:rsidP="00C24A76">
      <w:pPr>
        <w:pStyle w:val="ACMABodyText"/>
        <w:spacing w:before="0" w:after="0"/>
        <w:rPr>
          <w:szCs w:val="24"/>
        </w:rPr>
      </w:pPr>
    </w:p>
    <w:p w14:paraId="431AA96E" w14:textId="7F27C1C9" w:rsidR="00C24A76" w:rsidRPr="00A60B73" w:rsidRDefault="00C24A76" w:rsidP="00C24A76">
      <w:pPr>
        <w:pStyle w:val="ACMABodyText"/>
        <w:spacing w:before="0" w:after="0"/>
        <w:rPr>
          <w:szCs w:val="24"/>
        </w:rPr>
      </w:pPr>
      <w:r w:rsidRPr="00A60B73">
        <w:rPr>
          <w:szCs w:val="24"/>
        </w:rPr>
        <w:t xml:space="preserve">Under </w:t>
      </w:r>
      <w:r w:rsidR="00A60B73" w:rsidRPr="00A60B73">
        <w:rPr>
          <w:szCs w:val="24"/>
        </w:rPr>
        <w:t>subsection 108(5) of the Act</w:t>
      </w:r>
      <w:r w:rsidRPr="00A60B73">
        <w:rPr>
          <w:szCs w:val="24"/>
        </w:rPr>
        <w:t xml:space="preserve">, </w:t>
      </w:r>
      <w:r w:rsidR="00761AAF" w:rsidRPr="00A60B73">
        <w:rPr>
          <w:szCs w:val="24"/>
        </w:rPr>
        <w:t xml:space="preserve">the </w:t>
      </w:r>
      <w:r w:rsidR="00A60B73" w:rsidRPr="00A60B73">
        <w:rPr>
          <w:szCs w:val="24"/>
        </w:rPr>
        <w:t>C</w:t>
      </w:r>
      <w:r w:rsidR="00761AAF" w:rsidRPr="00A60B73">
        <w:rPr>
          <w:szCs w:val="24"/>
        </w:rPr>
        <w:t>ommissioner</w:t>
      </w:r>
      <w:r w:rsidR="00A60B73" w:rsidRPr="00A60B73">
        <w:rPr>
          <w:szCs w:val="24"/>
        </w:rPr>
        <w:t xml:space="preserve"> must ensure that a RAS </w:t>
      </w:r>
      <w:r w:rsidRPr="00A60B73">
        <w:rPr>
          <w:szCs w:val="24"/>
        </w:rPr>
        <w:t xml:space="preserve">Declaration is in force at all times after the commencement of </w:t>
      </w:r>
      <w:r w:rsidR="00A60B73" w:rsidRPr="00A60B73">
        <w:rPr>
          <w:szCs w:val="24"/>
        </w:rPr>
        <w:t>section 108</w:t>
      </w:r>
      <w:r w:rsidRPr="00A60B73">
        <w:rPr>
          <w:szCs w:val="24"/>
        </w:rPr>
        <w:t>.</w:t>
      </w:r>
    </w:p>
    <w:p w14:paraId="763250CA" w14:textId="77777777" w:rsidR="00C24A76" w:rsidRPr="00EE5E88" w:rsidRDefault="00C24A76" w:rsidP="00C24A76">
      <w:pPr>
        <w:pStyle w:val="ACMABodyText"/>
        <w:spacing w:before="0" w:after="0"/>
        <w:rPr>
          <w:b/>
          <w:szCs w:val="24"/>
        </w:rPr>
      </w:pPr>
    </w:p>
    <w:p w14:paraId="0352446E" w14:textId="77777777" w:rsidR="00C24A76" w:rsidRPr="00A60B73" w:rsidRDefault="00C24A76" w:rsidP="00C24A76">
      <w:pPr>
        <w:pStyle w:val="ACMABodyText"/>
        <w:spacing w:before="0" w:after="0"/>
        <w:rPr>
          <w:b/>
          <w:szCs w:val="24"/>
        </w:rPr>
      </w:pPr>
      <w:r w:rsidRPr="00A60B73">
        <w:rPr>
          <w:b/>
          <w:szCs w:val="24"/>
        </w:rPr>
        <w:t>Background</w:t>
      </w:r>
    </w:p>
    <w:p w14:paraId="0617EAEF" w14:textId="77777777" w:rsidR="00C24A76" w:rsidRPr="00EE5E88" w:rsidRDefault="00C24A76" w:rsidP="00C24A76">
      <w:pPr>
        <w:pStyle w:val="ACMABodyText"/>
        <w:spacing w:before="0" w:after="0"/>
        <w:rPr>
          <w:b/>
          <w:szCs w:val="24"/>
        </w:rPr>
      </w:pPr>
    </w:p>
    <w:p w14:paraId="78C9228C" w14:textId="0E3A4724" w:rsidR="00AE1CD2" w:rsidRPr="007A2E21" w:rsidRDefault="00AE1CD2" w:rsidP="00FA3C8E">
      <w:pPr>
        <w:rPr>
          <w:i/>
          <w:iCs/>
        </w:rPr>
      </w:pPr>
      <w:r w:rsidRPr="007A2E21">
        <w:rPr>
          <w:i/>
          <w:iCs/>
        </w:rPr>
        <w:t xml:space="preserve">Online Safety Reforms </w:t>
      </w:r>
    </w:p>
    <w:p w14:paraId="4C4EE64D" w14:textId="77777777" w:rsidR="00AE1CD2" w:rsidRDefault="00AE1CD2" w:rsidP="00FA3C8E"/>
    <w:p w14:paraId="5CE332A0" w14:textId="75F1AD28" w:rsidR="00127C7F" w:rsidRDefault="007F05FB" w:rsidP="00FA3C8E">
      <w:r>
        <w:t>Online</w:t>
      </w:r>
      <w:r w:rsidR="00127C7F">
        <w:t xml:space="preserve"> content </w:t>
      </w:r>
      <w:r w:rsidR="003138D9">
        <w:t>was</w:t>
      </w:r>
      <w:r>
        <w:t xml:space="preserve"> </w:t>
      </w:r>
      <w:r w:rsidR="00B36083">
        <w:t>previously</w:t>
      </w:r>
      <w:r>
        <w:t xml:space="preserve"> regulated under </w:t>
      </w:r>
      <w:r w:rsidR="008B1066">
        <w:t>S</w:t>
      </w:r>
      <w:r>
        <w:t xml:space="preserve">chedules 5 and 7 of the </w:t>
      </w:r>
      <w:r w:rsidRPr="00FF283F">
        <w:rPr>
          <w:i/>
          <w:iCs/>
        </w:rPr>
        <w:t>Broadcasting Services Act 1992</w:t>
      </w:r>
      <w:r w:rsidR="004D49B8">
        <w:rPr>
          <w:i/>
          <w:iCs/>
        </w:rPr>
        <w:t xml:space="preserve"> </w:t>
      </w:r>
      <w:r w:rsidR="004D49B8" w:rsidRPr="007A2E21">
        <w:t>(</w:t>
      </w:r>
      <w:r w:rsidR="004D49B8" w:rsidRPr="007A2E21">
        <w:rPr>
          <w:b/>
          <w:bCs/>
        </w:rPr>
        <w:t>BSA</w:t>
      </w:r>
      <w:r w:rsidR="004D49B8" w:rsidRPr="007A2E21">
        <w:t>).</w:t>
      </w:r>
      <w:r w:rsidR="004D49B8">
        <w:t xml:space="preserve"> </w:t>
      </w:r>
      <w:r w:rsidR="007F4576">
        <w:t xml:space="preserve">Provisions regarding a restricted access system </w:t>
      </w:r>
      <w:r w:rsidR="003138D9">
        <w:t xml:space="preserve">were </w:t>
      </w:r>
      <w:r w:rsidR="00A41622">
        <w:t>contained</w:t>
      </w:r>
      <w:r w:rsidR="007F4576">
        <w:t xml:space="preserve"> in </w:t>
      </w:r>
      <w:r w:rsidR="008B1066">
        <w:t>S</w:t>
      </w:r>
      <w:r w:rsidR="007F4576">
        <w:t>chedule 7 of the BSA</w:t>
      </w:r>
      <w:r w:rsidR="00EF7583">
        <w:t xml:space="preserve">, including the requirement </w:t>
      </w:r>
      <w:r w:rsidR="00D63F9C">
        <w:t xml:space="preserve">for a </w:t>
      </w:r>
      <w:r w:rsidR="00D63F9C">
        <w:rPr>
          <w:color w:val="000000"/>
          <w:shd w:val="clear" w:color="auto" w:fill="FFFFFF"/>
        </w:rPr>
        <w:t xml:space="preserve">restricted access system declaration. </w:t>
      </w:r>
      <w:r w:rsidR="000A6B6C">
        <w:rPr>
          <w:color w:val="000000"/>
          <w:shd w:val="clear" w:color="auto" w:fill="FFFFFF"/>
        </w:rPr>
        <w:t>The most recent declaration was put in place in</w:t>
      </w:r>
      <w:r w:rsidR="008B1066">
        <w:rPr>
          <w:color w:val="000000"/>
          <w:shd w:val="clear" w:color="auto" w:fill="FFFFFF"/>
        </w:rPr>
        <w:t xml:space="preserve"> 2014</w:t>
      </w:r>
      <w:r w:rsidR="000A6B6C">
        <w:rPr>
          <w:color w:val="000000"/>
          <w:shd w:val="clear" w:color="auto" w:fill="FFFFFF"/>
        </w:rPr>
        <w:t xml:space="preserve"> </w:t>
      </w:r>
      <w:r w:rsidR="00A41622" w:rsidRPr="00A41622">
        <w:t>(</w:t>
      </w:r>
      <w:r w:rsidR="00A41622" w:rsidRPr="007A2E21">
        <w:rPr>
          <w:b/>
          <w:bCs/>
        </w:rPr>
        <w:t>2014 RAS Declaration</w:t>
      </w:r>
      <w:r w:rsidR="00A41622" w:rsidRPr="00A41622">
        <w:t>)</w:t>
      </w:r>
      <w:r w:rsidR="000A6B6C">
        <w:t xml:space="preserve">. </w:t>
      </w:r>
    </w:p>
    <w:p w14:paraId="693EC6BC" w14:textId="77777777" w:rsidR="00A5152C" w:rsidDel="006853E9" w:rsidRDefault="00A5152C" w:rsidP="00FA3C8E"/>
    <w:p w14:paraId="3319B9D6" w14:textId="538CD5A2" w:rsidR="00227A37" w:rsidRDefault="00A5152C" w:rsidP="00FA3C8E">
      <w:r w:rsidRPr="00C7364E">
        <w:t xml:space="preserve">In the context of the Government’s online safety reform agenda, </w:t>
      </w:r>
      <w:r w:rsidR="00FA3C8E">
        <w:t xml:space="preserve">the Government developed </w:t>
      </w:r>
      <w:r w:rsidR="00BA7D4A">
        <w:t>the</w:t>
      </w:r>
      <w:r w:rsidR="00FA3C8E">
        <w:t xml:space="preserve"> Act to consolidate online safety regulatory arrangements and update them in light of changes in the digital environment.</w:t>
      </w:r>
    </w:p>
    <w:p w14:paraId="481271D4" w14:textId="77777777" w:rsidR="00227A37" w:rsidRDefault="00227A37" w:rsidP="00FA3C8E"/>
    <w:p w14:paraId="21483112" w14:textId="68F08213" w:rsidR="00B75B61" w:rsidRDefault="00327A37" w:rsidP="00FA3C8E">
      <w:r>
        <w:t xml:space="preserve">The Act </w:t>
      </w:r>
      <w:r w:rsidR="00FC03CF">
        <w:t>contains an enhanced online content scheme</w:t>
      </w:r>
      <w:r w:rsidR="00E543AC">
        <w:t xml:space="preserve">. </w:t>
      </w:r>
      <w:r w:rsidR="00D937E9">
        <w:t>T</w:t>
      </w:r>
      <w:r w:rsidR="00FA3C8E">
        <w:t xml:space="preserve">he relevant powers under Schedule 7 of the </w:t>
      </w:r>
      <w:r w:rsidR="00E543AC" w:rsidRPr="007A2E21">
        <w:t>BSA</w:t>
      </w:r>
      <w:r w:rsidR="00FA3C8E">
        <w:t>, and the</w:t>
      </w:r>
      <w:r w:rsidR="00E543AC">
        <w:t xml:space="preserve"> 2014 RAS Declaration</w:t>
      </w:r>
      <w:r w:rsidR="00FA3C8E">
        <w:t xml:space="preserve">, </w:t>
      </w:r>
      <w:r w:rsidR="00D937E9">
        <w:t>were</w:t>
      </w:r>
      <w:r w:rsidR="00FA3C8E">
        <w:t xml:space="preserve"> repealed</w:t>
      </w:r>
      <w:r w:rsidR="00D937E9">
        <w:t xml:space="preserve"> on commencement of the Act</w:t>
      </w:r>
      <w:r w:rsidR="00FA3C8E">
        <w:t xml:space="preserve">. </w:t>
      </w:r>
    </w:p>
    <w:p w14:paraId="385C92D4" w14:textId="77777777" w:rsidR="00B75B61" w:rsidRDefault="00B75B61" w:rsidP="00FA3C8E"/>
    <w:p w14:paraId="713A6407" w14:textId="55BD2230" w:rsidR="00AE1CD2" w:rsidRDefault="00AE1CD2" w:rsidP="00AE1CD2">
      <w:pPr>
        <w:rPr>
          <w:i/>
          <w:iCs/>
        </w:rPr>
      </w:pPr>
      <w:r w:rsidRPr="00FF283F">
        <w:rPr>
          <w:i/>
          <w:iCs/>
        </w:rPr>
        <w:t xml:space="preserve">The Declaration </w:t>
      </w:r>
    </w:p>
    <w:p w14:paraId="373A690A" w14:textId="77777777" w:rsidR="00FE77D6" w:rsidRPr="00FF283F" w:rsidRDefault="00FE77D6" w:rsidP="00AE1CD2">
      <w:pPr>
        <w:rPr>
          <w:i/>
          <w:iCs/>
        </w:rPr>
      </w:pPr>
    </w:p>
    <w:p w14:paraId="503166C6" w14:textId="6B39AB73" w:rsidR="00C87C64" w:rsidRDefault="00C00C49" w:rsidP="00185E91">
      <w:pPr>
        <w:pStyle w:val="ACMABodyText"/>
        <w:spacing w:before="0"/>
      </w:pPr>
      <w:r>
        <w:t>Following consultation with industry, the Commissioner has prepared the Declaration</w:t>
      </w:r>
      <w:r w:rsidR="00D011EE">
        <w:t xml:space="preserve">, which </w:t>
      </w:r>
      <w:r w:rsidR="00D011EE" w:rsidRPr="00D011EE">
        <w:t>specifies an access</w:t>
      </w:r>
      <w:r w:rsidR="00933891">
        <w:t>-</w:t>
      </w:r>
      <w:r w:rsidR="00D011EE" w:rsidRPr="00D011EE">
        <w:t>control system as a restricted access system for relevant class 2 material</w:t>
      </w:r>
      <w:r w:rsidR="00D011EE">
        <w:t>.</w:t>
      </w:r>
    </w:p>
    <w:p w14:paraId="7FAE1C89" w14:textId="77777777" w:rsidR="0022369E" w:rsidDel="00B63736" w:rsidRDefault="0022369E" w:rsidP="0022369E">
      <w:pPr>
        <w:pStyle w:val="ACMABodyText"/>
        <w:spacing w:before="0"/>
        <w:contextualSpacing/>
      </w:pPr>
      <w:r w:rsidDel="00B63736">
        <w:t xml:space="preserve">Relevant class 2 material includes content that is unsuitable for a minor to see, because it depicts: </w:t>
      </w:r>
    </w:p>
    <w:p w14:paraId="55899D58" w14:textId="1E73518B" w:rsidR="0022369E" w:rsidRPr="00FF283F" w:rsidDel="00B63736" w:rsidRDefault="0022369E" w:rsidP="0022369E">
      <w:pPr>
        <w:numPr>
          <w:ilvl w:val="0"/>
          <w:numId w:val="31"/>
        </w:numPr>
        <w:shd w:val="clear" w:color="auto" w:fill="FFFFFF"/>
        <w:rPr>
          <w:color w:val="000000" w:themeColor="text1"/>
        </w:rPr>
      </w:pPr>
      <w:r w:rsidRPr="00FF283F" w:rsidDel="00B63736">
        <w:rPr>
          <w:color w:val="000000" w:themeColor="text1"/>
        </w:rPr>
        <w:t>realistically simulated sexual activity between adults</w:t>
      </w:r>
      <w:r w:rsidR="00640E21">
        <w:rPr>
          <w:color w:val="000000" w:themeColor="text1"/>
        </w:rPr>
        <w:t>;</w:t>
      </w:r>
      <w:r w:rsidRPr="00FF283F" w:rsidDel="00B63736">
        <w:rPr>
          <w:color w:val="000000" w:themeColor="text1"/>
        </w:rPr>
        <w:t> </w:t>
      </w:r>
    </w:p>
    <w:p w14:paraId="1B661043" w14:textId="490BF13A" w:rsidR="0022369E" w:rsidRPr="00FF283F" w:rsidDel="00B63736" w:rsidRDefault="0022369E" w:rsidP="0022369E">
      <w:pPr>
        <w:numPr>
          <w:ilvl w:val="0"/>
          <w:numId w:val="31"/>
        </w:numPr>
        <w:shd w:val="clear" w:color="auto" w:fill="FFFFFF"/>
        <w:rPr>
          <w:color w:val="000000" w:themeColor="text1"/>
        </w:rPr>
      </w:pPr>
      <w:r w:rsidRPr="00FF283F" w:rsidDel="00B63736">
        <w:rPr>
          <w:color w:val="000000" w:themeColor="text1"/>
        </w:rPr>
        <w:t>high impact nudity</w:t>
      </w:r>
      <w:r w:rsidR="00DD3D77">
        <w:rPr>
          <w:color w:val="000000" w:themeColor="text1"/>
        </w:rPr>
        <w:t>;</w:t>
      </w:r>
      <w:r w:rsidRPr="00FF283F" w:rsidDel="00B63736">
        <w:rPr>
          <w:color w:val="000000" w:themeColor="text1"/>
        </w:rPr>
        <w:t> </w:t>
      </w:r>
    </w:p>
    <w:p w14:paraId="358AA545" w14:textId="6A320C98" w:rsidR="0022369E" w:rsidRPr="00FF283F" w:rsidDel="00B63736" w:rsidRDefault="0022369E" w:rsidP="0022369E">
      <w:pPr>
        <w:numPr>
          <w:ilvl w:val="0"/>
          <w:numId w:val="31"/>
        </w:numPr>
        <w:shd w:val="clear" w:color="auto" w:fill="FFFFFF"/>
        <w:spacing w:before="100" w:beforeAutospacing="1"/>
        <w:rPr>
          <w:color w:val="000000" w:themeColor="text1"/>
        </w:rPr>
      </w:pPr>
      <w:r w:rsidRPr="00FF283F" w:rsidDel="00B63736">
        <w:rPr>
          <w:color w:val="000000" w:themeColor="text1"/>
        </w:rPr>
        <w:t>high impact violence</w:t>
      </w:r>
      <w:r w:rsidR="00DD3D77">
        <w:rPr>
          <w:color w:val="000000" w:themeColor="text1"/>
        </w:rPr>
        <w:t>;</w:t>
      </w:r>
      <w:r w:rsidRPr="00FF283F" w:rsidDel="00B63736">
        <w:rPr>
          <w:color w:val="000000" w:themeColor="text1"/>
        </w:rPr>
        <w:t> </w:t>
      </w:r>
    </w:p>
    <w:p w14:paraId="22F3141F" w14:textId="1D1A0AD9" w:rsidR="0022369E" w:rsidRPr="00FF283F" w:rsidDel="00B63736" w:rsidRDefault="0022369E" w:rsidP="0022369E">
      <w:pPr>
        <w:numPr>
          <w:ilvl w:val="0"/>
          <w:numId w:val="31"/>
        </w:numPr>
        <w:shd w:val="clear" w:color="auto" w:fill="FFFFFF"/>
        <w:spacing w:before="100" w:beforeAutospacing="1"/>
        <w:rPr>
          <w:color w:val="000000" w:themeColor="text1"/>
        </w:rPr>
      </w:pPr>
      <w:r w:rsidRPr="00FF283F" w:rsidDel="00B63736">
        <w:rPr>
          <w:color w:val="000000" w:themeColor="text1"/>
        </w:rPr>
        <w:t>high impact drug use</w:t>
      </w:r>
      <w:r w:rsidR="00DD3D77">
        <w:rPr>
          <w:color w:val="000000" w:themeColor="text1"/>
        </w:rPr>
        <w:t>;</w:t>
      </w:r>
      <w:r w:rsidRPr="00FF283F" w:rsidDel="00B63736">
        <w:rPr>
          <w:color w:val="000000" w:themeColor="text1"/>
        </w:rPr>
        <w:t xml:space="preserve"> and</w:t>
      </w:r>
    </w:p>
    <w:p w14:paraId="6257AABF" w14:textId="77777777" w:rsidR="0022369E" w:rsidRPr="00FF283F" w:rsidDel="00B63736" w:rsidRDefault="0022369E" w:rsidP="0022369E">
      <w:pPr>
        <w:numPr>
          <w:ilvl w:val="0"/>
          <w:numId w:val="31"/>
        </w:numPr>
        <w:shd w:val="clear" w:color="auto" w:fill="FFFFFF"/>
        <w:spacing w:before="100" w:beforeAutospacing="1" w:after="120"/>
        <w:ind w:left="714" w:hanging="357"/>
        <w:contextualSpacing/>
        <w:rPr>
          <w:color w:val="000000" w:themeColor="text1"/>
        </w:rPr>
      </w:pPr>
      <w:r w:rsidRPr="00FF283F" w:rsidDel="00B63736">
        <w:rPr>
          <w:color w:val="000000" w:themeColor="text1"/>
        </w:rPr>
        <w:t>high impact language.  </w:t>
      </w:r>
    </w:p>
    <w:p w14:paraId="583E5826" w14:textId="169ACC77" w:rsidR="0022369E" w:rsidDel="00B63736" w:rsidRDefault="0022369E" w:rsidP="0022369E">
      <w:pPr>
        <w:pStyle w:val="ACMABodyText"/>
        <w:spacing w:before="0"/>
      </w:pPr>
      <w:r w:rsidDel="00B63736">
        <w:t xml:space="preserve">It should be noted that, while relevant class 2 material includes some pornographic content, the category captures a wider variety of content types. </w:t>
      </w:r>
    </w:p>
    <w:p w14:paraId="6AC87FD2" w14:textId="3304E118" w:rsidR="0022369E" w:rsidDel="00B63736" w:rsidRDefault="0022369E" w:rsidP="0022369E">
      <w:pPr>
        <w:pStyle w:val="ACMABodyText"/>
        <w:spacing w:before="0"/>
      </w:pPr>
      <w:r w:rsidRPr="00FF283F" w:rsidDel="00B63736">
        <w:t>The Declaration is not intended to capture</w:t>
      </w:r>
      <w:r w:rsidRPr="005A0657" w:rsidDel="00B63736">
        <w:t xml:space="preserve"> materials or resources providing information or promoting awareness about sexuality, sex education or sexual health.</w:t>
      </w:r>
      <w:r w:rsidDel="00B63736">
        <w:t xml:space="preserve"> </w:t>
      </w:r>
      <w:r w:rsidR="006B6C72">
        <w:t xml:space="preserve">When content is classified, </w:t>
      </w:r>
      <w:r w:rsidR="005530F2">
        <w:t>a number of matters must be taken into account,</w:t>
      </w:r>
      <w:r w:rsidR="00500037">
        <w:t xml:space="preserve"> including </w:t>
      </w:r>
      <w:r w:rsidR="003F0725" w:rsidRPr="003F0725">
        <w:t>the literary, artistic or educational merit (if any)</w:t>
      </w:r>
      <w:r w:rsidR="003F0725">
        <w:t>, as well as</w:t>
      </w:r>
      <w:r w:rsidR="0029276D">
        <w:t xml:space="preserve"> </w:t>
      </w:r>
      <w:r w:rsidR="00F42396">
        <w:rPr>
          <w:color w:val="000000"/>
          <w:shd w:val="clear" w:color="auto" w:fill="FFFFFF"/>
        </w:rPr>
        <w:t>the general character of the content, including whether it is of a medical, legal or scientific character.</w:t>
      </w:r>
      <w:r w:rsidR="00F42396">
        <w:rPr>
          <w:rStyle w:val="FootnoteReference"/>
          <w:color w:val="000000"/>
          <w:shd w:val="clear" w:color="auto" w:fill="FFFFFF"/>
        </w:rPr>
        <w:footnoteReference w:id="2"/>
      </w:r>
      <w:r w:rsidR="006B6C72">
        <w:t xml:space="preserve"> </w:t>
      </w:r>
    </w:p>
    <w:p w14:paraId="5E75CD11" w14:textId="7129BA88" w:rsidR="006D71EA" w:rsidRDefault="0017630E" w:rsidP="00185E91">
      <w:pPr>
        <w:pStyle w:val="ACMABodyText"/>
        <w:spacing w:before="0"/>
      </w:pPr>
      <w:r>
        <w:t xml:space="preserve">The Declaration </w:t>
      </w:r>
      <w:r w:rsidR="00EC46AA">
        <w:t xml:space="preserve">adopts the same framework as </w:t>
      </w:r>
      <w:r w:rsidR="00C00C49" w:rsidRPr="007D5E6D">
        <w:t xml:space="preserve">the </w:t>
      </w:r>
      <w:r w:rsidR="006D71EA">
        <w:t xml:space="preserve">2014 RAS Declaration. </w:t>
      </w:r>
      <w:r w:rsidR="00A52F65" w:rsidRPr="00A52F65">
        <w:t xml:space="preserve">Like the 2014 RAS Declaration, the Declaration </w:t>
      </w:r>
      <w:r w:rsidR="00A52F65">
        <w:t>does</w:t>
      </w:r>
      <w:r w:rsidR="00A52F65" w:rsidRPr="00A52F65">
        <w:t xml:space="preserve"> not specify</w:t>
      </w:r>
      <w:r w:rsidR="009F201D">
        <w:t xml:space="preserve"> or pr</w:t>
      </w:r>
      <w:r w:rsidR="006D71EA">
        <w:t>e</w:t>
      </w:r>
      <w:r w:rsidR="009F201D">
        <w:t>scribe</w:t>
      </w:r>
      <w:r w:rsidR="00A52F65" w:rsidRPr="00A52F65">
        <w:t xml:space="preserve"> technologies or processes to be used by service providers to determine age and restrict access to content</w:t>
      </w:r>
      <w:r w:rsidR="007D5E6D">
        <w:t xml:space="preserve">. </w:t>
      </w:r>
    </w:p>
    <w:p w14:paraId="1F4B92AC" w14:textId="081FF180" w:rsidR="0067637C" w:rsidRDefault="007D5E6D" w:rsidP="00185E91">
      <w:pPr>
        <w:pStyle w:val="ACMABodyText"/>
        <w:spacing w:before="0"/>
      </w:pPr>
      <w:r>
        <w:t>Instead,</w:t>
      </w:r>
      <w:r w:rsidR="00A02E84">
        <w:t xml:space="preserve"> </w:t>
      </w:r>
      <w:r w:rsidR="006D71EA">
        <w:t>the Declaration</w:t>
      </w:r>
      <w:r w:rsidR="00A02E84" w:rsidRPr="00A02E84">
        <w:rPr>
          <w:szCs w:val="28"/>
        </w:rPr>
        <w:t xml:space="preserve"> </w:t>
      </w:r>
      <w:r w:rsidR="00A02E84">
        <w:rPr>
          <w:szCs w:val="28"/>
        </w:rPr>
        <w:t xml:space="preserve">requires an application for access to relevant class 2 material, the giving of warnings and safety information relevant to the content, the taking of </w:t>
      </w:r>
      <w:r w:rsidR="009E1E22">
        <w:rPr>
          <w:szCs w:val="28"/>
        </w:rPr>
        <w:t>‘</w:t>
      </w:r>
      <w:r w:rsidR="00A02E84">
        <w:rPr>
          <w:szCs w:val="28"/>
        </w:rPr>
        <w:t>reasonable steps</w:t>
      </w:r>
      <w:r w:rsidR="009E1E22">
        <w:rPr>
          <w:szCs w:val="28"/>
        </w:rPr>
        <w:t>’</w:t>
      </w:r>
      <w:r w:rsidR="00A02E84">
        <w:rPr>
          <w:szCs w:val="28"/>
        </w:rPr>
        <w:t xml:space="preserve"> to confirm the age of applicants and limiting access to relevant class 2 material.</w:t>
      </w:r>
      <w:r w:rsidR="009E1E22">
        <w:t xml:space="preserve"> ‘</w:t>
      </w:r>
      <w:r w:rsidR="00B96541">
        <w:t>Reasonable steps</w:t>
      </w:r>
      <w:r w:rsidR="009E1E22">
        <w:t>’</w:t>
      </w:r>
      <w:r w:rsidR="00B96541">
        <w:t xml:space="preserve"> are to be </w:t>
      </w:r>
      <w:r w:rsidR="006F64A0">
        <w:t xml:space="preserve">determined by </w:t>
      </w:r>
      <w:r w:rsidR="004D1628">
        <w:t>a</w:t>
      </w:r>
      <w:r w:rsidR="006F64A0">
        <w:t xml:space="preserve"> </w:t>
      </w:r>
      <w:r w:rsidR="00E95021">
        <w:t>service provider</w:t>
      </w:r>
      <w:r w:rsidR="00255DD0">
        <w:t xml:space="preserve">, with guidance contained in this Explanatory Statement. </w:t>
      </w:r>
    </w:p>
    <w:p w14:paraId="643DCEFE" w14:textId="62731CC2" w:rsidR="00FF4576" w:rsidRDefault="00F90E38">
      <w:pPr>
        <w:pStyle w:val="ACMABodyText"/>
        <w:spacing w:before="0"/>
      </w:pPr>
      <w:r w:rsidRPr="00262811">
        <w:t>Th</w:t>
      </w:r>
      <w:r w:rsidR="00FF4576">
        <w:t>is</w:t>
      </w:r>
      <w:r w:rsidRPr="00262811">
        <w:t xml:space="preserve"> </w:t>
      </w:r>
      <w:r w:rsidR="00C875B1" w:rsidRPr="00262811">
        <w:t>approach</w:t>
      </w:r>
      <w:r w:rsidR="00FF4576">
        <w:t>:</w:t>
      </w:r>
    </w:p>
    <w:p w14:paraId="3D849DA9" w14:textId="31879424" w:rsidR="004F3DB7" w:rsidRDefault="00C93C9C" w:rsidP="00FF4576">
      <w:pPr>
        <w:pStyle w:val="ACMABodyText"/>
        <w:numPr>
          <w:ilvl w:val="0"/>
          <w:numId w:val="35"/>
        </w:numPr>
        <w:spacing w:before="0"/>
      </w:pPr>
      <w:r>
        <w:t>achieves</w:t>
      </w:r>
      <w:r w:rsidR="004F3DB7">
        <w:t xml:space="preserve"> the</w:t>
      </w:r>
      <w:r w:rsidR="00254CCC">
        <w:t xml:space="preserve"> </w:t>
      </w:r>
      <w:r w:rsidR="00C14F29">
        <w:t xml:space="preserve">objective of protecting </w:t>
      </w:r>
      <w:r>
        <w:t>children</w:t>
      </w:r>
      <w:r w:rsidR="00C14F29">
        <w:t xml:space="preserve"> from exposure to unsuitable content with</w:t>
      </w:r>
      <w:r w:rsidR="00E017A3">
        <w:t>out i</w:t>
      </w:r>
      <w:r w:rsidR="00254CCC" w:rsidRPr="007A2E21">
        <w:rPr>
          <w:szCs w:val="24"/>
        </w:rPr>
        <w:t xml:space="preserve">mposing </w:t>
      </w:r>
      <w:r w:rsidR="00135A0E">
        <w:rPr>
          <w:szCs w:val="24"/>
        </w:rPr>
        <w:t>unreasonable</w:t>
      </w:r>
      <w:r w:rsidR="00254CCC" w:rsidRPr="007A2E21">
        <w:rPr>
          <w:szCs w:val="24"/>
        </w:rPr>
        <w:t xml:space="preserve"> financial and administrative burdens on </w:t>
      </w:r>
      <w:r w:rsidR="001F43B3">
        <w:rPr>
          <w:szCs w:val="24"/>
        </w:rPr>
        <w:t>service providers</w:t>
      </w:r>
      <w:r w:rsidR="00DD3D77">
        <w:rPr>
          <w:szCs w:val="24"/>
        </w:rPr>
        <w:t>;</w:t>
      </w:r>
    </w:p>
    <w:p w14:paraId="080F4AED" w14:textId="394AECE4" w:rsidR="00901C9C" w:rsidRDefault="007313B4" w:rsidP="00FF4576">
      <w:pPr>
        <w:pStyle w:val="ACMABodyText"/>
        <w:numPr>
          <w:ilvl w:val="0"/>
          <w:numId w:val="35"/>
        </w:numPr>
        <w:spacing w:before="0"/>
      </w:pPr>
      <w:r>
        <w:t xml:space="preserve">gives service providers the flexibility to implement measures to restrict access to content which reflect </w:t>
      </w:r>
      <w:r w:rsidR="00FE6128">
        <w:t xml:space="preserve">the nature of </w:t>
      </w:r>
      <w:r w:rsidR="00837118">
        <w:t xml:space="preserve">their </w:t>
      </w:r>
      <w:r w:rsidR="00FE6128">
        <w:t xml:space="preserve">platforms and services, their </w:t>
      </w:r>
      <w:r>
        <w:lastRenderedPageBreak/>
        <w:t>business models and technologies</w:t>
      </w:r>
      <w:r w:rsidR="00976263">
        <w:t>.</w:t>
      </w:r>
      <w:r w:rsidR="000F32EA">
        <w:t xml:space="preserve"> </w:t>
      </w:r>
      <w:r w:rsidR="00976263">
        <w:t>This is important, given the diverse range of service</w:t>
      </w:r>
      <w:r w:rsidR="00C030C5">
        <w:t>s</w:t>
      </w:r>
      <w:r w:rsidR="00976263">
        <w:t xml:space="preserve"> covered by the relevant provisions of the Act</w:t>
      </w:r>
      <w:r w:rsidR="00DD3D77">
        <w:t>;</w:t>
      </w:r>
    </w:p>
    <w:p w14:paraId="4CE35596" w14:textId="0A6EA911" w:rsidR="00765C8D" w:rsidRDefault="00976263" w:rsidP="00FF4576">
      <w:pPr>
        <w:pStyle w:val="ACMABodyText"/>
        <w:numPr>
          <w:ilvl w:val="0"/>
          <w:numId w:val="35"/>
        </w:numPr>
        <w:spacing w:before="0"/>
      </w:pPr>
      <w:r>
        <w:t xml:space="preserve">gives service providers the flexibility to implement measures to restrict access to content which reflect </w:t>
      </w:r>
      <w:r w:rsidR="007313B4">
        <w:t>their size, capacity</w:t>
      </w:r>
      <w:r w:rsidR="0048458C">
        <w:t xml:space="preserve">, </w:t>
      </w:r>
      <w:r w:rsidR="007313B4">
        <w:t>capability</w:t>
      </w:r>
      <w:r w:rsidR="0048458C">
        <w:t xml:space="preserve"> and maturity</w:t>
      </w:r>
      <w:r w:rsidR="007313B4">
        <w:t xml:space="preserve">. For example, a smaller </w:t>
      </w:r>
      <w:r w:rsidR="00AD274B">
        <w:t>service</w:t>
      </w:r>
      <w:r w:rsidR="007313B4">
        <w:t xml:space="preserve"> provider would not be expected to have the same practices in place as a larger </w:t>
      </w:r>
      <w:r w:rsidR="00AD274B">
        <w:t xml:space="preserve">service </w:t>
      </w:r>
      <w:r w:rsidR="007313B4">
        <w:t>provider</w:t>
      </w:r>
      <w:r w:rsidR="00DD3D77">
        <w:t>;</w:t>
      </w:r>
      <w:r w:rsidR="0048458C">
        <w:t xml:space="preserve"> and</w:t>
      </w:r>
    </w:p>
    <w:p w14:paraId="4BBE3A8E" w14:textId="68E5EA77" w:rsidR="00F66699" w:rsidRDefault="00C850D3" w:rsidP="00FF4576">
      <w:pPr>
        <w:pStyle w:val="ACMABodyText"/>
        <w:numPr>
          <w:ilvl w:val="0"/>
          <w:numId w:val="35"/>
        </w:numPr>
        <w:spacing w:before="0"/>
      </w:pPr>
      <w:r>
        <w:t>a</w:t>
      </w:r>
      <w:r w:rsidR="00E16FB7">
        <w:t xml:space="preserve">llows for </w:t>
      </w:r>
      <w:r w:rsidR="004B40AC">
        <w:t xml:space="preserve">advances in </w:t>
      </w:r>
      <w:r w:rsidR="00184F69">
        <w:t xml:space="preserve">relevant </w:t>
      </w:r>
      <w:r w:rsidR="004B40AC">
        <w:t>technolog</w:t>
      </w:r>
      <w:r w:rsidR="00184F69">
        <w:t xml:space="preserve">ies. </w:t>
      </w:r>
      <w:r w:rsidR="00143DF1">
        <w:t>A</w:t>
      </w:r>
      <w:r w:rsidR="0048458C">
        <w:t xml:space="preserve"> more</w:t>
      </w:r>
      <w:r w:rsidR="00143DF1">
        <w:t xml:space="preserve"> prescriptive approach</w:t>
      </w:r>
      <w:r w:rsidR="006510EB">
        <w:t xml:space="preserve"> does not support the testing and introduction of new systems and technologies</w:t>
      </w:r>
      <w:r w:rsidR="008B6551">
        <w:t xml:space="preserve"> that can restrict access to content</w:t>
      </w:r>
      <w:r w:rsidR="006510EB">
        <w:t>, and</w:t>
      </w:r>
      <w:r w:rsidR="00143DF1">
        <w:t xml:space="preserve"> risks </w:t>
      </w:r>
      <w:r w:rsidR="00C47F49">
        <w:t xml:space="preserve">stifling innovation in this </w:t>
      </w:r>
      <w:r w:rsidR="0087492C">
        <w:t>area</w:t>
      </w:r>
      <w:r w:rsidR="002E7885">
        <w:t>.</w:t>
      </w:r>
    </w:p>
    <w:p w14:paraId="23D24948" w14:textId="4581D6EA" w:rsidR="00C24A76" w:rsidRPr="00EE5E88" w:rsidRDefault="00C24A76" w:rsidP="00697FC9">
      <w:pPr>
        <w:pStyle w:val="ACMABodyText"/>
        <w:keepNext/>
        <w:spacing w:before="0"/>
        <w:rPr>
          <w:b/>
          <w:szCs w:val="24"/>
        </w:rPr>
      </w:pPr>
      <w:r w:rsidRPr="00A5152C">
        <w:rPr>
          <w:b/>
          <w:szCs w:val="24"/>
        </w:rPr>
        <w:t>Operation</w:t>
      </w:r>
    </w:p>
    <w:p w14:paraId="0315FB29" w14:textId="56CB5704" w:rsidR="00DF3213" w:rsidRDefault="00C24A76" w:rsidP="00DF3213">
      <w:pPr>
        <w:keepNext/>
        <w:spacing w:after="120"/>
      </w:pPr>
      <w:r w:rsidRPr="007A677D">
        <w:t xml:space="preserve">In summary, the Declaration specifies an access-control system for </w:t>
      </w:r>
      <w:r w:rsidR="00A60B73" w:rsidRPr="007A677D">
        <w:t>relevant class 2 material</w:t>
      </w:r>
      <w:r w:rsidR="007A677D">
        <w:t xml:space="preserve"> by setting out </w:t>
      </w:r>
      <w:r w:rsidR="007A677D" w:rsidDel="00DF3213">
        <w:t>the</w:t>
      </w:r>
      <w:r w:rsidR="00DF3213">
        <w:t xml:space="preserve"> </w:t>
      </w:r>
      <w:r w:rsidR="007A677D">
        <w:t xml:space="preserve">minimum requirements </w:t>
      </w:r>
      <w:r w:rsidR="00DF3213">
        <w:t>such a system must satisfy.</w:t>
      </w:r>
    </w:p>
    <w:p w14:paraId="6A3885CB" w14:textId="5258BA88" w:rsidR="00C24A76" w:rsidRPr="007A677D" w:rsidRDefault="00DF3213" w:rsidP="00C24A76">
      <w:r>
        <w:t>An access</w:t>
      </w:r>
      <w:r w:rsidR="00C151C2">
        <w:t>-</w:t>
      </w:r>
      <w:r>
        <w:t>control system must</w:t>
      </w:r>
      <w:r w:rsidR="00442271">
        <w:t>:</w:t>
      </w:r>
    </w:p>
    <w:p w14:paraId="15719B15" w14:textId="28E50543" w:rsidR="00C24A76" w:rsidRPr="007A677D" w:rsidRDefault="00C24A76" w:rsidP="00C24A76">
      <w:pPr>
        <w:numPr>
          <w:ilvl w:val="0"/>
          <w:numId w:val="8"/>
        </w:numPr>
      </w:pPr>
      <w:r w:rsidRPr="007A677D">
        <w:t xml:space="preserve">require an application for access to the </w:t>
      </w:r>
      <w:r w:rsidR="007A677D" w:rsidRPr="007A677D">
        <w:t>material, and a declaration from the applicant that they are at least 18 years of age</w:t>
      </w:r>
      <w:r w:rsidRPr="007A677D">
        <w:t>; and</w:t>
      </w:r>
    </w:p>
    <w:p w14:paraId="289B5817" w14:textId="750799D4" w:rsidR="00C24A76" w:rsidRPr="007A677D" w:rsidRDefault="00C24A76" w:rsidP="00C24A76">
      <w:pPr>
        <w:numPr>
          <w:ilvl w:val="0"/>
          <w:numId w:val="8"/>
        </w:numPr>
      </w:pPr>
      <w:r w:rsidRPr="007A677D">
        <w:t xml:space="preserve">provide warnings as to the nature of the </w:t>
      </w:r>
      <w:r w:rsidR="007A677D" w:rsidRPr="007A677D">
        <w:t>material</w:t>
      </w:r>
      <w:r w:rsidRPr="007A677D">
        <w:t xml:space="preserve">; and </w:t>
      </w:r>
    </w:p>
    <w:p w14:paraId="6A8F28B2" w14:textId="3FA54696" w:rsidR="00C24A76" w:rsidRPr="007A677D" w:rsidRDefault="00C24A76" w:rsidP="00C24A76">
      <w:pPr>
        <w:numPr>
          <w:ilvl w:val="0"/>
          <w:numId w:val="8"/>
        </w:numPr>
      </w:pPr>
      <w:r w:rsidRPr="007A677D">
        <w:t xml:space="preserve">provide safety information for parents and guardians on how to control access to the </w:t>
      </w:r>
      <w:r w:rsidR="007A677D" w:rsidRPr="007A677D">
        <w:t>material</w:t>
      </w:r>
      <w:r w:rsidRPr="007A677D">
        <w:t xml:space="preserve">; </w:t>
      </w:r>
      <w:r w:rsidR="00682EBB">
        <w:t>and</w:t>
      </w:r>
    </w:p>
    <w:p w14:paraId="1119134D" w14:textId="4291C9F9" w:rsidR="00C24A76" w:rsidRPr="007A677D" w:rsidRDefault="00C24A76" w:rsidP="00C24A76">
      <w:pPr>
        <w:numPr>
          <w:ilvl w:val="0"/>
          <w:numId w:val="8"/>
        </w:numPr>
      </w:pPr>
      <w:r w:rsidRPr="007A677D">
        <w:t>incorporate reasonable steps to confirm that an applicant is at least 18 years of age; and</w:t>
      </w:r>
    </w:p>
    <w:p w14:paraId="2B0FA62A" w14:textId="2FBCD89A" w:rsidR="00C24A76" w:rsidRPr="007A677D" w:rsidRDefault="00C24A76" w:rsidP="00697FC9">
      <w:pPr>
        <w:numPr>
          <w:ilvl w:val="0"/>
          <w:numId w:val="8"/>
        </w:numPr>
        <w:spacing w:after="120"/>
      </w:pPr>
      <w:r w:rsidRPr="007A677D">
        <w:t>limit access to the content</w:t>
      </w:r>
      <w:r w:rsidR="007A677D" w:rsidRPr="007A677D">
        <w:t xml:space="preserve"> unless certain steps are complied with</w:t>
      </w:r>
      <w:r w:rsidRPr="007A677D">
        <w:t xml:space="preserve">, which may include the use of a PIN. </w:t>
      </w:r>
    </w:p>
    <w:p w14:paraId="4D434CE1" w14:textId="5DC9EAD5" w:rsidR="00C24A76" w:rsidRPr="00EE5E88" w:rsidRDefault="00C24A76" w:rsidP="00FE77D6">
      <w:pPr>
        <w:spacing w:after="120"/>
      </w:pPr>
      <w:r w:rsidRPr="007A677D">
        <w:rPr>
          <w:b/>
        </w:rPr>
        <w:t>Public Consultation</w:t>
      </w:r>
    </w:p>
    <w:p w14:paraId="1750032A" w14:textId="643E6C33" w:rsidR="00D9460F" w:rsidRPr="00EE5E88" w:rsidRDefault="00D9460F" w:rsidP="00FE77D6">
      <w:pPr>
        <w:spacing w:after="120"/>
        <w:rPr>
          <w:u w:val="single"/>
        </w:rPr>
      </w:pPr>
      <w:r w:rsidRPr="00EE5E88">
        <w:rPr>
          <w:u w:val="single"/>
        </w:rPr>
        <w:t xml:space="preserve">First phase of consultation </w:t>
      </w:r>
    </w:p>
    <w:p w14:paraId="718B07E5" w14:textId="27C6F920" w:rsidR="00DF3213" w:rsidRDefault="004D0CE3" w:rsidP="00FE77D6">
      <w:pPr>
        <w:spacing w:after="120"/>
        <w:rPr>
          <w:szCs w:val="28"/>
        </w:rPr>
      </w:pPr>
      <w:r>
        <w:t>In formulating the Declaration</w:t>
      </w:r>
      <w:r w:rsidR="00A156D8">
        <w:t>,</w:t>
      </w:r>
      <w:r w:rsidR="00DF3213">
        <w:t xml:space="preserve"> the</w:t>
      </w:r>
      <w:r w:rsidR="00A156D8">
        <w:t xml:space="preserve"> </w:t>
      </w:r>
      <w:r w:rsidR="00DF3213">
        <w:t>Commissioner</w:t>
      </w:r>
      <w:r w:rsidR="00A156D8">
        <w:t xml:space="preserve"> undertook a two</w:t>
      </w:r>
      <w:r w:rsidR="00DF3213">
        <w:t>-</w:t>
      </w:r>
      <w:r w:rsidR="00A156D8">
        <w:t xml:space="preserve">phase consultation process. The first phase involved the publication of a </w:t>
      </w:r>
      <w:r w:rsidR="00D72D65">
        <w:t>Restricted Access System Declaration (Online Safety Act 2021) Discussion Paper in August 2021</w:t>
      </w:r>
      <w:r w:rsidR="00A156D8">
        <w:t>, which invited feedback</w:t>
      </w:r>
      <w:r w:rsidR="00D72D65">
        <w:t xml:space="preserve"> on the design of the new </w:t>
      </w:r>
      <w:r w:rsidR="0099733C">
        <w:t>RAS</w:t>
      </w:r>
      <w:r w:rsidR="00D72D65">
        <w:t xml:space="preserve"> Declaration.</w:t>
      </w:r>
      <w:r w:rsidR="00E47FE4">
        <w:t xml:space="preserve"> </w:t>
      </w:r>
      <w:r w:rsidR="00C23714" w:rsidRPr="00C23714">
        <w:rPr>
          <w:szCs w:val="28"/>
        </w:rPr>
        <w:t>Responses </w:t>
      </w:r>
      <w:r w:rsidR="00E47FE4">
        <w:rPr>
          <w:szCs w:val="28"/>
        </w:rPr>
        <w:t xml:space="preserve">to the issues raised in the Discussion Paper </w:t>
      </w:r>
      <w:r w:rsidR="00C23714" w:rsidRPr="00C23714">
        <w:rPr>
          <w:szCs w:val="28"/>
        </w:rPr>
        <w:t>were due on 12 September 2021</w:t>
      </w:r>
      <w:r w:rsidR="00A156D8">
        <w:rPr>
          <w:szCs w:val="28"/>
        </w:rPr>
        <w:t>.</w:t>
      </w:r>
      <w:r w:rsidR="00DF3213">
        <w:rPr>
          <w:szCs w:val="28"/>
        </w:rPr>
        <w:t xml:space="preserve"> </w:t>
      </w:r>
    </w:p>
    <w:p w14:paraId="3F81D8D2" w14:textId="7E790ECC" w:rsidR="00A156D8" w:rsidRDefault="00DF3213" w:rsidP="00FE77D6">
      <w:pPr>
        <w:spacing w:after="120"/>
        <w:rPr>
          <w:szCs w:val="28"/>
        </w:rPr>
      </w:pPr>
      <w:r>
        <w:rPr>
          <w:szCs w:val="28"/>
        </w:rPr>
        <w:t xml:space="preserve">As well as publishing the Discussion Paper on the eSafety Commissioner’s website and </w:t>
      </w:r>
      <w:r w:rsidR="00E47FE4">
        <w:rPr>
          <w:szCs w:val="28"/>
        </w:rPr>
        <w:t>requesting</w:t>
      </w:r>
      <w:r>
        <w:rPr>
          <w:szCs w:val="28"/>
        </w:rPr>
        <w:t xml:space="preserve"> public submissions</w:t>
      </w:r>
      <w:r w:rsidR="00E47FE4">
        <w:rPr>
          <w:szCs w:val="28"/>
        </w:rPr>
        <w:t xml:space="preserve"> through a media release</w:t>
      </w:r>
      <w:r>
        <w:rPr>
          <w:szCs w:val="28"/>
        </w:rPr>
        <w:t>, the Commissioner</w:t>
      </w:r>
      <w:r w:rsidR="00E47FE4">
        <w:rPr>
          <w:szCs w:val="28"/>
        </w:rPr>
        <w:t xml:space="preserve"> </w:t>
      </w:r>
      <w:r>
        <w:rPr>
          <w:szCs w:val="28"/>
        </w:rPr>
        <w:t xml:space="preserve">invited a range of stakeholders to </w:t>
      </w:r>
      <w:r w:rsidR="00BE6518">
        <w:rPr>
          <w:szCs w:val="28"/>
        </w:rPr>
        <w:t xml:space="preserve">contribute their views. These included members of the digital services industry, industry groups </w:t>
      </w:r>
      <w:r w:rsidR="00704E6C" w:rsidRPr="00704E6C">
        <w:rPr>
          <w:szCs w:val="28"/>
        </w:rPr>
        <w:t xml:space="preserve">advocating for Australian </w:t>
      </w:r>
      <w:r w:rsidR="00704E6C" w:rsidRPr="00962661">
        <w:rPr>
          <w:szCs w:val="28"/>
        </w:rPr>
        <w:t>service providers</w:t>
      </w:r>
      <w:r w:rsidR="00BE6518">
        <w:rPr>
          <w:szCs w:val="28"/>
        </w:rPr>
        <w:t xml:space="preserve"> and various digital rights groups.</w:t>
      </w:r>
    </w:p>
    <w:p w14:paraId="6AF6F02C" w14:textId="7316E275" w:rsidR="007622D1" w:rsidRDefault="00C23714" w:rsidP="00DF3213">
      <w:pPr>
        <w:spacing w:after="120"/>
      </w:pPr>
      <w:r>
        <w:t>31 submissions were received from industry, advocacy groups,</w:t>
      </w:r>
      <w:r w:rsidDel="008D40F7">
        <w:t> </w:t>
      </w:r>
      <w:r>
        <w:t>and the general</w:t>
      </w:r>
      <w:r w:rsidR="008D40F7">
        <w:t xml:space="preserve"> </w:t>
      </w:r>
      <w:r>
        <w:t>public. </w:t>
      </w:r>
      <w:r w:rsidR="007622D1">
        <w:t>Key themes in the submission</w:t>
      </w:r>
      <w:r w:rsidR="00840634">
        <w:t>s</w:t>
      </w:r>
      <w:r w:rsidR="007622D1">
        <w:t xml:space="preserve"> included:</w:t>
      </w:r>
    </w:p>
    <w:p w14:paraId="1E0CF373" w14:textId="52E6E711" w:rsidR="00B71C84" w:rsidRDefault="00B75437" w:rsidP="007622D1">
      <w:pPr>
        <w:pStyle w:val="ListParagraph"/>
        <w:numPr>
          <w:ilvl w:val="0"/>
          <w:numId w:val="34"/>
        </w:numPr>
        <w:spacing w:after="120"/>
        <w:rPr>
          <w:szCs w:val="28"/>
        </w:rPr>
      </w:pPr>
      <w:r>
        <w:rPr>
          <w:szCs w:val="28"/>
        </w:rPr>
        <w:t>t</w:t>
      </w:r>
      <w:r w:rsidR="00234DF0">
        <w:rPr>
          <w:szCs w:val="28"/>
        </w:rPr>
        <w:t>he need to protect children from exposure to explicit content</w:t>
      </w:r>
      <w:r w:rsidR="00645F3A">
        <w:rPr>
          <w:szCs w:val="28"/>
        </w:rPr>
        <w:t>;</w:t>
      </w:r>
    </w:p>
    <w:p w14:paraId="187CEB6E" w14:textId="24C793C9" w:rsidR="00234DF0" w:rsidRDefault="00B75437" w:rsidP="007622D1">
      <w:pPr>
        <w:pStyle w:val="ListParagraph"/>
        <w:numPr>
          <w:ilvl w:val="0"/>
          <w:numId w:val="34"/>
        </w:numPr>
        <w:spacing w:after="120"/>
        <w:rPr>
          <w:szCs w:val="28"/>
        </w:rPr>
      </w:pPr>
      <w:r>
        <w:rPr>
          <w:szCs w:val="28"/>
        </w:rPr>
        <w:t>t</w:t>
      </w:r>
      <w:r w:rsidR="002D7E10">
        <w:rPr>
          <w:szCs w:val="28"/>
        </w:rPr>
        <w:t>he p</w:t>
      </w:r>
      <w:r w:rsidR="00C26EF1">
        <w:rPr>
          <w:szCs w:val="28"/>
        </w:rPr>
        <w:t>otential</w:t>
      </w:r>
      <w:r w:rsidR="002D7E10">
        <w:rPr>
          <w:szCs w:val="28"/>
        </w:rPr>
        <w:t xml:space="preserve"> </w:t>
      </w:r>
      <w:r w:rsidR="003F7B6B">
        <w:rPr>
          <w:szCs w:val="28"/>
        </w:rPr>
        <w:t>for a restricted access system to have a</w:t>
      </w:r>
      <w:r w:rsidR="002D7E10">
        <w:rPr>
          <w:szCs w:val="28"/>
        </w:rPr>
        <w:t xml:space="preserve"> negative</w:t>
      </w:r>
      <w:r w:rsidR="00C26EF1">
        <w:rPr>
          <w:szCs w:val="28"/>
        </w:rPr>
        <w:t xml:space="preserve"> impact on </w:t>
      </w:r>
      <w:r w:rsidR="00135F99">
        <w:rPr>
          <w:szCs w:val="28"/>
        </w:rPr>
        <w:t xml:space="preserve">access to </w:t>
      </w:r>
      <w:r w:rsidR="002D7E10">
        <w:rPr>
          <w:szCs w:val="28"/>
        </w:rPr>
        <w:t>education</w:t>
      </w:r>
      <w:r w:rsidR="00135F99">
        <w:rPr>
          <w:szCs w:val="28"/>
        </w:rPr>
        <w:t>al material</w:t>
      </w:r>
      <w:r w:rsidR="00A67DB8">
        <w:rPr>
          <w:szCs w:val="28"/>
        </w:rPr>
        <w:t>, including</w:t>
      </w:r>
      <w:r w:rsidR="002D7E10">
        <w:rPr>
          <w:szCs w:val="28"/>
        </w:rPr>
        <w:t xml:space="preserve"> healthcare </w:t>
      </w:r>
      <w:r w:rsidR="008C4080">
        <w:rPr>
          <w:szCs w:val="28"/>
        </w:rPr>
        <w:t>resources</w:t>
      </w:r>
      <w:r w:rsidR="00645F3A">
        <w:rPr>
          <w:szCs w:val="28"/>
        </w:rPr>
        <w:t>; and</w:t>
      </w:r>
    </w:p>
    <w:p w14:paraId="37B3F6C6" w14:textId="177D585E" w:rsidR="008E35F8" w:rsidRPr="00927C36" w:rsidRDefault="00B75437" w:rsidP="00AE7B05">
      <w:pPr>
        <w:pStyle w:val="ListParagraph"/>
        <w:numPr>
          <w:ilvl w:val="0"/>
          <w:numId w:val="34"/>
        </w:numPr>
        <w:spacing w:after="120"/>
        <w:rPr>
          <w:szCs w:val="28"/>
        </w:rPr>
      </w:pPr>
      <w:r>
        <w:rPr>
          <w:szCs w:val="28"/>
        </w:rPr>
        <w:t>t</w:t>
      </w:r>
      <w:r w:rsidR="008E35F8">
        <w:rPr>
          <w:szCs w:val="28"/>
        </w:rPr>
        <w:t xml:space="preserve">he </w:t>
      </w:r>
      <w:r w:rsidR="001211AD">
        <w:rPr>
          <w:szCs w:val="28"/>
        </w:rPr>
        <w:t xml:space="preserve">need </w:t>
      </w:r>
      <w:r w:rsidR="003A22BF">
        <w:rPr>
          <w:szCs w:val="28"/>
        </w:rPr>
        <w:t>to provide</w:t>
      </w:r>
      <w:r w:rsidR="00CB7484">
        <w:rPr>
          <w:szCs w:val="28"/>
        </w:rPr>
        <w:t xml:space="preserve"> </w:t>
      </w:r>
      <w:r w:rsidR="003A22BF">
        <w:rPr>
          <w:szCs w:val="28"/>
        </w:rPr>
        <w:t xml:space="preserve">flexibility so that </w:t>
      </w:r>
      <w:r w:rsidR="00A6025C">
        <w:rPr>
          <w:szCs w:val="28"/>
        </w:rPr>
        <w:t>restricted access systems</w:t>
      </w:r>
      <w:r w:rsidR="003A22BF">
        <w:rPr>
          <w:szCs w:val="28"/>
        </w:rPr>
        <w:t xml:space="preserve"> can</w:t>
      </w:r>
      <w:r w:rsidR="00CB7484">
        <w:rPr>
          <w:szCs w:val="28"/>
        </w:rPr>
        <w:t xml:space="preserve"> </w:t>
      </w:r>
      <w:r w:rsidR="008E35F8">
        <w:rPr>
          <w:szCs w:val="28"/>
        </w:rPr>
        <w:t xml:space="preserve">adapt to </w:t>
      </w:r>
      <w:r w:rsidR="00911959">
        <w:rPr>
          <w:szCs w:val="28"/>
        </w:rPr>
        <w:t xml:space="preserve">evolving </w:t>
      </w:r>
      <w:r w:rsidR="00014D30">
        <w:rPr>
          <w:szCs w:val="28"/>
        </w:rPr>
        <w:t xml:space="preserve">and new </w:t>
      </w:r>
      <w:r w:rsidR="00911959">
        <w:rPr>
          <w:szCs w:val="28"/>
        </w:rPr>
        <w:t>technologies</w:t>
      </w:r>
      <w:r w:rsidR="00874298">
        <w:rPr>
          <w:szCs w:val="28"/>
        </w:rPr>
        <w:t xml:space="preserve"> and allow for continuing innovation.</w:t>
      </w:r>
    </w:p>
    <w:p w14:paraId="48BBF0F4" w14:textId="3EB3D987" w:rsidR="00BA130A" w:rsidRPr="007A2E21" w:rsidRDefault="00BE4A49" w:rsidP="007A2E21">
      <w:pPr>
        <w:spacing w:after="120"/>
        <w:rPr>
          <w:szCs w:val="28"/>
        </w:rPr>
      </w:pPr>
      <w:r>
        <w:rPr>
          <w:szCs w:val="28"/>
        </w:rPr>
        <w:t xml:space="preserve">A number of </w:t>
      </w:r>
      <w:r w:rsidR="00483AD2">
        <w:rPr>
          <w:szCs w:val="28"/>
        </w:rPr>
        <w:t xml:space="preserve">submissions supported the </w:t>
      </w:r>
      <w:r w:rsidR="008C3003">
        <w:rPr>
          <w:szCs w:val="28"/>
        </w:rPr>
        <w:t>implementation</w:t>
      </w:r>
      <w:r w:rsidR="00483AD2">
        <w:rPr>
          <w:szCs w:val="28"/>
        </w:rPr>
        <w:t xml:space="preserve"> of a prescriptive RAS Declaration that</w:t>
      </w:r>
      <w:r w:rsidR="00A42F8A">
        <w:rPr>
          <w:szCs w:val="28"/>
        </w:rPr>
        <w:t xml:space="preserve"> sets out specific</w:t>
      </w:r>
      <w:r w:rsidR="003F7C21">
        <w:rPr>
          <w:szCs w:val="28"/>
        </w:rPr>
        <w:t xml:space="preserve"> tools and technologies</w:t>
      </w:r>
      <w:r w:rsidR="00881288">
        <w:rPr>
          <w:szCs w:val="28"/>
        </w:rPr>
        <w:t xml:space="preserve"> to restrict access to content</w:t>
      </w:r>
      <w:r>
        <w:rPr>
          <w:szCs w:val="28"/>
        </w:rPr>
        <w:t>. However,</w:t>
      </w:r>
      <w:r w:rsidR="0016165A">
        <w:rPr>
          <w:szCs w:val="28"/>
        </w:rPr>
        <w:t xml:space="preserve"> the majority of s</w:t>
      </w:r>
      <w:r w:rsidR="00E10B15">
        <w:rPr>
          <w:szCs w:val="28"/>
        </w:rPr>
        <w:t xml:space="preserve">ubmissions recommended that the requirements of an </w:t>
      </w:r>
      <w:r w:rsidR="00E10B15">
        <w:rPr>
          <w:szCs w:val="28"/>
        </w:rPr>
        <w:lastRenderedPageBreak/>
        <w:t>access</w:t>
      </w:r>
      <w:r w:rsidR="00C151C2">
        <w:rPr>
          <w:szCs w:val="28"/>
        </w:rPr>
        <w:t>-</w:t>
      </w:r>
      <w:r w:rsidR="00E10B15">
        <w:rPr>
          <w:szCs w:val="28"/>
        </w:rPr>
        <w:t>control system</w:t>
      </w:r>
      <w:r w:rsidR="0016165A">
        <w:rPr>
          <w:szCs w:val="28"/>
        </w:rPr>
        <w:t xml:space="preserve"> be kept flexible to</w:t>
      </w:r>
      <w:r w:rsidR="00E10B15">
        <w:rPr>
          <w:szCs w:val="28"/>
        </w:rPr>
        <w:t xml:space="preserve"> reflect</w:t>
      </w:r>
      <w:r w:rsidR="00BA130A">
        <w:rPr>
          <w:szCs w:val="28"/>
        </w:rPr>
        <w:t xml:space="preserve"> </w:t>
      </w:r>
      <w:r w:rsidR="00E10B15" w:rsidRPr="007A2E21">
        <w:rPr>
          <w:szCs w:val="28"/>
        </w:rPr>
        <w:t>the diversity of service</w:t>
      </w:r>
      <w:r w:rsidR="00D06AEF">
        <w:rPr>
          <w:szCs w:val="28"/>
        </w:rPr>
        <w:t>s</w:t>
      </w:r>
      <w:r w:rsidR="00E10B15" w:rsidRPr="007A2E21">
        <w:rPr>
          <w:szCs w:val="28"/>
        </w:rPr>
        <w:t xml:space="preserve"> </w:t>
      </w:r>
      <w:r w:rsidR="00CA532C">
        <w:rPr>
          <w:szCs w:val="28"/>
        </w:rPr>
        <w:t>covered by the relevant provisions of the Act</w:t>
      </w:r>
      <w:r w:rsidR="00BA130A" w:rsidRPr="00100A04">
        <w:rPr>
          <w:szCs w:val="28"/>
        </w:rPr>
        <w:t xml:space="preserve">, </w:t>
      </w:r>
      <w:r w:rsidR="004C547F">
        <w:rPr>
          <w:szCs w:val="28"/>
        </w:rPr>
        <w:t xml:space="preserve">as well as the differences in </w:t>
      </w:r>
      <w:r w:rsidR="00FD0589">
        <w:rPr>
          <w:szCs w:val="28"/>
        </w:rPr>
        <w:t xml:space="preserve">service </w:t>
      </w:r>
      <w:r w:rsidR="00BA130A" w:rsidRPr="00100A04">
        <w:rPr>
          <w:szCs w:val="28"/>
        </w:rPr>
        <w:t xml:space="preserve">size, </w:t>
      </w:r>
      <w:r w:rsidR="00BA130A" w:rsidRPr="00BA130A">
        <w:rPr>
          <w:szCs w:val="28"/>
        </w:rPr>
        <w:t>capability</w:t>
      </w:r>
      <w:r w:rsidR="00BA130A" w:rsidRPr="007A2E21">
        <w:rPr>
          <w:szCs w:val="28"/>
        </w:rPr>
        <w:t xml:space="preserve">, capacity and </w:t>
      </w:r>
      <w:r w:rsidR="00BA130A">
        <w:rPr>
          <w:szCs w:val="28"/>
        </w:rPr>
        <w:t>maturity</w:t>
      </w:r>
      <w:r w:rsidR="00BA130A" w:rsidRPr="00100A04">
        <w:rPr>
          <w:szCs w:val="28"/>
        </w:rPr>
        <w:t>.</w:t>
      </w:r>
    </w:p>
    <w:p w14:paraId="107A5771" w14:textId="7093FE2D" w:rsidR="003E3A35" w:rsidRPr="007A2E21" w:rsidRDefault="004C547F" w:rsidP="007A2E21">
      <w:pPr>
        <w:spacing w:after="120"/>
        <w:rPr>
          <w:szCs w:val="28"/>
        </w:rPr>
      </w:pPr>
      <w:r>
        <w:rPr>
          <w:szCs w:val="28"/>
        </w:rPr>
        <w:t>The relevant provisions of the Act apply to</w:t>
      </w:r>
      <w:r w:rsidR="00E10B15">
        <w:rPr>
          <w:szCs w:val="28"/>
        </w:rPr>
        <w:t xml:space="preserve"> sole traders operating websites</w:t>
      </w:r>
      <w:r w:rsidR="00CD3463" w:rsidRPr="00100A04">
        <w:rPr>
          <w:szCs w:val="28"/>
        </w:rPr>
        <w:t xml:space="preserve"> </w:t>
      </w:r>
      <w:r w:rsidR="00E10B15" w:rsidRPr="007A2E21">
        <w:rPr>
          <w:szCs w:val="28"/>
        </w:rPr>
        <w:t xml:space="preserve">offering niche </w:t>
      </w:r>
      <w:r w:rsidR="00CD3463" w:rsidRPr="007A2E21">
        <w:rPr>
          <w:szCs w:val="28"/>
        </w:rPr>
        <w:t xml:space="preserve">adult </w:t>
      </w:r>
      <w:r w:rsidR="00E10B15" w:rsidRPr="007A2E21">
        <w:rPr>
          <w:szCs w:val="28"/>
        </w:rPr>
        <w:t>services, through to major social media companies with global resources. Members of industry and advocacy groups recommended that this spectrum of capabilities and resourcing lends itself to a flexible</w:t>
      </w:r>
      <w:r w:rsidR="003E3A35" w:rsidRPr="007A2E21">
        <w:rPr>
          <w:szCs w:val="28"/>
        </w:rPr>
        <w:t xml:space="preserve"> a</w:t>
      </w:r>
      <w:r w:rsidR="00E10B15" w:rsidRPr="007A2E21">
        <w:rPr>
          <w:szCs w:val="28"/>
        </w:rPr>
        <w:t>nd non-prescriptive approach to system design</w:t>
      </w:r>
      <w:r w:rsidR="003E3A35" w:rsidRPr="007A2E21">
        <w:rPr>
          <w:szCs w:val="28"/>
        </w:rPr>
        <w:t xml:space="preserve"> that is proportionate to the size of the service</w:t>
      </w:r>
      <w:r w:rsidR="00E10B15" w:rsidRPr="007A2E21">
        <w:rPr>
          <w:szCs w:val="28"/>
        </w:rPr>
        <w:t xml:space="preserve">. </w:t>
      </w:r>
    </w:p>
    <w:p w14:paraId="23CF943D" w14:textId="71DBC2F5" w:rsidR="001D4C79" w:rsidRPr="00B85A26" w:rsidRDefault="00E10B15">
      <w:pPr>
        <w:spacing w:after="120"/>
        <w:rPr>
          <w:szCs w:val="28"/>
        </w:rPr>
      </w:pPr>
      <w:r>
        <w:rPr>
          <w:szCs w:val="28"/>
        </w:rPr>
        <w:t>S</w:t>
      </w:r>
      <w:r w:rsidR="00B85A26" w:rsidRPr="00B85A26">
        <w:rPr>
          <w:szCs w:val="28"/>
        </w:rPr>
        <w:t xml:space="preserve">ubmissions </w:t>
      </w:r>
      <w:r w:rsidR="00EC6AEA">
        <w:rPr>
          <w:szCs w:val="28"/>
        </w:rPr>
        <w:t>also</w:t>
      </w:r>
      <w:r w:rsidR="00B85A26" w:rsidRPr="00B85A26">
        <w:rPr>
          <w:szCs w:val="28"/>
        </w:rPr>
        <w:t xml:space="preserve"> demonstrate</w:t>
      </w:r>
      <w:r w:rsidR="00F73984">
        <w:rPr>
          <w:szCs w:val="28"/>
        </w:rPr>
        <w:t>d</w:t>
      </w:r>
      <w:r w:rsidR="00B85A26" w:rsidRPr="00B85A26">
        <w:rPr>
          <w:szCs w:val="28"/>
        </w:rPr>
        <w:t xml:space="preserve"> that there </w:t>
      </w:r>
      <w:r w:rsidR="00E921AB">
        <w:rPr>
          <w:szCs w:val="28"/>
        </w:rPr>
        <w:t>is</w:t>
      </w:r>
      <w:r w:rsidR="00E921AB" w:rsidRPr="00B85A26">
        <w:rPr>
          <w:szCs w:val="28"/>
        </w:rPr>
        <w:t xml:space="preserve"> </w:t>
      </w:r>
      <w:r w:rsidR="00B85A26" w:rsidRPr="00B85A26">
        <w:rPr>
          <w:szCs w:val="28"/>
        </w:rPr>
        <w:t xml:space="preserve">already </w:t>
      </w:r>
      <w:r w:rsidR="00E921AB">
        <w:rPr>
          <w:szCs w:val="28"/>
        </w:rPr>
        <w:t>an</w:t>
      </w:r>
      <w:r w:rsidR="00B85A26" w:rsidRPr="00B85A26">
        <w:rPr>
          <w:szCs w:val="28"/>
        </w:rPr>
        <w:t xml:space="preserve"> array of different tools and technologies that are employed by service providers to ensure that young people cannot access age-inappropriate material. </w:t>
      </w:r>
      <w:r w:rsidR="000D211E">
        <w:rPr>
          <w:szCs w:val="28"/>
        </w:rPr>
        <w:t>A flexible</w:t>
      </w:r>
      <w:r w:rsidR="00B85A26" w:rsidRPr="00B85A26">
        <w:rPr>
          <w:szCs w:val="28"/>
        </w:rPr>
        <w:t xml:space="preserve"> </w:t>
      </w:r>
      <w:r w:rsidR="000D211E">
        <w:rPr>
          <w:szCs w:val="28"/>
        </w:rPr>
        <w:t>restricted access system</w:t>
      </w:r>
      <w:r w:rsidR="000D211E" w:rsidRPr="00B85A26">
        <w:rPr>
          <w:szCs w:val="28"/>
        </w:rPr>
        <w:t xml:space="preserve"> </w:t>
      </w:r>
      <w:r w:rsidR="00B85A26" w:rsidRPr="00B85A26">
        <w:rPr>
          <w:szCs w:val="28"/>
        </w:rPr>
        <w:t>allows for industry to meet the legislative requirement</w:t>
      </w:r>
      <w:r w:rsidR="006D5E79">
        <w:rPr>
          <w:szCs w:val="28"/>
        </w:rPr>
        <w:t>s</w:t>
      </w:r>
      <w:r w:rsidR="00B85A26" w:rsidRPr="00B85A26">
        <w:rPr>
          <w:szCs w:val="28"/>
        </w:rPr>
        <w:t xml:space="preserve"> in a way that is relevant to their business</w:t>
      </w:r>
      <w:r w:rsidR="003E3A35">
        <w:rPr>
          <w:szCs w:val="28"/>
        </w:rPr>
        <w:t>, the</w:t>
      </w:r>
      <w:r w:rsidR="003E3A35" w:rsidRPr="00B85A26" w:rsidDel="003E3A35">
        <w:rPr>
          <w:szCs w:val="28"/>
        </w:rPr>
        <w:t xml:space="preserve"> </w:t>
      </w:r>
      <w:r w:rsidR="00B85A26" w:rsidRPr="00B85A26">
        <w:rPr>
          <w:szCs w:val="28"/>
        </w:rPr>
        <w:t xml:space="preserve">size of the service </w:t>
      </w:r>
      <w:r w:rsidR="00B85A26" w:rsidRPr="00B85A26" w:rsidDel="003E3A35">
        <w:rPr>
          <w:szCs w:val="28"/>
        </w:rPr>
        <w:t xml:space="preserve">and </w:t>
      </w:r>
      <w:r w:rsidR="003E3A35">
        <w:rPr>
          <w:szCs w:val="28"/>
        </w:rPr>
        <w:t>its</w:t>
      </w:r>
      <w:r w:rsidR="00B85A26" w:rsidRPr="00B85A26">
        <w:rPr>
          <w:szCs w:val="28"/>
        </w:rPr>
        <w:t xml:space="preserve"> sophistication.</w:t>
      </w:r>
    </w:p>
    <w:p w14:paraId="509A13A0" w14:textId="16D31CD4" w:rsidR="003712DA" w:rsidRPr="00B85A26" w:rsidRDefault="001D4C79" w:rsidP="007A2E21">
      <w:pPr>
        <w:spacing w:after="120"/>
        <w:rPr>
          <w:szCs w:val="28"/>
        </w:rPr>
      </w:pPr>
      <w:r>
        <w:rPr>
          <w:szCs w:val="28"/>
        </w:rPr>
        <w:t xml:space="preserve">Overall, submissions supported </w:t>
      </w:r>
      <w:r w:rsidR="00962661">
        <w:rPr>
          <w:szCs w:val="28"/>
        </w:rPr>
        <w:t>a</w:t>
      </w:r>
      <w:r>
        <w:rPr>
          <w:szCs w:val="28"/>
        </w:rPr>
        <w:t xml:space="preserve"> framework</w:t>
      </w:r>
      <w:r w:rsidR="0062366E">
        <w:rPr>
          <w:szCs w:val="28"/>
        </w:rPr>
        <w:t xml:space="preserve"> like the</w:t>
      </w:r>
      <w:r>
        <w:rPr>
          <w:szCs w:val="28"/>
        </w:rPr>
        <w:t xml:space="preserve"> framework established under the </w:t>
      </w:r>
      <w:r w:rsidRPr="005320E9">
        <w:rPr>
          <w:i/>
          <w:szCs w:val="28"/>
        </w:rPr>
        <w:t xml:space="preserve">Restricted Access System </w:t>
      </w:r>
      <w:r w:rsidRPr="005320E9">
        <w:rPr>
          <w:i/>
          <w:iCs/>
          <w:szCs w:val="28"/>
        </w:rPr>
        <w:t>Declaration 2014</w:t>
      </w:r>
      <w:r>
        <w:rPr>
          <w:szCs w:val="28"/>
        </w:rPr>
        <w:t xml:space="preserve">. </w:t>
      </w:r>
    </w:p>
    <w:p w14:paraId="21D49512" w14:textId="77777777" w:rsidR="00702027" w:rsidRDefault="00702027" w:rsidP="00702027">
      <w:pPr>
        <w:spacing w:after="120"/>
      </w:pPr>
      <w:r w:rsidRPr="00702027">
        <w:rPr>
          <w:u w:val="single"/>
        </w:rPr>
        <w:t>Second phase of consultation</w:t>
      </w:r>
    </w:p>
    <w:p w14:paraId="7367A31C" w14:textId="77777777" w:rsidR="00702027" w:rsidRPr="00702027" w:rsidRDefault="00702027" w:rsidP="00702027">
      <w:pPr>
        <w:spacing w:after="120"/>
      </w:pPr>
      <w:r>
        <w:t>The draft</w:t>
      </w:r>
      <w:r w:rsidRPr="00702027">
        <w:t xml:space="preserve"> Declaration and supporting explanatory statement, which were developed with reference to feedback received during the first </w:t>
      </w:r>
      <w:r>
        <w:t xml:space="preserve">phase of </w:t>
      </w:r>
      <w:r w:rsidRPr="00702027">
        <w:t>consultation, were released for public consultation in October 2021. Responses were due on 23 November 2021.</w:t>
      </w:r>
    </w:p>
    <w:p w14:paraId="69E965A0" w14:textId="77777777" w:rsidR="00702027" w:rsidRPr="00702027" w:rsidRDefault="00702027" w:rsidP="00702027">
      <w:pPr>
        <w:spacing w:after="120" w:line="259" w:lineRule="auto"/>
      </w:pPr>
      <w:r w:rsidRPr="00702027">
        <w:t>13 submissions were received from industry, advocacy groups and the general public.</w:t>
      </w:r>
      <w:r>
        <w:t xml:space="preserve"> </w:t>
      </w:r>
    </w:p>
    <w:p w14:paraId="39ECA017" w14:textId="77777777" w:rsidR="00702027" w:rsidRDefault="00702027" w:rsidP="00702027">
      <w:pPr>
        <w:spacing w:after="120" w:line="259" w:lineRule="auto"/>
      </w:pPr>
      <w:r>
        <w:t>O</w:t>
      </w:r>
      <w:r w:rsidRPr="00967F5F">
        <w:t>verall, the submissions were supportive of the drafting of the Declaration</w:t>
      </w:r>
      <w:r>
        <w:t xml:space="preserve">. While some submissions raised concerns that the Declaration placed too much </w:t>
      </w:r>
      <w:r w:rsidRPr="00D15298">
        <w:t xml:space="preserve">responsibility </w:t>
      </w:r>
      <w:r>
        <w:t>on service providers</w:t>
      </w:r>
      <w:r w:rsidRPr="00D15298">
        <w:t xml:space="preserve"> to determine the ‘reasonable steps</w:t>
      </w:r>
      <w:r>
        <w:t xml:space="preserve">’ needed to confirm an applicant is at least 18 years of age, the majority of submissions </w:t>
      </w:r>
      <w:r w:rsidRPr="00702027">
        <w:t xml:space="preserve">supported the </w:t>
      </w:r>
      <w:r>
        <w:t>flexible approach taken in the</w:t>
      </w:r>
      <w:r w:rsidRPr="00702027">
        <w:t xml:space="preserve"> Declaration</w:t>
      </w:r>
      <w:r>
        <w:t>. This approach allows</w:t>
      </w:r>
      <w:r w:rsidRPr="00702027">
        <w:t xml:space="preserve"> businesses to incorporate </w:t>
      </w:r>
      <w:r>
        <w:t xml:space="preserve">age confirmation </w:t>
      </w:r>
      <w:r w:rsidRPr="00702027">
        <w:t xml:space="preserve">methods </w:t>
      </w:r>
      <w:r>
        <w:t>which are</w:t>
      </w:r>
      <w:r w:rsidRPr="00702027">
        <w:t xml:space="preserve"> best suit</w:t>
      </w:r>
      <w:r>
        <w:t>ed</w:t>
      </w:r>
      <w:r w:rsidRPr="00702027">
        <w:t xml:space="preserve"> </w:t>
      </w:r>
      <w:r>
        <w:t xml:space="preserve">to </w:t>
      </w:r>
      <w:r w:rsidRPr="00702027">
        <w:t>their operational requirements.</w:t>
      </w:r>
      <w:r w:rsidRPr="00BC570B">
        <w:t xml:space="preserve"> </w:t>
      </w:r>
    </w:p>
    <w:p w14:paraId="67E0082E" w14:textId="7FC490F2" w:rsidR="00264374" w:rsidRPr="00ED4423" w:rsidRDefault="00264374" w:rsidP="00702027">
      <w:pPr>
        <w:spacing w:after="120" w:line="259" w:lineRule="auto"/>
      </w:pPr>
      <w:r w:rsidRPr="00ED4423">
        <w:t xml:space="preserve">In response to feedback, section 7 of the Declaration has been amended to clarify that safety information can be provided </w:t>
      </w:r>
      <w:r w:rsidR="00E279F3" w:rsidRPr="00ED4423">
        <w:t>via a link to th</w:t>
      </w:r>
      <w:r w:rsidR="006D6C08" w:rsidRPr="00ED4423">
        <w:t>is information on the</w:t>
      </w:r>
      <w:r w:rsidR="00C44E1B" w:rsidRPr="00ED4423">
        <w:t xml:space="preserve"> relevant</w:t>
      </w:r>
      <w:r w:rsidR="006D6C08" w:rsidRPr="00ED4423">
        <w:t xml:space="preserve"> </w:t>
      </w:r>
      <w:r w:rsidR="00C44E1B" w:rsidRPr="00ED4423">
        <w:t>social media service, relevant electronic service, or designated internet service.</w:t>
      </w:r>
    </w:p>
    <w:p w14:paraId="45C65A96" w14:textId="77777777" w:rsidR="00702027" w:rsidRDefault="00702027" w:rsidP="00702027">
      <w:pPr>
        <w:spacing w:after="120" w:line="259" w:lineRule="auto"/>
      </w:pPr>
      <w:r w:rsidRPr="00ED4423">
        <w:t>A common theme throughout the submissions was a need for a greater focus on the privacy implications of the Declaration. A number of submissions suggested that the Declaration itself should address privacy implications, for example, by noting that age verification methods should be privacy preserving and respectful of the data protection principle of data minimisation. Following consultation with the Office of the Australian Information Commissioner, additional</w:t>
      </w:r>
      <w:r w:rsidRPr="00702027">
        <w:t xml:space="preserve"> </w:t>
      </w:r>
      <w:r>
        <w:t>information about best practice privacy considerations</w:t>
      </w:r>
      <w:r w:rsidRPr="00702027">
        <w:t xml:space="preserve"> has been incorporated into th</w:t>
      </w:r>
      <w:r>
        <w:t>is</w:t>
      </w:r>
      <w:r w:rsidRPr="00702027">
        <w:t xml:space="preserve"> explanatory statement.</w:t>
      </w:r>
    </w:p>
    <w:p w14:paraId="3C07334A" w14:textId="77777777" w:rsidR="006D5E79" w:rsidRPr="00C7364E" w:rsidRDefault="006D5E79" w:rsidP="00C24A76"/>
    <w:p w14:paraId="39529C68" w14:textId="77777777" w:rsidR="00C24A76" w:rsidRPr="007A677D" w:rsidRDefault="00C24A76" w:rsidP="00C24A76">
      <w:pPr>
        <w:keepNext/>
        <w:rPr>
          <w:b/>
        </w:rPr>
      </w:pPr>
      <w:r w:rsidRPr="007A677D">
        <w:rPr>
          <w:b/>
        </w:rPr>
        <w:t>Regulation Impact Statement</w:t>
      </w:r>
    </w:p>
    <w:p w14:paraId="31471CF8" w14:textId="77777777" w:rsidR="00C24A76" w:rsidRPr="00EE5E88" w:rsidRDefault="00C24A76" w:rsidP="00C24A76">
      <w:pPr>
        <w:keepNext/>
      </w:pPr>
    </w:p>
    <w:p w14:paraId="102F321C" w14:textId="0165D972" w:rsidR="00C24A76" w:rsidRPr="00864FE1" w:rsidRDefault="00C24A76" w:rsidP="00C24A76">
      <w:pPr>
        <w:keepNext/>
        <w:spacing w:before="80" w:after="120" w:line="280" w:lineRule="atLeast"/>
      </w:pPr>
      <w:r w:rsidRPr="00864FE1">
        <w:t xml:space="preserve">The Office of Best Practice Regulation (OBPR) has determined that the regulatory </w:t>
      </w:r>
      <w:r w:rsidR="004015D7" w:rsidRPr="00864FE1">
        <w:t xml:space="preserve">proposal </w:t>
      </w:r>
      <w:r w:rsidRPr="00864FE1">
        <w:t xml:space="preserve">in the Declaration </w:t>
      </w:r>
      <w:r w:rsidR="00A22E94" w:rsidRPr="004757A2">
        <w:t>is</w:t>
      </w:r>
      <w:r w:rsidRPr="00864FE1">
        <w:t xml:space="preserve"> minor in nature and has therefore verified that no </w:t>
      </w:r>
      <w:r w:rsidRPr="00864FE1">
        <w:lastRenderedPageBreak/>
        <w:t xml:space="preserve">further regulatory impact analysis is required – OBPR reference number </w:t>
      </w:r>
      <w:r w:rsidR="00CA139C" w:rsidRPr="004757A2">
        <w:t>44734</w:t>
      </w:r>
      <w:r w:rsidR="008A2741" w:rsidRPr="00864FE1">
        <w:t xml:space="preserve"> </w:t>
      </w:r>
      <w:r w:rsidRPr="00864FE1">
        <w:t xml:space="preserve">(verification provided </w:t>
      </w:r>
      <w:r w:rsidR="00CA139C" w:rsidRPr="004757A2">
        <w:t>13</w:t>
      </w:r>
      <w:r w:rsidR="008A2741" w:rsidRPr="00864FE1">
        <w:t xml:space="preserve"> October 2021</w:t>
      </w:r>
      <w:r w:rsidRPr="00864FE1">
        <w:t>).</w:t>
      </w:r>
    </w:p>
    <w:p w14:paraId="7DA211BE" w14:textId="77777777" w:rsidR="00C24A76" w:rsidRPr="00EE5E88" w:rsidRDefault="00C24A76" w:rsidP="00C24A76">
      <w:pPr>
        <w:rPr>
          <w:b/>
          <w:szCs w:val="28"/>
        </w:rPr>
      </w:pPr>
    </w:p>
    <w:p w14:paraId="4D8FA15B" w14:textId="77777777" w:rsidR="00C24A76" w:rsidRPr="007A677D" w:rsidRDefault="00C24A76" w:rsidP="00C24A76">
      <w:pPr>
        <w:rPr>
          <w:b/>
          <w:szCs w:val="28"/>
        </w:rPr>
      </w:pPr>
      <w:r w:rsidRPr="007A677D">
        <w:rPr>
          <w:b/>
          <w:szCs w:val="28"/>
        </w:rPr>
        <w:t xml:space="preserve">Notes on sections </w:t>
      </w:r>
    </w:p>
    <w:p w14:paraId="1A2DF94D" w14:textId="77777777" w:rsidR="00C24A76" w:rsidRPr="007A677D" w:rsidRDefault="00C24A76" w:rsidP="00C24A76">
      <w:pPr>
        <w:rPr>
          <w:b/>
          <w:szCs w:val="28"/>
        </w:rPr>
      </w:pPr>
    </w:p>
    <w:p w14:paraId="70C1BF42" w14:textId="77777777" w:rsidR="00C24A76" w:rsidRPr="007A677D" w:rsidRDefault="00C24A76" w:rsidP="00C24A76">
      <w:pPr>
        <w:rPr>
          <w:szCs w:val="28"/>
        </w:rPr>
      </w:pPr>
      <w:r w:rsidRPr="007A677D">
        <w:rPr>
          <w:szCs w:val="28"/>
        </w:rPr>
        <w:t>The provisions of the Declaration are described in Attachment 1.</w:t>
      </w:r>
    </w:p>
    <w:p w14:paraId="53D34155" w14:textId="77777777" w:rsidR="00C24A76" w:rsidRPr="00EE5E88" w:rsidRDefault="00C24A76" w:rsidP="00C24A76">
      <w:pPr>
        <w:rPr>
          <w:b/>
          <w:szCs w:val="28"/>
        </w:rPr>
      </w:pPr>
    </w:p>
    <w:p w14:paraId="6A7E4B8B" w14:textId="054B5A42" w:rsidR="00C24A76" w:rsidRPr="00EE5E88" w:rsidRDefault="00C24A76" w:rsidP="00C24A76">
      <w:pPr>
        <w:rPr>
          <w:b/>
          <w:szCs w:val="28"/>
        </w:rPr>
      </w:pPr>
      <w:r w:rsidRPr="007A677D">
        <w:rPr>
          <w:b/>
          <w:szCs w:val="28"/>
        </w:rPr>
        <w:t>Statement of Compatibility with Human Rights</w:t>
      </w:r>
    </w:p>
    <w:p w14:paraId="0A250265" w14:textId="77777777" w:rsidR="00C24A76" w:rsidRPr="00EE5E88" w:rsidRDefault="00C24A76" w:rsidP="00C24A76">
      <w:pPr>
        <w:rPr>
          <w:b/>
          <w:szCs w:val="28"/>
        </w:rPr>
      </w:pPr>
    </w:p>
    <w:p w14:paraId="48D98993" w14:textId="6263A158" w:rsidR="00C24A76" w:rsidRPr="007A677D" w:rsidRDefault="00C24A76" w:rsidP="00C24A76">
      <w:pPr>
        <w:keepNext/>
        <w:spacing w:before="80" w:after="120" w:line="280" w:lineRule="atLeast"/>
      </w:pPr>
      <w:r w:rsidRPr="007A677D">
        <w:t xml:space="preserve">Subsection 9(1) of the </w:t>
      </w:r>
      <w:r w:rsidRPr="007A677D">
        <w:rPr>
          <w:i/>
        </w:rPr>
        <w:t>Human Rights (Parliamentary Scrutiny) Act 2011</w:t>
      </w:r>
      <w:r w:rsidRPr="007A677D">
        <w:t xml:space="preserve"> requires the rule maker in relation to a legislative instrument to which section 42 (disallowance) of the </w:t>
      </w:r>
      <w:r w:rsidRPr="007A677D">
        <w:rPr>
          <w:i/>
        </w:rPr>
        <w:t>Legislati</w:t>
      </w:r>
      <w:r w:rsidR="002C34C3">
        <w:rPr>
          <w:i/>
        </w:rPr>
        <w:t>on</w:t>
      </w:r>
      <w:r w:rsidRPr="007A677D">
        <w:rPr>
          <w:i/>
        </w:rPr>
        <w:t xml:space="preserve"> Act 2003</w:t>
      </w:r>
      <w:r w:rsidRPr="007A677D">
        <w:t xml:space="preserve"> applies to cause a statement of compatibility to be prepared in respect of that legislative instrument. </w:t>
      </w:r>
    </w:p>
    <w:p w14:paraId="5C7F9EAC" w14:textId="77777777" w:rsidR="00C24A76" w:rsidRPr="007A677D" w:rsidRDefault="00C24A76" w:rsidP="00C24A76">
      <w:pPr>
        <w:keepNext/>
        <w:spacing w:before="80" w:after="120" w:line="280" w:lineRule="atLeast"/>
      </w:pPr>
      <w:r w:rsidRPr="007A677D">
        <w:t xml:space="preserve">This statement has been prepared in accordance with Part 3 of the </w:t>
      </w:r>
      <w:r w:rsidRPr="007A677D">
        <w:rPr>
          <w:i/>
        </w:rPr>
        <w:t>Human Rights (Parliamentary Scrutiny) Act 2011</w:t>
      </w:r>
      <w:r w:rsidRPr="007A677D">
        <w:t>.</w:t>
      </w:r>
    </w:p>
    <w:p w14:paraId="26F71742" w14:textId="77777777" w:rsidR="00C24A76" w:rsidRPr="007A2E21" w:rsidRDefault="00C24A76" w:rsidP="00C24A76">
      <w:pPr>
        <w:autoSpaceDE w:val="0"/>
        <w:autoSpaceDN w:val="0"/>
        <w:adjustRightInd w:val="0"/>
        <w:spacing w:before="120" w:after="120"/>
      </w:pPr>
      <w:r w:rsidRPr="007A2E21">
        <w:t xml:space="preserve">The Declaration is compatible with the human rights and freedoms recognised or declared in the international instruments listed in Part 3 of the </w:t>
      </w:r>
      <w:r w:rsidRPr="007A2E21">
        <w:rPr>
          <w:i/>
        </w:rPr>
        <w:t>Human Rights (Parliamentary Scrutiny) Act 2011</w:t>
      </w:r>
      <w:r w:rsidRPr="007A2E21">
        <w:t xml:space="preserve">. </w:t>
      </w:r>
    </w:p>
    <w:p w14:paraId="70441298" w14:textId="77777777" w:rsidR="00C24A76" w:rsidRPr="007A2E21" w:rsidRDefault="00C24A76" w:rsidP="00C24A76">
      <w:pPr>
        <w:autoSpaceDE w:val="0"/>
        <w:autoSpaceDN w:val="0"/>
        <w:adjustRightInd w:val="0"/>
        <w:spacing w:before="120" w:after="120"/>
        <w:rPr>
          <w:i/>
        </w:rPr>
      </w:pPr>
      <w:r w:rsidRPr="007A2E21">
        <w:rPr>
          <w:i/>
        </w:rPr>
        <w:t>Human Rights Implications</w:t>
      </w:r>
    </w:p>
    <w:p w14:paraId="7E8A4654" w14:textId="751A74EE" w:rsidR="00C24A76" w:rsidRPr="007A2E21" w:rsidRDefault="00C24A76" w:rsidP="00C24A76">
      <w:pPr>
        <w:rPr>
          <w:i/>
        </w:rPr>
      </w:pPr>
      <w:r w:rsidRPr="007A2E21">
        <w:t>The Declaration engages the right to freedom of expression</w:t>
      </w:r>
      <w:r w:rsidR="00F0755E" w:rsidRPr="007A2E21">
        <w:t>.</w:t>
      </w:r>
    </w:p>
    <w:p w14:paraId="19B90120" w14:textId="77777777" w:rsidR="00C24A76" w:rsidRPr="007A2E21" w:rsidRDefault="00C24A76" w:rsidP="00C24A76">
      <w:pPr>
        <w:autoSpaceDE w:val="0"/>
        <w:autoSpaceDN w:val="0"/>
        <w:adjustRightInd w:val="0"/>
        <w:spacing w:before="120" w:after="120"/>
      </w:pPr>
      <w:r w:rsidRPr="007A2E21">
        <w:t xml:space="preserve">Under the </w:t>
      </w:r>
      <w:r w:rsidRPr="007A2E21">
        <w:rPr>
          <w:i/>
        </w:rPr>
        <w:t>International Covenant on Civil and Political Rights</w:t>
      </w:r>
      <w:r w:rsidRPr="007A2E21">
        <w:t xml:space="preserve">, everyone is entitled to the right of freedom of expression, including the ‘freedom to seek, receive and impart information and ideas of all kinds, regardless of frontiers, either orally, in writing or in print, in the form of art, or through any other media’ (see Article 19). </w:t>
      </w:r>
    </w:p>
    <w:p w14:paraId="696CDECC" w14:textId="09867D85" w:rsidR="00C24A76" w:rsidRPr="007A2E21" w:rsidRDefault="00C24A76" w:rsidP="00C24A76">
      <w:pPr>
        <w:autoSpaceDE w:val="0"/>
        <w:autoSpaceDN w:val="0"/>
        <w:adjustRightInd w:val="0"/>
        <w:spacing w:before="120" w:after="120"/>
      </w:pPr>
      <w:r w:rsidRPr="007A2E21">
        <w:t xml:space="preserve">The Declaration engages the right to freedom of </w:t>
      </w:r>
      <w:r w:rsidR="00682EBB" w:rsidRPr="007A2E21">
        <w:t>expression</w:t>
      </w:r>
      <w:r w:rsidRPr="007A2E21">
        <w:t xml:space="preserve"> as it concerns seeking and receiving information through accessing online content. While the Declaration may restrict the freedom to </w:t>
      </w:r>
      <w:r w:rsidR="00682EBB" w:rsidRPr="007A2E21">
        <w:t>expression as it concerns receiving this information</w:t>
      </w:r>
      <w:r w:rsidRPr="007A2E21">
        <w:t>, it does so in a proportionate manner, in accordance with clear legislative and policy intent of protecting children from exposure to content that i</w:t>
      </w:r>
      <w:r w:rsidR="00F0755E" w:rsidRPr="007A2E21">
        <w:t>s unsuitable for children (see section 108(4)</w:t>
      </w:r>
      <w:r w:rsidR="008918E3" w:rsidRPr="007A2E21">
        <w:t>(a)</w:t>
      </w:r>
      <w:r w:rsidR="00F0755E" w:rsidRPr="007A2E21">
        <w:t xml:space="preserve"> of the Act</w:t>
      </w:r>
      <w:r w:rsidRPr="007A2E21">
        <w:t xml:space="preserve">). </w:t>
      </w:r>
    </w:p>
    <w:p w14:paraId="10AC1E77" w14:textId="3B53A5E8" w:rsidR="00C24A76" w:rsidRDefault="00C24A76" w:rsidP="00C24A76">
      <w:pPr>
        <w:autoSpaceDE w:val="0"/>
        <w:autoSpaceDN w:val="0"/>
        <w:adjustRightInd w:val="0"/>
        <w:spacing w:before="120" w:after="120"/>
      </w:pPr>
      <w:r w:rsidRPr="007A2E21">
        <w:t xml:space="preserve">The Declaration is therefore consistent with Article 19 of the </w:t>
      </w:r>
      <w:r w:rsidRPr="007A2E21">
        <w:rPr>
          <w:i/>
        </w:rPr>
        <w:t>International Covenant on Civil and Political Rights</w:t>
      </w:r>
      <w:r w:rsidRPr="007A2E21">
        <w:t xml:space="preserve">, in that the obligation imposed by the Declaration, insofar as it may limit access to certain online content, reflects Parliament’s intention of protecting children from exposure to unsuitable content. </w:t>
      </w:r>
    </w:p>
    <w:p w14:paraId="0E072498" w14:textId="77777777" w:rsidR="00D35C29" w:rsidRPr="007A2E21" w:rsidRDefault="00D35C29" w:rsidP="00D35C29">
      <w:pPr>
        <w:autoSpaceDE w:val="0"/>
        <w:autoSpaceDN w:val="0"/>
        <w:adjustRightInd w:val="0"/>
        <w:spacing w:before="120" w:after="120"/>
      </w:pPr>
      <w:r>
        <w:t xml:space="preserve">This Declaration also engages the prohibition on interference with privacy. </w:t>
      </w:r>
    </w:p>
    <w:p w14:paraId="6E4DE596" w14:textId="77777777" w:rsidR="00D35C29" w:rsidRDefault="00D35C29" w:rsidP="00D22028">
      <w:pPr>
        <w:spacing w:after="120"/>
        <w:rPr>
          <w:iCs/>
        </w:rPr>
      </w:pPr>
      <w:r w:rsidRPr="007A2E21">
        <w:t xml:space="preserve">Under the </w:t>
      </w:r>
      <w:r w:rsidRPr="007A2E21">
        <w:rPr>
          <w:i/>
        </w:rPr>
        <w:t>International Covenant on Civil and Political Rights</w:t>
      </w:r>
      <w:r>
        <w:rPr>
          <w:i/>
        </w:rPr>
        <w:t xml:space="preserve">, </w:t>
      </w:r>
      <w:r>
        <w:rPr>
          <w:iCs/>
        </w:rPr>
        <w:t xml:space="preserve">no one shall be subjected to </w:t>
      </w:r>
      <w:r w:rsidRPr="00B407D6">
        <w:rPr>
          <w:iCs/>
        </w:rPr>
        <w:t>arbitrary or unlawful interference with his privacy, family, home or correspondence, nor to unlawful attacks on his honour and reputation</w:t>
      </w:r>
      <w:r>
        <w:rPr>
          <w:iCs/>
        </w:rPr>
        <w:t xml:space="preserve">. Everyone has </w:t>
      </w:r>
      <w:r w:rsidRPr="00046489">
        <w:rPr>
          <w:iCs/>
        </w:rPr>
        <w:t>the right to the protection of the law against such interference or attacks</w:t>
      </w:r>
      <w:r>
        <w:rPr>
          <w:iCs/>
        </w:rPr>
        <w:t xml:space="preserve"> (see Article 17).</w:t>
      </w:r>
    </w:p>
    <w:p w14:paraId="79E8EDCC" w14:textId="1AACB2A3" w:rsidR="00BF4DC5" w:rsidRDefault="00B7709F" w:rsidP="00D35C29">
      <w:r>
        <w:t>To the extent that the</w:t>
      </w:r>
      <w:r w:rsidR="00D35C29">
        <w:t xml:space="preserve"> Declaration </w:t>
      </w:r>
      <w:r w:rsidR="00EF2976">
        <w:t>interfere</w:t>
      </w:r>
      <w:r>
        <w:t>s</w:t>
      </w:r>
      <w:r w:rsidR="00D35C29">
        <w:t xml:space="preserve"> with a person’s privacy</w:t>
      </w:r>
      <w:r>
        <w:t>,</w:t>
      </w:r>
      <w:r w:rsidR="00012DD6">
        <w:t xml:space="preserve"> by requiring</w:t>
      </w:r>
      <w:r w:rsidR="00D35C29">
        <w:t xml:space="preserve"> service providers to take steps to verify the age of an applicant</w:t>
      </w:r>
      <w:r>
        <w:t xml:space="preserve">, this restriction is provided by law, serves a legitimate objective and is not arbitrary. </w:t>
      </w:r>
    </w:p>
    <w:p w14:paraId="38A4CACD" w14:textId="77777777" w:rsidR="00BF4DC5" w:rsidRDefault="00BF4DC5" w:rsidP="00D35C29"/>
    <w:p w14:paraId="048BF2A4" w14:textId="18239812" w:rsidR="00D35C29" w:rsidRDefault="00BF4DC5" w:rsidP="00D35C29">
      <w:r w:rsidRPr="00EE5E88">
        <w:lastRenderedPageBreak/>
        <w:t>A</w:t>
      </w:r>
      <w:r w:rsidR="00D35C29" w:rsidRPr="00EE5E88">
        <w:t>s</w:t>
      </w:r>
      <w:r w:rsidR="00D35C29">
        <w:t xml:space="preserve"> the explanatory statement makes clear, age confirmation methods should be </w:t>
      </w:r>
      <w:r w:rsidR="00E131CA">
        <w:t>privacy preserving</w:t>
      </w:r>
      <w:r w:rsidR="00D35C29">
        <w:t xml:space="preserve"> to the extent possible</w:t>
      </w:r>
      <w:r w:rsidR="00012DD6">
        <w:t>,</w:t>
      </w:r>
      <w:r w:rsidR="00D35C29">
        <w:t xml:space="preserve"> and </w:t>
      </w:r>
      <w:r w:rsidR="00D35C29" w:rsidRPr="00967F5F">
        <w:t>a data minimisation approach should be taken to ensure</w:t>
      </w:r>
      <w:r w:rsidR="00D35C29">
        <w:t xml:space="preserve"> that</w:t>
      </w:r>
      <w:r w:rsidR="00D35C29" w:rsidRPr="00967F5F">
        <w:t xml:space="preserve"> the only attribute being tested is the age of the ap</w:t>
      </w:r>
      <w:r w:rsidR="00D35C29" w:rsidRPr="00DE5F19">
        <w:t>plicant. Age confirmation does not involve identity verification.</w:t>
      </w:r>
      <w:r w:rsidR="00162A28" w:rsidRPr="00DE5F19">
        <w:t xml:space="preserve"> </w:t>
      </w:r>
      <w:r w:rsidR="005F685C">
        <w:t>To the extent that</w:t>
      </w:r>
      <w:r w:rsidR="00D35C29" w:rsidRPr="00DE5F19">
        <w:t xml:space="preserve"> the Declaration interfere</w:t>
      </w:r>
      <w:r w:rsidR="005F685C">
        <w:t>s</w:t>
      </w:r>
      <w:r w:rsidR="00D35C29" w:rsidRPr="00DE5F19">
        <w:t xml:space="preserve"> with a person’s privacy, it does so in a reasonable, necessary and proportionate manner, in accordance with clear legislative and policy </w:t>
      </w:r>
      <w:r w:rsidR="009A4B46" w:rsidRPr="00EE5E88">
        <w:t>objective</w:t>
      </w:r>
      <w:r w:rsidR="00D35C29" w:rsidRPr="00DE5F19">
        <w:t xml:space="preserve"> of protecting</w:t>
      </w:r>
      <w:r w:rsidR="00D35C29" w:rsidRPr="007A2E21">
        <w:t xml:space="preserve"> children from exposure to content that is unsuitable for children (see section 108(4)(a) of the Act). </w:t>
      </w:r>
    </w:p>
    <w:p w14:paraId="07E82F09" w14:textId="77777777" w:rsidR="00D35C29" w:rsidRDefault="00D35C29" w:rsidP="00D35C29"/>
    <w:p w14:paraId="71611B3F" w14:textId="3B2CA9C8" w:rsidR="00D35C29" w:rsidRDefault="00D35C29" w:rsidP="00D35C29">
      <w:r>
        <w:t xml:space="preserve">The Declaration is therefore consistent with Article 17 of the </w:t>
      </w:r>
      <w:r w:rsidRPr="007A2E21">
        <w:rPr>
          <w:i/>
        </w:rPr>
        <w:t>International Covenant on Civil and Political Rights</w:t>
      </w:r>
      <w:r w:rsidRPr="007A2E21">
        <w:t>,</w:t>
      </w:r>
      <w:r>
        <w:t xml:space="preserve"> in that </w:t>
      </w:r>
      <w:r w:rsidRPr="007A2E21">
        <w:t xml:space="preserve">the obligation imposed by the Declaration, insofar as it </w:t>
      </w:r>
      <w:r>
        <w:t>affect</w:t>
      </w:r>
      <w:r w:rsidR="00033446">
        <w:t>s</w:t>
      </w:r>
      <w:r>
        <w:t xml:space="preserve"> an individual’s right to privacy</w:t>
      </w:r>
      <w:r w:rsidRPr="007A2E21">
        <w:t>, reflects Parliament’s intention of protecting children from exposure to unsuitable content.</w:t>
      </w:r>
    </w:p>
    <w:p w14:paraId="4983BD81" w14:textId="77777777" w:rsidR="00372126" w:rsidRDefault="00372126" w:rsidP="00D35C29"/>
    <w:p w14:paraId="5122C607" w14:textId="4EC02468" w:rsidR="00117F61" w:rsidRPr="00AC4708" w:rsidRDefault="00117F61" w:rsidP="00D35C29">
      <w:pPr>
        <w:rPr>
          <w:i/>
        </w:rPr>
      </w:pPr>
      <w:r w:rsidRPr="00AC4708">
        <w:rPr>
          <w:i/>
        </w:rPr>
        <w:t xml:space="preserve">Best interests of the child </w:t>
      </w:r>
    </w:p>
    <w:p w14:paraId="6AE4D9DD" w14:textId="77777777" w:rsidR="00117F61" w:rsidRDefault="00117F61" w:rsidP="00D35C29"/>
    <w:p w14:paraId="1696B5CC" w14:textId="65F2ED33" w:rsidR="00685495" w:rsidRDefault="00117F61" w:rsidP="00D35C29">
      <w:r>
        <w:t xml:space="preserve">Article 3(1) of the </w:t>
      </w:r>
      <w:r w:rsidR="00685495" w:rsidRPr="00AC4708">
        <w:rPr>
          <w:i/>
        </w:rPr>
        <w:t>Convention on the Rights of the Child</w:t>
      </w:r>
      <w:r>
        <w:t xml:space="preserve"> provides that in all actions concerning children, the best interests of the child shall be a primary consideration. The principle requires legislative, administrative and judicial bodies to take active measures to protect children’s rights, promote their wellbeing and consider how children’s rights and interests are or will be affected by their decisions and actions. </w:t>
      </w:r>
    </w:p>
    <w:p w14:paraId="20A277F9" w14:textId="77777777" w:rsidR="00685495" w:rsidRDefault="00685495" w:rsidP="00D35C29"/>
    <w:p w14:paraId="499676D8" w14:textId="1A88CD3C" w:rsidR="00372126" w:rsidRDefault="00117F61" w:rsidP="00D35C29">
      <w:r>
        <w:t xml:space="preserve">The </w:t>
      </w:r>
      <w:r w:rsidR="00685495">
        <w:t>Declaration</w:t>
      </w:r>
      <w:r>
        <w:t xml:space="preserve"> supports the best interests of the child by providing mechanisms so that children are protected from harmful</w:t>
      </w:r>
      <w:r w:rsidR="00B96357">
        <w:t xml:space="preserve"> online</w:t>
      </w:r>
      <w:r>
        <w:t xml:space="preserve"> content</w:t>
      </w:r>
      <w:r w:rsidR="00685495">
        <w:t xml:space="preserve">. </w:t>
      </w:r>
    </w:p>
    <w:p w14:paraId="3619735A" w14:textId="796EB177" w:rsidR="00C24A76" w:rsidRPr="007A2E21" w:rsidRDefault="00C24A76" w:rsidP="00C24A76">
      <w:pPr>
        <w:rPr>
          <w:i/>
        </w:rPr>
      </w:pPr>
      <w:r>
        <w:br/>
      </w:r>
      <w:r w:rsidRPr="007A2E21">
        <w:rPr>
          <w:i/>
        </w:rPr>
        <w:t xml:space="preserve">Conclusion </w:t>
      </w:r>
    </w:p>
    <w:p w14:paraId="096B1F69" w14:textId="01F2A39E" w:rsidR="00C24A76" w:rsidRPr="007A2E21" w:rsidRDefault="00C24A76" w:rsidP="00C24A76">
      <w:pPr>
        <w:autoSpaceDE w:val="0"/>
        <w:autoSpaceDN w:val="0"/>
        <w:adjustRightInd w:val="0"/>
        <w:spacing w:before="120" w:after="120"/>
      </w:pPr>
      <w:r w:rsidRPr="007A2E21">
        <w:t>The Declaration is compatible with human rights</w:t>
      </w:r>
      <w:r w:rsidR="00F0755E" w:rsidRPr="007A2E21">
        <w:t>,</w:t>
      </w:r>
      <w:r w:rsidRPr="007A2E21">
        <w:t xml:space="preserve"> and to the extent that it may limit human rights</w:t>
      </w:r>
      <w:r w:rsidR="00F0755E" w:rsidRPr="007A2E21">
        <w:t>,</w:t>
      </w:r>
      <w:r w:rsidRPr="007A2E21">
        <w:t xml:space="preserve"> those limitations are reasonable, necessary and proportionate.</w:t>
      </w:r>
    </w:p>
    <w:p w14:paraId="6DA0BF35" w14:textId="77777777" w:rsidR="00C24A76" w:rsidRPr="00F0755E" w:rsidRDefault="00C24A76" w:rsidP="00C24A76">
      <w:pPr>
        <w:jc w:val="right"/>
        <w:rPr>
          <w:b/>
        </w:rPr>
      </w:pPr>
      <w:r w:rsidRPr="00EE5E88">
        <w:rPr>
          <w:b/>
          <w:sz w:val="28"/>
          <w:szCs w:val="28"/>
        </w:rPr>
        <w:br w:type="page"/>
      </w:r>
      <w:r w:rsidRPr="00F0755E">
        <w:rPr>
          <w:b/>
        </w:rPr>
        <w:lastRenderedPageBreak/>
        <w:t>Attachment 1</w:t>
      </w:r>
    </w:p>
    <w:p w14:paraId="4AD439B5" w14:textId="77777777" w:rsidR="00C24A76" w:rsidRPr="00F0755E" w:rsidRDefault="00C24A76" w:rsidP="00C24A76">
      <w:pPr>
        <w:jc w:val="right"/>
      </w:pPr>
    </w:p>
    <w:p w14:paraId="4AB6AC7F" w14:textId="131097AB" w:rsidR="00C24A76" w:rsidRPr="00F0755E" w:rsidRDefault="00C24A76" w:rsidP="00C24A76">
      <w:pPr>
        <w:jc w:val="center"/>
        <w:rPr>
          <w:b/>
        </w:rPr>
      </w:pPr>
      <w:r w:rsidRPr="00F0755E">
        <w:rPr>
          <w:b/>
        </w:rPr>
        <w:t>NOTES ON SECTIONS</w:t>
      </w:r>
    </w:p>
    <w:p w14:paraId="5D045283" w14:textId="77777777" w:rsidR="00C24A76" w:rsidRPr="00F0755E" w:rsidRDefault="00C24A76" w:rsidP="00C24A76">
      <w:pPr>
        <w:rPr>
          <w:b/>
          <w:sz w:val="28"/>
          <w:szCs w:val="28"/>
        </w:rPr>
      </w:pPr>
    </w:p>
    <w:p w14:paraId="09DE4548" w14:textId="77777777" w:rsidR="00C24A76" w:rsidRPr="00F0755E" w:rsidRDefault="00C24A76" w:rsidP="00C24A76">
      <w:pPr>
        <w:rPr>
          <w:b/>
        </w:rPr>
      </w:pPr>
      <w:r w:rsidRPr="00F0755E">
        <w:rPr>
          <w:b/>
        </w:rPr>
        <w:t xml:space="preserve">PART 1 </w:t>
      </w:r>
      <w:r w:rsidRPr="00F0755E">
        <w:rPr>
          <w:b/>
        </w:rPr>
        <w:tab/>
        <w:t>PRELIMINARY</w:t>
      </w:r>
    </w:p>
    <w:p w14:paraId="2F149EE5" w14:textId="77777777" w:rsidR="00C24A76" w:rsidRPr="00EE5E88" w:rsidRDefault="00C24A76" w:rsidP="00C24A76">
      <w:pPr>
        <w:rPr>
          <w:b/>
        </w:rPr>
      </w:pPr>
    </w:p>
    <w:p w14:paraId="45207276" w14:textId="014C507C" w:rsidR="00C24A76" w:rsidRPr="00F0755E" w:rsidRDefault="00C24A76" w:rsidP="00C24A76">
      <w:pPr>
        <w:rPr>
          <w:b/>
        </w:rPr>
      </w:pPr>
      <w:r w:rsidRPr="00F0755E">
        <w:rPr>
          <w:b/>
        </w:rPr>
        <w:t xml:space="preserve">Section 1 </w:t>
      </w:r>
      <w:r w:rsidR="00F0755E">
        <w:rPr>
          <w:b/>
        </w:rPr>
        <w:t>–</w:t>
      </w:r>
      <w:r w:rsidRPr="00F0755E">
        <w:rPr>
          <w:b/>
        </w:rPr>
        <w:t xml:space="preserve"> N</w:t>
      </w:r>
      <w:r w:rsidR="00F0755E">
        <w:rPr>
          <w:b/>
        </w:rPr>
        <w:t>ame</w:t>
      </w:r>
    </w:p>
    <w:p w14:paraId="08D3E659" w14:textId="379993C8" w:rsidR="00C24A76" w:rsidRPr="00F0755E" w:rsidRDefault="00C24A76" w:rsidP="00C24A76">
      <w:pPr>
        <w:rPr>
          <w:b/>
        </w:rPr>
      </w:pPr>
      <w:r w:rsidRPr="00F0755E">
        <w:t xml:space="preserve">Section 1 provides for the citation of the Declaration as the </w:t>
      </w:r>
      <w:r w:rsidR="62DCE5E9" w:rsidRPr="7AEFFED5">
        <w:rPr>
          <w:i/>
          <w:iCs/>
        </w:rPr>
        <w:t>Online Safety (</w:t>
      </w:r>
      <w:r w:rsidRPr="00F0755E">
        <w:rPr>
          <w:i/>
        </w:rPr>
        <w:t>Restricted Access Systems</w:t>
      </w:r>
      <w:r w:rsidR="62DCE5E9" w:rsidRPr="7AEFFED5">
        <w:rPr>
          <w:i/>
          <w:iCs/>
        </w:rPr>
        <w:t>)</w:t>
      </w:r>
      <w:r w:rsidRPr="00F0755E">
        <w:rPr>
          <w:i/>
        </w:rPr>
        <w:t xml:space="preserve"> Declaration 20</w:t>
      </w:r>
      <w:r w:rsidR="00F0755E">
        <w:rPr>
          <w:i/>
        </w:rPr>
        <w:t>2</w:t>
      </w:r>
      <w:r w:rsidR="00C56A7C">
        <w:rPr>
          <w:i/>
        </w:rPr>
        <w:t>2</w:t>
      </w:r>
      <w:r w:rsidRPr="7AEFFED5">
        <w:rPr>
          <w:i/>
        </w:rPr>
        <w:t>.</w:t>
      </w:r>
    </w:p>
    <w:p w14:paraId="443890C4" w14:textId="77777777" w:rsidR="00C24A76" w:rsidRPr="00EE5E88" w:rsidRDefault="00C24A76" w:rsidP="00C24A76"/>
    <w:p w14:paraId="49167E07" w14:textId="77777777" w:rsidR="00C24A76" w:rsidRPr="00F0755E" w:rsidRDefault="00C24A76" w:rsidP="00C24A76">
      <w:pPr>
        <w:rPr>
          <w:b/>
        </w:rPr>
      </w:pPr>
      <w:r w:rsidRPr="00F0755E">
        <w:rPr>
          <w:b/>
        </w:rPr>
        <w:t>Section 2 – Commencement</w:t>
      </w:r>
    </w:p>
    <w:p w14:paraId="7EEDAFAD" w14:textId="0B0DDCF1" w:rsidR="00C24A76" w:rsidRDefault="00C24A76" w:rsidP="00C24A76">
      <w:r w:rsidRPr="00F0755E">
        <w:t xml:space="preserve">Section 2 provides that the Declaration commences </w:t>
      </w:r>
      <w:r w:rsidR="008A1AC0">
        <w:t>on the later of the start of the day after the Declaration is registered, or on the commencement of the Act.</w:t>
      </w:r>
      <w:r w:rsidR="00682EBB">
        <w:t xml:space="preserve"> </w:t>
      </w:r>
    </w:p>
    <w:p w14:paraId="3E584251" w14:textId="77777777" w:rsidR="008366B8" w:rsidRDefault="008366B8" w:rsidP="00C24A76"/>
    <w:p w14:paraId="5AF50161" w14:textId="2DE1B84F" w:rsidR="008366B8" w:rsidRPr="00F0755E" w:rsidRDefault="008366B8" w:rsidP="00C24A76">
      <w:r w:rsidRPr="008366B8">
        <w:t>In accordance with section 4 of the</w:t>
      </w:r>
      <w:r w:rsidRPr="008366B8">
        <w:rPr>
          <w:i/>
        </w:rPr>
        <w:t xml:space="preserve"> Acts Interpretation Act 1901</w:t>
      </w:r>
      <w:r w:rsidRPr="008366B8">
        <w:t xml:space="preserve">, the </w:t>
      </w:r>
      <w:r>
        <w:t>Declaration</w:t>
      </w:r>
      <w:r w:rsidRPr="008366B8">
        <w:t xml:space="preserve"> may be made before </w:t>
      </w:r>
      <w:r>
        <w:t>section 108 of the</w:t>
      </w:r>
      <w:r w:rsidRPr="008366B8">
        <w:t xml:space="preserve"> Act commences, but </w:t>
      </w:r>
      <w:r w:rsidR="00D00728">
        <w:t xml:space="preserve">in that case it </w:t>
      </w:r>
      <w:r w:rsidRPr="008366B8">
        <w:t xml:space="preserve">does not take effect until that </w:t>
      </w:r>
      <w:r>
        <w:t>section</w:t>
      </w:r>
      <w:r w:rsidRPr="008366B8">
        <w:t xml:space="preserve"> commences.</w:t>
      </w:r>
      <w:r w:rsidR="003C0DFA">
        <w:t xml:space="preserve"> Section 108, along with the rest of the Act, will commence on a day to be fixed by Proclamation, or the day after the period of 6 months after the Act received the Royal Assent. The Act received the Royal Assent on 23 July 2021. This means the Act will commence no later than 23 January 2022. </w:t>
      </w:r>
    </w:p>
    <w:p w14:paraId="7F797794" w14:textId="77777777" w:rsidR="00C24A76" w:rsidRPr="00EE5E88" w:rsidRDefault="00C24A76" w:rsidP="00C24A76"/>
    <w:p w14:paraId="1B10E7D2" w14:textId="24A0FDB1" w:rsidR="00F0755E" w:rsidRPr="00CE7FC4" w:rsidRDefault="00F0755E" w:rsidP="00C24A76">
      <w:pPr>
        <w:rPr>
          <w:b/>
        </w:rPr>
      </w:pPr>
      <w:r w:rsidRPr="00CE7FC4">
        <w:rPr>
          <w:b/>
        </w:rPr>
        <w:t>Section 3 – Authority</w:t>
      </w:r>
    </w:p>
    <w:p w14:paraId="094484A2" w14:textId="50953548" w:rsidR="00F0755E" w:rsidRPr="00CE7FC4" w:rsidRDefault="00F0755E" w:rsidP="00C24A76">
      <w:r w:rsidRPr="00CE7FC4">
        <w:t>Section 3 notes that the authority for the Declaration is subsection 108(1) of the Act.</w:t>
      </w:r>
    </w:p>
    <w:p w14:paraId="4F3123AD" w14:textId="77777777" w:rsidR="00F0755E" w:rsidRPr="00CE7FC4" w:rsidRDefault="00F0755E" w:rsidP="00C24A76"/>
    <w:p w14:paraId="5D0DEDC8" w14:textId="77777777" w:rsidR="00C24A76" w:rsidRPr="00CE7FC4" w:rsidRDefault="00C24A76" w:rsidP="00C24A76">
      <w:pPr>
        <w:rPr>
          <w:b/>
        </w:rPr>
      </w:pPr>
      <w:r w:rsidRPr="00CE7FC4">
        <w:rPr>
          <w:b/>
        </w:rPr>
        <w:t>Section 4 – Definitions</w:t>
      </w:r>
    </w:p>
    <w:p w14:paraId="7A67ED71" w14:textId="08FF57DB" w:rsidR="00C24A76" w:rsidRPr="00CE7FC4" w:rsidRDefault="00F0755E" w:rsidP="00C24A76">
      <w:r w:rsidRPr="00CE7FC4">
        <w:t>Section 4</w:t>
      </w:r>
      <w:r w:rsidR="00C24A76" w:rsidRPr="00CE7FC4">
        <w:t xml:space="preserve"> defines the </w:t>
      </w:r>
      <w:r w:rsidR="00CE7FC4" w:rsidRPr="00CE7FC4">
        <w:t>terms used in the Declaration. The note to the section</w:t>
      </w:r>
      <w:r w:rsidR="00C24A76" w:rsidRPr="00CE7FC4">
        <w:t xml:space="preserve"> refers to terms that have the same meaning in the Declaration as in the Act. </w:t>
      </w:r>
    </w:p>
    <w:p w14:paraId="28DD9CFD" w14:textId="77777777" w:rsidR="00C24A76" w:rsidRPr="00CE7FC4" w:rsidRDefault="00C24A76" w:rsidP="00C24A76"/>
    <w:p w14:paraId="58DC69E7" w14:textId="5A4669F3" w:rsidR="00C24A76" w:rsidRPr="00CE7FC4" w:rsidRDefault="00C24A76" w:rsidP="00C24A76">
      <w:pPr>
        <w:rPr>
          <w:b/>
        </w:rPr>
      </w:pPr>
      <w:r w:rsidRPr="00CE7FC4">
        <w:rPr>
          <w:b/>
        </w:rPr>
        <w:t xml:space="preserve">PART 2 </w:t>
      </w:r>
      <w:r w:rsidRPr="00CE7FC4">
        <w:rPr>
          <w:b/>
        </w:rPr>
        <w:tab/>
      </w:r>
      <w:r w:rsidR="00CE7FC4" w:rsidRPr="00CE7FC4">
        <w:rPr>
          <w:b/>
        </w:rPr>
        <w:t>Restricted access systems for relevant class 2 material</w:t>
      </w:r>
    </w:p>
    <w:p w14:paraId="1AD7B483" w14:textId="77777777" w:rsidR="00C24A76" w:rsidRPr="00CE7FC4" w:rsidRDefault="00C24A76" w:rsidP="00C24A76">
      <w:pPr>
        <w:rPr>
          <w:b/>
        </w:rPr>
      </w:pPr>
    </w:p>
    <w:p w14:paraId="6034C727" w14:textId="230B754A" w:rsidR="00C24A76" w:rsidRPr="00CE7FC4" w:rsidRDefault="00CE7FC4" w:rsidP="00C24A76">
      <w:pPr>
        <w:rPr>
          <w:b/>
        </w:rPr>
      </w:pPr>
      <w:r w:rsidRPr="00CE7FC4">
        <w:rPr>
          <w:b/>
        </w:rPr>
        <w:t>Section 5</w:t>
      </w:r>
      <w:r w:rsidR="00C24A76" w:rsidRPr="00CE7FC4">
        <w:rPr>
          <w:b/>
        </w:rPr>
        <w:t xml:space="preserve"> – </w:t>
      </w:r>
      <w:r w:rsidRPr="00CE7FC4">
        <w:rPr>
          <w:b/>
        </w:rPr>
        <w:t>Specified access-control systems for relevant class 2 material</w:t>
      </w:r>
    </w:p>
    <w:p w14:paraId="3F1A3781" w14:textId="5E251548" w:rsidR="00CE7FC4" w:rsidRPr="00CE7FC4" w:rsidRDefault="00CE7FC4" w:rsidP="00CE7FC4">
      <w:r w:rsidRPr="00CE7FC4">
        <w:t>Section 5</w:t>
      </w:r>
      <w:r w:rsidR="00C24A76" w:rsidRPr="00CE7FC4">
        <w:t xml:space="preserve"> sets out the minimum requirements </w:t>
      </w:r>
      <w:r w:rsidRPr="00CE7FC4">
        <w:t>for an access</w:t>
      </w:r>
      <w:r w:rsidR="00C151C2">
        <w:t>-</w:t>
      </w:r>
      <w:r w:rsidRPr="00CE7FC4">
        <w:t>control system to be a specified as a restricted access system for the purpose of the Declaration.</w:t>
      </w:r>
    </w:p>
    <w:p w14:paraId="6BD0383C" w14:textId="77777777" w:rsidR="00CE7FC4" w:rsidRPr="00EE5E88" w:rsidRDefault="00CE7FC4" w:rsidP="00CE7FC4">
      <w:pPr>
        <w:rPr>
          <w:b/>
        </w:rPr>
      </w:pPr>
    </w:p>
    <w:p w14:paraId="2E0A56FA" w14:textId="01ED097C" w:rsidR="00CE7FC4" w:rsidRPr="00CE7FC4" w:rsidRDefault="00CE7FC4" w:rsidP="00CE7FC4">
      <w:pPr>
        <w:rPr>
          <w:b/>
        </w:rPr>
      </w:pPr>
      <w:r w:rsidRPr="00CE7FC4">
        <w:rPr>
          <w:b/>
        </w:rPr>
        <w:t>Section 6 – Applying for access to relevant class 2 material</w:t>
      </w:r>
    </w:p>
    <w:p w14:paraId="5DB76DFD" w14:textId="7CD1075B" w:rsidR="00CE7FC4" w:rsidRPr="00CE7FC4" w:rsidRDefault="00CE7FC4" w:rsidP="00CE7FC4">
      <w:r w:rsidRPr="00CE7FC4">
        <w:t xml:space="preserve">Under section 6, an access-control system must require an applicant seeking access to relevant class 2 material to apply for access either in writing, in electronic form or orally. </w:t>
      </w:r>
      <w:r w:rsidRPr="007A2E21">
        <w:t>This means that an applicant must take proactive steps to initiate the service (‘opt-in’).</w:t>
      </w:r>
      <w:r w:rsidRPr="00CE7FC4">
        <w:t xml:space="preserve"> </w:t>
      </w:r>
    </w:p>
    <w:p w14:paraId="61037373" w14:textId="77777777" w:rsidR="00CE7FC4" w:rsidRPr="00CE7FC4" w:rsidRDefault="00CE7FC4" w:rsidP="00CE7FC4"/>
    <w:p w14:paraId="5C70FC3C" w14:textId="77777777" w:rsidR="00CE7FC4" w:rsidRPr="00CE7FC4" w:rsidRDefault="00CE7FC4" w:rsidP="00CE7FC4">
      <w:r w:rsidRPr="00CE7FC4">
        <w:t xml:space="preserve">The applicant must also provide a declaration, in writing or in electronic form, that they are 18 years or over. </w:t>
      </w:r>
    </w:p>
    <w:p w14:paraId="7589747E" w14:textId="77777777" w:rsidR="00CE7FC4" w:rsidRPr="00EE5E88" w:rsidRDefault="00CE7FC4" w:rsidP="00CE7FC4"/>
    <w:p w14:paraId="3546F8CA" w14:textId="64C4E305" w:rsidR="00CE7FC4" w:rsidRPr="00CE7FC4" w:rsidRDefault="00CE7FC4" w:rsidP="00CE7FC4">
      <w:pPr>
        <w:rPr>
          <w:b/>
        </w:rPr>
      </w:pPr>
      <w:r w:rsidRPr="00CE7FC4">
        <w:rPr>
          <w:b/>
        </w:rPr>
        <w:t>Section 7 – Provision of warnings</w:t>
      </w:r>
    </w:p>
    <w:p w14:paraId="7EC33053" w14:textId="6F750D51" w:rsidR="00CE7FC4" w:rsidRPr="00CE7FC4" w:rsidRDefault="00CE7FC4" w:rsidP="00CE7FC4">
      <w:r>
        <w:t>The access-control system must provide warnings about the nature of relevant class 2 material that is being accessed, and must provide safety information</w:t>
      </w:r>
      <w:r w:rsidR="00F56B57">
        <w:t xml:space="preserve">, or a link to safety </w:t>
      </w:r>
      <w:r w:rsidR="00CB70CC">
        <w:t>information</w:t>
      </w:r>
      <w:r w:rsidR="00F56B57">
        <w:t>,</w:t>
      </w:r>
      <w:r w:rsidR="00CB70CC">
        <w:t xml:space="preserve"> </w:t>
      </w:r>
      <w:r>
        <w:t>about how a parent or guardian may control access to such material by persons under 18.</w:t>
      </w:r>
    </w:p>
    <w:p w14:paraId="2121E347" w14:textId="77777777" w:rsidR="00CE7FC4" w:rsidRPr="007A2E21" w:rsidRDefault="00CE7FC4" w:rsidP="00CE7FC4"/>
    <w:p w14:paraId="2C18EFD7" w14:textId="77777777" w:rsidR="00CE7FC4" w:rsidRPr="007A2E21" w:rsidRDefault="00CE7FC4" w:rsidP="00CE7FC4">
      <w:r w:rsidRPr="007A2E21">
        <w:lastRenderedPageBreak/>
        <w:t>This is consistent with the Government’s policy to enhance online safety for children, which aims to ensure parents and guardians have access to online safety information and advice to assist them in managing their family’s online experience.</w:t>
      </w:r>
    </w:p>
    <w:p w14:paraId="53B5C4CD" w14:textId="77777777" w:rsidR="00CE7FC4" w:rsidRPr="00EE5E88" w:rsidRDefault="00CE7FC4" w:rsidP="00CE7FC4"/>
    <w:p w14:paraId="7F4BC110" w14:textId="2C3A486F" w:rsidR="00CE7FC4" w:rsidRPr="001E228F" w:rsidRDefault="00CE7FC4" w:rsidP="00CE7FC4">
      <w:pPr>
        <w:rPr>
          <w:b/>
        </w:rPr>
      </w:pPr>
      <w:r w:rsidRPr="001E228F">
        <w:rPr>
          <w:b/>
        </w:rPr>
        <w:t>Section 8 – Confirmation of age</w:t>
      </w:r>
    </w:p>
    <w:p w14:paraId="183A85CA" w14:textId="6FF7EA00" w:rsidR="00CE7FC4" w:rsidRPr="001E228F" w:rsidRDefault="001E228F" w:rsidP="00CE7FC4">
      <w:r w:rsidRPr="001E228F">
        <w:t>Section 8</w:t>
      </w:r>
      <w:r w:rsidR="008366B8">
        <w:t>(1)</w:t>
      </w:r>
      <w:r w:rsidR="00CE7FC4" w:rsidRPr="001E228F">
        <w:t xml:space="preserve"> requires that, in providing access to relevant class 2 material, providers must do more than simply accept a declaration of age. An access</w:t>
      </w:r>
      <w:r w:rsidR="00B6738A">
        <w:t>-</w:t>
      </w:r>
      <w:r w:rsidR="00CE7FC4" w:rsidRPr="001E228F">
        <w:t xml:space="preserve">control system must include reasonable additional steps to confirm that the applicant is at least 18 years of age. </w:t>
      </w:r>
      <w:r w:rsidR="00CE7FC4" w:rsidRPr="007A2E21">
        <w:t>The subsection is not prescriptive in this regard, and there is scope for providers to consider a</w:t>
      </w:r>
      <w:r w:rsidR="00E921AB" w:rsidRPr="007A2E21">
        <w:t xml:space="preserve"> </w:t>
      </w:r>
      <w:r w:rsidR="00CE7FC4" w:rsidRPr="007A2E21">
        <w:t>range of age-confirmation methods.</w:t>
      </w:r>
      <w:r w:rsidR="00CE7FC4" w:rsidRPr="001E228F">
        <w:t xml:space="preserve"> </w:t>
      </w:r>
    </w:p>
    <w:p w14:paraId="182B5D58" w14:textId="77777777" w:rsidR="00CE7FC4" w:rsidRPr="008208CF" w:rsidRDefault="00CE7FC4" w:rsidP="00CE7FC4"/>
    <w:p w14:paraId="52A8ACF8" w14:textId="7E9726A7" w:rsidR="00CE7FC4" w:rsidRPr="007A2E21" w:rsidRDefault="00CE7FC4" w:rsidP="00CE7FC4">
      <w:r>
        <w:t xml:space="preserve">Reasonable steps may be established by transaction type – use of a credit card where content is fee-based, for instance. Other reasonable steps might link the application process to an already-validated age-restricted platform, allow provision of other identity related information, or allow applicants to use a token generated during another age confirmation process. </w:t>
      </w:r>
    </w:p>
    <w:p w14:paraId="2C00822F" w14:textId="77777777" w:rsidR="00CE7FC4" w:rsidRPr="007A2E21" w:rsidRDefault="00CE7FC4" w:rsidP="00CE7FC4"/>
    <w:p w14:paraId="2A8F019E" w14:textId="14D8E38F" w:rsidR="00CE7FC4" w:rsidRPr="007A2E21" w:rsidRDefault="00CE7FC4" w:rsidP="00CE7FC4">
      <w:r>
        <w:t xml:space="preserve">In determining what reasonable steps may be required when confirming age, consideration should be given to the type </w:t>
      </w:r>
      <w:r w:rsidR="000C4840">
        <w:t xml:space="preserve">and size </w:t>
      </w:r>
      <w:r>
        <w:t xml:space="preserve">of </w:t>
      </w:r>
      <w:r w:rsidR="000C4840">
        <w:t xml:space="preserve">the relevant </w:t>
      </w:r>
      <w:r>
        <w:t>service,</w:t>
      </w:r>
      <w:r w:rsidR="0082591E">
        <w:t xml:space="preserve"> the size and composition of its user base</w:t>
      </w:r>
      <w:r w:rsidR="00F47BF3">
        <w:t xml:space="preserve"> in Australia</w:t>
      </w:r>
      <w:r w:rsidR="0082591E">
        <w:t>,</w:t>
      </w:r>
      <w:r>
        <w:t xml:space="preserve"> the type of content, as well as whether additional functionality, such as parental controls</w:t>
      </w:r>
      <w:r w:rsidR="0082591E">
        <w:t xml:space="preserve"> and metatags</w:t>
      </w:r>
      <w:r>
        <w:t xml:space="preserve">, are employed. </w:t>
      </w:r>
      <w:r w:rsidR="0082591E">
        <w:t>Whereas a sole trader operating an adult website might implement a restrict</w:t>
      </w:r>
      <w:r w:rsidR="00650A6C">
        <w:t>ed access</w:t>
      </w:r>
      <w:r w:rsidR="0082591E">
        <w:t xml:space="preserve"> system using a credit card to confirm age (along with the other</w:t>
      </w:r>
      <w:r w:rsidR="00AB548F">
        <w:t xml:space="preserve"> access</w:t>
      </w:r>
      <w:r w:rsidR="00B6738A">
        <w:t>-</w:t>
      </w:r>
      <w:r w:rsidR="00AB548F">
        <w:t>control</w:t>
      </w:r>
      <w:r w:rsidR="0082591E">
        <w:t xml:space="preserve"> steps prescribed by the instrument), more will likely be expected of a larger, better-resourced and more </w:t>
      </w:r>
      <w:r w:rsidR="002B3BA5">
        <w:t>technically sophisticated</w:t>
      </w:r>
      <w:r w:rsidR="0082591E">
        <w:t xml:space="preserve"> </w:t>
      </w:r>
      <w:r w:rsidR="007222DE">
        <w:t>service</w:t>
      </w:r>
      <w:r w:rsidR="0082591E">
        <w:t xml:space="preserve">. Such </w:t>
      </w:r>
      <w:r w:rsidR="007222DE">
        <w:t xml:space="preserve">services </w:t>
      </w:r>
      <w:r w:rsidR="00D462F2">
        <w:t>may</w:t>
      </w:r>
      <w:r w:rsidR="0082591E">
        <w:t xml:space="preserve"> be expected to employ multiple measures working in concert, rather than</w:t>
      </w:r>
      <w:r w:rsidR="003C211E">
        <w:t xml:space="preserve"> relying on</w:t>
      </w:r>
      <w:r w:rsidR="0082591E">
        <w:t xml:space="preserve"> a single method. </w:t>
      </w:r>
    </w:p>
    <w:p w14:paraId="4B3DDB3F" w14:textId="77777777" w:rsidR="00CE7FC4" w:rsidRPr="007A2E21" w:rsidRDefault="00CE7FC4" w:rsidP="00CE7FC4"/>
    <w:p w14:paraId="1B85CD6F" w14:textId="77777777" w:rsidR="0082591E" w:rsidRPr="007A2E21" w:rsidRDefault="00CE7FC4" w:rsidP="00AC4708">
      <w:pPr>
        <w:spacing w:after="240"/>
      </w:pPr>
      <w:r w:rsidRPr="007A2E21">
        <w:t xml:space="preserve">The flexibility in approach provides service providers with the ability to develop </w:t>
      </w:r>
      <w:r w:rsidR="00422A79">
        <w:t>service-</w:t>
      </w:r>
      <w:r w:rsidRPr="007A2E21">
        <w:t xml:space="preserve">specific solutions that accord with their business practice, while continuing to give effect to the policy objective that persons under 18 years old cannot access </w:t>
      </w:r>
      <w:r w:rsidR="001E228F" w:rsidRPr="007A2E21">
        <w:t>relevant class 2 material</w:t>
      </w:r>
      <w:r w:rsidRPr="007A2E21">
        <w:t xml:space="preserve">. The flexibility recognises that new methods of age </w:t>
      </w:r>
      <w:r w:rsidRPr="00C2115D">
        <w:t>confirmation may be developed in the future, and allows industry to adopt new technological solutions</w:t>
      </w:r>
      <w:r w:rsidRPr="007A2E21">
        <w:t xml:space="preserve"> as they become available.</w:t>
      </w:r>
    </w:p>
    <w:p w14:paraId="2CB46AE8" w14:textId="2E2B0484" w:rsidR="00935AD6" w:rsidRPr="00EE5E88" w:rsidRDefault="00935AD6" w:rsidP="00AC4708">
      <w:pPr>
        <w:spacing w:after="240"/>
      </w:pPr>
      <w:r w:rsidRPr="00EE5E88">
        <w:t xml:space="preserve">Service providers must continue to comply with their obligations under applicable privacy laws, such as the </w:t>
      </w:r>
      <w:r w:rsidRPr="00AC4708">
        <w:rPr>
          <w:i/>
        </w:rPr>
        <w:t>Privacy Act 1988 (Cth)</w:t>
      </w:r>
      <w:r>
        <w:t>,</w:t>
      </w:r>
      <w:r w:rsidRPr="00EE5E88">
        <w:t xml:space="preserve"> including taking reasonable steps to protect personal information they hold. Whether or not privacy laws apply, age confirmation methods should be privacy</w:t>
      </w:r>
      <w:r w:rsidR="00E131CA">
        <w:t xml:space="preserve"> </w:t>
      </w:r>
      <w:r w:rsidRPr="00EE5E88">
        <w:t xml:space="preserve">preserving to the extent possible. Importantly, a data minimisation approach should be taken to ensure the only attribute being tested is the age of the applicant. For the avoidance of doubt, age confirmation does not involve identity verification. Practical steps to protect privacy include collecting the minimum amount of personal information necessary to take reasonable steps to confirm age, implementing security measures for any information collected and not using information collected for age confirmation for other purposes. </w:t>
      </w:r>
    </w:p>
    <w:p w14:paraId="646F26E3" w14:textId="1B79A937" w:rsidR="00CE7FC4" w:rsidRPr="007A2E21" w:rsidRDefault="008366B8" w:rsidP="00AC4708">
      <w:pPr>
        <w:spacing w:after="240"/>
      </w:pPr>
      <w:r w:rsidRPr="00BA7408">
        <w:t xml:space="preserve">Under subsection </w:t>
      </w:r>
      <w:r>
        <w:t>8</w:t>
      </w:r>
      <w:r w:rsidRPr="00BA7408">
        <w:t>(2) an access-control system may provide access to relevant class 2 material if an applicant has previously submitted evidence that the person is at least 18 years of age to the relevant service provider (or to a person acting on behalf of the provider) without taking any further steps to confirm the applicant’s age.</w:t>
      </w:r>
      <w:r w:rsidRPr="007A2E21">
        <w:t xml:space="preserve"> The </w:t>
      </w:r>
      <w:r w:rsidRPr="007A2E21">
        <w:lastRenderedPageBreak/>
        <w:t xml:space="preserve">submission of proof of age is not required to have been made in relation to the particular application for access to content, however the proof of age provided on an earlier occasion must be sufficient to satisfy the requirement that reasonable steps be taken to confirm that an applicant is at least 18 years of age. For example, a service provider may have the capacity to cross check other instances where a person may have submitted proof of age as in situations where age and identification are submitted for the establishment of an account. </w:t>
      </w:r>
    </w:p>
    <w:p w14:paraId="1733C076" w14:textId="4D8D73F6" w:rsidR="00CE7FC4" w:rsidRPr="001E228F" w:rsidRDefault="00CE7FC4" w:rsidP="00CE7FC4">
      <w:pPr>
        <w:rPr>
          <w:b/>
        </w:rPr>
      </w:pPr>
      <w:r w:rsidRPr="001E228F">
        <w:rPr>
          <w:b/>
        </w:rPr>
        <w:t xml:space="preserve">Section </w:t>
      </w:r>
      <w:r w:rsidR="001E228F" w:rsidRPr="001E228F">
        <w:rPr>
          <w:b/>
        </w:rPr>
        <w:t>9</w:t>
      </w:r>
      <w:r w:rsidRPr="001E228F">
        <w:rPr>
          <w:b/>
        </w:rPr>
        <w:t xml:space="preserve"> – Limiting access</w:t>
      </w:r>
      <w:r w:rsidR="001E228F" w:rsidRPr="001E228F">
        <w:rPr>
          <w:b/>
        </w:rPr>
        <w:t xml:space="preserve"> to relevant class 2 material</w:t>
      </w:r>
    </w:p>
    <w:p w14:paraId="376B3B38" w14:textId="7ECE2BB2" w:rsidR="00CE7FC4" w:rsidRPr="001E228F" w:rsidRDefault="001E228F" w:rsidP="00CE7FC4">
      <w:pPr>
        <w:tabs>
          <w:tab w:val="num" w:pos="1260"/>
        </w:tabs>
      </w:pPr>
      <w:r w:rsidRPr="001E228F">
        <w:t>Section 9</w:t>
      </w:r>
      <w:r w:rsidR="00CE7FC4" w:rsidRPr="001E228F">
        <w:t xml:space="preserve"> describes the instances in which an access-control system may provide </w:t>
      </w:r>
    </w:p>
    <w:p w14:paraId="27CBB0B5" w14:textId="7F995BDC" w:rsidR="00CE7FC4" w:rsidRPr="001E228F" w:rsidRDefault="00CE7FC4" w:rsidP="00CE7FC4">
      <w:pPr>
        <w:tabs>
          <w:tab w:val="num" w:pos="1260"/>
        </w:tabs>
      </w:pPr>
      <w:r w:rsidRPr="001E228F">
        <w:t xml:space="preserve">access </w:t>
      </w:r>
      <w:r w:rsidR="001E228F" w:rsidRPr="001E228F">
        <w:t>to relevant class 2 material</w:t>
      </w:r>
      <w:r w:rsidRPr="001E228F">
        <w:t xml:space="preserve">. </w:t>
      </w:r>
    </w:p>
    <w:p w14:paraId="4C46CFAB" w14:textId="77777777" w:rsidR="00CE7FC4" w:rsidRPr="00EE5E88" w:rsidRDefault="00CE7FC4" w:rsidP="00CE7FC4">
      <w:pPr>
        <w:tabs>
          <w:tab w:val="num" w:pos="1260"/>
        </w:tabs>
      </w:pPr>
    </w:p>
    <w:p w14:paraId="5399AAA3" w14:textId="37EEEDFF" w:rsidR="00CE7FC4" w:rsidRPr="001E228F" w:rsidRDefault="001E228F" w:rsidP="00CE7FC4">
      <w:r w:rsidRPr="001E228F">
        <w:t>Under paragraph 9</w:t>
      </w:r>
      <w:r w:rsidR="00CE7FC4" w:rsidRPr="001E228F">
        <w:t xml:space="preserve">(1)(a), an access-control system must not provide access </w:t>
      </w:r>
      <w:r w:rsidRPr="001E228F">
        <w:t>to relevant class 2 material</w:t>
      </w:r>
      <w:r w:rsidR="00CE7FC4" w:rsidRPr="001E228F">
        <w:t>, unless:</w:t>
      </w:r>
    </w:p>
    <w:p w14:paraId="49340F0C" w14:textId="04BF97F8" w:rsidR="00CE7FC4" w:rsidRPr="001E228F" w:rsidRDefault="00CE7FC4" w:rsidP="00CE7FC4">
      <w:pPr>
        <w:numPr>
          <w:ilvl w:val="0"/>
          <w:numId w:val="20"/>
        </w:numPr>
      </w:pPr>
      <w:r w:rsidRPr="001E228F">
        <w:t>the applicant has applied for access (‘opted-in’)</w:t>
      </w:r>
      <w:r w:rsidR="001E228F" w:rsidRPr="001E228F">
        <w:t xml:space="preserve"> and made a declaration that they are at least 18 years of age</w:t>
      </w:r>
      <w:r w:rsidRPr="001E228F">
        <w:t>; and</w:t>
      </w:r>
    </w:p>
    <w:p w14:paraId="6D322569" w14:textId="77777777" w:rsidR="00CE7FC4" w:rsidRPr="001E228F" w:rsidRDefault="00CE7FC4" w:rsidP="00CE7FC4">
      <w:pPr>
        <w:numPr>
          <w:ilvl w:val="0"/>
          <w:numId w:val="20"/>
        </w:numPr>
      </w:pPr>
      <w:r w:rsidRPr="001E228F">
        <w:t>the applicant has been provided with warning and safety information; and</w:t>
      </w:r>
    </w:p>
    <w:p w14:paraId="37D2161F" w14:textId="3CA5D151" w:rsidR="00CE7FC4" w:rsidRPr="001E228F" w:rsidRDefault="00CE7FC4" w:rsidP="00CE7FC4">
      <w:pPr>
        <w:numPr>
          <w:ilvl w:val="0"/>
          <w:numId w:val="20"/>
        </w:numPr>
      </w:pPr>
      <w:r w:rsidRPr="001E228F">
        <w:t>the access-control system has confirmed that t</w:t>
      </w:r>
      <w:r w:rsidR="001E228F" w:rsidRPr="001E228F">
        <w:t>he applicant is at least 18 years of age</w:t>
      </w:r>
      <w:r w:rsidRPr="001E228F">
        <w:t>.</w:t>
      </w:r>
    </w:p>
    <w:p w14:paraId="11A7692C" w14:textId="77777777" w:rsidR="00CE7FC4" w:rsidRPr="00EE5E88" w:rsidRDefault="00CE7FC4" w:rsidP="00CE7FC4"/>
    <w:p w14:paraId="5E7A8284" w14:textId="0DC947FC" w:rsidR="00CE7FC4" w:rsidRPr="00673DC2" w:rsidRDefault="00673DC2" w:rsidP="00CE7FC4">
      <w:r w:rsidRPr="00673DC2">
        <w:t>Under paragraph 9</w:t>
      </w:r>
      <w:r w:rsidR="00CE7FC4" w:rsidRPr="00673DC2">
        <w:t xml:space="preserve">(1)(b) an access-control system may provide access to </w:t>
      </w:r>
      <w:r w:rsidRPr="00673DC2">
        <w:t>relevant class 2 material</w:t>
      </w:r>
      <w:r w:rsidR="00CE7FC4" w:rsidRPr="00673DC2">
        <w:t xml:space="preserve"> when an applicant has been provided with a </w:t>
      </w:r>
      <w:r w:rsidRPr="00673DC2">
        <w:t>Personal Identification Number (</w:t>
      </w:r>
      <w:r w:rsidR="00CE7FC4" w:rsidRPr="00673DC2">
        <w:t>PIN</w:t>
      </w:r>
      <w:r w:rsidRPr="00673DC2">
        <w:t>)</w:t>
      </w:r>
      <w:r w:rsidR="00CE7FC4" w:rsidRPr="00673DC2">
        <w:t xml:space="preserve"> or some other means of limiting access, by which the access-control system can verify that the applicant:</w:t>
      </w:r>
    </w:p>
    <w:p w14:paraId="1CEDF160" w14:textId="28395A92" w:rsidR="00CE7FC4" w:rsidRPr="00673DC2" w:rsidRDefault="00CE7FC4" w:rsidP="00CE7FC4">
      <w:pPr>
        <w:numPr>
          <w:ilvl w:val="0"/>
          <w:numId w:val="21"/>
        </w:numPr>
      </w:pPr>
      <w:r w:rsidRPr="00673DC2">
        <w:t>has previously applied for access (‘opted-in’)</w:t>
      </w:r>
      <w:r w:rsidR="00673DC2" w:rsidRPr="00673DC2">
        <w:t xml:space="preserve"> and made a declaration that they are at least 18 years of age</w:t>
      </w:r>
      <w:r w:rsidRPr="00673DC2">
        <w:t>;</w:t>
      </w:r>
    </w:p>
    <w:p w14:paraId="6F51A72B" w14:textId="77777777" w:rsidR="00CE7FC4" w:rsidRPr="00673DC2" w:rsidRDefault="00CE7FC4" w:rsidP="00CE7FC4">
      <w:pPr>
        <w:numPr>
          <w:ilvl w:val="0"/>
          <w:numId w:val="21"/>
        </w:numPr>
      </w:pPr>
      <w:r w:rsidRPr="00673DC2">
        <w:t>had their age confirmed by the access-control system; and</w:t>
      </w:r>
    </w:p>
    <w:p w14:paraId="2A871EC6" w14:textId="56F683C3" w:rsidR="00CE7FC4" w:rsidRPr="00673DC2" w:rsidRDefault="008F0EC1" w:rsidP="00CE7FC4">
      <w:pPr>
        <w:numPr>
          <w:ilvl w:val="0"/>
          <w:numId w:val="21"/>
        </w:numPr>
      </w:pPr>
      <w:r>
        <w:t xml:space="preserve">has </w:t>
      </w:r>
      <w:r w:rsidR="00CE7FC4" w:rsidRPr="00673DC2">
        <w:t>been provided with warning and safety information.</w:t>
      </w:r>
    </w:p>
    <w:p w14:paraId="1CB4590A" w14:textId="77777777" w:rsidR="00CE7FC4" w:rsidRPr="00EE5E88" w:rsidRDefault="00CE7FC4" w:rsidP="00CE7FC4">
      <w:pPr>
        <w:ind w:left="60" w:firstLine="660"/>
      </w:pPr>
    </w:p>
    <w:p w14:paraId="2BA19964" w14:textId="5CDDA7B9" w:rsidR="00CD7262" w:rsidRPr="007A2E21" w:rsidRDefault="00673DC2" w:rsidP="00C24A76">
      <w:r w:rsidRPr="007A2E21">
        <w:t>The phrase ‘other means of limiting access’ in section 9(1)(b)</w:t>
      </w:r>
      <w:r w:rsidR="00CE7FC4" w:rsidRPr="007A2E21">
        <w:t xml:space="preserve"> is to be interpreted broadly and may include any method a service provide</w:t>
      </w:r>
      <w:r w:rsidRPr="007A2E21">
        <w:t>r designs that allows an access</w:t>
      </w:r>
      <w:r w:rsidRPr="00C2115D">
        <w:noBreakHyphen/>
      </w:r>
      <w:r w:rsidR="00CE7FC4" w:rsidRPr="007A2E21">
        <w:t>control system to uniquely recognise the applicant in question</w:t>
      </w:r>
      <w:r w:rsidR="00CE7FC4" w:rsidRPr="00B91931">
        <w:t>.</w:t>
      </w:r>
      <w:r w:rsidR="00CE7FC4" w:rsidRPr="007A2E21">
        <w:t xml:space="preserve"> </w:t>
      </w:r>
    </w:p>
    <w:sectPr w:rsidR="00CD7262" w:rsidRPr="007A2E21" w:rsidSect="005E3CFD">
      <w:headerReference w:type="default" r:id="rId11"/>
      <w:footerReference w:type="even" r:id="rId12"/>
      <w:footerReference w:type="default"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6A2D" w14:textId="77777777" w:rsidR="007820CD" w:rsidRDefault="007820CD">
      <w:r>
        <w:separator/>
      </w:r>
    </w:p>
  </w:endnote>
  <w:endnote w:type="continuationSeparator" w:id="0">
    <w:p w14:paraId="1091F6AA" w14:textId="77777777" w:rsidR="007820CD" w:rsidRDefault="007820CD">
      <w:r>
        <w:continuationSeparator/>
      </w:r>
    </w:p>
  </w:endnote>
  <w:endnote w:type="continuationNotice" w:id="1">
    <w:p w14:paraId="73727C1A" w14:textId="77777777" w:rsidR="007820CD" w:rsidRDefault="0078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CE0E" w14:textId="77777777" w:rsidR="00D32A53" w:rsidRDefault="00D32A53" w:rsidP="00BE1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BA94F" w14:textId="77777777" w:rsidR="00D32A53" w:rsidRDefault="00D32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A19" w14:textId="77777777" w:rsidR="00D32A53" w:rsidRDefault="00D32A53" w:rsidP="00BE1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CBD">
      <w:rPr>
        <w:rStyle w:val="PageNumber"/>
        <w:noProof/>
      </w:rPr>
      <w:t>7</w:t>
    </w:r>
    <w:r>
      <w:rPr>
        <w:rStyle w:val="PageNumber"/>
      </w:rPr>
      <w:fldChar w:fldCharType="end"/>
    </w:r>
  </w:p>
  <w:p w14:paraId="5D0C1AA9" w14:textId="70DB64F6" w:rsidR="00D32A53" w:rsidRDefault="00D3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6B9C" w14:textId="77777777" w:rsidR="007820CD" w:rsidRDefault="007820CD">
      <w:r>
        <w:separator/>
      </w:r>
    </w:p>
  </w:footnote>
  <w:footnote w:type="continuationSeparator" w:id="0">
    <w:p w14:paraId="5869EDD2" w14:textId="77777777" w:rsidR="007820CD" w:rsidRDefault="007820CD">
      <w:r>
        <w:continuationSeparator/>
      </w:r>
    </w:p>
  </w:footnote>
  <w:footnote w:type="continuationNotice" w:id="1">
    <w:p w14:paraId="03F99A72" w14:textId="77777777" w:rsidR="007820CD" w:rsidRDefault="007820CD"/>
  </w:footnote>
  <w:footnote w:id="2">
    <w:p w14:paraId="2FA60A76" w14:textId="31919A4C" w:rsidR="00F42396" w:rsidRDefault="00F42396">
      <w:pPr>
        <w:pStyle w:val="FootnoteText"/>
      </w:pPr>
      <w:r>
        <w:rPr>
          <w:rStyle w:val="FootnoteReference"/>
        </w:rPr>
        <w:footnoteRef/>
      </w:r>
      <w:r>
        <w:t xml:space="preserve"> See section 11 of the </w:t>
      </w:r>
      <w:r w:rsidR="0017630E">
        <w:t>Classification</w:t>
      </w:r>
      <w:r>
        <w:t xml:space="preserve"> </w:t>
      </w:r>
      <w:r w:rsidR="0017630E">
        <w:t xml:space="preserve">(Publications, Films and Computer Games) Act 1995.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A3A2" w14:textId="747F11C5" w:rsidR="000D035A" w:rsidRPr="009E57C4" w:rsidRDefault="000D035A" w:rsidP="008B1F79">
    <w:pPr>
      <w:pStyle w:val="Header"/>
      <w:jc w:val="center"/>
      <w:rPr>
        <w:cap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3013" w14:textId="71701914" w:rsidR="000D035A" w:rsidRPr="009E57C4" w:rsidRDefault="000D035A" w:rsidP="008B1F79">
    <w:pPr>
      <w:pStyle w:val="Header"/>
      <w:jc w:val="center"/>
      <w:rPr>
        <w: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3D4"/>
    <w:multiLevelType w:val="hybridMultilevel"/>
    <w:tmpl w:val="B686D3BA"/>
    <w:lvl w:ilvl="0" w:tplc="E6A6F2E2">
      <w:start w:val="7"/>
      <w:numFmt w:val="bullet"/>
      <w:lvlText w:val="-"/>
      <w:lvlJc w:val="left"/>
      <w:pPr>
        <w:ind w:left="720" w:hanging="360"/>
      </w:pPr>
      <w:rPr>
        <w:rFonts w:ascii="Times New Roman" w:eastAsia="Times New Roman" w:hAnsi="Times New Roman" w:cs="Times New Roman"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70214"/>
    <w:multiLevelType w:val="hybridMultilevel"/>
    <w:tmpl w:val="73D8B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12BF5"/>
    <w:multiLevelType w:val="hybridMultilevel"/>
    <w:tmpl w:val="2AE2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A0F83"/>
    <w:multiLevelType w:val="hybridMultilevel"/>
    <w:tmpl w:val="AB7A09B8"/>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0715952"/>
    <w:multiLevelType w:val="hybridMultilevel"/>
    <w:tmpl w:val="ED289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812E5"/>
    <w:multiLevelType w:val="hybridMultilevel"/>
    <w:tmpl w:val="316EAC90"/>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A742E2"/>
    <w:multiLevelType w:val="multilevel"/>
    <w:tmpl w:val="6996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A65A0"/>
    <w:multiLevelType w:val="hybridMultilevel"/>
    <w:tmpl w:val="86E4747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D050D"/>
    <w:multiLevelType w:val="hybridMultilevel"/>
    <w:tmpl w:val="E3BEAF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A5080"/>
    <w:multiLevelType w:val="hybridMultilevel"/>
    <w:tmpl w:val="24705096"/>
    <w:lvl w:ilvl="0" w:tplc="2AD6D52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23A17A2"/>
    <w:multiLevelType w:val="hybridMultilevel"/>
    <w:tmpl w:val="CC72AF9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33114691"/>
    <w:multiLevelType w:val="hybridMultilevel"/>
    <w:tmpl w:val="DA54839A"/>
    <w:lvl w:ilvl="0" w:tplc="40BCF97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BD6B83"/>
    <w:multiLevelType w:val="hybridMultilevel"/>
    <w:tmpl w:val="BC221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C3375"/>
    <w:multiLevelType w:val="hybridMultilevel"/>
    <w:tmpl w:val="A3F46418"/>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643AEE"/>
    <w:multiLevelType w:val="hybridMultilevel"/>
    <w:tmpl w:val="E620E3A0"/>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7ED18E7"/>
    <w:multiLevelType w:val="hybridMultilevel"/>
    <w:tmpl w:val="F64C683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9557FD9"/>
    <w:multiLevelType w:val="hybridMultilevel"/>
    <w:tmpl w:val="DB96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DF2D30"/>
    <w:multiLevelType w:val="hybridMultilevel"/>
    <w:tmpl w:val="63869EAC"/>
    <w:lvl w:ilvl="0" w:tplc="E6A6F2E2">
      <w:start w:val="7"/>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F0DB6"/>
    <w:multiLevelType w:val="hybridMultilevel"/>
    <w:tmpl w:val="434E7CF6"/>
    <w:lvl w:ilvl="0" w:tplc="C0FAD18A">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16F5D15"/>
    <w:multiLevelType w:val="multilevel"/>
    <w:tmpl w:val="705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D582F"/>
    <w:multiLevelType w:val="hybridMultilevel"/>
    <w:tmpl w:val="A5B4649A"/>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3C02DD2"/>
    <w:multiLevelType w:val="hybridMultilevel"/>
    <w:tmpl w:val="7DC2194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2744F"/>
    <w:multiLevelType w:val="hybridMultilevel"/>
    <w:tmpl w:val="93269C5E"/>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96D6E54"/>
    <w:multiLevelType w:val="hybridMultilevel"/>
    <w:tmpl w:val="C46033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E5269"/>
    <w:multiLevelType w:val="hybridMultilevel"/>
    <w:tmpl w:val="A448FB4E"/>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B5752C1"/>
    <w:multiLevelType w:val="hybridMultilevel"/>
    <w:tmpl w:val="BC8AB428"/>
    <w:lvl w:ilvl="0" w:tplc="DC0448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12FEF"/>
    <w:multiLevelType w:val="hybridMultilevel"/>
    <w:tmpl w:val="4F9EB324"/>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19A0DB3"/>
    <w:multiLevelType w:val="hybridMultilevel"/>
    <w:tmpl w:val="24E01E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75407"/>
    <w:multiLevelType w:val="hybridMultilevel"/>
    <w:tmpl w:val="8F2C17F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19226EB0">
      <w:start w:val="1"/>
      <w:numFmt w:val="lowerLetter"/>
      <w:lvlText w:val="%3."/>
      <w:lvlJc w:val="right"/>
      <w:pPr>
        <w:tabs>
          <w:tab w:val="num" w:pos="1980"/>
        </w:tabs>
        <w:ind w:left="1980" w:hanging="36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521779F"/>
    <w:multiLevelType w:val="hybridMultilevel"/>
    <w:tmpl w:val="A3BE35CC"/>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8E559DB"/>
    <w:multiLevelType w:val="hybridMultilevel"/>
    <w:tmpl w:val="9200AC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505AB"/>
    <w:multiLevelType w:val="hybridMultilevel"/>
    <w:tmpl w:val="38D8331C"/>
    <w:lvl w:ilvl="0" w:tplc="1DA49A22">
      <w:start w:val="1"/>
      <w:numFmt w:val="bullet"/>
      <w:lvlText w:val=""/>
      <w:lvlJc w:val="left"/>
      <w:pPr>
        <w:tabs>
          <w:tab w:val="num" w:pos="360"/>
        </w:tabs>
        <w:ind w:left="360" w:hanging="360"/>
      </w:pPr>
      <w:rPr>
        <w:rFonts w:ascii="Symbol" w:hAnsi="Symbol" w:hint="default"/>
        <w:sz w:val="20"/>
      </w:rPr>
    </w:lvl>
    <w:lvl w:ilvl="1" w:tplc="8B54880C">
      <w:start w:val="6"/>
      <w:numFmt w:val="decimal"/>
      <w:lvlText w:val="%2"/>
      <w:lvlJc w:val="left"/>
      <w:pPr>
        <w:tabs>
          <w:tab w:val="num" w:pos="1080"/>
        </w:tabs>
        <w:ind w:left="1080" w:hanging="360"/>
      </w:pPr>
      <w:rPr>
        <w:rFonts w:hint="default"/>
      </w:rPr>
    </w:lvl>
    <w:lvl w:ilvl="2" w:tplc="19226EB0">
      <w:start w:val="1"/>
      <w:numFmt w:val="lowerLetter"/>
      <w:lvlText w:val="%3."/>
      <w:lvlJc w:val="right"/>
      <w:pPr>
        <w:tabs>
          <w:tab w:val="num" w:pos="1980"/>
        </w:tabs>
        <w:ind w:left="1980" w:hanging="36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6D1B6439"/>
    <w:multiLevelType w:val="hybridMultilevel"/>
    <w:tmpl w:val="76180D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048BC"/>
    <w:multiLevelType w:val="hybridMultilevel"/>
    <w:tmpl w:val="25DA5EC2"/>
    <w:lvl w:ilvl="0" w:tplc="E43EDEC8">
      <w:start w:val="8"/>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720E65C4"/>
    <w:multiLevelType w:val="hybridMultilevel"/>
    <w:tmpl w:val="A268F8B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6" w15:restartNumberingAfterBreak="0">
    <w:nsid w:val="75DD7B8F"/>
    <w:multiLevelType w:val="hybridMultilevel"/>
    <w:tmpl w:val="C0F067EC"/>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675A93"/>
    <w:multiLevelType w:val="hybridMultilevel"/>
    <w:tmpl w:val="2A9AB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10"/>
  </w:num>
  <w:num w:numId="4">
    <w:abstractNumId w:val="1"/>
  </w:num>
  <w:num w:numId="5">
    <w:abstractNumId w:val="6"/>
  </w:num>
  <w:num w:numId="6">
    <w:abstractNumId w:val="31"/>
  </w:num>
  <w:num w:numId="7">
    <w:abstractNumId w:val="22"/>
  </w:num>
  <w:num w:numId="8">
    <w:abstractNumId w:val="37"/>
  </w:num>
  <w:num w:numId="9">
    <w:abstractNumId w:val="29"/>
  </w:num>
  <w:num w:numId="10">
    <w:abstractNumId w:val="9"/>
  </w:num>
  <w:num w:numId="11">
    <w:abstractNumId w:val="19"/>
  </w:num>
  <w:num w:numId="12">
    <w:abstractNumId w:val="34"/>
  </w:num>
  <w:num w:numId="13">
    <w:abstractNumId w:val="16"/>
  </w:num>
  <w:num w:numId="14">
    <w:abstractNumId w:val="27"/>
  </w:num>
  <w:num w:numId="15">
    <w:abstractNumId w:val="3"/>
  </w:num>
  <w:num w:numId="16">
    <w:abstractNumId w:val="5"/>
  </w:num>
  <w:num w:numId="17">
    <w:abstractNumId w:val="25"/>
  </w:num>
  <w:num w:numId="18">
    <w:abstractNumId w:val="30"/>
  </w:num>
  <w:num w:numId="19">
    <w:abstractNumId w:val="23"/>
  </w:num>
  <w:num w:numId="20">
    <w:abstractNumId w:val="15"/>
  </w:num>
  <w:num w:numId="21">
    <w:abstractNumId w:val="36"/>
  </w:num>
  <w:num w:numId="22">
    <w:abstractNumId w:val="14"/>
  </w:num>
  <w:num w:numId="23">
    <w:abstractNumId w:val="21"/>
  </w:num>
  <w:num w:numId="24">
    <w:abstractNumId w:val="32"/>
  </w:num>
  <w:num w:numId="25">
    <w:abstractNumId w:val="18"/>
  </w:num>
  <w:num w:numId="26">
    <w:abstractNumId w:val="0"/>
  </w:num>
  <w:num w:numId="27">
    <w:abstractNumId w:val="33"/>
  </w:num>
  <w:num w:numId="28">
    <w:abstractNumId w:val="24"/>
  </w:num>
  <w:num w:numId="29">
    <w:abstractNumId w:val="26"/>
  </w:num>
  <w:num w:numId="30">
    <w:abstractNumId w:val="7"/>
  </w:num>
  <w:num w:numId="31">
    <w:abstractNumId w:val="20"/>
  </w:num>
  <w:num w:numId="32">
    <w:abstractNumId w:val="4"/>
  </w:num>
  <w:num w:numId="33">
    <w:abstractNumId w:val="17"/>
  </w:num>
  <w:num w:numId="34">
    <w:abstractNumId w:val="13"/>
  </w:num>
  <w:num w:numId="35">
    <w:abstractNumId w:val="11"/>
  </w:num>
  <w:num w:numId="36">
    <w:abstractNumId w:val="35"/>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76"/>
    <w:rsid w:val="00000686"/>
    <w:rsid w:val="00000B29"/>
    <w:rsid w:val="00001FF1"/>
    <w:rsid w:val="00006995"/>
    <w:rsid w:val="00007CB8"/>
    <w:rsid w:val="000108C1"/>
    <w:rsid w:val="00012DD6"/>
    <w:rsid w:val="00014D30"/>
    <w:rsid w:val="00014F96"/>
    <w:rsid w:val="000158F3"/>
    <w:rsid w:val="00015B4D"/>
    <w:rsid w:val="0001674F"/>
    <w:rsid w:val="00017941"/>
    <w:rsid w:val="00017A92"/>
    <w:rsid w:val="00021461"/>
    <w:rsid w:val="00024B9F"/>
    <w:rsid w:val="00027002"/>
    <w:rsid w:val="00027063"/>
    <w:rsid w:val="00032D32"/>
    <w:rsid w:val="00033446"/>
    <w:rsid w:val="00034E0D"/>
    <w:rsid w:val="00044C40"/>
    <w:rsid w:val="00044DD4"/>
    <w:rsid w:val="00046489"/>
    <w:rsid w:val="00057904"/>
    <w:rsid w:val="00061C37"/>
    <w:rsid w:val="00061CF7"/>
    <w:rsid w:val="00062C10"/>
    <w:rsid w:val="00062D0D"/>
    <w:rsid w:val="00063E78"/>
    <w:rsid w:val="00063FC7"/>
    <w:rsid w:val="00064BEB"/>
    <w:rsid w:val="00065362"/>
    <w:rsid w:val="00066B8E"/>
    <w:rsid w:val="00072CCA"/>
    <w:rsid w:val="000751FE"/>
    <w:rsid w:val="00075A02"/>
    <w:rsid w:val="00076F62"/>
    <w:rsid w:val="0007766D"/>
    <w:rsid w:val="00081737"/>
    <w:rsid w:val="00082538"/>
    <w:rsid w:val="00085C0C"/>
    <w:rsid w:val="00086D6F"/>
    <w:rsid w:val="000879A2"/>
    <w:rsid w:val="00087A5A"/>
    <w:rsid w:val="0009044C"/>
    <w:rsid w:val="00094563"/>
    <w:rsid w:val="00094BA9"/>
    <w:rsid w:val="00094E4F"/>
    <w:rsid w:val="00095561"/>
    <w:rsid w:val="000965A8"/>
    <w:rsid w:val="000A2C7A"/>
    <w:rsid w:val="000A4F9F"/>
    <w:rsid w:val="000A6846"/>
    <w:rsid w:val="000A6B6C"/>
    <w:rsid w:val="000B0673"/>
    <w:rsid w:val="000B10C8"/>
    <w:rsid w:val="000B362A"/>
    <w:rsid w:val="000B39D0"/>
    <w:rsid w:val="000B5B83"/>
    <w:rsid w:val="000B65FB"/>
    <w:rsid w:val="000B6DC9"/>
    <w:rsid w:val="000C167C"/>
    <w:rsid w:val="000C1AA8"/>
    <w:rsid w:val="000C1ABF"/>
    <w:rsid w:val="000C4840"/>
    <w:rsid w:val="000C6DE1"/>
    <w:rsid w:val="000D035A"/>
    <w:rsid w:val="000D096D"/>
    <w:rsid w:val="000D211E"/>
    <w:rsid w:val="000D2582"/>
    <w:rsid w:val="000D3063"/>
    <w:rsid w:val="000D357F"/>
    <w:rsid w:val="000D629E"/>
    <w:rsid w:val="000D705C"/>
    <w:rsid w:val="000D7060"/>
    <w:rsid w:val="000D7554"/>
    <w:rsid w:val="000E0620"/>
    <w:rsid w:val="000E2458"/>
    <w:rsid w:val="000E3F15"/>
    <w:rsid w:val="000E513D"/>
    <w:rsid w:val="000E5F9D"/>
    <w:rsid w:val="000E61B1"/>
    <w:rsid w:val="000E6698"/>
    <w:rsid w:val="000F32EA"/>
    <w:rsid w:val="000F35BF"/>
    <w:rsid w:val="000F4943"/>
    <w:rsid w:val="000F6FA1"/>
    <w:rsid w:val="000F70C0"/>
    <w:rsid w:val="000F7A8B"/>
    <w:rsid w:val="00100349"/>
    <w:rsid w:val="00100A04"/>
    <w:rsid w:val="00104BE3"/>
    <w:rsid w:val="00106E44"/>
    <w:rsid w:val="001073A7"/>
    <w:rsid w:val="00112289"/>
    <w:rsid w:val="001128C5"/>
    <w:rsid w:val="00115370"/>
    <w:rsid w:val="001167DA"/>
    <w:rsid w:val="00117F61"/>
    <w:rsid w:val="00120573"/>
    <w:rsid w:val="00120882"/>
    <w:rsid w:val="001211AD"/>
    <w:rsid w:val="0012129C"/>
    <w:rsid w:val="001213D8"/>
    <w:rsid w:val="00121771"/>
    <w:rsid w:val="00124D1D"/>
    <w:rsid w:val="001273AA"/>
    <w:rsid w:val="00127C7F"/>
    <w:rsid w:val="00130EEB"/>
    <w:rsid w:val="00132D07"/>
    <w:rsid w:val="001331AA"/>
    <w:rsid w:val="00135A0E"/>
    <w:rsid w:val="00135F99"/>
    <w:rsid w:val="001368D3"/>
    <w:rsid w:val="001370B4"/>
    <w:rsid w:val="00137571"/>
    <w:rsid w:val="0014240D"/>
    <w:rsid w:val="00142E55"/>
    <w:rsid w:val="00143DF1"/>
    <w:rsid w:val="0014500B"/>
    <w:rsid w:val="00145812"/>
    <w:rsid w:val="0015120F"/>
    <w:rsid w:val="00156F86"/>
    <w:rsid w:val="0016165A"/>
    <w:rsid w:val="0016229C"/>
    <w:rsid w:val="00162679"/>
    <w:rsid w:val="00162A28"/>
    <w:rsid w:val="00163660"/>
    <w:rsid w:val="00164689"/>
    <w:rsid w:val="00164D8C"/>
    <w:rsid w:val="00166F47"/>
    <w:rsid w:val="00167E16"/>
    <w:rsid w:val="00170686"/>
    <w:rsid w:val="00174921"/>
    <w:rsid w:val="00175725"/>
    <w:rsid w:val="001762E6"/>
    <w:rsid w:val="0017630E"/>
    <w:rsid w:val="00176E0B"/>
    <w:rsid w:val="00177C1B"/>
    <w:rsid w:val="001803C1"/>
    <w:rsid w:val="001845CE"/>
    <w:rsid w:val="00184BE7"/>
    <w:rsid w:val="00184F69"/>
    <w:rsid w:val="00185505"/>
    <w:rsid w:val="00185E91"/>
    <w:rsid w:val="00186E61"/>
    <w:rsid w:val="00187C78"/>
    <w:rsid w:val="00187EF2"/>
    <w:rsid w:val="00190AFF"/>
    <w:rsid w:val="00190BED"/>
    <w:rsid w:val="001916D5"/>
    <w:rsid w:val="00192592"/>
    <w:rsid w:val="001935E0"/>
    <w:rsid w:val="0019397A"/>
    <w:rsid w:val="001951E4"/>
    <w:rsid w:val="0019595D"/>
    <w:rsid w:val="00196337"/>
    <w:rsid w:val="001A12E9"/>
    <w:rsid w:val="001A435C"/>
    <w:rsid w:val="001B0260"/>
    <w:rsid w:val="001B2661"/>
    <w:rsid w:val="001B2D42"/>
    <w:rsid w:val="001B3575"/>
    <w:rsid w:val="001B36A5"/>
    <w:rsid w:val="001C070C"/>
    <w:rsid w:val="001C0DF2"/>
    <w:rsid w:val="001C2694"/>
    <w:rsid w:val="001C33E4"/>
    <w:rsid w:val="001C3D2A"/>
    <w:rsid w:val="001C4B86"/>
    <w:rsid w:val="001C61D4"/>
    <w:rsid w:val="001C68DB"/>
    <w:rsid w:val="001C76D4"/>
    <w:rsid w:val="001C7D4E"/>
    <w:rsid w:val="001D00D9"/>
    <w:rsid w:val="001D0D35"/>
    <w:rsid w:val="001D2655"/>
    <w:rsid w:val="001D32B2"/>
    <w:rsid w:val="001D39E8"/>
    <w:rsid w:val="001D3ECA"/>
    <w:rsid w:val="001D41B8"/>
    <w:rsid w:val="001D4C79"/>
    <w:rsid w:val="001D5DB7"/>
    <w:rsid w:val="001D71AE"/>
    <w:rsid w:val="001E228F"/>
    <w:rsid w:val="001E364D"/>
    <w:rsid w:val="001E4089"/>
    <w:rsid w:val="001F12FA"/>
    <w:rsid w:val="001F1AEA"/>
    <w:rsid w:val="001F26D1"/>
    <w:rsid w:val="001F2EC0"/>
    <w:rsid w:val="001F3BE0"/>
    <w:rsid w:val="001F43B3"/>
    <w:rsid w:val="001F44B9"/>
    <w:rsid w:val="001F5BD0"/>
    <w:rsid w:val="0020545E"/>
    <w:rsid w:val="0020587D"/>
    <w:rsid w:val="00206167"/>
    <w:rsid w:val="00206306"/>
    <w:rsid w:val="002123DC"/>
    <w:rsid w:val="00213081"/>
    <w:rsid w:val="00214E2F"/>
    <w:rsid w:val="002152AA"/>
    <w:rsid w:val="0021544C"/>
    <w:rsid w:val="002159C2"/>
    <w:rsid w:val="00215CAD"/>
    <w:rsid w:val="00217D54"/>
    <w:rsid w:val="002200F2"/>
    <w:rsid w:val="00220923"/>
    <w:rsid w:val="002225BC"/>
    <w:rsid w:val="0022369E"/>
    <w:rsid w:val="00223903"/>
    <w:rsid w:val="00225F2C"/>
    <w:rsid w:val="0022604F"/>
    <w:rsid w:val="00226255"/>
    <w:rsid w:val="00227A37"/>
    <w:rsid w:val="00227B84"/>
    <w:rsid w:val="0023168D"/>
    <w:rsid w:val="00232736"/>
    <w:rsid w:val="00234DF0"/>
    <w:rsid w:val="00236204"/>
    <w:rsid w:val="00236B8F"/>
    <w:rsid w:val="0024528C"/>
    <w:rsid w:val="002462C5"/>
    <w:rsid w:val="0024799B"/>
    <w:rsid w:val="00253CCB"/>
    <w:rsid w:val="00254CCC"/>
    <w:rsid w:val="00255DD0"/>
    <w:rsid w:val="0026000D"/>
    <w:rsid w:val="0026004A"/>
    <w:rsid w:val="002604E8"/>
    <w:rsid w:val="00260F94"/>
    <w:rsid w:val="00262811"/>
    <w:rsid w:val="00262990"/>
    <w:rsid w:val="00264374"/>
    <w:rsid w:val="0026485B"/>
    <w:rsid w:val="00267064"/>
    <w:rsid w:val="002672C9"/>
    <w:rsid w:val="002675F1"/>
    <w:rsid w:val="00271B98"/>
    <w:rsid w:val="00272DF8"/>
    <w:rsid w:val="002748CA"/>
    <w:rsid w:val="002764BD"/>
    <w:rsid w:val="0028120F"/>
    <w:rsid w:val="002813FA"/>
    <w:rsid w:val="00282687"/>
    <w:rsid w:val="00283B79"/>
    <w:rsid w:val="00284C3A"/>
    <w:rsid w:val="00284EF8"/>
    <w:rsid w:val="00285193"/>
    <w:rsid w:val="00286859"/>
    <w:rsid w:val="00287A19"/>
    <w:rsid w:val="00291996"/>
    <w:rsid w:val="0029223F"/>
    <w:rsid w:val="0029276D"/>
    <w:rsid w:val="0029335F"/>
    <w:rsid w:val="00293D19"/>
    <w:rsid w:val="00294B44"/>
    <w:rsid w:val="00296F39"/>
    <w:rsid w:val="00297F2E"/>
    <w:rsid w:val="002A16A1"/>
    <w:rsid w:val="002A6656"/>
    <w:rsid w:val="002A6EAF"/>
    <w:rsid w:val="002B061E"/>
    <w:rsid w:val="002B0D8F"/>
    <w:rsid w:val="002B270A"/>
    <w:rsid w:val="002B3BA5"/>
    <w:rsid w:val="002B5549"/>
    <w:rsid w:val="002B5954"/>
    <w:rsid w:val="002C34C3"/>
    <w:rsid w:val="002C4AF8"/>
    <w:rsid w:val="002C6C03"/>
    <w:rsid w:val="002C7A4D"/>
    <w:rsid w:val="002D217E"/>
    <w:rsid w:val="002D4524"/>
    <w:rsid w:val="002D65D3"/>
    <w:rsid w:val="002D6A93"/>
    <w:rsid w:val="002D7283"/>
    <w:rsid w:val="002D7E10"/>
    <w:rsid w:val="002E04C1"/>
    <w:rsid w:val="002E08B1"/>
    <w:rsid w:val="002E1985"/>
    <w:rsid w:val="002E315A"/>
    <w:rsid w:val="002E4E09"/>
    <w:rsid w:val="002E5B55"/>
    <w:rsid w:val="002E6463"/>
    <w:rsid w:val="002E7447"/>
    <w:rsid w:val="002E7885"/>
    <w:rsid w:val="002E7A8D"/>
    <w:rsid w:val="002F3B02"/>
    <w:rsid w:val="002F48B6"/>
    <w:rsid w:val="002F611C"/>
    <w:rsid w:val="002F6571"/>
    <w:rsid w:val="002F70C7"/>
    <w:rsid w:val="002F7C47"/>
    <w:rsid w:val="00305997"/>
    <w:rsid w:val="003068FC"/>
    <w:rsid w:val="00306AB4"/>
    <w:rsid w:val="0030717D"/>
    <w:rsid w:val="003074E8"/>
    <w:rsid w:val="003104BE"/>
    <w:rsid w:val="0031133F"/>
    <w:rsid w:val="00311B39"/>
    <w:rsid w:val="00311E3E"/>
    <w:rsid w:val="003127A3"/>
    <w:rsid w:val="00313403"/>
    <w:rsid w:val="003134D9"/>
    <w:rsid w:val="003138D9"/>
    <w:rsid w:val="00313F89"/>
    <w:rsid w:val="003156E5"/>
    <w:rsid w:val="00315A20"/>
    <w:rsid w:val="00316A7C"/>
    <w:rsid w:val="00317468"/>
    <w:rsid w:val="0031788F"/>
    <w:rsid w:val="003209C3"/>
    <w:rsid w:val="0032115D"/>
    <w:rsid w:val="00321312"/>
    <w:rsid w:val="00321C18"/>
    <w:rsid w:val="003221DD"/>
    <w:rsid w:val="00323BDB"/>
    <w:rsid w:val="00323DFA"/>
    <w:rsid w:val="00324C35"/>
    <w:rsid w:val="0032574C"/>
    <w:rsid w:val="00327A37"/>
    <w:rsid w:val="0033153A"/>
    <w:rsid w:val="00333461"/>
    <w:rsid w:val="003378A2"/>
    <w:rsid w:val="00343549"/>
    <w:rsid w:val="00344FD2"/>
    <w:rsid w:val="00346AC5"/>
    <w:rsid w:val="00346B20"/>
    <w:rsid w:val="00347381"/>
    <w:rsid w:val="00347419"/>
    <w:rsid w:val="00351415"/>
    <w:rsid w:val="00351816"/>
    <w:rsid w:val="003522F7"/>
    <w:rsid w:val="00352676"/>
    <w:rsid w:val="00352E50"/>
    <w:rsid w:val="00360F12"/>
    <w:rsid w:val="003614BE"/>
    <w:rsid w:val="00363BF6"/>
    <w:rsid w:val="00365AB8"/>
    <w:rsid w:val="00366908"/>
    <w:rsid w:val="0036773B"/>
    <w:rsid w:val="003712DA"/>
    <w:rsid w:val="00372126"/>
    <w:rsid w:val="00372386"/>
    <w:rsid w:val="00375499"/>
    <w:rsid w:val="0037624B"/>
    <w:rsid w:val="003806E7"/>
    <w:rsid w:val="0038295C"/>
    <w:rsid w:val="00382ED3"/>
    <w:rsid w:val="00383DEC"/>
    <w:rsid w:val="0038466C"/>
    <w:rsid w:val="00384AD1"/>
    <w:rsid w:val="00386254"/>
    <w:rsid w:val="00391233"/>
    <w:rsid w:val="00393C5C"/>
    <w:rsid w:val="00394B8C"/>
    <w:rsid w:val="003976D3"/>
    <w:rsid w:val="003A0AD9"/>
    <w:rsid w:val="003A0EA3"/>
    <w:rsid w:val="003A22BF"/>
    <w:rsid w:val="003A3787"/>
    <w:rsid w:val="003A4438"/>
    <w:rsid w:val="003A4F78"/>
    <w:rsid w:val="003A5AC0"/>
    <w:rsid w:val="003A7152"/>
    <w:rsid w:val="003B4C81"/>
    <w:rsid w:val="003B4E75"/>
    <w:rsid w:val="003B5245"/>
    <w:rsid w:val="003B5C2D"/>
    <w:rsid w:val="003B6506"/>
    <w:rsid w:val="003C0DFA"/>
    <w:rsid w:val="003C211E"/>
    <w:rsid w:val="003C2F06"/>
    <w:rsid w:val="003C4016"/>
    <w:rsid w:val="003C50AF"/>
    <w:rsid w:val="003C6D44"/>
    <w:rsid w:val="003C72CF"/>
    <w:rsid w:val="003D231B"/>
    <w:rsid w:val="003D2614"/>
    <w:rsid w:val="003D275A"/>
    <w:rsid w:val="003D3491"/>
    <w:rsid w:val="003D3ABD"/>
    <w:rsid w:val="003D4EC4"/>
    <w:rsid w:val="003D68F9"/>
    <w:rsid w:val="003D71A8"/>
    <w:rsid w:val="003E0027"/>
    <w:rsid w:val="003E0E66"/>
    <w:rsid w:val="003E26B0"/>
    <w:rsid w:val="003E3009"/>
    <w:rsid w:val="003E3178"/>
    <w:rsid w:val="003E365C"/>
    <w:rsid w:val="003E3826"/>
    <w:rsid w:val="003E3A35"/>
    <w:rsid w:val="003E3C70"/>
    <w:rsid w:val="003E6703"/>
    <w:rsid w:val="003F0725"/>
    <w:rsid w:val="003F0FE3"/>
    <w:rsid w:val="003F4060"/>
    <w:rsid w:val="003F4957"/>
    <w:rsid w:val="003F6FA8"/>
    <w:rsid w:val="003F73B3"/>
    <w:rsid w:val="003F7B6B"/>
    <w:rsid w:val="003F7C21"/>
    <w:rsid w:val="0040022E"/>
    <w:rsid w:val="004010BE"/>
    <w:rsid w:val="004015D7"/>
    <w:rsid w:val="004018F0"/>
    <w:rsid w:val="00402537"/>
    <w:rsid w:val="00405E4F"/>
    <w:rsid w:val="004077F3"/>
    <w:rsid w:val="004107AB"/>
    <w:rsid w:val="0041367E"/>
    <w:rsid w:val="004144DD"/>
    <w:rsid w:val="00414D31"/>
    <w:rsid w:val="00415CE0"/>
    <w:rsid w:val="00421DA6"/>
    <w:rsid w:val="00422A79"/>
    <w:rsid w:val="004231D4"/>
    <w:rsid w:val="00426A00"/>
    <w:rsid w:val="00427F9B"/>
    <w:rsid w:val="00436421"/>
    <w:rsid w:val="00437890"/>
    <w:rsid w:val="00440188"/>
    <w:rsid w:val="004402E2"/>
    <w:rsid w:val="004419B9"/>
    <w:rsid w:val="00442271"/>
    <w:rsid w:val="00442B6C"/>
    <w:rsid w:val="00443E65"/>
    <w:rsid w:val="00443F39"/>
    <w:rsid w:val="004442E3"/>
    <w:rsid w:val="004464E8"/>
    <w:rsid w:val="00446806"/>
    <w:rsid w:val="00446E0B"/>
    <w:rsid w:val="004557E9"/>
    <w:rsid w:val="00456E20"/>
    <w:rsid w:val="00460415"/>
    <w:rsid w:val="004620F7"/>
    <w:rsid w:val="004631CF"/>
    <w:rsid w:val="004639BF"/>
    <w:rsid w:val="0046481F"/>
    <w:rsid w:val="0046608A"/>
    <w:rsid w:val="0046776E"/>
    <w:rsid w:val="004678C6"/>
    <w:rsid w:val="00467B6C"/>
    <w:rsid w:val="00472462"/>
    <w:rsid w:val="00472850"/>
    <w:rsid w:val="00472A34"/>
    <w:rsid w:val="004757A2"/>
    <w:rsid w:val="00475B1C"/>
    <w:rsid w:val="00476129"/>
    <w:rsid w:val="004765D7"/>
    <w:rsid w:val="0048208D"/>
    <w:rsid w:val="004824FC"/>
    <w:rsid w:val="004839CB"/>
    <w:rsid w:val="00483A07"/>
    <w:rsid w:val="00483AD2"/>
    <w:rsid w:val="0048458C"/>
    <w:rsid w:val="00484E06"/>
    <w:rsid w:val="00485E89"/>
    <w:rsid w:val="00487DBF"/>
    <w:rsid w:val="004904B6"/>
    <w:rsid w:val="00490F8F"/>
    <w:rsid w:val="00493BEB"/>
    <w:rsid w:val="004948AA"/>
    <w:rsid w:val="004A0FBF"/>
    <w:rsid w:val="004A3ADE"/>
    <w:rsid w:val="004A5FC2"/>
    <w:rsid w:val="004B150F"/>
    <w:rsid w:val="004B2413"/>
    <w:rsid w:val="004B3428"/>
    <w:rsid w:val="004B3E5F"/>
    <w:rsid w:val="004B40AC"/>
    <w:rsid w:val="004B437C"/>
    <w:rsid w:val="004B45B5"/>
    <w:rsid w:val="004B48D5"/>
    <w:rsid w:val="004B6764"/>
    <w:rsid w:val="004C1038"/>
    <w:rsid w:val="004C1333"/>
    <w:rsid w:val="004C18BA"/>
    <w:rsid w:val="004C3100"/>
    <w:rsid w:val="004C31A5"/>
    <w:rsid w:val="004C3F78"/>
    <w:rsid w:val="004C4108"/>
    <w:rsid w:val="004C49E0"/>
    <w:rsid w:val="004C4B46"/>
    <w:rsid w:val="004C4DF9"/>
    <w:rsid w:val="004C547F"/>
    <w:rsid w:val="004D0CE3"/>
    <w:rsid w:val="004D1628"/>
    <w:rsid w:val="004D406D"/>
    <w:rsid w:val="004D49B8"/>
    <w:rsid w:val="004D4A41"/>
    <w:rsid w:val="004D5EE2"/>
    <w:rsid w:val="004D6B02"/>
    <w:rsid w:val="004D74F2"/>
    <w:rsid w:val="004D7740"/>
    <w:rsid w:val="004E03B8"/>
    <w:rsid w:val="004E1219"/>
    <w:rsid w:val="004E1E89"/>
    <w:rsid w:val="004E3235"/>
    <w:rsid w:val="004E49AF"/>
    <w:rsid w:val="004E5D42"/>
    <w:rsid w:val="004F1B70"/>
    <w:rsid w:val="004F3A88"/>
    <w:rsid w:val="004F3DB7"/>
    <w:rsid w:val="004F49C8"/>
    <w:rsid w:val="004F7BD4"/>
    <w:rsid w:val="00500037"/>
    <w:rsid w:val="005008FB"/>
    <w:rsid w:val="00503083"/>
    <w:rsid w:val="0050353D"/>
    <w:rsid w:val="0050521A"/>
    <w:rsid w:val="0050640F"/>
    <w:rsid w:val="005075BF"/>
    <w:rsid w:val="00510F66"/>
    <w:rsid w:val="0051228D"/>
    <w:rsid w:val="00514BFB"/>
    <w:rsid w:val="005164F4"/>
    <w:rsid w:val="00522895"/>
    <w:rsid w:val="00524BCF"/>
    <w:rsid w:val="005252D2"/>
    <w:rsid w:val="0052539E"/>
    <w:rsid w:val="0052689D"/>
    <w:rsid w:val="00526F48"/>
    <w:rsid w:val="005270EB"/>
    <w:rsid w:val="005274CD"/>
    <w:rsid w:val="00531610"/>
    <w:rsid w:val="0053372C"/>
    <w:rsid w:val="00535B17"/>
    <w:rsid w:val="00536DF8"/>
    <w:rsid w:val="0053715D"/>
    <w:rsid w:val="005404C9"/>
    <w:rsid w:val="005417AE"/>
    <w:rsid w:val="00543C43"/>
    <w:rsid w:val="00543CE4"/>
    <w:rsid w:val="005444A9"/>
    <w:rsid w:val="00547CC0"/>
    <w:rsid w:val="00550188"/>
    <w:rsid w:val="0055067A"/>
    <w:rsid w:val="005516CF"/>
    <w:rsid w:val="005530F2"/>
    <w:rsid w:val="00554486"/>
    <w:rsid w:val="005568D2"/>
    <w:rsid w:val="005569DA"/>
    <w:rsid w:val="00557E99"/>
    <w:rsid w:val="00560F88"/>
    <w:rsid w:val="00561CDC"/>
    <w:rsid w:val="00562FC9"/>
    <w:rsid w:val="00563B5C"/>
    <w:rsid w:val="00563C5D"/>
    <w:rsid w:val="0056467F"/>
    <w:rsid w:val="005647EE"/>
    <w:rsid w:val="00570328"/>
    <w:rsid w:val="0057175B"/>
    <w:rsid w:val="00575B16"/>
    <w:rsid w:val="00575C27"/>
    <w:rsid w:val="00575F5A"/>
    <w:rsid w:val="00580152"/>
    <w:rsid w:val="00584719"/>
    <w:rsid w:val="00592C2A"/>
    <w:rsid w:val="00592D45"/>
    <w:rsid w:val="0059305D"/>
    <w:rsid w:val="00595B0A"/>
    <w:rsid w:val="00595D5E"/>
    <w:rsid w:val="005A064F"/>
    <w:rsid w:val="005A0657"/>
    <w:rsid w:val="005A0C2C"/>
    <w:rsid w:val="005A1977"/>
    <w:rsid w:val="005A3214"/>
    <w:rsid w:val="005A456D"/>
    <w:rsid w:val="005A4B7E"/>
    <w:rsid w:val="005A5089"/>
    <w:rsid w:val="005A76AE"/>
    <w:rsid w:val="005B154D"/>
    <w:rsid w:val="005B191C"/>
    <w:rsid w:val="005B4209"/>
    <w:rsid w:val="005B6920"/>
    <w:rsid w:val="005B7F33"/>
    <w:rsid w:val="005C0123"/>
    <w:rsid w:val="005C21DD"/>
    <w:rsid w:val="005C2764"/>
    <w:rsid w:val="005C309C"/>
    <w:rsid w:val="005C35F7"/>
    <w:rsid w:val="005C38D4"/>
    <w:rsid w:val="005C7185"/>
    <w:rsid w:val="005D06E8"/>
    <w:rsid w:val="005D1E95"/>
    <w:rsid w:val="005D3997"/>
    <w:rsid w:val="005D3BB2"/>
    <w:rsid w:val="005D457E"/>
    <w:rsid w:val="005D4690"/>
    <w:rsid w:val="005D59B7"/>
    <w:rsid w:val="005E3CFD"/>
    <w:rsid w:val="005E65F5"/>
    <w:rsid w:val="005F0534"/>
    <w:rsid w:val="005F05DD"/>
    <w:rsid w:val="005F08F8"/>
    <w:rsid w:val="005F3F6F"/>
    <w:rsid w:val="005F685C"/>
    <w:rsid w:val="005F69A1"/>
    <w:rsid w:val="005F6FBD"/>
    <w:rsid w:val="00600C20"/>
    <w:rsid w:val="00602A19"/>
    <w:rsid w:val="00604D9D"/>
    <w:rsid w:val="006068C9"/>
    <w:rsid w:val="0061116E"/>
    <w:rsid w:val="00613D8C"/>
    <w:rsid w:val="006146C1"/>
    <w:rsid w:val="006149A9"/>
    <w:rsid w:val="00614D7F"/>
    <w:rsid w:val="00615A02"/>
    <w:rsid w:val="00616910"/>
    <w:rsid w:val="00616F22"/>
    <w:rsid w:val="00617394"/>
    <w:rsid w:val="0062366E"/>
    <w:rsid w:val="00627061"/>
    <w:rsid w:val="0063165D"/>
    <w:rsid w:val="00631DE1"/>
    <w:rsid w:val="006320E3"/>
    <w:rsid w:val="0063329C"/>
    <w:rsid w:val="00633E44"/>
    <w:rsid w:val="00635768"/>
    <w:rsid w:val="006364BB"/>
    <w:rsid w:val="00637A85"/>
    <w:rsid w:val="00640E21"/>
    <w:rsid w:val="00641902"/>
    <w:rsid w:val="00642469"/>
    <w:rsid w:val="00644C0D"/>
    <w:rsid w:val="00645392"/>
    <w:rsid w:val="0064551B"/>
    <w:rsid w:val="00645A3D"/>
    <w:rsid w:val="00645F3A"/>
    <w:rsid w:val="00647D11"/>
    <w:rsid w:val="00650A6C"/>
    <w:rsid w:val="006510EB"/>
    <w:rsid w:val="0065127A"/>
    <w:rsid w:val="006552FD"/>
    <w:rsid w:val="00655740"/>
    <w:rsid w:val="006627BA"/>
    <w:rsid w:val="00662E7A"/>
    <w:rsid w:val="00664016"/>
    <w:rsid w:val="006642A8"/>
    <w:rsid w:val="006654BF"/>
    <w:rsid w:val="00667F61"/>
    <w:rsid w:val="006701E1"/>
    <w:rsid w:val="006709A2"/>
    <w:rsid w:val="006735F9"/>
    <w:rsid w:val="00673DC2"/>
    <w:rsid w:val="00674F46"/>
    <w:rsid w:val="006757B9"/>
    <w:rsid w:val="0067637C"/>
    <w:rsid w:val="0067716E"/>
    <w:rsid w:val="00677B9B"/>
    <w:rsid w:val="00680134"/>
    <w:rsid w:val="00680D69"/>
    <w:rsid w:val="00681C28"/>
    <w:rsid w:val="00682B1C"/>
    <w:rsid w:val="00682EBB"/>
    <w:rsid w:val="00683B58"/>
    <w:rsid w:val="006841FA"/>
    <w:rsid w:val="006853E9"/>
    <w:rsid w:val="00685495"/>
    <w:rsid w:val="00687E53"/>
    <w:rsid w:val="00691039"/>
    <w:rsid w:val="006914D6"/>
    <w:rsid w:val="0069416D"/>
    <w:rsid w:val="00697FC9"/>
    <w:rsid w:val="006A4020"/>
    <w:rsid w:val="006A50F3"/>
    <w:rsid w:val="006A6722"/>
    <w:rsid w:val="006A6CDF"/>
    <w:rsid w:val="006A789F"/>
    <w:rsid w:val="006A7DD8"/>
    <w:rsid w:val="006B057B"/>
    <w:rsid w:val="006B0C60"/>
    <w:rsid w:val="006B19BF"/>
    <w:rsid w:val="006B3783"/>
    <w:rsid w:val="006B6C72"/>
    <w:rsid w:val="006C0DB5"/>
    <w:rsid w:val="006C0F09"/>
    <w:rsid w:val="006C10EC"/>
    <w:rsid w:val="006C1492"/>
    <w:rsid w:val="006C2102"/>
    <w:rsid w:val="006C3FB0"/>
    <w:rsid w:val="006C48DD"/>
    <w:rsid w:val="006C6478"/>
    <w:rsid w:val="006C65C9"/>
    <w:rsid w:val="006C71AC"/>
    <w:rsid w:val="006C77C3"/>
    <w:rsid w:val="006C7876"/>
    <w:rsid w:val="006C788B"/>
    <w:rsid w:val="006D0990"/>
    <w:rsid w:val="006D101B"/>
    <w:rsid w:val="006D1104"/>
    <w:rsid w:val="006D2E89"/>
    <w:rsid w:val="006D4546"/>
    <w:rsid w:val="006D5E79"/>
    <w:rsid w:val="006D6C08"/>
    <w:rsid w:val="006D6EC0"/>
    <w:rsid w:val="006D6F76"/>
    <w:rsid w:val="006D71EA"/>
    <w:rsid w:val="006E1F89"/>
    <w:rsid w:val="006E241F"/>
    <w:rsid w:val="006E43D7"/>
    <w:rsid w:val="006E59A1"/>
    <w:rsid w:val="006E5D6F"/>
    <w:rsid w:val="006E6661"/>
    <w:rsid w:val="006F1B0C"/>
    <w:rsid w:val="006F2E21"/>
    <w:rsid w:val="006F3B48"/>
    <w:rsid w:val="006F45EA"/>
    <w:rsid w:val="006F64A0"/>
    <w:rsid w:val="006F78C5"/>
    <w:rsid w:val="006F7A80"/>
    <w:rsid w:val="006F7AA3"/>
    <w:rsid w:val="00700570"/>
    <w:rsid w:val="00700586"/>
    <w:rsid w:val="00701159"/>
    <w:rsid w:val="00702027"/>
    <w:rsid w:val="00702E90"/>
    <w:rsid w:val="00703E8B"/>
    <w:rsid w:val="00704E6C"/>
    <w:rsid w:val="00710D33"/>
    <w:rsid w:val="00717689"/>
    <w:rsid w:val="007222DE"/>
    <w:rsid w:val="007258FC"/>
    <w:rsid w:val="007304DF"/>
    <w:rsid w:val="007313B4"/>
    <w:rsid w:val="00731403"/>
    <w:rsid w:val="00731A27"/>
    <w:rsid w:val="007327BA"/>
    <w:rsid w:val="0073324B"/>
    <w:rsid w:val="0073354E"/>
    <w:rsid w:val="0073376A"/>
    <w:rsid w:val="00734279"/>
    <w:rsid w:val="0073437F"/>
    <w:rsid w:val="00735B37"/>
    <w:rsid w:val="00737911"/>
    <w:rsid w:val="00740AE5"/>
    <w:rsid w:val="0074112C"/>
    <w:rsid w:val="00742CB2"/>
    <w:rsid w:val="00742D85"/>
    <w:rsid w:val="007433C6"/>
    <w:rsid w:val="00745933"/>
    <w:rsid w:val="00750407"/>
    <w:rsid w:val="0075448C"/>
    <w:rsid w:val="00754A35"/>
    <w:rsid w:val="00754F87"/>
    <w:rsid w:val="0075526B"/>
    <w:rsid w:val="00760168"/>
    <w:rsid w:val="0076042E"/>
    <w:rsid w:val="00760544"/>
    <w:rsid w:val="00761AAF"/>
    <w:rsid w:val="007622D1"/>
    <w:rsid w:val="00765C8D"/>
    <w:rsid w:val="00766CB0"/>
    <w:rsid w:val="00766EE1"/>
    <w:rsid w:val="00767148"/>
    <w:rsid w:val="00770695"/>
    <w:rsid w:val="0077085E"/>
    <w:rsid w:val="00770FFF"/>
    <w:rsid w:val="00772419"/>
    <w:rsid w:val="00773C4D"/>
    <w:rsid w:val="0077421C"/>
    <w:rsid w:val="00774B97"/>
    <w:rsid w:val="00780407"/>
    <w:rsid w:val="007804C9"/>
    <w:rsid w:val="007809C0"/>
    <w:rsid w:val="00780C6A"/>
    <w:rsid w:val="00781C5F"/>
    <w:rsid w:val="007820CD"/>
    <w:rsid w:val="00783467"/>
    <w:rsid w:val="00783DA9"/>
    <w:rsid w:val="00787831"/>
    <w:rsid w:val="00792A6A"/>
    <w:rsid w:val="00794386"/>
    <w:rsid w:val="007967CE"/>
    <w:rsid w:val="007A2E21"/>
    <w:rsid w:val="007A5BC2"/>
    <w:rsid w:val="007A677D"/>
    <w:rsid w:val="007A6CC8"/>
    <w:rsid w:val="007A6FD1"/>
    <w:rsid w:val="007A7748"/>
    <w:rsid w:val="007B29A5"/>
    <w:rsid w:val="007B5E72"/>
    <w:rsid w:val="007C07E2"/>
    <w:rsid w:val="007C09AC"/>
    <w:rsid w:val="007C15D3"/>
    <w:rsid w:val="007C1B27"/>
    <w:rsid w:val="007C3921"/>
    <w:rsid w:val="007C4FC2"/>
    <w:rsid w:val="007C593F"/>
    <w:rsid w:val="007C73F6"/>
    <w:rsid w:val="007C7A1A"/>
    <w:rsid w:val="007D0822"/>
    <w:rsid w:val="007D1120"/>
    <w:rsid w:val="007D11BA"/>
    <w:rsid w:val="007D4836"/>
    <w:rsid w:val="007D5016"/>
    <w:rsid w:val="007D5CF7"/>
    <w:rsid w:val="007D5E6D"/>
    <w:rsid w:val="007D6298"/>
    <w:rsid w:val="007D6B00"/>
    <w:rsid w:val="007E067B"/>
    <w:rsid w:val="007E1639"/>
    <w:rsid w:val="007E1919"/>
    <w:rsid w:val="007E252D"/>
    <w:rsid w:val="007E6894"/>
    <w:rsid w:val="007F05FB"/>
    <w:rsid w:val="007F4576"/>
    <w:rsid w:val="007F4B02"/>
    <w:rsid w:val="007F566B"/>
    <w:rsid w:val="008008C5"/>
    <w:rsid w:val="00800BE8"/>
    <w:rsid w:val="0080442E"/>
    <w:rsid w:val="008068FC"/>
    <w:rsid w:val="00807FB8"/>
    <w:rsid w:val="008109A9"/>
    <w:rsid w:val="00810A19"/>
    <w:rsid w:val="008146DA"/>
    <w:rsid w:val="008208CF"/>
    <w:rsid w:val="00820946"/>
    <w:rsid w:val="00821535"/>
    <w:rsid w:val="00822467"/>
    <w:rsid w:val="00822665"/>
    <w:rsid w:val="00825195"/>
    <w:rsid w:val="00825451"/>
    <w:rsid w:val="0082591E"/>
    <w:rsid w:val="008260F8"/>
    <w:rsid w:val="0083090D"/>
    <w:rsid w:val="008309FF"/>
    <w:rsid w:val="00831727"/>
    <w:rsid w:val="0083245F"/>
    <w:rsid w:val="0083269F"/>
    <w:rsid w:val="008356B9"/>
    <w:rsid w:val="008366B8"/>
    <w:rsid w:val="00837118"/>
    <w:rsid w:val="00840634"/>
    <w:rsid w:val="00841A21"/>
    <w:rsid w:val="0084389C"/>
    <w:rsid w:val="0084397D"/>
    <w:rsid w:val="008455F9"/>
    <w:rsid w:val="00851A6C"/>
    <w:rsid w:val="00851CCD"/>
    <w:rsid w:val="00854582"/>
    <w:rsid w:val="008549D9"/>
    <w:rsid w:val="00860C5A"/>
    <w:rsid w:val="008636A2"/>
    <w:rsid w:val="008639CD"/>
    <w:rsid w:val="00863AA8"/>
    <w:rsid w:val="00864FE1"/>
    <w:rsid w:val="00866175"/>
    <w:rsid w:val="00866C9B"/>
    <w:rsid w:val="00866FE6"/>
    <w:rsid w:val="0087143E"/>
    <w:rsid w:val="00874066"/>
    <w:rsid w:val="00874298"/>
    <w:rsid w:val="0087492C"/>
    <w:rsid w:val="008764CB"/>
    <w:rsid w:val="0087749D"/>
    <w:rsid w:val="008777CF"/>
    <w:rsid w:val="00881288"/>
    <w:rsid w:val="008850DC"/>
    <w:rsid w:val="00885DE0"/>
    <w:rsid w:val="00886824"/>
    <w:rsid w:val="00887693"/>
    <w:rsid w:val="00890493"/>
    <w:rsid w:val="008912DF"/>
    <w:rsid w:val="008918E3"/>
    <w:rsid w:val="00892C9D"/>
    <w:rsid w:val="0089518F"/>
    <w:rsid w:val="008A1AC0"/>
    <w:rsid w:val="008A2741"/>
    <w:rsid w:val="008A40DC"/>
    <w:rsid w:val="008A4C12"/>
    <w:rsid w:val="008B1066"/>
    <w:rsid w:val="008B1F79"/>
    <w:rsid w:val="008B2473"/>
    <w:rsid w:val="008B3785"/>
    <w:rsid w:val="008B6551"/>
    <w:rsid w:val="008C03AA"/>
    <w:rsid w:val="008C091C"/>
    <w:rsid w:val="008C19DC"/>
    <w:rsid w:val="008C1B6E"/>
    <w:rsid w:val="008C3003"/>
    <w:rsid w:val="008C3E75"/>
    <w:rsid w:val="008C4080"/>
    <w:rsid w:val="008C7512"/>
    <w:rsid w:val="008D0749"/>
    <w:rsid w:val="008D1EA4"/>
    <w:rsid w:val="008D40F7"/>
    <w:rsid w:val="008D6072"/>
    <w:rsid w:val="008D7215"/>
    <w:rsid w:val="008D78C9"/>
    <w:rsid w:val="008E1CD7"/>
    <w:rsid w:val="008E2909"/>
    <w:rsid w:val="008E2BF3"/>
    <w:rsid w:val="008E35F8"/>
    <w:rsid w:val="008E4C24"/>
    <w:rsid w:val="008E7023"/>
    <w:rsid w:val="008E71C5"/>
    <w:rsid w:val="008E78C5"/>
    <w:rsid w:val="008F0192"/>
    <w:rsid w:val="008F0AE1"/>
    <w:rsid w:val="008F0EC1"/>
    <w:rsid w:val="008F1E08"/>
    <w:rsid w:val="008F2CE5"/>
    <w:rsid w:val="008F5600"/>
    <w:rsid w:val="00900CAD"/>
    <w:rsid w:val="00901599"/>
    <w:rsid w:val="00901711"/>
    <w:rsid w:val="00901B0E"/>
    <w:rsid w:val="00901C9C"/>
    <w:rsid w:val="00902563"/>
    <w:rsid w:val="00907506"/>
    <w:rsid w:val="00910B46"/>
    <w:rsid w:val="009110DC"/>
    <w:rsid w:val="00911203"/>
    <w:rsid w:val="00911583"/>
    <w:rsid w:val="00911959"/>
    <w:rsid w:val="00913715"/>
    <w:rsid w:val="009149B5"/>
    <w:rsid w:val="0091779E"/>
    <w:rsid w:val="009178D4"/>
    <w:rsid w:val="009201AA"/>
    <w:rsid w:val="00924AC6"/>
    <w:rsid w:val="00927C36"/>
    <w:rsid w:val="0093154D"/>
    <w:rsid w:val="009328F6"/>
    <w:rsid w:val="00933891"/>
    <w:rsid w:val="00935AD6"/>
    <w:rsid w:val="00940B63"/>
    <w:rsid w:val="00940EBD"/>
    <w:rsid w:val="00941BE2"/>
    <w:rsid w:val="00942B1F"/>
    <w:rsid w:val="009471BF"/>
    <w:rsid w:val="00951185"/>
    <w:rsid w:val="00954335"/>
    <w:rsid w:val="0095539D"/>
    <w:rsid w:val="00957CCD"/>
    <w:rsid w:val="009603A4"/>
    <w:rsid w:val="00962661"/>
    <w:rsid w:val="00963B05"/>
    <w:rsid w:val="009655E2"/>
    <w:rsid w:val="009702DC"/>
    <w:rsid w:val="00972783"/>
    <w:rsid w:val="0097357B"/>
    <w:rsid w:val="009742F6"/>
    <w:rsid w:val="00975DEE"/>
    <w:rsid w:val="00976263"/>
    <w:rsid w:val="00976264"/>
    <w:rsid w:val="009766DE"/>
    <w:rsid w:val="0097704C"/>
    <w:rsid w:val="00977BD9"/>
    <w:rsid w:val="00980130"/>
    <w:rsid w:val="0098075A"/>
    <w:rsid w:val="00982F6F"/>
    <w:rsid w:val="00983A36"/>
    <w:rsid w:val="00986622"/>
    <w:rsid w:val="00992AD7"/>
    <w:rsid w:val="00995CE7"/>
    <w:rsid w:val="0099733C"/>
    <w:rsid w:val="009A03A2"/>
    <w:rsid w:val="009A044A"/>
    <w:rsid w:val="009A2D7D"/>
    <w:rsid w:val="009A4B46"/>
    <w:rsid w:val="009A5B16"/>
    <w:rsid w:val="009A7267"/>
    <w:rsid w:val="009A7717"/>
    <w:rsid w:val="009A789D"/>
    <w:rsid w:val="009B10F5"/>
    <w:rsid w:val="009B1620"/>
    <w:rsid w:val="009B2FC4"/>
    <w:rsid w:val="009B4304"/>
    <w:rsid w:val="009B7D9E"/>
    <w:rsid w:val="009C2E5E"/>
    <w:rsid w:val="009C4008"/>
    <w:rsid w:val="009C4EAF"/>
    <w:rsid w:val="009C611A"/>
    <w:rsid w:val="009C70DF"/>
    <w:rsid w:val="009D007E"/>
    <w:rsid w:val="009D21DA"/>
    <w:rsid w:val="009D34AD"/>
    <w:rsid w:val="009D57C1"/>
    <w:rsid w:val="009D593E"/>
    <w:rsid w:val="009D5F96"/>
    <w:rsid w:val="009E05E2"/>
    <w:rsid w:val="009E1743"/>
    <w:rsid w:val="009E1E22"/>
    <w:rsid w:val="009E2ECF"/>
    <w:rsid w:val="009E57C4"/>
    <w:rsid w:val="009E5883"/>
    <w:rsid w:val="009E718E"/>
    <w:rsid w:val="009F083B"/>
    <w:rsid w:val="009F1852"/>
    <w:rsid w:val="009F201D"/>
    <w:rsid w:val="009F48DC"/>
    <w:rsid w:val="009F6808"/>
    <w:rsid w:val="009F74BC"/>
    <w:rsid w:val="009F7721"/>
    <w:rsid w:val="00A011FB"/>
    <w:rsid w:val="00A014E0"/>
    <w:rsid w:val="00A017D6"/>
    <w:rsid w:val="00A02E84"/>
    <w:rsid w:val="00A03950"/>
    <w:rsid w:val="00A04D8A"/>
    <w:rsid w:val="00A05694"/>
    <w:rsid w:val="00A145BA"/>
    <w:rsid w:val="00A148F2"/>
    <w:rsid w:val="00A14B60"/>
    <w:rsid w:val="00A1535C"/>
    <w:rsid w:val="00A156D8"/>
    <w:rsid w:val="00A214DA"/>
    <w:rsid w:val="00A2211C"/>
    <w:rsid w:val="00A22E94"/>
    <w:rsid w:val="00A242EF"/>
    <w:rsid w:val="00A249F1"/>
    <w:rsid w:val="00A24ACE"/>
    <w:rsid w:val="00A25C2A"/>
    <w:rsid w:val="00A305C4"/>
    <w:rsid w:val="00A345D3"/>
    <w:rsid w:val="00A40AEC"/>
    <w:rsid w:val="00A41622"/>
    <w:rsid w:val="00A42F8A"/>
    <w:rsid w:val="00A45DA8"/>
    <w:rsid w:val="00A47390"/>
    <w:rsid w:val="00A50556"/>
    <w:rsid w:val="00A50F7F"/>
    <w:rsid w:val="00A5152C"/>
    <w:rsid w:val="00A51BAB"/>
    <w:rsid w:val="00A52F65"/>
    <w:rsid w:val="00A6025C"/>
    <w:rsid w:val="00A60409"/>
    <w:rsid w:val="00A60B73"/>
    <w:rsid w:val="00A643BC"/>
    <w:rsid w:val="00A645E7"/>
    <w:rsid w:val="00A64CBD"/>
    <w:rsid w:val="00A6575C"/>
    <w:rsid w:val="00A67DB8"/>
    <w:rsid w:val="00A70A74"/>
    <w:rsid w:val="00A73172"/>
    <w:rsid w:val="00A7502E"/>
    <w:rsid w:val="00A75181"/>
    <w:rsid w:val="00A75B31"/>
    <w:rsid w:val="00A91522"/>
    <w:rsid w:val="00A92EEF"/>
    <w:rsid w:val="00A939E8"/>
    <w:rsid w:val="00A95CBD"/>
    <w:rsid w:val="00A97708"/>
    <w:rsid w:val="00AA0328"/>
    <w:rsid w:val="00AA07D3"/>
    <w:rsid w:val="00AA1C0A"/>
    <w:rsid w:val="00AA2F32"/>
    <w:rsid w:val="00AB1C61"/>
    <w:rsid w:val="00AB299A"/>
    <w:rsid w:val="00AB4AC4"/>
    <w:rsid w:val="00AB548F"/>
    <w:rsid w:val="00AB6234"/>
    <w:rsid w:val="00AB6DD3"/>
    <w:rsid w:val="00AB6E9C"/>
    <w:rsid w:val="00AB7D9D"/>
    <w:rsid w:val="00AC1963"/>
    <w:rsid w:val="00AC3A89"/>
    <w:rsid w:val="00AC4708"/>
    <w:rsid w:val="00AC5741"/>
    <w:rsid w:val="00AC776E"/>
    <w:rsid w:val="00AD02DC"/>
    <w:rsid w:val="00AD274B"/>
    <w:rsid w:val="00AD29B1"/>
    <w:rsid w:val="00AD5B05"/>
    <w:rsid w:val="00AD7181"/>
    <w:rsid w:val="00AD72C5"/>
    <w:rsid w:val="00AE00B8"/>
    <w:rsid w:val="00AE0E9B"/>
    <w:rsid w:val="00AE1224"/>
    <w:rsid w:val="00AE1CD2"/>
    <w:rsid w:val="00AE30BC"/>
    <w:rsid w:val="00AE38D8"/>
    <w:rsid w:val="00AE46AD"/>
    <w:rsid w:val="00AE56B1"/>
    <w:rsid w:val="00AE71CC"/>
    <w:rsid w:val="00AE7B05"/>
    <w:rsid w:val="00AF01E5"/>
    <w:rsid w:val="00AF1525"/>
    <w:rsid w:val="00AF2F65"/>
    <w:rsid w:val="00AF3E59"/>
    <w:rsid w:val="00AF3ECB"/>
    <w:rsid w:val="00AF705B"/>
    <w:rsid w:val="00AF78E3"/>
    <w:rsid w:val="00B01D47"/>
    <w:rsid w:val="00B0256C"/>
    <w:rsid w:val="00B05A03"/>
    <w:rsid w:val="00B10693"/>
    <w:rsid w:val="00B10836"/>
    <w:rsid w:val="00B10A28"/>
    <w:rsid w:val="00B10A39"/>
    <w:rsid w:val="00B127FC"/>
    <w:rsid w:val="00B129C6"/>
    <w:rsid w:val="00B1379A"/>
    <w:rsid w:val="00B141A4"/>
    <w:rsid w:val="00B14ACD"/>
    <w:rsid w:val="00B2018E"/>
    <w:rsid w:val="00B2121A"/>
    <w:rsid w:val="00B21834"/>
    <w:rsid w:val="00B21DA4"/>
    <w:rsid w:val="00B224DD"/>
    <w:rsid w:val="00B232B0"/>
    <w:rsid w:val="00B23D53"/>
    <w:rsid w:val="00B26991"/>
    <w:rsid w:val="00B2740C"/>
    <w:rsid w:val="00B27C8F"/>
    <w:rsid w:val="00B30BDF"/>
    <w:rsid w:val="00B319C1"/>
    <w:rsid w:val="00B3396D"/>
    <w:rsid w:val="00B36083"/>
    <w:rsid w:val="00B4011F"/>
    <w:rsid w:val="00B407D6"/>
    <w:rsid w:val="00B41FD2"/>
    <w:rsid w:val="00B429AF"/>
    <w:rsid w:val="00B439FD"/>
    <w:rsid w:val="00B44DF2"/>
    <w:rsid w:val="00B4518D"/>
    <w:rsid w:val="00B461E5"/>
    <w:rsid w:val="00B46D01"/>
    <w:rsid w:val="00B46D82"/>
    <w:rsid w:val="00B470E1"/>
    <w:rsid w:val="00B47E37"/>
    <w:rsid w:val="00B519F8"/>
    <w:rsid w:val="00B544D9"/>
    <w:rsid w:val="00B5484F"/>
    <w:rsid w:val="00B54B07"/>
    <w:rsid w:val="00B55355"/>
    <w:rsid w:val="00B56601"/>
    <w:rsid w:val="00B56722"/>
    <w:rsid w:val="00B611A3"/>
    <w:rsid w:val="00B613BF"/>
    <w:rsid w:val="00B63736"/>
    <w:rsid w:val="00B63FA8"/>
    <w:rsid w:val="00B65336"/>
    <w:rsid w:val="00B6738A"/>
    <w:rsid w:val="00B71C84"/>
    <w:rsid w:val="00B7357B"/>
    <w:rsid w:val="00B73635"/>
    <w:rsid w:val="00B73B95"/>
    <w:rsid w:val="00B74C88"/>
    <w:rsid w:val="00B74F0A"/>
    <w:rsid w:val="00B75356"/>
    <w:rsid w:val="00B75437"/>
    <w:rsid w:val="00B75B61"/>
    <w:rsid w:val="00B7709F"/>
    <w:rsid w:val="00B77AB0"/>
    <w:rsid w:val="00B80255"/>
    <w:rsid w:val="00B814D5"/>
    <w:rsid w:val="00B85A26"/>
    <w:rsid w:val="00B871E6"/>
    <w:rsid w:val="00B87212"/>
    <w:rsid w:val="00B87A48"/>
    <w:rsid w:val="00B91931"/>
    <w:rsid w:val="00B92683"/>
    <w:rsid w:val="00B92C19"/>
    <w:rsid w:val="00B938D1"/>
    <w:rsid w:val="00B94D2D"/>
    <w:rsid w:val="00B95EA8"/>
    <w:rsid w:val="00B96357"/>
    <w:rsid w:val="00B96541"/>
    <w:rsid w:val="00BA0D09"/>
    <w:rsid w:val="00BA130A"/>
    <w:rsid w:val="00BA1C8C"/>
    <w:rsid w:val="00BA50B9"/>
    <w:rsid w:val="00BA5E32"/>
    <w:rsid w:val="00BA7408"/>
    <w:rsid w:val="00BA7811"/>
    <w:rsid w:val="00BA7D4A"/>
    <w:rsid w:val="00BB0544"/>
    <w:rsid w:val="00BB0D55"/>
    <w:rsid w:val="00BB4A6F"/>
    <w:rsid w:val="00BB6A89"/>
    <w:rsid w:val="00BC08AF"/>
    <w:rsid w:val="00BC14E9"/>
    <w:rsid w:val="00BC311F"/>
    <w:rsid w:val="00BC570B"/>
    <w:rsid w:val="00BC5BEF"/>
    <w:rsid w:val="00BC5EB7"/>
    <w:rsid w:val="00BD335C"/>
    <w:rsid w:val="00BD3F23"/>
    <w:rsid w:val="00BD5348"/>
    <w:rsid w:val="00BE145E"/>
    <w:rsid w:val="00BE28FD"/>
    <w:rsid w:val="00BE4A49"/>
    <w:rsid w:val="00BE6518"/>
    <w:rsid w:val="00BE710F"/>
    <w:rsid w:val="00BF2599"/>
    <w:rsid w:val="00BF384B"/>
    <w:rsid w:val="00BF4DC5"/>
    <w:rsid w:val="00BF513C"/>
    <w:rsid w:val="00C00218"/>
    <w:rsid w:val="00C00C49"/>
    <w:rsid w:val="00C00EFB"/>
    <w:rsid w:val="00C0179F"/>
    <w:rsid w:val="00C02180"/>
    <w:rsid w:val="00C02A49"/>
    <w:rsid w:val="00C030C5"/>
    <w:rsid w:val="00C067A0"/>
    <w:rsid w:val="00C067AC"/>
    <w:rsid w:val="00C0766A"/>
    <w:rsid w:val="00C07B5F"/>
    <w:rsid w:val="00C10290"/>
    <w:rsid w:val="00C114AD"/>
    <w:rsid w:val="00C11EBE"/>
    <w:rsid w:val="00C12B96"/>
    <w:rsid w:val="00C12B9D"/>
    <w:rsid w:val="00C1393F"/>
    <w:rsid w:val="00C14C9E"/>
    <w:rsid w:val="00C14EDB"/>
    <w:rsid w:val="00C14F29"/>
    <w:rsid w:val="00C151C2"/>
    <w:rsid w:val="00C167EE"/>
    <w:rsid w:val="00C1798A"/>
    <w:rsid w:val="00C2115D"/>
    <w:rsid w:val="00C22FD6"/>
    <w:rsid w:val="00C23714"/>
    <w:rsid w:val="00C244A9"/>
    <w:rsid w:val="00C24A76"/>
    <w:rsid w:val="00C24B26"/>
    <w:rsid w:val="00C25F0A"/>
    <w:rsid w:val="00C2604E"/>
    <w:rsid w:val="00C26CA7"/>
    <w:rsid w:val="00C26EF1"/>
    <w:rsid w:val="00C33454"/>
    <w:rsid w:val="00C35800"/>
    <w:rsid w:val="00C359B4"/>
    <w:rsid w:val="00C42A6A"/>
    <w:rsid w:val="00C439A5"/>
    <w:rsid w:val="00C44E1B"/>
    <w:rsid w:val="00C4550D"/>
    <w:rsid w:val="00C45F7A"/>
    <w:rsid w:val="00C460D7"/>
    <w:rsid w:val="00C4677D"/>
    <w:rsid w:val="00C47F49"/>
    <w:rsid w:val="00C5018F"/>
    <w:rsid w:val="00C50284"/>
    <w:rsid w:val="00C51FF7"/>
    <w:rsid w:val="00C5222B"/>
    <w:rsid w:val="00C52B3F"/>
    <w:rsid w:val="00C56A09"/>
    <w:rsid w:val="00C56A7C"/>
    <w:rsid w:val="00C613A5"/>
    <w:rsid w:val="00C630AA"/>
    <w:rsid w:val="00C662C6"/>
    <w:rsid w:val="00C66806"/>
    <w:rsid w:val="00C66842"/>
    <w:rsid w:val="00C728C4"/>
    <w:rsid w:val="00C7364E"/>
    <w:rsid w:val="00C80188"/>
    <w:rsid w:val="00C805E9"/>
    <w:rsid w:val="00C82107"/>
    <w:rsid w:val="00C8230A"/>
    <w:rsid w:val="00C830CE"/>
    <w:rsid w:val="00C850D3"/>
    <w:rsid w:val="00C85988"/>
    <w:rsid w:val="00C86C79"/>
    <w:rsid w:val="00C875B1"/>
    <w:rsid w:val="00C87C64"/>
    <w:rsid w:val="00C90CD3"/>
    <w:rsid w:val="00C9215C"/>
    <w:rsid w:val="00C92221"/>
    <w:rsid w:val="00C92742"/>
    <w:rsid w:val="00C92E82"/>
    <w:rsid w:val="00C93C9C"/>
    <w:rsid w:val="00C95C76"/>
    <w:rsid w:val="00C96A0E"/>
    <w:rsid w:val="00CA0CF0"/>
    <w:rsid w:val="00CA139C"/>
    <w:rsid w:val="00CA2620"/>
    <w:rsid w:val="00CA532C"/>
    <w:rsid w:val="00CA566E"/>
    <w:rsid w:val="00CA67ED"/>
    <w:rsid w:val="00CB0A0F"/>
    <w:rsid w:val="00CB1E77"/>
    <w:rsid w:val="00CB4FD1"/>
    <w:rsid w:val="00CB70CC"/>
    <w:rsid w:val="00CB7484"/>
    <w:rsid w:val="00CB774C"/>
    <w:rsid w:val="00CB7A95"/>
    <w:rsid w:val="00CC1563"/>
    <w:rsid w:val="00CC15B1"/>
    <w:rsid w:val="00CC1C26"/>
    <w:rsid w:val="00CC287E"/>
    <w:rsid w:val="00CC46F8"/>
    <w:rsid w:val="00CC5FAA"/>
    <w:rsid w:val="00CD1168"/>
    <w:rsid w:val="00CD19F9"/>
    <w:rsid w:val="00CD29C1"/>
    <w:rsid w:val="00CD3463"/>
    <w:rsid w:val="00CD5111"/>
    <w:rsid w:val="00CD582A"/>
    <w:rsid w:val="00CD6B01"/>
    <w:rsid w:val="00CD7262"/>
    <w:rsid w:val="00CD7A17"/>
    <w:rsid w:val="00CD7CC8"/>
    <w:rsid w:val="00CE0587"/>
    <w:rsid w:val="00CE0BA0"/>
    <w:rsid w:val="00CE0C70"/>
    <w:rsid w:val="00CE0D5C"/>
    <w:rsid w:val="00CE29D6"/>
    <w:rsid w:val="00CE6B5F"/>
    <w:rsid w:val="00CE77ED"/>
    <w:rsid w:val="00CE7FC4"/>
    <w:rsid w:val="00CF03AE"/>
    <w:rsid w:val="00CF1648"/>
    <w:rsid w:val="00CF16ED"/>
    <w:rsid w:val="00CF3405"/>
    <w:rsid w:val="00CF37E9"/>
    <w:rsid w:val="00CF3BCE"/>
    <w:rsid w:val="00CF3E00"/>
    <w:rsid w:val="00D0007E"/>
    <w:rsid w:val="00D00728"/>
    <w:rsid w:val="00D00C64"/>
    <w:rsid w:val="00D011EE"/>
    <w:rsid w:val="00D018B5"/>
    <w:rsid w:val="00D02160"/>
    <w:rsid w:val="00D02DC8"/>
    <w:rsid w:val="00D06AEF"/>
    <w:rsid w:val="00D1280E"/>
    <w:rsid w:val="00D13937"/>
    <w:rsid w:val="00D13ADC"/>
    <w:rsid w:val="00D14C62"/>
    <w:rsid w:val="00D15A93"/>
    <w:rsid w:val="00D16490"/>
    <w:rsid w:val="00D17778"/>
    <w:rsid w:val="00D20E70"/>
    <w:rsid w:val="00D21E26"/>
    <w:rsid w:val="00D22028"/>
    <w:rsid w:val="00D23713"/>
    <w:rsid w:val="00D23E9A"/>
    <w:rsid w:val="00D24AC5"/>
    <w:rsid w:val="00D25D54"/>
    <w:rsid w:val="00D2651A"/>
    <w:rsid w:val="00D2686A"/>
    <w:rsid w:val="00D26B61"/>
    <w:rsid w:val="00D30243"/>
    <w:rsid w:val="00D31552"/>
    <w:rsid w:val="00D319C2"/>
    <w:rsid w:val="00D31A6F"/>
    <w:rsid w:val="00D32A53"/>
    <w:rsid w:val="00D32BEC"/>
    <w:rsid w:val="00D34A8C"/>
    <w:rsid w:val="00D35C29"/>
    <w:rsid w:val="00D3670B"/>
    <w:rsid w:val="00D40863"/>
    <w:rsid w:val="00D42F67"/>
    <w:rsid w:val="00D45C16"/>
    <w:rsid w:val="00D462F2"/>
    <w:rsid w:val="00D46BF2"/>
    <w:rsid w:val="00D470D5"/>
    <w:rsid w:val="00D52DE9"/>
    <w:rsid w:val="00D5427E"/>
    <w:rsid w:val="00D63F9C"/>
    <w:rsid w:val="00D65814"/>
    <w:rsid w:val="00D65B3B"/>
    <w:rsid w:val="00D670EC"/>
    <w:rsid w:val="00D706AB"/>
    <w:rsid w:val="00D707B1"/>
    <w:rsid w:val="00D719D5"/>
    <w:rsid w:val="00D72ADC"/>
    <w:rsid w:val="00D72D65"/>
    <w:rsid w:val="00D7306F"/>
    <w:rsid w:val="00D76FDD"/>
    <w:rsid w:val="00D802D4"/>
    <w:rsid w:val="00D81071"/>
    <w:rsid w:val="00D85C9F"/>
    <w:rsid w:val="00D860B7"/>
    <w:rsid w:val="00D87522"/>
    <w:rsid w:val="00D875B2"/>
    <w:rsid w:val="00D90382"/>
    <w:rsid w:val="00D91C92"/>
    <w:rsid w:val="00D937E9"/>
    <w:rsid w:val="00D9460F"/>
    <w:rsid w:val="00D9563C"/>
    <w:rsid w:val="00D96DAD"/>
    <w:rsid w:val="00DA1AF1"/>
    <w:rsid w:val="00DA4D74"/>
    <w:rsid w:val="00DA6AD2"/>
    <w:rsid w:val="00DB0925"/>
    <w:rsid w:val="00DB0E2F"/>
    <w:rsid w:val="00DB1705"/>
    <w:rsid w:val="00DB18E6"/>
    <w:rsid w:val="00DB1B5A"/>
    <w:rsid w:val="00DB25EF"/>
    <w:rsid w:val="00DB397F"/>
    <w:rsid w:val="00DB79BF"/>
    <w:rsid w:val="00DC1291"/>
    <w:rsid w:val="00DC1D71"/>
    <w:rsid w:val="00DC30D2"/>
    <w:rsid w:val="00DC3140"/>
    <w:rsid w:val="00DC36AF"/>
    <w:rsid w:val="00DC51BA"/>
    <w:rsid w:val="00DD0220"/>
    <w:rsid w:val="00DD12EF"/>
    <w:rsid w:val="00DD20EB"/>
    <w:rsid w:val="00DD3695"/>
    <w:rsid w:val="00DD3D77"/>
    <w:rsid w:val="00DD6043"/>
    <w:rsid w:val="00DD6272"/>
    <w:rsid w:val="00DD6E6D"/>
    <w:rsid w:val="00DD702D"/>
    <w:rsid w:val="00DE0275"/>
    <w:rsid w:val="00DE04ED"/>
    <w:rsid w:val="00DE2413"/>
    <w:rsid w:val="00DE2C77"/>
    <w:rsid w:val="00DE366D"/>
    <w:rsid w:val="00DE39A8"/>
    <w:rsid w:val="00DE4E49"/>
    <w:rsid w:val="00DE5059"/>
    <w:rsid w:val="00DE5F19"/>
    <w:rsid w:val="00DE6EC4"/>
    <w:rsid w:val="00DE7A4B"/>
    <w:rsid w:val="00DF0FB3"/>
    <w:rsid w:val="00DF3213"/>
    <w:rsid w:val="00DF3435"/>
    <w:rsid w:val="00DF372D"/>
    <w:rsid w:val="00DF3F75"/>
    <w:rsid w:val="00DF6CE4"/>
    <w:rsid w:val="00DF7A64"/>
    <w:rsid w:val="00E00F59"/>
    <w:rsid w:val="00E017A3"/>
    <w:rsid w:val="00E036CD"/>
    <w:rsid w:val="00E05AD6"/>
    <w:rsid w:val="00E0635E"/>
    <w:rsid w:val="00E06B6A"/>
    <w:rsid w:val="00E10B15"/>
    <w:rsid w:val="00E11CB0"/>
    <w:rsid w:val="00E12EA3"/>
    <w:rsid w:val="00E131CA"/>
    <w:rsid w:val="00E155E2"/>
    <w:rsid w:val="00E1583B"/>
    <w:rsid w:val="00E16FB7"/>
    <w:rsid w:val="00E1747E"/>
    <w:rsid w:val="00E20F94"/>
    <w:rsid w:val="00E21B90"/>
    <w:rsid w:val="00E22A34"/>
    <w:rsid w:val="00E24871"/>
    <w:rsid w:val="00E249B4"/>
    <w:rsid w:val="00E279F3"/>
    <w:rsid w:val="00E27DE1"/>
    <w:rsid w:val="00E323D8"/>
    <w:rsid w:val="00E34425"/>
    <w:rsid w:val="00E34D61"/>
    <w:rsid w:val="00E36B6B"/>
    <w:rsid w:val="00E37A5C"/>
    <w:rsid w:val="00E40492"/>
    <w:rsid w:val="00E407D2"/>
    <w:rsid w:val="00E43A87"/>
    <w:rsid w:val="00E43EF5"/>
    <w:rsid w:val="00E457D2"/>
    <w:rsid w:val="00E464A2"/>
    <w:rsid w:val="00E47830"/>
    <w:rsid w:val="00E47FE4"/>
    <w:rsid w:val="00E52862"/>
    <w:rsid w:val="00E543AC"/>
    <w:rsid w:val="00E543C3"/>
    <w:rsid w:val="00E62C17"/>
    <w:rsid w:val="00E63D0E"/>
    <w:rsid w:val="00E70D8E"/>
    <w:rsid w:val="00E721DA"/>
    <w:rsid w:val="00E73F32"/>
    <w:rsid w:val="00E74B1D"/>
    <w:rsid w:val="00E75201"/>
    <w:rsid w:val="00E77E37"/>
    <w:rsid w:val="00E8136A"/>
    <w:rsid w:val="00E82F29"/>
    <w:rsid w:val="00E83B44"/>
    <w:rsid w:val="00E85B15"/>
    <w:rsid w:val="00E85CFE"/>
    <w:rsid w:val="00E868EB"/>
    <w:rsid w:val="00E91296"/>
    <w:rsid w:val="00E921AB"/>
    <w:rsid w:val="00E924A7"/>
    <w:rsid w:val="00E92589"/>
    <w:rsid w:val="00E92F81"/>
    <w:rsid w:val="00E95021"/>
    <w:rsid w:val="00E96443"/>
    <w:rsid w:val="00E96DE2"/>
    <w:rsid w:val="00E970F9"/>
    <w:rsid w:val="00EA34B8"/>
    <w:rsid w:val="00EA3EA3"/>
    <w:rsid w:val="00EA6D2D"/>
    <w:rsid w:val="00EB02FC"/>
    <w:rsid w:val="00EB3F74"/>
    <w:rsid w:val="00EB4BDB"/>
    <w:rsid w:val="00EB7B89"/>
    <w:rsid w:val="00EC1908"/>
    <w:rsid w:val="00EC29C7"/>
    <w:rsid w:val="00EC3F07"/>
    <w:rsid w:val="00EC46AA"/>
    <w:rsid w:val="00EC4998"/>
    <w:rsid w:val="00EC6AEA"/>
    <w:rsid w:val="00EC6B58"/>
    <w:rsid w:val="00ED286A"/>
    <w:rsid w:val="00ED4423"/>
    <w:rsid w:val="00ED5BB4"/>
    <w:rsid w:val="00ED5F7A"/>
    <w:rsid w:val="00EE0B41"/>
    <w:rsid w:val="00EE1327"/>
    <w:rsid w:val="00EE1885"/>
    <w:rsid w:val="00EE2AD7"/>
    <w:rsid w:val="00EE31F0"/>
    <w:rsid w:val="00EE3E85"/>
    <w:rsid w:val="00EE5E88"/>
    <w:rsid w:val="00EE6566"/>
    <w:rsid w:val="00EF00FA"/>
    <w:rsid w:val="00EF158B"/>
    <w:rsid w:val="00EF16AC"/>
    <w:rsid w:val="00EF2976"/>
    <w:rsid w:val="00EF3B81"/>
    <w:rsid w:val="00EF3D88"/>
    <w:rsid w:val="00EF4011"/>
    <w:rsid w:val="00EF4114"/>
    <w:rsid w:val="00EF5241"/>
    <w:rsid w:val="00EF7583"/>
    <w:rsid w:val="00EF77C1"/>
    <w:rsid w:val="00F02157"/>
    <w:rsid w:val="00F0405B"/>
    <w:rsid w:val="00F05644"/>
    <w:rsid w:val="00F0755E"/>
    <w:rsid w:val="00F07D9C"/>
    <w:rsid w:val="00F10084"/>
    <w:rsid w:val="00F1046D"/>
    <w:rsid w:val="00F12961"/>
    <w:rsid w:val="00F12A07"/>
    <w:rsid w:val="00F1367C"/>
    <w:rsid w:val="00F14016"/>
    <w:rsid w:val="00F16C28"/>
    <w:rsid w:val="00F22764"/>
    <w:rsid w:val="00F23ADC"/>
    <w:rsid w:val="00F25802"/>
    <w:rsid w:val="00F25CD6"/>
    <w:rsid w:val="00F31888"/>
    <w:rsid w:val="00F3197B"/>
    <w:rsid w:val="00F32C4E"/>
    <w:rsid w:val="00F401CB"/>
    <w:rsid w:val="00F413DA"/>
    <w:rsid w:val="00F41AF3"/>
    <w:rsid w:val="00F42396"/>
    <w:rsid w:val="00F448CE"/>
    <w:rsid w:val="00F45A2B"/>
    <w:rsid w:val="00F46E18"/>
    <w:rsid w:val="00F477CA"/>
    <w:rsid w:val="00F47BF3"/>
    <w:rsid w:val="00F47D62"/>
    <w:rsid w:val="00F509C0"/>
    <w:rsid w:val="00F51274"/>
    <w:rsid w:val="00F5188F"/>
    <w:rsid w:val="00F51C9B"/>
    <w:rsid w:val="00F5478D"/>
    <w:rsid w:val="00F559F4"/>
    <w:rsid w:val="00F56444"/>
    <w:rsid w:val="00F56B57"/>
    <w:rsid w:val="00F6036C"/>
    <w:rsid w:val="00F6182A"/>
    <w:rsid w:val="00F6187E"/>
    <w:rsid w:val="00F62042"/>
    <w:rsid w:val="00F64210"/>
    <w:rsid w:val="00F64936"/>
    <w:rsid w:val="00F64C9D"/>
    <w:rsid w:val="00F650A4"/>
    <w:rsid w:val="00F663C7"/>
    <w:rsid w:val="00F66699"/>
    <w:rsid w:val="00F70E3A"/>
    <w:rsid w:val="00F73019"/>
    <w:rsid w:val="00F73165"/>
    <w:rsid w:val="00F73984"/>
    <w:rsid w:val="00F73D93"/>
    <w:rsid w:val="00F77A6F"/>
    <w:rsid w:val="00F77AA1"/>
    <w:rsid w:val="00F806BF"/>
    <w:rsid w:val="00F829C8"/>
    <w:rsid w:val="00F82D17"/>
    <w:rsid w:val="00F838F3"/>
    <w:rsid w:val="00F8575C"/>
    <w:rsid w:val="00F8719A"/>
    <w:rsid w:val="00F90BD8"/>
    <w:rsid w:val="00F90E38"/>
    <w:rsid w:val="00F91450"/>
    <w:rsid w:val="00F91506"/>
    <w:rsid w:val="00F93FE1"/>
    <w:rsid w:val="00F94D90"/>
    <w:rsid w:val="00F94E84"/>
    <w:rsid w:val="00F95427"/>
    <w:rsid w:val="00F95535"/>
    <w:rsid w:val="00F95987"/>
    <w:rsid w:val="00FA004B"/>
    <w:rsid w:val="00FA0521"/>
    <w:rsid w:val="00FA3C8E"/>
    <w:rsid w:val="00FA3E2A"/>
    <w:rsid w:val="00FA466F"/>
    <w:rsid w:val="00FA5AAA"/>
    <w:rsid w:val="00FA6335"/>
    <w:rsid w:val="00FB066E"/>
    <w:rsid w:val="00FB2FC6"/>
    <w:rsid w:val="00FB3A02"/>
    <w:rsid w:val="00FB3D4C"/>
    <w:rsid w:val="00FB4D62"/>
    <w:rsid w:val="00FB71C0"/>
    <w:rsid w:val="00FC03CF"/>
    <w:rsid w:val="00FC102A"/>
    <w:rsid w:val="00FC1522"/>
    <w:rsid w:val="00FC180E"/>
    <w:rsid w:val="00FC1BD7"/>
    <w:rsid w:val="00FC5616"/>
    <w:rsid w:val="00FC5D9F"/>
    <w:rsid w:val="00FC7BFB"/>
    <w:rsid w:val="00FD0589"/>
    <w:rsid w:val="00FD074F"/>
    <w:rsid w:val="00FD16DD"/>
    <w:rsid w:val="00FD1A86"/>
    <w:rsid w:val="00FD65CC"/>
    <w:rsid w:val="00FD7347"/>
    <w:rsid w:val="00FE4995"/>
    <w:rsid w:val="00FE6128"/>
    <w:rsid w:val="00FE66EE"/>
    <w:rsid w:val="00FE731C"/>
    <w:rsid w:val="00FE77D6"/>
    <w:rsid w:val="00FF01D0"/>
    <w:rsid w:val="00FF4576"/>
    <w:rsid w:val="00FF462E"/>
    <w:rsid w:val="00FF5C04"/>
    <w:rsid w:val="00FF5E48"/>
    <w:rsid w:val="00FF66C0"/>
    <w:rsid w:val="00FF716B"/>
    <w:rsid w:val="0907C32F"/>
    <w:rsid w:val="0AF0E5B2"/>
    <w:rsid w:val="0F68DA2F"/>
    <w:rsid w:val="10043365"/>
    <w:rsid w:val="151634C7"/>
    <w:rsid w:val="176E02C1"/>
    <w:rsid w:val="17B6405D"/>
    <w:rsid w:val="1DE55EE0"/>
    <w:rsid w:val="28430E77"/>
    <w:rsid w:val="2A8ED9CC"/>
    <w:rsid w:val="2B9191E8"/>
    <w:rsid w:val="2EFCC1B4"/>
    <w:rsid w:val="3429C914"/>
    <w:rsid w:val="3499AC58"/>
    <w:rsid w:val="391F50AF"/>
    <w:rsid w:val="39FCF028"/>
    <w:rsid w:val="43E7B862"/>
    <w:rsid w:val="4742A3B3"/>
    <w:rsid w:val="48D985CB"/>
    <w:rsid w:val="49057D49"/>
    <w:rsid w:val="4CC6A647"/>
    <w:rsid w:val="4E4EE4F2"/>
    <w:rsid w:val="518B123A"/>
    <w:rsid w:val="530F97A4"/>
    <w:rsid w:val="59371AC2"/>
    <w:rsid w:val="5AA08B01"/>
    <w:rsid w:val="62DCE5E9"/>
    <w:rsid w:val="679A4CC3"/>
    <w:rsid w:val="68F7624D"/>
    <w:rsid w:val="6B4D8162"/>
    <w:rsid w:val="6D906113"/>
    <w:rsid w:val="722511B6"/>
    <w:rsid w:val="7441BA6C"/>
    <w:rsid w:val="74758EF7"/>
    <w:rsid w:val="7AEFFED5"/>
    <w:rsid w:val="7C4FC9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817C7"/>
  <w15:chartTrackingRefBased/>
  <w15:docId w15:val="{82DB35E1-467C-499B-9420-2CD3E9FF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B27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2B270A"/>
    <w:pPr>
      <w:spacing w:after="160" w:line="240" w:lineRule="exact"/>
    </w:pPr>
    <w:rPr>
      <w:rFonts w:ascii="Tahoma" w:hAnsi="Tahoma"/>
      <w:sz w:val="20"/>
      <w:szCs w:val="20"/>
      <w:lang w:val="en-US" w:eastAsia="en-US"/>
    </w:rPr>
  </w:style>
  <w:style w:type="paragraph" w:customStyle="1" w:styleId="ACMABodyText">
    <w:name w:val="ACMA Body Text"/>
    <w:link w:val="ACMABodyTextChar"/>
    <w:rsid w:val="002B270A"/>
    <w:pPr>
      <w:suppressAutoHyphens/>
      <w:spacing w:before="80" w:after="120" w:line="280" w:lineRule="atLeast"/>
    </w:pPr>
    <w:rPr>
      <w:snapToGrid w:val="0"/>
      <w:sz w:val="24"/>
      <w:lang w:eastAsia="en-US"/>
    </w:rPr>
  </w:style>
  <w:style w:type="character" w:customStyle="1" w:styleId="ACMABodyTextChar">
    <w:name w:val="ACMA Body Text Char"/>
    <w:link w:val="ACMABodyText"/>
    <w:rsid w:val="002B270A"/>
    <w:rPr>
      <w:snapToGrid w:val="0"/>
      <w:sz w:val="24"/>
      <w:lang w:val="en-AU" w:eastAsia="en-US" w:bidi="ar-SA"/>
    </w:rPr>
  </w:style>
  <w:style w:type="paragraph" w:customStyle="1" w:styleId="ACMANumberedList">
    <w:name w:val="ACMA Numbered List"/>
    <w:rsid w:val="002B270A"/>
    <w:pPr>
      <w:numPr>
        <w:numId w:val="1"/>
      </w:numPr>
      <w:spacing w:before="20" w:after="20"/>
    </w:pPr>
    <w:rPr>
      <w:sz w:val="24"/>
      <w:lang w:eastAsia="en-US"/>
    </w:rPr>
  </w:style>
  <w:style w:type="paragraph" w:customStyle="1" w:styleId="ACMABulletLevel1">
    <w:name w:val="ACMA Bullet Level 1"/>
    <w:rsid w:val="003522F7"/>
    <w:pPr>
      <w:numPr>
        <w:numId w:val="3"/>
      </w:numPr>
      <w:spacing w:after="120"/>
    </w:pPr>
    <w:rPr>
      <w:sz w:val="24"/>
      <w:lang w:eastAsia="en-US"/>
    </w:rPr>
  </w:style>
  <w:style w:type="paragraph" w:styleId="BalloonText">
    <w:name w:val="Balloon Text"/>
    <w:basedOn w:val="Normal"/>
    <w:semiHidden/>
    <w:rsid w:val="00C613A5"/>
    <w:rPr>
      <w:rFonts w:ascii="Tahoma" w:hAnsi="Tahoma" w:cs="Tahoma"/>
      <w:sz w:val="16"/>
      <w:szCs w:val="16"/>
    </w:rPr>
  </w:style>
  <w:style w:type="paragraph" w:styleId="Footer">
    <w:name w:val="footer"/>
    <w:basedOn w:val="Normal"/>
    <w:rsid w:val="005E3CFD"/>
    <w:pPr>
      <w:tabs>
        <w:tab w:val="center" w:pos="4153"/>
        <w:tab w:val="right" w:pos="8306"/>
      </w:tabs>
    </w:pPr>
  </w:style>
  <w:style w:type="character" w:styleId="PageNumber">
    <w:name w:val="page number"/>
    <w:basedOn w:val="DefaultParagraphFont"/>
    <w:rsid w:val="005E3CFD"/>
  </w:style>
  <w:style w:type="paragraph" w:styleId="Header">
    <w:name w:val="header"/>
    <w:basedOn w:val="Normal"/>
    <w:rsid w:val="00F25CD6"/>
    <w:pPr>
      <w:tabs>
        <w:tab w:val="center" w:pos="4153"/>
        <w:tab w:val="right" w:pos="8306"/>
      </w:tabs>
    </w:pPr>
  </w:style>
  <w:style w:type="character" w:styleId="CommentReference">
    <w:name w:val="annotation reference"/>
    <w:uiPriority w:val="99"/>
    <w:semiHidden/>
    <w:rsid w:val="00483A07"/>
    <w:rPr>
      <w:sz w:val="16"/>
      <w:szCs w:val="16"/>
    </w:rPr>
  </w:style>
  <w:style w:type="paragraph" w:styleId="CommentText">
    <w:name w:val="annotation text"/>
    <w:basedOn w:val="Normal"/>
    <w:link w:val="CommentTextChar"/>
    <w:uiPriority w:val="99"/>
    <w:rsid w:val="00483A07"/>
    <w:rPr>
      <w:sz w:val="20"/>
      <w:szCs w:val="20"/>
    </w:rPr>
  </w:style>
  <w:style w:type="paragraph" w:styleId="CommentSubject">
    <w:name w:val="annotation subject"/>
    <w:basedOn w:val="CommentText"/>
    <w:next w:val="CommentText"/>
    <w:semiHidden/>
    <w:rsid w:val="00483A07"/>
    <w:rPr>
      <w:b/>
      <w:bCs/>
    </w:rPr>
  </w:style>
  <w:style w:type="paragraph" w:styleId="ListParagraph">
    <w:name w:val="List Paragraph"/>
    <w:basedOn w:val="Normal"/>
    <w:uiPriority w:val="34"/>
    <w:qFormat/>
    <w:rsid w:val="00F5478D"/>
    <w:pPr>
      <w:ind w:left="720"/>
      <w:contextualSpacing/>
    </w:pPr>
  </w:style>
  <w:style w:type="paragraph" w:styleId="Revision">
    <w:name w:val="Revision"/>
    <w:hidden/>
    <w:uiPriority w:val="99"/>
    <w:semiHidden/>
    <w:rsid w:val="00772419"/>
    <w:rPr>
      <w:sz w:val="24"/>
      <w:szCs w:val="24"/>
    </w:rPr>
  </w:style>
  <w:style w:type="paragraph" w:customStyle="1" w:styleId="paragraph">
    <w:name w:val="paragraph"/>
    <w:aliases w:val="a"/>
    <w:basedOn w:val="Normal"/>
    <w:link w:val="paragraphChar"/>
    <w:rsid w:val="00AC3A89"/>
    <w:pPr>
      <w:tabs>
        <w:tab w:val="right" w:pos="1531"/>
      </w:tabs>
      <w:spacing w:before="40"/>
      <w:ind w:left="1644" w:hanging="1644"/>
    </w:pPr>
    <w:rPr>
      <w:sz w:val="22"/>
      <w:szCs w:val="20"/>
    </w:rPr>
  </w:style>
  <w:style w:type="character" w:customStyle="1" w:styleId="paragraphChar">
    <w:name w:val="paragraph Char"/>
    <w:aliases w:val="a Char"/>
    <w:link w:val="paragraph"/>
    <w:rsid w:val="00AC3A89"/>
    <w:rPr>
      <w:sz w:val="22"/>
    </w:rPr>
  </w:style>
  <w:style w:type="paragraph" w:customStyle="1" w:styleId="paragraphsub">
    <w:name w:val="paragraph(sub)"/>
    <w:aliases w:val="aa"/>
    <w:basedOn w:val="Normal"/>
    <w:rsid w:val="00AC3A89"/>
    <w:pPr>
      <w:tabs>
        <w:tab w:val="right" w:pos="1985"/>
      </w:tabs>
      <w:spacing w:before="40"/>
      <w:ind w:left="2098" w:hanging="2098"/>
    </w:pPr>
    <w:rPr>
      <w:sz w:val="22"/>
      <w:szCs w:val="20"/>
    </w:rPr>
  </w:style>
  <w:style w:type="character" w:customStyle="1" w:styleId="normaltextrun">
    <w:name w:val="normaltextrun"/>
    <w:basedOn w:val="DefaultParagraphFont"/>
    <w:rsid w:val="00B85A26"/>
  </w:style>
  <w:style w:type="character" w:styleId="UnresolvedMention">
    <w:name w:val="Unresolved Mention"/>
    <w:basedOn w:val="DefaultParagraphFont"/>
    <w:uiPriority w:val="99"/>
    <w:unhideWhenUsed/>
    <w:rsid w:val="00783467"/>
    <w:rPr>
      <w:color w:val="605E5C"/>
      <w:shd w:val="clear" w:color="auto" w:fill="E1DFDD"/>
    </w:rPr>
  </w:style>
  <w:style w:type="character" w:styleId="Mention">
    <w:name w:val="Mention"/>
    <w:basedOn w:val="DefaultParagraphFont"/>
    <w:uiPriority w:val="99"/>
    <w:unhideWhenUsed/>
    <w:rsid w:val="00783467"/>
    <w:rPr>
      <w:color w:val="2B579A"/>
      <w:shd w:val="clear" w:color="auto" w:fill="E1DFDD"/>
    </w:rPr>
  </w:style>
  <w:style w:type="character" w:customStyle="1" w:styleId="CommentTextChar">
    <w:name w:val="Comment Text Char"/>
    <w:basedOn w:val="DefaultParagraphFont"/>
    <w:link w:val="CommentText"/>
    <w:uiPriority w:val="99"/>
    <w:rsid w:val="00783467"/>
  </w:style>
  <w:style w:type="paragraph" w:styleId="FootnoteText">
    <w:name w:val="footnote text"/>
    <w:basedOn w:val="Normal"/>
    <w:link w:val="FootnoteTextChar"/>
    <w:uiPriority w:val="99"/>
    <w:semiHidden/>
    <w:unhideWhenUsed/>
    <w:rsid w:val="00FB4D62"/>
    <w:rPr>
      <w:sz w:val="20"/>
      <w:szCs w:val="20"/>
    </w:rPr>
  </w:style>
  <w:style w:type="character" w:customStyle="1" w:styleId="FootnoteTextChar">
    <w:name w:val="Footnote Text Char"/>
    <w:basedOn w:val="DefaultParagraphFont"/>
    <w:link w:val="FootnoteText"/>
    <w:uiPriority w:val="99"/>
    <w:semiHidden/>
    <w:rsid w:val="00FB4D62"/>
  </w:style>
  <w:style w:type="character" w:styleId="FootnoteReference">
    <w:name w:val="footnote reference"/>
    <w:basedOn w:val="DefaultParagraphFont"/>
    <w:uiPriority w:val="99"/>
    <w:semiHidden/>
    <w:unhideWhenUsed/>
    <w:rsid w:val="00FB4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3913">
      <w:bodyDiv w:val="1"/>
      <w:marLeft w:val="0"/>
      <w:marRight w:val="0"/>
      <w:marTop w:val="0"/>
      <w:marBottom w:val="0"/>
      <w:divBdr>
        <w:top w:val="none" w:sz="0" w:space="0" w:color="auto"/>
        <w:left w:val="none" w:sz="0" w:space="0" w:color="auto"/>
        <w:bottom w:val="none" w:sz="0" w:space="0" w:color="auto"/>
        <w:right w:val="none" w:sz="0" w:space="0" w:color="auto"/>
      </w:divBdr>
    </w:div>
    <w:div w:id="228464419">
      <w:bodyDiv w:val="1"/>
      <w:marLeft w:val="0"/>
      <w:marRight w:val="0"/>
      <w:marTop w:val="0"/>
      <w:marBottom w:val="0"/>
      <w:divBdr>
        <w:top w:val="none" w:sz="0" w:space="0" w:color="auto"/>
        <w:left w:val="none" w:sz="0" w:space="0" w:color="auto"/>
        <w:bottom w:val="none" w:sz="0" w:space="0" w:color="auto"/>
        <w:right w:val="none" w:sz="0" w:space="0" w:color="auto"/>
      </w:divBdr>
    </w:div>
    <w:div w:id="337969609">
      <w:bodyDiv w:val="1"/>
      <w:marLeft w:val="0"/>
      <w:marRight w:val="0"/>
      <w:marTop w:val="0"/>
      <w:marBottom w:val="0"/>
      <w:divBdr>
        <w:top w:val="none" w:sz="0" w:space="0" w:color="auto"/>
        <w:left w:val="none" w:sz="0" w:space="0" w:color="auto"/>
        <w:bottom w:val="none" w:sz="0" w:space="0" w:color="auto"/>
        <w:right w:val="none" w:sz="0" w:space="0" w:color="auto"/>
      </w:divBdr>
    </w:div>
    <w:div w:id="385295475">
      <w:bodyDiv w:val="1"/>
      <w:marLeft w:val="0"/>
      <w:marRight w:val="0"/>
      <w:marTop w:val="0"/>
      <w:marBottom w:val="0"/>
      <w:divBdr>
        <w:top w:val="none" w:sz="0" w:space="0" w:color="auto"/>
        <w:left w:val="none" w:sz="0" w:space="0" w:color="auto"/>
        <w:bottom w:val="none" w:sz="0" w:space="0" w:color="auto"/>
        <w:right w:val="none" w:sz="0" w:space="0" w:color="auto"/>
      </w:divBdr>
    </w:div>
    <w:div w:id="422798332">
      <w:bodyDiv w:val="1"/>
      <w:marLeft w:val="0"/>
      <w:marRight w:val="0"/>
      <w:marTop w:val="0"/>
      <w:marBottom w:val="0"/>
      <w:divBdr>
        <w:top w:val="none" w:sz="0" w:space="0" w:color="auto"/>
        <w:left w:val="none" w:sz="0" w:space="0" w:color="auto"/>
        <w:bottom w:val="none" w:sz="0" w:space="0" w:color="auto"/>
        <w:right w:val="none" w:sz="0" w:space="0" w:color="auto"/>
      </w:divBdr>
    </w:div>
    <w:div w:id="503667173">
      <w:bodyDiv w:val="1"/>
      <w:marLeft w:val="0"/>
      <w:marRight w:val="0"/>
      <w:marTop w:val="0"/>
      <w:marBottom w:val="0"/>
      <w:divBdr>
        <w:top w:val="none" w:sz="0" w:space="0" w:color="auto"/>
        <w:left w:val="none" w:sz="0" w:space="0" w:color="auto"/>
        <w:bottom w:val="none" w:sz="0" w:space="0" w:color="auto"/>
        <w:right w:val="none" w:sz="0" w:space="0" w:color="auto"/>
      </w:divBdr>
    </w:div>
    <w:div w:id="794564531">
      <w:bodyDiv w:val="1"/>
      <w:marLeft w:val="0"/>
      <w:marRight w:val="0"/>
      <w:marTop w:val="0"/>
      <w:marBottom w:val="0"/>
      <w:divBdr>
        <w:top w:val="none" w:sz="0" w:space="0" w:color="auto"/>
        <w:left w:val="none" w:sz="0" w:space="0" w:color="auto"/>
        <w:bottom w:val="none" w:sz="0" w:space="0" w:color="auto"/>
        <w:right w:val="none" w:sz="0" w:space="0" w:color="auto"/>
      </w:divBdr>
    </w:div>
    <w:div w:id="1581720960">
      <w:bodyDiv w:val="1"/>
      <w:marLeft w:val="0"/>
      <w:marRight w:val="0"/>
      <w:marTop w:val="0"/>
      <w:marBottom w:val="0"/>
      <w:divBdr>
        <w:top w:val="none" w:sz="0" w:space="0" w:color="auto"/>
        <w:left w:val="none" w:sz="0" w:space="0" w:color="auto"/>
        <w:bottom w:val="none" w:sz="0" w:space="0" w:color="auto"/>
        <w:right w:val="none" w:sz="0" w:space="0" w:color="auto"/>
      </w:divBdr>
    </w:div>
    <w:div w:id="1703827555">
      <w:bodyDiv w:val="1"/>
      <w:marLeft w:val="0"/>
      <w:marRight w:val="0"/>
      <w:marTop w:val="0"/>
      <w:marBottom w:val="0"/>
      <w:divBdr>
        <w:top w:val="none" w:sz="0" w:space="0" w:color="auto"/>
        <w:left w:val="none" w:sz="0" w:space="0" w:color="auto"/>
        <w:bottom w:val="none" w:sz="0" w:space="0" w:color="auto"/>
        <w:right w:val="none" w:sz="0" w:space="0" w:color="auto"/>
      </w:divBdr>
    </w:div>
    <w:div w:id="191512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EA30C37ED3B449405DC4789F3397D" ma:contentTypeVersion="12" ma:contentTypeDescription="Create a new document." ma:contentTypeScope="" ma:versionID="4dd87ed604212405a9e9607ddfa7b993">
  <xsd:schema xmlns:xsd="http://www.w3.org/2001/XMLSchema" xmlns:xs="http://www.w3.org/2001/XMLSchema" xmlns:p="http://schemas.microsoft.com/office/2006/metadata/properties" xmlns:ns2="7df19aea-0d91-48d6-80bf-95911209ef9d" xmlns:ns3="a8274a7b-43ac-4280-a8d2-5b4905b49d50" targetNamespace="http://schemas.microsoft.com/office/2006/metadata/properties" ma:root="true" ma:fieldsID="82668ead384e333fe8d6272f0e43bbb6" ns2:_="" ns3:_="">
    <xsd:import namespace="7df19aea-0d91-48d6-80bf-95911209ef9d"/>
    <xsd:import namespace="a8274a7b-43ac-4280-a8d2-5b4905b49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9aea-0d91-48d6-80bf-95911209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74a7b-43ac-4280-a8d2-5b4905b49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F2182-326D-4156-A797-92ADC4EB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9aea-0d91-48d6-80bf-95911209ef9d"/>
    <ds:schemaRef ds:uri="a8274a7b-43ac-4280-a8d2-5b4905b4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F607C-1372-4EF8-A2C8-60E9E1886C6B}">
  <ds:schemaRefs>
    <ds:schemaRef ds:uri="http://schemas.microsoft.com/sharepoint/v3/contenttype/forms"/>
  </ds:schemaRefs>
</ds:datastoreItem>
</file>

<file path=customXml/itemProps3.xml><?xml version="1.0" encoding="utf-8"?>
<ds:datastoreItem xmlns:ds="http://schemas.openxmlformats.org/officeDocument/2006/customXml" ds:itemID="{E153C26A-4BD0-4034-9BDF-497159ADCB29}">
  <ds:schemaRefs>
    <ds:schemaRef ds:uri="http://schemas.openxmlformats.org/officeDocument/2006/bibliography"/>
  </ds:schemaRefs>
</ds:datastoreItem>
</file>

<file path=customXml/itemProps4.xml><?xml version="1.0" encoding="utf-8"?>
<ds:datastoreItem xmlns:ds="http://schemas.openxmlformats.org/officeDocument/2006/customXml" ds:itemID="{96F03ABA-09A6-4399-AA54-D4796D765DA4}">
  <ds:schemaRefs>
    <ds:schemaRef ds:uri="a8274a7b-43ac-4280-a8d2-5b4905b49d50"/>
    <ds:schemaRef ds:uri="http://purl.org/dc/elements/1.1/"/>
    <ds:schemaRef ds:uri="http://schemas.microsoft.com/office/2006/metadata/properties"/>
    <ds:schemaRef ds:uri="http://purl.org/dc/terms/"/>
    <ds:schemaRef ds:uri="http://schemas.microsoft.com/office/2006/documentManagement/types"/>
    <ds:schemaRef ds:uri="7df19aea-0d91-48d6-80bf-95911209ef9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3777</Words>
  <Characters>21529</Characters>
  <Application>Microsoft Office Word</Application>
  <DocSecurity>0</DocSecurity>
  <Lines>179</Lines>
  <Paragraphs>50</Paragraphs>
  <ScaleCrop>false</ScaleCrop>
  <Manager/>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Graeme McDonald</dc:creator>
  <cp:keywords/>
  <dc:description/>
  <cp:lastModifiedBy>Alison Eveleigh</cp:lastModifiedBy>
  <cp:revision>2</cp:revision>
  <cp:lastPrinted>2021-09-30T18:05:00Z</cp:lastPrinted>
  <dcterms:created xsi:type="dcterms:W3CDTF">2022-01-14T04:38:00Z</dcterms:created>
  <dcterms:modified xsi:type="dcterms:W3CDTF">2022-01-14T04:38:00Z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42400347</vt:lpwstr>
  </property>
  <property fmtid="{D5CDD505-2E9C-101B-9397-08002B2CF9AE}" pid="8" name="ContentTypeId">
    <vt:lpwstr>0x010100A03EA30C37ED3B449405DC4789F3397D</vt:lpwstr>
  </property>
</Properties>
</file>