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6714" w14:textId="71E330A5" w:rsidR="00727086" w:rsidRPr="00727086" w:rsidRDefault="00727086" w:rsidP="00727086">
      <w:pPr>
        <w:spacing w:before="120" w:after="120"/>
        <w:rPr>
          <w:rFonts w:eastAsia="Times New Roman" w:cs="Times New Roman"/>
          <w:noProof/>
          <w:sz w:val="20"/>
          <w:szCs w:val="24"/>
          <w:lang w:val="en-AU" w:eastAsia="en-AU" w:bidi="en-US"/>
        </w:rPr>
      </w:pPr>
      <w:bookmarkStart w:id="0" w:name="_GoBack"/>
      <w:bookmarkEnd w:id="0"/>
      <w:r w:rsidRPr="00727086">
        <w:rPr>
          <w:rFonts w:eastAsia="Times New Roman" w:cs="Times New Roman"/>
          <w:noProof/>
          <w:sz w:val="20"/>
          <w:szCs w:val="24"/>
          <w:lang w:eastAsia="en-GB"/>
        </w:rPr>
        <w:drawing>
          <wp:inline distT="0" distB="0" distL="0" distR="0" wp14:anchorId="5850DA15" wp14:editId="30CB339B">
            <wp:extent cx="2657475" cy="438150"/>
            <wp:effectExtent l="0" t="0" r="9525" b="0"/>
            <wp:docPr id="1"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68CD6D03" w14:textId="77777777" w:rsidR="00727086" w:rsidRPr="00727086" w:rsidRDefault="00727086" w:rsidP="00727086">
      <w:pPr>
        <w:pBdr>
          <w:bottom w:val="single" w:sz="4" w:space="1" w:color="auto"/>
        </w:pBdr>
        <w:spacing w:before="120" w:after="120"/>
        <w:rPr>
          <w:rFonts w:eastAsia="Times New Roman" w:cs="Times New Roman"/>
          <w:b/>
          <w:bCs/>
          <w:szCs w:val="24"/>
          <w:lang w:bidi="en-US"/>
        </w:rPr>
      </w:pPr>
    </w:p>
    <w:p w14:paraId="2BDC0AF2" w14:textId="77777777" w:rsidR="00727086" w:rsidRPr="00727086" w:rsidRDefault="00727086" w:rsidP="00727086">
      <w:pPr>
        <w:pBdr>
          <w:bottom w:val="single" w:sz="4" w:space="1" w:color="auto"/>
        </w:pBdr>
        <w:spacing w:before="120" w:after="120"/>
        <w:rPr>
          <w:rFonts w:eastAsia="Times New Roman" w:cs="Times New Roman"/>
          <w:b/>
          <w:sz w:val="20"/>
          <w:szCs w:val="24"/>
          <w:lang w:bidi="en-US"/>
        </w:rPr>
      </w:pPr>
      <w:r w:rsidRPr="00727086">
        <w:rPr>
          <w:rFonts w:eastAsia="Times New Roman" w:cs="Times New Roman"/>
          <w:b/>
          <w:sz w:val="20"/>
          <w:szCs w:val="24"/>
          <w:lang w:bidi="en-US"/>
        </w:rPr>
        <w:t>Food Standards (Application A1190 – 2′-FL in infant formula and other products) Variation</w:t>
      </w:r>
    </w:p>
    <w:p w14:paraId="339CAD3F" w14:textId="77777777" w:rsidR="00727086" w:rsidRPr="00727086" w:rsidRDefault="00727086" w:rsidP="00727086">
      <w:pPr>
        <w:pBdr>
          <w:bottom w:val="single" w:sz="4" w:space="1" w:color="auto"/>
        </w:pBdr>
        <w:spacing w:before="120" w:after="120"/>
        <w:rPr>
          <w:rFonts w:eastAsia="Times New Roman" w:cs="Times New Roman"/>
          <w:b/>
          <w:sz w:val="20"/>
          <w:szCs w:val="24"/>
          <w:lang w:bidi="en-US"/>
        </w:rPr>
      </w:pPr>
    </w:p>
    <w:p w14:paraId="1CAF20BB" w14:textId="77777777" w:rsidR="00727086" w:rsidRPr="00727086" w:rsidRDefault="00727086" w:rsidP="00363409">
      <w:pPr>
        <w:rPr>
          <w:rFonts w:eastAsia="Times New Roman" w:cs="Times New Roman"/>
          <w:sz w:val="20"/>
          <w:szCs w:val="24"/>
          <w:lang w:bidi="en-US"/>
        </w:rPr>
      </w:pPr>
    </w:p>
    <w:p w14:paraId="05876D6B" w14:textId="68516A01" w:rsidR="00727086" w:rsidRPr="00727086" w:rsidRDefault="00727086" w:rsidP="00363409">
      <w:pPr>
        <w:rPr>
          <w:rFonts w:eastAsia="Times New Roman" w:cs="Times New Roman"/>
          <w:sz w:val="20"/>
          <w:szCs w:val="24"/>
          <w:lang w:bidi="en-US"/>
        </w:rPr>
      </w:pPr>
      <w:r w:rsidRPr="00727086">
        <w:rPr>
          <w:rFonts w:eastAsia="Times New Roman" w:cs="Times New Roman"/>
          <w:sz w:val="20"/>
          <w:szCs w:val="24"/>
          <w:lang w:bidi="en-US"/>
        </w:rPr>
        <w:t xml:space="preserve">The Board of Food Standards Australia New Zealand gives notice of the making of this variation under section 92 of the </w:t>
      </w:r>
      <w:r w:rsidRPr="00727086">
        <w:rPr>
          <w:rFonts w:eastAsia="Times New Roman" w:cs="Times New Roman"/>
          <w:i/>
          <w:sz w:val="20"/>
          <w:szCs w:val="24"/>
          <w:lang w:bidi="en-US"/>
        </w:rPr>
        <w:t>Food Standards Australia New Zealand Act 1991</w:t>
      </w:r>
      <w:r w:rsidR="008631E7">
        <w:rPr>
          <w:rFonts w:eastAsia="Times New Roman" w:cs="Times New Roman"/>
          <w:sz w:val="20"/>
          <w:szCs w:val="24"/>
          <w:lang w:bidi="en-US"/>
        </w:rPr>
        <w:t xml:space="preserve">. </w:t>
      </w:r>
      <w:r w:rsidRPr="00727086">
        <w:rPr>
          <w:rFonts w:eastAsia="Times New Roman" w:cs="Times New Roman"/>
          <w:sz w:val="20"/>
          <w:szCs w:val="24"/>
          <w:lang w:bidi="en-US"/>
        </w:rPr>
        <w:t>The variation commences on the date specified in clause 3 of this variation.</w:t>
      </w:r>
    </w:p>
    <w:p w14:paraId="377D604A" w14:textId="77777777" w:rsidR="00727086" w:rsidRPr="00727086" w:rsidRDefault="00727086" w:rsidP="00363409">
      <w:pPr>
        <w:rPr>
          <w:rFonts w:eastAsia="Times New Roman" w:cs="Times New Roman"/>
          <w:sz w:val="20"/>
          <w:szCs w:val="24"/>
          <w:lang w:bidi="en-US"/>
        </w:rPr>
      </w:pPr>
    </w:p>
    <w:p w14:paraId="5FE3B61F" w14:textId="76FF9B65" w:rsidR="00727086" w:rsidRPr="00727086" w:rsidRDefault="00727086" w:rsidP="00363409">
      <w:pPr>
        <w:rPr>
          <w:rFonts w:eastAsia="Times New Roman" w:cs="Times New Roman"/>
          <w:sz w:val="20"/>
          <w:szCs w:val="24"/>
          <w:lang w:bidi="en-US"/>
        </w:rPr>
      </w:pPr>
      <w:r w:rsidRPr="00727086">
        <w:rPr>
          <w:rFonts w:eastAsia="Times New Roman" w:cs="Times New Roman"/>
          <w:sz w:val="20"/>
          <w:szCs w:val="24"/>
          <w:lang w:bidi="en-US"/>
        </w:rPr>
        <w:t xml:space="preserve">Dated </w:t>
      </w:r>
      <w:r w:rsidR="008631E7">
        <w:rPr>
          <w:rFonts w:eastAsia="Times New Roman" w:cs="Times New Roman"/>
          <w:sz w:val="20"/>
          <w:szCs w:val="24"/>
          <w:lang w:bidi="en-US"/>
        </w:rPr>
        <w:t>12 January 2022</w:t>
      </w:r>
    </w:p>
    <w:p w14:paraId="3DCEA8CA" w14:textId="77777777" w:rsidR="00727086" w:rsidRPr="00727086" w:rsidRDefault="00727086" w:rsidP="00363409">
      <w:pPr>
        <w:rPr>
          <w:rFonts w:eastAsia="Times New Roman" w:cs="Times New Roman"/>
          <w:sz w:val="20"/>
          <w:szCs w:val="24"/>
          <w:lang w:bidi="en-US"/>
        </w:rPr>
      </w:pPr>
    </w:p>
    <w:p w14:paraId="3C2E2BF1" w14:textId="38204F38" w:rsidR="00727086" w:rsidRPr="00727086" w:rsidRDefault="008631E7" w:rsidP="00363409">
      <w:pPr>
        <w:rPr>
          <w:rFonts w:eastAsia="Times New Roman" w:cs="Times New Roman"/>
          <w:sz w:val="20"/>
          <w:szCs w:val="24"/>
          <w:lang w:bidi="en-US"/>
        </w:rPr>
      </w:pPr>
      <w:r w:rsidRPr="008631E7">
        <w:rPr>
          <w:rFonts w:eastAsia="Times New Roman" w:cs="Times New Roman"/>
          <w:noProof/>
          <w:sz w:val="20"/>
          <w:szCs w:val="24"/>
          <w:lang w:eastAsia="en-GB"/>
        </w:rPr>
        <w:drawing>
          <wp:inline distT="0" distB="0" distL="0" distR="0" wp14:anchorId="68DEB565" wp14:editId="30736975">
            <wp:extent cx="1074199" cy="33562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3054" cy="341516"/>
                    </a:xfrm>
                    <a:prstGeom prst="rect">
                      <a:avLst/>
                    </a:prstGeom>
                    <a:noFill/>
                    <a:ln>
                      <a:noFill/>
                    </a:ln>
                  </pic:spPr>
                </pic:pic>
              </a:graphicData>
            </a:graphic>
          </wp:inline>
        </w:drawing>
      </w:r>
    </w:p>
    <w:p w14:paraId="617B447C" w14:textId="57775879" w:rsidR="00727086" w:rsidRPr="00727086" w:rsidRDefault="00727086" w:rsidP="00363409">
      <w:pPr>
        <w:rPr>
          <w:rFonts w:eastAsia="Times New Roman" w:cs="Times New Roman"/>
          <w:sz w:val="20"/>
          <w:szCs w:val="24"/>
          <w:lang w:bidi="en-US"/>
        </w:rPr>
      </w:pPr>
    </w:p>
    <w:p w14:paraId="50FF437B" w14:textId="19C76C3B" w:rsidR="00727086" w:rsidRPr="00727086" w:rsidRDefault="00727086" w:rsidP="00363409">
      <w:pPr>
        <w:rPr>
          <w:rFonts w:eastAsia="Times New Roman" w:cs="Times New Roman"/>
          <w:sz w:val="20"/>
          <w:szCs w:val="24"/>
          <w:lang w:bidi="en-US"/>
        </w:rPr>
      </w:pPr>
      <w:r>
        <w:rPr>
          <w:rFonts w:eastAsia="Times New Roman" w:cs="Times New Roman"/>
          <w:sz w:val="20"/>
          <w:szCs w:val="24"/>
          <w:lang w:bidi="en-US"/>
        </w:rPr>
        <w:t>Dr Matthew O’Mullane</w:t>
      </w:r>
    </w:p>
    <w:p w14:paraId="6BCC97E1" w14:textId="77777777" w:rsidR="00727086" w:rsidRPr="00727086" w:rsidRDefault="00727086" w:rsidP="00363409">
      <w:pPr>
        <w:rPr>
          <w:rFonts w:eastAsia="Times New Roman" w:cs="Times New Roman"/>
          <w:sz w:val="20"/>
          <w:szCs w:val="24"/>
          <w:lang w:bidi="en-US"/>
        </w:rPr>
      </w:pPr>
      <w:r w:rsidRPr="00727086">
        <w:rPr>
          <w:rFonts w:eastAsia="Times New Roman" w:cs="Times New Roman"/>
          <w:sz w:val="20"/>
          <w:szCs w:val="24"/>
          <w:lang w:bidi="en-US"/>
        </w:rPr>
        <w:t>Delegate of the Board of Food Standards Australia New Zealand</w:t>
      </w:r>
    </w:p>
    <w:p w14:paraId="22EB768B" w14:textId="77777777" w:rsidR="00727086" w:rsidRPr="00727086" w:rsidRDefault="00727086" w:rsidP="00363409">
      <w:pPr>
        <w:rPr>
          <w:rFonts w:eastAsia="Times New Roman" w:cs="Times New Roman"/>
          <w:sz w:val="20"/>
          <w:szCs w:val="24"/>
          <w:lang w:bidi="en-US"/>
        </w:rPr>
      </w:pPr>
    </w:p>
    <w:p w14:paraId="3E2F8A3D" w14:textId="77777777" w:rsidR="00727086" w:rsidRPr="00727086" w:rsidRDefault="00727086" w:rsidP="00363409">
      <w:pPr>
        <w:rPr>
          <w:rFonts w:eastAsia="Times New Roman" w:cs="Times New Roman"/>
          <w:sz w:val="20"/>
          <w:szCs w:val="24"/>
          <w:lang w:bidi="en-US"/>
        </w:rPr>
      </w:pPr>
    </w:p>
    <w:p w14:paraId="40D71489" w14:textId="77777777" w:rsidR="00727086" w:rsidRPr="00727086" w:rsidRDefault="00727086" w:rsidP="00363409">
      <w:pPr>
        <w:rPr>
          <w:rFonts w:eastAsia="Times New Roman" w:cs="Times New Roman"/>
          <w:sz w:val="20"/>
          <w:szCs w:val="24"/>
          <w:lang w:bidi="en-US"/>
        </w:rPr>
      </w:pPr>
    </w:p>
    <w:p w14:paraId="0947639B" w14:textId="3695C9DE" w:rsidR="00727086" w:rsidRPr="00727086" w:rsidRDefault="00727086" w:rsidP="00363409">
      <w:pPr>
        <w:rPr>
          <w:rFonts w:eastAsia="Times New Roman" w:cs="Times New Roman"/>
          <w:sz w:val="20"/>
          <w:szCs w:val="24"/>
          <w:lang w:bidi="en-US"/>
        </w:rPr>
      </w:pPr>
    </w:p>
    <w:p w14:paraId="12C4EC94" w14:textId="77777777" w:rsidR="00727086" w:rsidRPr="00727086" w:rsidRDefault="00727086" w:rsidP="00363409">
      <w:pPr>
        <w:pBdr>
          <w:top w:val="single" w:sz="4" w:space="1" w:color="auto"/>
          <w:left w:val="single" w:sz="4" w:space="4" w:color="auto"/>
          <w:bottom w:val="single" w:sz="4" w:space="1" w:color="auto"/>
          <w:right w:val="single" w:sz="4" w:space="4" w:color="auto"/>
        </w:pBdr>
        <w:rPr>
          <w:rFonts w:eastAsia="Times New Roman" w:cs="Times New Roman"/>
          <w:b/>
          <w:sz w:val="20"/>
          <w:szCs w:val="24"/>
          <w:lang w:val="en-AU" w:bidi="en-US"/>
        </w:rPr>
      </w:pPr>
      <w:r w:rsidRPr="00727086">
        <w:rPr>
          <w:rFonts w:eastAsia="Times New Roman" w:cs="Times New Roman"/>
          <w:b/>
          <w:sz w:val="20"/>
          <w:szCs w:val="24"/>
          <w:lang w:val="en-AU" w:bidi="en-US"/>
        </w:rPr>
        <w:t>Note:</w:t>
      </w:r>
    </w:p>
    <w:p w14:paraId="27B4B73E" w14:textId="77777777" w:rsidR="00727086" w:rsidRPr="00727086" w:rsidRDefault="00727086" w:rsidP="00363409">
      <w:pPr>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p>
    <w:p w14:paraId="5AE69851" w14:textId="1C8BF9E9" w:rsidR="00727086" w:rsidRPr="00727086" w:rsidRDefault="00727086" w:rsidP="00363409">
      <w:pPr>
        <w:pBdr>
          <w:top w:val="single" w:sz="4" w:space="1" w:color="auto"/>
          <w:left w:val="single" w:sz="4" w:space="4" w:color="auto"/>
          <w:bottom w:val="single" w:sz="4" w:space="1" w:color="auto"/>
          <w:right w:val="single" w:sz="4" w:space="4" w:color="auto"/>
        </w:pBdr>
        <w:rPr>
          <w:rFonts w:eastAsia="Times New Roman" w:cs="Times New Roman"/>
          <w:sz w:val="20"/>
          <w:szCs w:val="24"/>
          <w:lang w:val="en-AU" w:bidi="en-US"/>
        </w:rPr>
      </w:pPr>
      <w:r w:rsidRPr="00727086">
        <w:rPr>
          <w:rFonts w:eastAsia="Times New Roman" w:cs="Times New Roman"/>
          <w:sz w:val="20"/>
          <w:szCs w:val="24"/>
          <w:lang w:val="en-AU" w:bidi="en-US"/>
        </w:rPr>
        <w:t xml:space="preserve">This variation will be published in the Commonwealth of Australia Gazette No. FSC 146 on 20 January 2022. This means that this date is the gazettal date for the purposes of clause 3 of the variation. </w:t>
      </w:r>
    </w:p>
    <w:p w14:paraId="5B6E509D" w14:textId="77777777" w:rsidR="00727086" w:rsidRPr="00727086" w:rsidRDefault="00727086" w:rsidP="00363409">
      <w:pPr>
        <w:rPr>
          <w:rFonts w:eastAsia="Times New Roman" w:cs="Times New Roman"/>
          <w:sz w:val="20"/>
          <w:szCs w:val="24"/>
          <w:lang w:bidi="en-US"/>
        </w:rPr>
      </w:pPr>
    </w:p>
    <w:p w14:paraId="3217742C" w14:textId="77777777" w:rsidR="00727086" w:rsidRPr="00727086" w:rsidRDefault="00727086" w:rsidP="00727086">
      <w:pPr>
        <w:spacing w:before="120" w:after="120"/>
        <w:rPr>
          <w:rFonts w:eastAsia="Times New Roman" w:cs="Times New Roman"/>
          <w:sz w:val="20"/>
          <w:szCs w:val="24"/>
          <w:lang w:bidi="en-US"/>
        </w:rPr>
      </w:pPr>
      <w:r w:rsidRPr="00727086">
        <w:rPr>
          <w:rFonts w:eastAsia="Times New Roman" w:cs="Times New Roman"/>
          <w:sz w:val="20"/>
          <w:szCs w:val="24"/>
          <w:lang w:bidi="en-US"/>
        </w:rPr>
        <w:br w:type="page"/>
      </w:r>
    </w:p>
    <w:p w14:paraId="48D08D5B" w14:textId="77777777" w:rsidR="00727086" w:rsidRPr="00727086" w:rsidRDefault="00727086" w:rsidP="00727086">
      <w:pPr>
        <w:spacing w:before="120" w:after="120"/>
        <w:ind w:left="851" w:hanging="851"/>
        <w:rPr>
          <w:rFonts w:eastAsia="Times New Roman" w:cs="Times New Roman"/>
          <w:b/>
          <w:sz w:val="20"/>
          <w:szCs w:val="20"/>
        </w:rPr>
      </w:pPr>
      <w:r w:rsidRPr="00727086">
        <w:rPr>
          <w:rFonts w:eastAsia="Times New Roman" w:cs="Times New Roman"/>
          <w:b/>
          <w:sz w:val="20"/>
          <w:szCs w:val="20"/>
        </w:rPr>
        <w:lastRenderedPageBreak/>
        <w:t>1</w:t>
      </w:r>
      <w:r w:rsidRPr="00727086">
        <w:rPr>
          <w:rFonts w:eastAsia="Times New Roman" w:cs="Times New Roman"/>
          <w:b/>
          <w:sz w:val="20"/>
          <w:szCs w:val="20"/>
        </w:rPr>
        <w:tab/>
        <w:t>Name</w:t>
      </w:r>
    </w:p>
    <w:p w14:paraId="03CBBFF1" w14:textId="77777777" w:rsidR="00727086" w:rsidRPr="00727086" w:rsidRDefault="00727086" w:rsidP="00727086">
      <w:pPr>
        <w:tabs>
          <w:tab w:val="left" w:pos="851"/>
        </w:tabs>
        <w:spacing w:before="120" w:after="120"/>
        <w:rPr>
          <w:rFonts w:eastAsia="Times New Roman" w:cs="Times New Roman"/>
          <w:sz w:val="20"/>
          <w:szCs w:val="20"/>
        </w:rPr>
      </w:pPr>
      <w:r w:rsidRPr="00727086">
        <w:rPr>
          <w:rFonts w:eastAsia="Times New Roman" w:cs="Times New Roman"/>
          <w:sz w:val="20"/>
          <w:szCs w:val="20"/>
        </w:rPr>
        <w:t xml:space="preserve">This instrument is the </w:t>
      </w:r>
      <w:r w:rsidRPr="00727086">
        <w:rPr>
          <w:rFonts w:eastAsia="Times New Roman" w:cs="Times New Roman"/>
          <w:i/>
          <w:sz w:val="20"/>
          <w:szCs w:val="20"/>
        </w:rPr>
        <w:t>Food Standards (Application A1190 – 2′-FL in infant formula and other products) Variation</w:t>
      </w:r>
      <w:r w:rsidRPr="00727086">
        <w:rPr>
          <w:rFonts w:eastAsia="Times New Roman" w:cs="Times New Roman"/>
          <w:sz w:val="20"/>
          <w:szCs w:val="20"/>
        </w:rPr>
        <w:t>.</w:t>
      </w:r>
    </w:p>
    <w:p w14:paraId="3A8F38E6" w14:textId="77777777" w:rsidR="00727086" w:rsidRPr="00727086" w:rsidRDefault="00727086" w:rsidP="00727086">
      <w:pPr>
        <w:spacing w:before="120" w:after="120"/>
        <w:ind w:left="851" w:hanging="851"/>
        <w:rPr>
          <w:rFonts w:eastAsia="Times New Roman" w:cs="Times New Roman"/>
          <w:b/>
          <w:sz w:val="20"/>
          <w:szCs w:val="20"/>
        </w:rPr>
      </w:pPr>
      <w:r w:rsidRPr="00727086">
        <w:rPr>
          <w:rFonts w:eastAsia="Times New Roman" w:cs="Times New Roman"/>
          <w:b/>
          <w:sz w:val="20"/>
          <w:szCs w:val="20"/>
        </w:rPr>
        <w:t>2</w:t>
      </w:r>
      <w:r w:rsidRPr="00727086">
        <w:rPr>
          <w:rFonts w:eastAsia="Times New Roman" w:cs="Times New Roman"/>
          <w:b/>
          <w:sz w:val="20"/>
          <w:szCs w:val="20"/>
        </w:rPr>
        <w:tab/>
        <w:t xml:space="preserve">Variation to Standards in the </w:t>
      </w:r>
      <w:r w:rsidRPr="00727086">
        <w:rPr>
          <w:rFonts w:eastAsia="Times New Roman" w:cs="Times New Roman"/>
          <w:b/>
          <w:i/>
          <w:sz w:val="20"/>
          <w:szCs w:val="20"/>
        </w:rPr>
        <w:t>Australia New Zealand Food Standards Code</w:t>
      </w:r>
    </w:p>
    <w:p w14:paraId="238699D0" w14:textId="77777777" w:rsidR="00727086" w:rsidRPr="00727086" w:rsidRDefault="00727086" w:rsidP="00727086">
      <w:pPr>
        <w:tabs>
          <w:tab w:val="left" w:pos="851"/>
        </w:tabs>
        <w:spacing w:before="120" w:after="120"/>
        <w:rPr>
          <w:rFonts w:eastAsia="Times New Roman" w:cs="Times New Roman"/>
          <w:sz w:val="20"/>
          <w:szCs w:val="20"/>
        </w:rPr>
      </w:pPr>
      <w:r w:rsidRPr="00727086">
        <w:rPr>
          <w:rFonts w:eastAsia="Times New Roman" w:cs="Times New Roman"/>
          <w:sz w:val="20"/>
          <w:szCs w:val="20"/>
        </w:rPr>
        <w:t xml:space="preserve">The Schedule varies Standards in the </w:t>
      </w:r>
      <w:r w:rsidRPr="00727086">
        <w:rPr>
          <w:rFonts w:eastAsia="Times New Roman" w:cs="Times New Roman"/>
          <w:i/>
          <w:sz w:val="20"/>
          <w:szCs w:val="20"/>
        </w:rPr>
        <w:t>Australia New Zealand Food Standards Code</w:t>
      </w:r>
      <w:r w:rsidRPr="00727086">
        <w:rPr>
          <w:rFonts w:eastAsia="Times New Roman" w:cs="Times New Roman"/>
          <w:sz w:val="20"/>
          <w:szCs w:val="20"/>
        </w:rPr>
        <w:t>.</w:t>
      </w:r>
    </w:p>
    <w:p w14:paraId="7DC77442" w14:textId="77777777" w:rsidR="00727086" w:rsidRPr="00727086" w:rsidRDefault="00727086" w:rsidP="00727086">
      <w:pPr>
        <w:spacing w:before="120" w:after="120"/>
        <w:ind w:left="851" w:hanging="851"/>
        <w:rPr>
          <w:rFonts w:eastAsia="Times New Roman" w:cs="Times New Roman"/>
          <w:b/>
          <w:sz w:val="20"/>
          <w:szCs w:val="20"/>
        </w:rPr>
      </w:pPr>
      <w:r w:rsidRPr="00727086">
        <w:rPr>
          <w:rFonts w:eastAsia="Times New Roman" w:cs="Times New Roman"/>
          <w:b/>
          <w:sz w:val="20"/>
          <w:szCs w:val="20"/>
        </w:rPr>
        <w:t>3</w:t>
      </w:r>
      <w:r w:rsidRPr="00727086">
        <w:rPr>
          <w:rFonts w:eastAsia="Times New Roman" w:cs="Times New Roman"/>
          <w:b/>
          <w:sz w:val="20"/>
          <w:szCs w:val="20"/>
        </w:rPr>
        <w:tab/>
        <w:t>Commencement</w:t>
      </w:r>
    </w:p>
    <w:p w14:paraId="67C414EA" w14:textId="77777777" w:rsidR="00727086" w:rsidRPr="00727086" w:rsidRDefault="00727086" w:rsidP="00727086">
      <w:pPr>
        <w:tabs>
          <w:tab w:val="left" w:pos="851"/>
        </w:tabs>
        <w:spacing w:before="120" w:after="120"/>
        <w:rPr>
          <w:rFonts w:eastAsia="Times New Roman" w:cs="Times New Roman"/>
          <w:sz w:val="20"/>
          <w:szCs w:val="20"/>
        </w:rPr>
      </w:pPr>
      <w:r w:rsidRPr="00727086">
        <w:rPr>
          <w:rFonts w:eastAsia="Times New Roman" w:cs="Times New Roman"/>
          <w:sz w:val="20"/>
          <w:szCs w:val="20"/>
        </w:rPr>
        <w:t>The variation commences on the date of gazettal.</w:t>
      </w:r>
    </w:p>
    <w:p w14:paraId="68634878" w14:textId="77777777" w:rsidR="00727086" w:rsidRPr="00727086" w:rsidRDefault="00727086" w:rsidP="00727086">
      <w:pPr>
        <w:spacing w:before="120" w:after="120"/>
        <w:ind w:left="851" w:hanging="851"/>
        <w:rPr>
          <w:rFonts w:eastAsia="Times New Roman" w:cs="Times New Roman"/>
          <w:b/>
          <w:sz w:val="20"/>
          <w:szCs w:val="20"/>
        </w:rPr>
      </w:pPr>
      <w:r w:rsidRPr="00727086">
        <w:rPr>
          <w:rFonts w:eastAsia="Times New Roman" w:cs="Times New Roman"/>
          <w:b/>
          <w:sz w:val="20"/>
          <w:szCs w:val="20"/>
        </w:rPr>
        <w:t>4</w:t>
      </w:r>
      <w:r w:rsidRPr="00727086">
        <w:rPr>
          <w:rFonts w:eastAsia="Times New Roman" w:cs="Times New Roman"/>
          <w:b/>
          <w:sz w:val="20"/>
          <w:szCs w:val="20"/>
        </w:rPr>
        <w:tab/>
        <w:t>Order in which amendments in the Schedule take effect</w:t>
      </w:r>
    </w:p>
    <w:p w14:paraId="43E02046" w14:textId="77777777" w:rsidR="00727086" w:rsidRPr="00727086" w:rsidRDefault="00727086" w:rsidP="00727086">
      <w:pPr>
        <w:tabs>
          <w:tab w:val="left" w:pos="851"/>
        </w:tabs>
        <w:spacing w:before="120" w:after="120"/>
        <w:rPr>
          <w:rFonts w:eastAsia="Times New Roman" w:cs="Times New Roman"/>
          <w:sz w:val="20"/>
          <w:szCs w:val="20"/>
        </w:rPr>
      </w:pPr>
      <w:r w:rsidRPr="00727086">
        <w:rPr>
          <w:rFonts w:eastAsia="Times New Roman" w:cs="Times New Roman"/>
          <w:sz w:val="20"/>
          <w:szCs w:val="20"/>
        </w:rPr>
        <w:t>Amendments in the Schedule take effect in numerical order.</w:t>
      </w:r>
    </w:p>
    <w:p w14:paraId="084300DD" w14:textId="77777777" w:rsidR="00727086" w:rsidRPr="00727086" w:rsidRDefault="00727086" w:rsidP="00727086">
      <w:pPr>
        <w:tabs>
          <w:tab w:val="left" w:pos="851"/>
        </w:tabs>
        <w:spacing w:before="120" w:after="120"/>
        <w:rPr>
          <w:rFonts w:eastAsia="Times New Roman" w:cs="Times New Roman"/>
          <w:sz w:val="20"/>
          <w:szCs w:val="20"/>
        </w:rPr>
      </w:pPr>
    </w:p>
    <w:p w14:paraId="0D84D330" w14:textId="77777777" w:rsidR="00727086" w:rsidRPr="00727086" w:rsidRDefault="00727086" w:rsidP="00727086">
      <w:pPr>
        <w:spacing w:before="120" w:after="120"/>
        <w:jc w:val="center"/>
        <w:rPr>
          <w:rFonts w:eastAsia="Times New Roman" w:cs="Times New Roman"/>
          <w:b/>
          <w:sz w:val="20"/>
          <w:szCs w:val="24"/>
          <w:lang w:bidi="en-US"/>
        </w:rPr>
      </w:pPr>
      <w:r w:rsidRPr="00727086">
        <w:rPr>
          <w:rFonts w:eastAsia="Times New Roman" w:cs="Times New Roman"/>
          <w:b/>
          <w:sz w:val="20"/>
          <w:szCs w:val="24"/>
          <w:lang w:bidi="en-US"/>
        </w:rPr>
        <w:t>Schedule</w:t>
      </w:r>
    </w:p>
    <w:p w14:paraId="3BA6950E" w14:textId="77777777" w:rsidR="00727086" w:rsidRPr="00727086" w:rsidRDefault="00727086" w:rsidP="00727086">
      <w:pPr>
        <w:spacing w:before="120" w:after="120"/>
        <w:jc w:val="center"/>
        <w:rPr>
          <w:rFonts w:eastAsia="Times New Roman" w:cs="Times New Roman"/>
          <w:b/>
          <w:sz w:val="20"/>
          <w:szCs w:val="24"/>
          <w:lang w:bidi="en-US"/>
        </w:rPr>
      </w:pPr>
    </w:p>
    <w:p w14:paraId="00B111E8"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b/>
          <w:sz w:val="20"/>
          <w:szCs w:val="20"/>
          <w:lang w:bidi="en-US"/>
        </w:rPr>
        <w:t>[1]</w:t>
      </w:r>
      <w:r w:rsidRPr="00727086">
        <w:rPr>
          <w:rFonts w:eastAsia="Times New Roman" w:cs="Times New Roman"/>
          <w:b/>
          <w:sz w:val="20"/>
          <w:szCs w:val="20"/>
          <w:lang w:bidi="en-US"/>
        </w:rPr>
        <w:tab/>
        <w:t xml:space="preserve">Standard 2.9.1 </w:t>
      </w:r>
      <w:r w:rsidRPr="00727086">
        <w:rPr>
          <w:rFonts w:eastAsia="Times New Roman" w:cs="Times New Roman"/>
          <w:sz w:val="20"/>
          <w:szCs w:val="20"/>
          <w:lang w:bidi="en-US"/>
        </w:rPr>
        <w:t xml:space="preserve">is varied by omitting “2′-O-fucosyllactose” (wherever occurring) in subsection </w:t>
      </w:r>
      <w:r w:rsidRPr="00727086">
        <w:rPr>
          <w:rFonts w:eastAsia="Times New Roman" w:cs="Times New Roman"/>
          <w:sz w:val="20"/>
          <w:szCs w:val="20"/>
        </w:rPr>
        <w:t>2.9.1—7(2)</w:t>
      </w:r>
      <w:r w:rsidRPr="00727086">
        <w:rPr>
          <w:rFonts w:eastAsia="Times New Roman" w:cs="Times New Roman"/>
          <w:sz w:val="20"/>
          <w:szCs w:val="20"/>
          <w:lang w:bidi="en-US"/>
        </w:rPr>
        <w:t>, substituting “2′-fucosyllactose”</w:t>
      </w:r>
    </w:p>
    <w:p w14:paraId="2408A043"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b/>
          <w:sz w:val="20"/>
          <w:szCs w:val="20"/>
          <w:lang w:bidi="en-US"/>
        </w:rPr>
        <w:t>[2]</w:t>
      </w:r>
      <w:r w:rsidRPr="00727086">
        <w:rPr>
          <w:rFonts w:eastAsia="Times New Roman" w:cs="Times New Roman"/>
          <w:b/>
          <w:sz w:val="20"/>
          <w:szCs w:val="20"/>
          <w:lang w:bidi="en-US"/>
        </w:rPr>
        <w:tab/>
        <w:t>Schedule 3</w:t>
      </w:r>
      <w:r w:rsidRPr="00727086">
        <w:rPr>
          <w:rFonts w:eastAsia="Times New Roman" w:cs="Times New Roman"/>
          <w:sz w:val="20"/>
          <w:szCs w:val="20"/>
          <w:lang w:bidi="en-US"/>
        </w:rPr>
        <w:t xml:space="preserve"> is varied by </w:t>
      </w:r>
    </w:p>
    <w:p w14:paraId="79F8FFE8"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sz w:val="20"/>
          <w:szCs w:val="20"/>
          <w:lang w:bidi="en-US"/>
        </w:rPr>
        <w:t>[2.1]</w:t>
      </w:r>
      <w:r w:rsidRPr="00727086">
        <w:rPr>
          <w:rFonts w:eastAsia="Times New Roman" w:cs="Times New Roman"/>
          <w:sz w:val="20"/>
          <w:szCs w:val="20"/>
          <w:lang w:bidi="en-US"/>
        </w:rPr>
        <w:tab/>
        <w:t xml:space="preserve">omitting in the table to subsection </w:t>
      </w:r>
      <w:r w:rsidRPr="00727086">
        <w:rPr>
          <w:rFonts w:eastAsia="Times New Roman" w:cs="Times New Roman"/>
          <w:sz w:val="20"/>
          <w:szCs w:val="20"/>
        </w:rPr>
        <w:t>S3—2</w:t>
      </w:r>
      <w:r w:rsidRPr="00727086">
        <w:rPr>
          <w:rFonts w:eastAsia="Times New Roman" w:cs="Times New Roman"/>
          <w:sz w:val="20"/>
          <w:szCs w:val="20"/>
          <w:lang w:bidi="en-US"/>
        </w:rPr>
        <w:t xml:space="preserve">(2)  </w:t>
      </w:r>
    </w:p>
    <w:tbl>
      <w:tblPr>
        <w:tblStyle w:val="TableGrid21"/>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ariation to Schedule 3 for 2′-O-fucosyllactose"/>
        <w:tblDescription w:val="Schedule 3 is varied by inserting '2′-O-fucosyllactose' in the table in subsection S3-2(2) in alphabetical order."/>
      </w:tblPr>
      <w:tblGrid>
        <w:gridCol w:w="4254"/>
        <w:gridCol w:w="2550"/>
      </w:tblGrid>
      <w:tr w:rsidR="00727086" w:rsidRPr="00727086" w14:paraId="407732F7" w14:textId="77777777" w:rsidTr="00F261A2">
        <w:trPr>
          <w:cantSplit/>
          <w:jc w:val="center"/>
        </w:trPr>
        <w:tc>
          <w:tcPr>
            <w:tcW w:w="4254" w:type="dxa"/>
            <w:hideMark/>
          </w:tcPr>
          <w:p w14:paraId="607E5D41" w14:textId="77777777" w:rsidR="00727086" w:rsidRPr="00727086" w:rsidRDefault="00727086" w:rsidP="00727086">
            <w:pPr>
              <w:keepLines/>
              <w:tabs>
                <w:tab w:val="right" w:pos="3969"/>
              </w:tabs>
              <w:spacing w:before="120" w:after="120"/>
              <w:rPr>
                <w:rFonts w:ascii="Arial" w:hAnsi="Arial" w:cs="Arial"/>
                <w:sz w:val="18"/>
                <w:lang w:eastAsia="en-AU"/>
              </w:rPr>
            </w:pPr>
            <w:r w:rsidRPr="00727086">
              <w:rPr>
                <w:rFonts w:ascii="Arial" w:hAnsi="Arial" w:cs="Arial"/>
                <w:sz w:val="18"/>
                <w:lang w:eastAsia="en-AU"/>
              </w:rPr>
              <w:t>2</w:t>
            </w:r>
            <w:r w:rsidRPr="00727086">
              <w:rPr>
                <w:rFonts w:ascii="Arial" w:hAnsi="Arial" w:cs="Arial"/>
                <w:i/>
                <w:sz w:val="18"/>
                <w:lang w:eastAsia="en-AU"/>
              </w:rPr>
              <w:t>′-</w:t>
            </w:r>
            <w:r w:rsidRPr="00727086">
              <w:rPr>
                <w:rFonts w:ascii="Arial" w:hAnsi="Arial" w:cs="Arial"/>
                <w:sz w:val="18"/>
                <w:lang w:eastAsia="en-AU"/>
              </w:rPr>
              <w:t>O-fucosyllactose</w:t>
            </w:r>
          </w:p>
        </w:tc>
        <w:tc>
          <w:tcPr>
            <w:tcW w:w="2550" w:type="dxa"/>
            <w:hideMark/>
          </w:tcPr>
          <w:p w14:paraId="6ACC737B" w14:textId="77777777" w:rsidR="00727086" w:rsidRPr="00727086" w:rsidRDefault="00727086" w:rsidP="00727086">
            <w:pPr>
              <w:keepLines/>
              <w:tabs>
                <w:tab w:val="right" w:pos="3969"/>
              </w:tabs>
              <w:spacing w:before="120" w:after="120"/>
              <w:rPr>
                <w:rFonts w:ascii="Arial" w:hAnsi="Arial" w:cs="Arial"/>
                <w:sz w:val="18"/>
                <w:lang w:eastAsia="en-AU"/>
              </w:rPr>
            </w:pPr>
            <w:r w:rsidRPr="00727086">
              <w:rPr>
                <w:rFonts w:ascii="Arial" w:hAnsi="Arial" w:cs="Arial"/>
                <w:sz w:val="18"/>
                <w:lang w:eastAsia="en-AU"/>
              </w:rPr>
              <w:t>section S3—40</w:t>
            </w:r>
          </w:p>
        </w:tc>
      </w:tr>
    </w:tbl>
    <w:p w14:paraId="37EAFC2E"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sz w:val="20"/>
          <w:szCs w:val="20"/>
          <w:lang w:bidi="en-US"/>
        </w:rPr>
        <w:tab/>
        <w:t>and substituting, in alphabetical order</w:t>
      </w:r>
    </w:p>
    <w:tbl>
      <w:tblPr>
        <w:tblStyle w:val="TableGrid21"/>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ariation to Schedule 3 for 2′-O-fucosyllactose"/>
        <w:tblDescription w:val="Schedule 3 is varied by inserting '2′-fucosyllactose sourced from Escherichia coli K-12' in the table in subsection S3–40 in alphabetical order."/>
      </w:tblPr>
      <w:tblGrid>
        <w:gridCol w:w="4254"/>
        <w:gridCol w:w="2550"/>
      </w:tblGrid>
      <w:tr w:rsidR="00727086" w:rsidRPr="00727086" w14:paraId="2BB4D2A2" w14:textId="77777777" w:rsidTr="00F261A2">
        <w:trPr>
          <w:cantSplit/>
          <w:jc w:val="center"/>
        </w:trPr>
        <w:tc>
          <w:tcPr>
            <w:tcW w:w="4254" w:type="dxa"/>
            <w:hideMark/>
          </w:tcPr>
          <w:p w14:paraId="4CD9515E" w14:textId="77777777" w:rsidR="00727086" w:rsidRPr="00727086" w:rsidRDefault="00727086" w:rsidP="00727086">
            <w:pPr>
              <w:keepLines/>
              <w:tabs>
                <w:tab w:val="right" w:pos="3969"/>
              </w:tabs>
              <w:spacing w:before="120" w:after="120"/>
              <w:rPr>
                <w:rFonts w:ascii="Arial" w:hAnsi="Arial" w:cs="Arial"/>
                <w:sz w:val="18"/>
                <w:lang w:eastAsia="en-AU"/>
              </w:rPr>
            </w:pPr>
            <w:r w:rsidRPr="00727086">
              <w:rPr>
                <w:rFonts w:ascii="Arial" w:hAnsi="Arial" w:cs="Arial"/>
                <w:sz w:val="18"/>
                <w:lang w:eastAsia="en-AU"/>
              </w:rPr>
              <w:t>2</w:t>
            </w:r>
            <w:r w:rsidRPr="00727086">
              <w:rPr>
                <w:rFonts w:ascii="Arial" w:hAnsi="Arial" w:cs="Arial"/>
                <w:i/>
                <w:sz w:val="18"/>
                <w:lang w:eastAsia="en-AU"/>
              </w:rPr>
              <w:t>′-</w:t>
            </w:r>
            <w:r w:rsidRPr="00727086">
              <w:rPr>
                <w:rFonts w:ascii="Arial" w:hAnsi="Arial" w:cs="Arial"/>
                <w:sz w:val="18"/>
                <w:lang w:eastAsia="en-AU"/>
              </w:rPr>
              <w:t xml:space="preserve">fucosyllactose sourced from </w:t>
            </w:r>
            <w:r w:rsidRPr="00727086">
              <w:rPr>
                <w:rFonts w:ascii="Arial" w:hAnsi="Arial" w:cs="Arial"/>
                <w:i/>
                <w:sz w:val="18"/>
                <w:lang w:eastAsia="en-AU"/>
              </w:rPr>
              <w:t xml:space="preserve">Escherichia coli </w:t>
            </w:r>
            <w:r w:rsidRPr="00727086">
              <w:rPr>
                <w:rFonts w:ascii="Arial" w:hAnsi="Arial" w:cs="Arial"/>
                <w:sz w:val="18"/>
                <w:lang w:eastAsia="en-AU"/>
              </w:rPr>
              <w:t xml:space="preserve">K-12 </w:t>
            </w:r>
          </w:p>
        </w:tc>
        <w:tc>
          <w:tcPr>
            <w:tcW w:w="2550" w:type="dxa"/>
            <w:hideMark/>
          </w:tcPr>
          <w:p w14:paraId="48136920" w14:textId="77777777" w:rsidR="00727086" w:rsidRPr="00727086" w:rsidRDefault="00727086" w:rsidP="00727086">
            <w:pPr>
              <w:keepLines/>
              <w:tabs>
                <w:tab w:val="right" w:pos="3969"/>
              </w:tabs>
              <w:spacing w:before="120" w:after="120"/>
              <w:rPr>
                <w:rFonts w:ascii="Arial" w:hAnsi="Arial" w:cs="Arial"/>
                <w:sz w:val="18"/>
                <w:lang w:eastAsia="en-AU"/>
              </w:rPr>
            </w:pPr>
            <w:r w:rsidRPr="00727086">
              <w:rPr>
                <w:rFonts w:ascii="Arial" w:hAnsi="Arial" w:cs="Arial"/>
                <w:sz w:val="18"/>
                <w:lang w:eastAsia="en-AU"/>
              </w:rPr>
              <w:t>section S3—40</w:t>
            </w:r>
          </w:p>
        </w:tc>
      </w:tr>
    </w:tbl>
    <w:p w14:paraId="53015ACE"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sz w:val="20"/>
          <w:szCs w:val="20"/>
          <w:lang w:bidi="en-US"/>
        </w:rPr>
        <w:t>[2.2]</w:t>
      </w:r>
      <w:r w:rsidRPr="00727086">
        <w:rPr>
          <w:rFonts w:eastAsia="Times New Roman" w:cs="Times New Roman"/>
          <w:sz w:val="20"/>
          <w:szCs w:val="20"/>
          <w:lang w:bidi="en-US"/>
        </w:rPr>
        <w:tab/>
        <w:t xml:space="preserve">inserting in the table to subsection </w:t>
      </w:r>
      <w:r w:rsidRPr="00727086">
        <w:rPr>
          <w:rFonts w:eastAsia="Times New Roman" w:cs="Times New Roman"/>
          <w:sz w:val="20"/>
          <w:szCs w:val="20"/>
        </w:rPr>
        <w:t>S3—2</w:t>
      </w:r>
      <w:r w:rsidRPr="00727086">
        <w:rPr>
          <w:rFonts w:eastAsia="Times New Roman" w:cs="Times New Roman"/>
          <w:sz w:val="20"/>
          <w:szCs w:val="20"/>
          <w:lang w:bidi="en-US"/>
        </w:rPr>
        <w:t>(2)</w:t>
      </w:r>
      <w:r w:rsidRPr="00727086">
        <w:rPr>
          <w:rFonts w:eastAsia="Times New Roman" w:cs="Times New Roman"/>
          <w:sz w:val="20"/>
          <w:szCs w:val="20"/>
        </w:rPr>
        <w:t>, in alphabetical order</w:t>
      </w:r>
      <w:r w:rsidRPr="00727086">
        <w:rPr>
          <w:rFonts w:eastAsia="Times New Roman" w:cs="Times New Roman"/>
          <w:sz w:val="20"/>
          <w:szCs w:val="20"/>
          <w:lang w:bidi="en-US"/>
        </w:rPr>
        <w:t xml:space="preserve">  </w:t>
      </w:r>
    </w:p>
    <w:tbl>
      <w:tblPr>
        <w:tblStyle w:val="TableGrid21"/>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ariation to Schedule 3 for 2′-O-fucosyllactose"/>
        <w:tblDescription w:val="Schedule 3 is varied by inserting '2′-fucosyllactose sourced from Escherichia coli BL21' in the table in subsection S3–45 in alphabetical order."/>
      </w:tblPr>
      <w:tblGrid>
        <w:gridCol w:w="4254"/>
        <w:gridCol w:w="2550"/>
      </w:tblGrid>
      <w:tr w:rsidR="00727086" w:rsidRPr="00727086" w14:paraId="113F2E26" w14:textId="77777777" w:rsidTr="00F261A2">
        <w:trPr>
          <w:cantSplit/>
          <w:jc w:val="center"/>
        </w:trPr>
        <w:tc>
          <w:tcPr>
            <w:tcW w:w="4254" w:type="dxa"/>
            <w:hideMark/>
          </w:tcPr>
          <w:p w14:paraId="76057563" w14:textId="77777777" w:rsidR="00727086" w:rsidRPr="00727086" w:rsidRDefault="00727086" w:rsidP="00727086">
            <w:pPr>
              <w:keepLines/>
              <w:tabs>
                <w:tab w:val="right" w:pos="3969"/>
              </w:tabs>
              <w:spacing w:before="120" w:after="120"/>
              <w:rPr>
                <w:rFonts w:ascii="Arial" w:hAnsi="Arial" w:cs="Arial"/>
                <w:sz w:val="18"/>
                <w:lang w:eastAsia="en-AU"/>
              </w:rPr>
            </w:pPr>
            <w:r w:rsidRPr="00727086">
              <w:rPr>
                <w:rFonts w:ascii="Arial" w:hAnsi="Arial" w:cs="Arial"/>
                <w:sz w:val="18"/>
                <w:lang w:eastAsia="en-AU"/>
              </w:rPr>
              <w:t>2</w:t>
            </w:r>
            <w:r w:rsidRPr="00727086">
              <w:rPr>
                <w:rFonts w:ascii="Arial" w:hAnsi="Arial" w:cs="Arial"/>
                <w:i/>
                <w:sz w:val="18"/>
                <w:lang w:eastAsia="en-AU"/>
              </w:rPr>
              <w:t>′-</w:t>
            </w:r>
            <w:r w:rsidRPr="00727086">
              <w:rPr>
                <w:rFonts w:ascii="Arial" w:hAnsi="Arial" w:cs="Arial"/>
                <w:sz w:val="18"/>
                <w:lang w:eastAsia="en-AU"/>
              </w:rPr>
              <w:t xml:space="preserve">fucosyllactose </w:t>
            </w:r>
            <w:r w:rsidRPr="00727086">
              <w:rPr>
                <w:rFonts w:ascii="Arial" w:hAnsi="Arial" w:cs="Arial"/>
                <w:sz w:val="18"/>
                <w:szCs w:val="18"/>
                <w:lang w:eastAsia="en-AU"/>
              </w:rPr>
              <w:t xml:space="preserve">sourced from </w:t>
            </w:r>
            <w:r w:rsidRPr="00727086">
              <w:rPr>
                <w:rFonts w:ascii="Arial" w:hAnsi="Arial" w:cs="Arial"/>
                <w:i/>
                <w:sz w:val="18"/>
                <w:szCs w:val="18"/>
                <w:lang w:eastAsia="en-AU"/>
              </w:rPr>
              <w:t xml:space="preserve">Escherichia coli </w:t>
            </w:r>
            <w:r w:rsidRPr="00727086">
              <w:rPr>
                <w:rFonts w:ascii="Arial" w:hAnsi="Arial" w:cs="Arial"/>
                <w:sz w:val="18"/>
                <w:szCs w:val="18"/>
                <w:lang w:eastAsia="en-AU"/>
              </w:rPr>
              <w:t>BL21</w:t>
            </w:r>
          </w:p>
        </w:tc>
        <w:tc>
          <w:tcPr>
            <w:tcW w:w="2550" w:type="dxa"/>
            <w:hideMark/>
          </w:tcPr>
          <w:p w14:paraId="4A754E07" w14:textId="77777777" w:rsidR="00727086" w:rsidRPr="00727086" w:rsidRDefault="00727086" w:rsidP="00727086">
            <w:pPr>
              <w:keepLines/>
              <w:tabs>
                <w:tab w:val="right" w:pos="3969"/>
              </w:tabs>
              <w:spacing w:before="120" w:after="120"/>
              <w:rPr>
                <w:rFonts w:ascii="Arial" w:hAnsi="Arial" w:cs="Arial"/>
                <w:sz w:val="18"/>
                <w:lang w:eastAsia="en-AU"/>
              </w:rPr>
            </w:pPr>
            <w:r w:rsidRPr="00727086">
              <w:rPr>
                <w:rFonts w:ascii="Arial" w:hAnsi="Arial" w:cs="Arial"/>
                <w:sz w:val="18"/>
                <w:lang w:eastAsia="en-AU"/>
              </w:rPr>
              <w:t>section S3—45</w:t>
            </w:r>
          </w:p>
        </w:tc>
      </w:tr>
    </w:tbl>
    <w:p w14:paraId="3FDA25D8"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sz w:val="20"/>
          <w:szCs w:val="20"/>
          <w:lang w:bidi="en-US"/>
        </w:rPr>
        <w:t>[2.3]</w:t>
      </w:r>
      <w:r w:rsidRPr="00727086">
        <w:rPr>
          <w:rFonts w:eastAsia="Times New Roman" w:cs="Times New Roman"/>
          <w:sz w:val="20"/>
          <w:szCs w:val="20"/>
          <w:lang w:bidi="en-US"/>
        </w:rPr>
        <w:tab/>
        <w:t>omitting the heading for section S3—40, substituting</w:t>
      </w:r>
    </w:p>
    <w:p w14:paraId="2EEAB898" w14:textId="77777777" w:rsidR="00727086" w:rsidRPr="00727086" w:rsidRDefault="00727086" w:rsidP="00727086">
      <w:pPr>
        <w:keepNext/>
        <w:spacing w:before="120" w:after="120"/>
        <w:ind w:left="1701" w:hanging="1701"/>
        <w:outlineLvl w:val="4"/>
        <w:rPr>
          <w:rFonts w:eastAsia="Times New Roman" w:cs="Times New Roman"/>
          <w:b/>
          <w:bCs/>
          <w:kern w:val="32"/>
          <w:szCs w:val="24"/>
          <w:lang w:eastAsia="en-AU"/>
        </w:rPr>
      </w:pPr>
      <w:r w:rsidRPr="00727086">
        <w:rPr>
          <w:rFonts w:eastAsia="Times New Roman" w:cs="Times New Roman"/>
          <w:b/>
          <w:bCs/>
          <w:kern w:val="32"/>
          <w:szCs w:val="24"/>
          <w:lang w:eastAsia="en-AU"/>
        </w:rPr>
        <w:t>S3—40</w:t>
      </w:r>
      <w:r w:rsidRPr="00727086">
        <w:rPr>
          <w:rFonts w:eastAsia="Times New Roman" w:cs="Times New Roman"/>
          <w:b/>
          <w:bCs/>
          <w:kern w:val="32"/>
          <w:szCs w:val="24"/>
          <w:lang w:eastAsia="en-AU"/>
        </w:rPr>
        <w:tab/>
        <w:t xml:space="preserve">Specification for 2′-fucosyllactose sourced from </w:t>
      </w:r>
      <w:r w:rsidRPr="00727086">
        <w:rPr>
          <w:rFonts w:eastAsia="Times New Roman" w:cs="Times New Roman"/>
          <w:b/>
          <w:bCs/>
          <w:i/>
          <w:kern w:val="32"/>
          <w:szCs w:val="24"/>
          <w:lang w:eastAsia="en-AU"/>
        </w:rPr>
        <w:t>Escherichia coli</w:t>
      </w:r>
      <w:r w:rsidRPr="00727086">
        <w:rPr>
          <w:rFonts w:eastAsia="Times New Roman" w:cs="Times New Roman"/>
          <w:b/>
          <w:bCs/>
          <w:kern w:val="32"/>
          <w:szCs w:val="24"/>
          <w:lang w:eastAsia="en-AU"/>
        </w:rPr>
        <w:t xml:space="preserve"> K-12</w:t>
      </w:r>
    </w:p>
    <w:p w14:paraId="7DB872FC"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sz w:val="20"/>
          <w:szCs w:val="20"/>
          <w:lang w:bidi="en-US"/>
        </w:rPr>
        <w:t>[2.4]</w:t>
      </w:r>
      <w:r w:rsidRPr="00727086">
        <w:rPr>
          <w:rFonts w:eastAsia="Times New Roman" w:cs="Times New Roman"/>
          <w:sz w:val="20"/>
          <w:szCs w:val="20"/>
          <w:lang w:bidi="en-US"/>
        </w:rPr>
        <w:tab/>
        <w:t>omitting “</w:t>
      </w:r>
      <w:r w:rsidRPr="00727086">
        <w:rPr>
          <w:rFonts w:eastAsia="Times New Roman" w:cs="Times New Roman"/>
          <w:sz w:val="20"/>
          <w:szCs w:val="20"/>
        </w:rPr>
        <w:t>2′-O-fucosyllactose (2′-FL)”</w:t>
      </w:r>
      <w:r w:rsidRPr="00727086">
        <w:rPr>
          <w:rFonts w:eastAsia="Times New Roman" w:cs="Times New Roman"/>
          <w:sz w:val="20"/>
          <w:szCs w:val="20"/>
          <w:lang w:bidi="en-US"/>
        </w:rPr>
        <w:t xml:space="preserve"> in </w:t>
      </w:r>
      <w:r w:rsidRPr="00727086">
        <w:rPr>
          <w:rFonts w:eastAsia="Times New Roman" w:cs="Times New Roman"/>
          <w:sz w:val="20"/>
          <w:szCs w:val="20"/>
        </w:rPr>
        <w:t xml:space="preserve">section </w:t>
      </w:r>
      <w:r w:rsidRPr="00727086">
        <w:rPr>
          <w:rFonts w:eastAsia="Times New Roman" w:cs="Times New Roman"/>
          <w:sz w:val="20"/>
          <w:szCs w:val="20"/>
          <w:lang w:bidi="en-US"/>
        </w:rPr>
        <w:t>S3—40</w:t>
      </w:r>
      <w:r w:rsidRPr="00727086">
        <w:rPr>
          <w:rFonts w:eastAsia="Times New Roman" w:cs="Times New Roman"/>
          <w:sz w:val="20"/>
          <w:szCs w:val="20"/>
        </w:rPr>
        <w:t>, substituting “2′-fucosyllactose (2′</w:t>
      </w:r>
      <w:r w:rsidRPr="00727086">
        <w:rPr>
          <w:rFonts w:eastAsia="Times New Roman" w:cs="Times New Roman"/>
          <w:sz w:val="20"/>
          <w:szCs w:val="20"/>
        </w:rPr>
        <w:noBreakHyphen/>
        <w:t xml:space="preserve">FL) sourced from </w:t>
      </w:r>
      <w:r w:rsidRPr="00727086">
        <w:rPr>
          <w:rFonts w:eastAsia="Times New Roman" w:cs="Times New Roman"/>
          <w:i/>
          <w:sz w:val="20"/>
          <w:szCs w:val="20"/>
        </w:rPr>
        <w:t>Escherichia coli</w:t>
      </w:r>
      <w:r w:rsidRPr="00727086">
        <w:rPr>
          <w:rFonts w:eastAsia="Times New Roman" w:cs="Times New Roman"/>
          <w:sz w:val="20"/>
          <w:szCs w:val="20"/>
        </w:rPr>
        <w:t xml:space="preserve"> K-12”</w:t>
      </w:r>
    </w:p>
    <w:p w14:paraId="28203099"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sz w:val="20"/>
          <w:szCs w:val="20"/>
          <w:lang w:bidi="en-US"/>
        </w:rPr>
        <w:t>[2.5]</w:t>
      </w:r>
      <w:r w:rsidRPr="00727086">
        <w:rPr>
          <w:rFonts w:eastAsia="Times New Roman" w:cs="Times New Roman"/>
          <w:sz w:val="20"/>
          <w:szCs w:val="20"/>
          <w:lang w:bidi="en-US"/>
        </w:rPr>
        <w:tab/>
        <w:t>inserting after subsection S3—44</w:t>
      </w:r>
    </w:p>
    <w:p w14:paraId="75F52B94" w14:textId="77777777" w:rsidR="00727086" w:rsidRPr="00727086" w:rsidRDefault="00727086" w:rsidP="00727086">
      <w:pPr>
        <w:keepNext/>
        <w:spacing w:before="120" w:after="120"/>
        <w:ind w:left="1701" w:hanging="1701"/>
        <w:outlineLvl w:val="4"/>
        <w:rPr>
          <w:rFonts w:eastAsia="Times New Roman" w:cs="Times New Roman"/>
          <w:b/>
          <w:bCs/>
          <w:kern w:val="32"/>
          <w:lang w:eastAsia="en-AU"/>
        </w:rPr>
      </w:pPr>
      <w:r w:rsidRPr="00727086">
        <w:rPr>
          <w:rFonts w:eastAsia="Times New Roman" w:cs="Times New Roman"/>
          <w:b/>
          <w:bCs/>
          <w:kern w:val="32"/>
          <w:szCs w:val="24"/>
          <w:lang w:eastAsia="en-AU"/>
        </w:rPr>
        <w:t>S3—45</w:t>
      </w:r>
      <w:r w:rsidRPr="00727086">
        <w:rPr>
          <w:rFonts w:eastAsia="Times New Roman" w:cs="Times New Roman"/>
          <w:b/>
          <w:bCs/>
          <w:kern w:val="32"/>
          <w:szCs w:val="24"/>
          <w:lang w:eastAsia="en-AU"/>
        </w:rPr>
        <w:tab/>
        <w:t>Specification for 2</w:t>
      </w:r>
      <w:r w:rsidRPr="00727086">
        <w:rPr>
          <w:rFonts w:eastAsia="Times New Roman" w:cs="Arial"/>
          <w:b/>
          <w:bCs/>
          <w:kern w:val="32"/>
          <w:szCs w:val="24"/>
          <w:lang w:eastAsia="en-AU"/>
        </w:rPr>
        <w:t>′</w:t>
      </w:r>
      <w:r w:rsidRPr="00727086">
        <w:rPr>
          <w:rFonts w:eastAsia="Times New Roman" w:cs="Times New Roman"/>
          <w:b/>
          <w:bCs/>
          <w:i/>
          <w:kern w:val="32"/>
          <w:szCs w:val="24"/>
          <w:lang w:eastAsia="en-AU"/>
        </w:rPr>
        <w:t>-</w:t>
      </w:r>
      <w:r w:rsidRPr="00727086">
        <w:rPr>
          <w:rFonts w:eastAsia="Times New Roman" w:cs="Times New Roman"/>
          <w:b/>
          <w:bCs/>
          <w:kern w:val="32"/>
          <w:lang w:eastAsia="en-AU"/>
        </w:rPr>
        <w:t xml:space="preserve">fucosyllactose sourced from </w:t>
      </w:r>
      <w:r w:rsidRPr="00727086">
        <w:rPr>
          <w:rFonts w:eastAsia="Times New Roman" w:cs="Arial"/>
          <w:b/>
          <w:bCs/>
          <w:i/>
          <w:kern w:val="32"/>
          <w:lang w:eastAsia="en-AU"/>
        </w:rPr>
        <w:t>Escherichia coli</w:t>
      </w:r>
      <w:r w:rsidRPr="00727086">
        <w:rPr>
          <w:rFonts w:eastAsia="Times New Roman" w:cs="Times New Roman"/>
          <w:b/>
          <w:bCs/>
          <w:i/>
          <w:kern w:val="32"/>
          <w:lang w:eastAsia="en-AU"/>
        </w:rPr>
        <w:t xml:space="preserve"> </w:t>
      </w:r>
      <w:r w:rsidRPr="00727086">
        <w:rPr>
          <w:rFonts w:eastAsia="Times New Roman" w:cs="Times New Roman"/>
          <w:b/>
          <w:bCs/>
          <w:kern w:val="32"/>
          <w:lang w:eastAsia="en-AU"/>
        </w:rPr>
        <w:t>BL21</w:t>
      </w:r>
    </w:p>
    <w:p w14:paraId="5995D057" w14:textId="77777777" w:rsidR="00727086" w:rsidRPr="00727086" w:rsidRDefault="00727086" w:rsidP="00727086">
      <w:pPr>
        <w:tabs>
          <w:tab w:val="left" w:pos="1134"/>
        </w:tabs>
        <w:spacing w:before="120" w:after="120"/>
        <w:ind w:left="1701"/>
        <w:rPr>
          <w:rFonts w:eastAsia="Times New Roman" w:cs="Arial"/>
          <w:iCs/>
          <w:sz w:val="20"/>
          <w:lang w:eastAsia="en-AU"/>
        </w:rPr>
      </w:pPr>
      <w:r w:rsidRPr="00727086">
        <w:rPr>
          <w:rFonts w:eastAsia="Times New Roman" w:cs="Arial"/>
          <w:iCs/>
          <w:sz w:val="20"/>
          <w:lang w:eastAsia="en-AU"/>
        </w:rPr>
        <w:tab/>
        <w:t xml:space="preserve">For 2′-fucosyllactose (2′-FL) sourced from </w:t>
      </w:r>
      <w:r w:rsidRPr="00727086">
        <w:rPr>
          <w:rFonts w:eastAsia="Times New Roman" w:cs="Arial"/>
          <w:i/>
          <w:iCs/>
          <w:sz w:val="20"/>
          <w:lang w:eastAsia="en-AU"/>
        </w:rPr>
        <w:t>Escherichia coli</w:t>
      </w:r>
      <w:r w:rsidRPr="00727086">
        <w:rPr>
          <w:rFonts w:eastAsia="Times New Roman" w:cs="Arial"/>
          <w:iCs/>
          <w:sz w:val="20"/>
          <w:lang w:eastAsia="en-AU"/>
        </w:rPr>
        <w:t xml:space="preserve"> BL21, the specifications are the following:</w:t>
      </w:r>
    </w:p>
    <w:p w14:paraId="636671F2"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chemical name—α-L-fucopyranosyl-(1→2)-β-D-galactopyranosyl-(1→4)-D-glucopyranose</w:t>
      </w:r>
    </w:p>
    <w:p w14:paraId="6C2E30AC"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chemical formula—</w:t>
      </w:r>
      <w:r w:rsidRPr="00727086">
        <w:rPr>
          <w:rFonts w:eastAsia="Times New Roman" w:cs="Arial"/>
          <w:iCs/>
          <w:sz w:val="20"/>
          <w:lang w:val="en" w:eastAsia="en-AU" w:bidi="en-US"/>
        </w:rPr>
        <w:t>C</w:t>
      </w:r>
      <w:r w:rsidRPr="00727086">
        <w:rPr>
          <w:rFonts w:eastAsia="Times New Roman" w:cs="Arial"/>
          <w:iCs/>
          <w:sz w:val="20"/>
          <w:vertAlign w:val="subscript"/>
          <w:lang w:val="en" w:eastAsia="en-AU" w:bidi="en-US"/>
        </w:rPr>
        <w:t>18</w:t>
      </w:r>
      <w:r w:rsidRPr="00727086">
        <w:rPr>
          <w:rFonts w:eastAsia="Times New Roman" w:cs="Arial"/>
          <w:iCs/>
          <w:sz w:val="20"/>
          <w:lang w:val="en" w:eastAsia="en-AU" w:bidi="en-US"/>
        </w:rPr>
        <w:t>H</w:t>
      </w:r>
      <w:r w:rsidRPr="00727086">
        <w:rPr>
          <w:rFonts w:eastAsia="Times New Roman" w:cs="Arial"/>
          <w:iCs/>
          <w:sz w:val="20"/>
          <w:vertAlign w:val="subscript"/>
          <w:lang w:val="en" w:eastAsia="en-AU" w:bidi="en-US"/>
        </w:rPr>
        <w:t>32</w:t>
      </w:r>
      <w:r w:rsidRPr="00727086">
        <w:rPr>
          <w:rFonts w:eastAsia="Times New Roman" w:cs="Arial"/>
          <w:iCs/>
          <w:sz w:val="20"/>
          <w:lang w:val="en" w:eastAsia="en-AU" w:bidi="en-US"/>
        </w:rPr>
        <w:t>O</w:t>
      </w:r>
      <w:r w:rsidRPr="00727086">
        <w:rPr>
          <w:rFonts w:eastAsia="Times New Roman" w:cs="Arial"/>
          <w:iCs/>
          <w:sz w:val="20"/>
          <w:vertAlign w:val="subscript"/>
          <w:lang w:val="en" w:eastAsia="en-AU" w:bidi="en-US"/>
        </w:rPr>
        <w:t>15</w:t>
      </w:r>
    </w:p>
    <w:p w14:paraId="430E1592"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CAS number—41263-94-9</w:t>
      </w:r>
    </w:p>
    <w:p w14:paraId="0E5E48DA"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description—either a white to ivory powder, or a colourless to slightly yellow liquid</w:t>
      </w:r>
    </w:p>
    <w:p w14:paraId="521D7942"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2′-FL—not less than 90.0%</w:t>
      </w:r>
    </w:p>
    <w:p w14:paraId="4FC1BD4E"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D-lactose—not more than 5.0%</w:t>
      </w:r>
    </w:p>
    <w:p w14:paraId="56883B7E"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L-fucose—not more than 3.0%</w:t>
      </w:r>
    </w:p>
    <w:p w14:paraId="435F28AA"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3-fucosyllactose—not more than 5.0%</w:t>
      </w:r>
    </w:p>
    <w:p w14:paraId="34A7DE12"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lastRenderedPageBreak/>
        <w:t>difucosyllactose—not more than 5.0%</w:t>
      </w:r>
    </w:p>
    <w:p w14:paraId="26FF29FD"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fucosyl-galactose—not more than 3.0%</w:t>
      </w:r>
    </w:p>
    <w:p w14:paraId="25FA9366"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glucose—not more than 3.0%</w:t>
      </w:r>
    </w:p>
    <w:p w14:paraId="18F56448"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galactose—not more than 3.0%</w:t>
      </w:r>
    </w:p>
    <w:p w14:paraId="1914E8CA"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water—not more than 9.0% for powder, not applicable for liquid</w:t>
      </w:r>
    </w:p>
    <w:p w14:paraId="52333D90"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solids—45% w/v (± 5%) dry matter in water, not applicable for powder</w:t>
      </w:r>
    </w:p>
    <w:p w14:paraId="12CD8F4A"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ash, sulphated—not more than 0.5%</w:t>
      </w:r>
    </w:p>
    <w:p w14:paraId="72FEB26B"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residual proteins—not more than 0.01%</w:t>
      </w:r>
    </w:p>
    <w:p w14:paraId="300F96FA"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lead—not more than 0.02 mg/kg</w:t>
      </w:r>
    </w:p>
    <w:p w14:paraId="611FC212"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arsenic—not more than 0.2 mg/kg</w:t>
      </w:r>
    </w:p>
    <w:p w14:paraId="1A6510CC"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cadmium—not more than 0.1 mg/kg</w:t>
      </w:r>
    </w:p>
    <w:p w14:paraId="324216EF"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mercury—not more than 0.5 mg/kg</w:t>
      </w:r>
    </w:p>
    <w:p w14:paraId="2C76AAD6" w14:textId="77777777" w:rsidR="00727086" w:rsidRPr="00727086" w:rsidRDefault="00727086" w:rsidP="00727086">
      <w:pPr>
        <w:widowControl w:val="0"/>
        <w:numPr>
          <w:ilvl w:val="0"/>
          <w:numId w:val="14"/>
        </w:numPr>
        <w:tabs>
          <w:tab w:val="left" w:pos="1701"/>
        </w:tabs>
        <w:spacing w:before="120" w:after="120"/>
        <w:ind w:left="2268" w:hanging="566"/>
        <w:rPr>
          <w:rFonts w:eastAsia="Times New Roman" w:cs="Arial"/>
          <w:iCs/>
          <w:sz w:val="20"/>
          <w:lang w:eastAsia="en-AU" w:bidi="en-US"/>
        </w:rPr>
      </w:pPr>
      <w:r w:rsidRPr="00727086">
        <w:rPr>
          <w:rFonts w:eastAsia="Times New Roman" w:cs="Arial"/>
          <w:iCs/>
          <w:sz w:val="20"/>
          <w:lang w:eastAsia="en-AU" w:bidi="en-US"/>
        </w:rPr>
        <w:t>microbiological:</w:t>
      </w:r>
    </w:p>
    <w:p w14:paraId="5F84AFAD" w14:textId="77777777" w:rsidR="00727086" w:rsidRPr="00727086" w:rsidRDefault="00727086" w:rsidP="00727086">
      <w:pPr>
        <w:widowControl w:val="0"/>
        <w:numPr>
          <w:ilvl w:val="0"/>
          <w:numId w:val="15"/>
        </w:numPr>
        <w:tabs>
          <w:tab w:val="left" w:pos="2835"/>
        </w:tabs>
        <w:spacing w:before="120" w:after="120"/>
        <w:ind w:left="2268" w:firstLine="0"/>
        <w:rPr>
          <w:rFonts w:eastAsia="Times New Roman" w:cs="Arial"/>
          <w:iCs/>
          <w:sz w:val="20"/>
          <w:lang w:eastAsia="en-AU" w:bidi="en-US"/>
        </w:rPr>
      </w:pPr>
      <w:r w:rsidRPr="00727086">
        <w:rPr>
          <w:rFonts w:eastAsia="Times New Roman" w:cs="Arial"/>
          <w:i/>
          <w:iCs/>
          <w:sz w:val="20"/>
          <w:lang w:eastAsia="en-AU" w:bidi="en-US"/>
        </w:rPr>
        <w:t>Salmonella</w:t>
      </w:r>
      <w:r w:rsidRPr="00727086">
        <w:rPr>
          <w:rFonts w:eastAsia="Times New Roman" w:cs="Arial"/>
          <w:iCs/>
          <w:sz w:val="20"/>
          <w:lang w:eastAsia="en-AU" w:bidi="en-US"/>
        </w:rPr>
        <w:t>—absent in 100 g for powder, absent in 200 mL for liquid</w:t>
      </w:r>
    </w:p>
    <w:p w14:paraId="00547B2F" w14:textId="77777777" w:rsidR="00727086" w:rsidRPr="00727086" w:rsidRDefault="00727086" w:rsidP="00727086">
      <w:pPr>
        <w:widowControl w:val="0"/>
        <w:numPr>
          <w:ilvl w:val="0"/>
          <w:numId w:val="15"/>
        </w:numPr>
        <w:tabs>
          <w:tab w:val="left" w:pos="2835"/>
        </w:tabs>
        <w:spacing w:before="120" w:after="120"/>
        <w:ind w:left="2835" w:hanging="567"/>
        <w:rPr>
          <w:rFonts w:eastAsia="Times New Roman" w:cs="Arial"/>
          <w:iCs/>
          <w:sz w:val="20"/>
          <w:lang w:eastAsia="en-AU" w:bidi="en-US"/>
        </w:rPr>
      </w:pPr>
      <w:r w:rsidRPr="00727086">
        <w:rPr>
          <w:rFonts w:eastAsia="Times New Roman" w:cs="Arial"/>
          <w:iCs/>
          <w:sz w:val="20"/>
          <w:lang w:eastAsia="en-AU" w:bidi="en-US"/>
        </w:rPr>
        <w:t xml:space="preserve">total plate count—not more than 10000 cfu/g for powder, not more than 5000 cfu/g for liquid  </w:t>
      </w:r>
    </w:p>
    <w:p w14:paraId="44066CCD" w14:textId="77777777" w:rsidR="00727086" w:rsidRPr="00727086" w:rsidRDefault="00727086" w:rsidP="00727086">
      <w:pPr>
        <w:widowControl w:val="0"/>
        <w:numPr>
          <w:ilvl w:val="0"/>
          <w:numId w:val="15"/>
        </w:numPr>
        <w:tabs>
          <w:tab w:val="left" w:pos="2835"/>
        </w:tabs>
        <w:spacing w:before="120" w:after="120"/>
        <w:ind w:left="2835" w:hanging="567"/>
        <w:rPr>
          <w:rFonts w:eastAsia="Times New Roman" w:cs="Arial"/>
          <w:iCs/>
          <w:sz w:val="20"/>
          <w:lang w:eastAsia="en-AU" w:bidi="en-US"/>
        </w:rPr>
      </w:pPr>
      <w:r w:rsidRPr="00727086">
        <w:rPr>
          <w:rFonts w:eastAsia="Times New Roman" w:cs="Arial"/>
          <w:iCs/>
          <w:sz w:val="20"/>
          <w:lang w:eastAsia="en-AU" w:bidi="en-US"/>
        </w:rPr>
        <w:t>coliform/Enterobacteriaceae—absent in 11 g for powder, absent in 22 mL for liquid</w:t>
      </w:r>
    </w:p>
    <w:p w14:paraId="4588CD30" w14:textId="77777777" w:rsidR="00727086" w:rsidRPr="00727086" w:rsidRDefault="00727086" w:rsidP="00727086">
      <w:pPr>
        <w:widowControl w:val="0"/>
        <w:numPr>
          <w:ilvl w:val="0"/>
          <w:numId w:val="15"/>
        </w:numPr>
        <w:tabs>
          <w:tab w:val="left" w:pos="2835"/>
        </w:tabs>
        <w:spacing w:before="120" w:after="120"/>
        <w:ind w:left="2835" w:hanging="567"/>
        <w:rPr>
          <w:rFonts w:eastAsia="Times New Roman" w:cs="Arial"/>
          <w:iCs/>
          <w:sz w:val="20"/>
          <w:lang w:eastAsia="en-AU" w:bidi="en-US"/>
        </w:rPr>
      </w:pPr>
      <w:r w:rsidRPr="00727086">
        <w:rPr>
          <w:rFonts w:eastAsia="Times New Roman" w:cs="Arial"/>
          <w:i/>
          <w:iCs/>
          <w:sz w:val="20"/>
          <w:lang w:eastAsia="en-AU" w:bidi="en-US"/>
        </w:rPr>
        <w:t>Cronobacter sakazakii</w:t>
      </w:r>
      <w:r w:rsidRPr="00727086">
        <w:rPr>
          <w:rFonts w:eastAsia="Times New Roman" w:cs="Arial"/>
          <w:iCs/>
          <w:sz w:val="20"/>
          <w:lang w:eastAsia="en-AU" w:bidi="en-US"/>
        </w:rPr>
        <w:t>—absent in 100 g for powder, absent in 200 mL for liquid</w:t>
      </w:r>
    </w:p>
    <w:p w14:paraId="2C349510" w14:textId="77777777" w:rsidR="00727086" w:rsidRPr="00727086" w:rsidRDefault="00727086" w:rsidP="00727086">
      <w:pPr>
        <w:widowControl w:val="0"/>
        <w:numPr>
          <w:ilvl w:val="0"/>
          <w:numId w:val="15"/>
        </w:numPr>
        <w:tabs>
          <w:tab w:val="left" w:pos="2835"/>
        </w:tabs>
        <w:spacing w:before="120" w:after="120"/>
        <w:ind w:left="2835" w:hanging="567"/>
        <w:rPr>
          <w:rFonts w:eastAsia="Times New Roman" w:cs="Arial"/>
          <w:iCs/>
          <w:sz w:val="20"/>
          <w:lang w:eastAsia="en-AU" w:bidi="en-US"/>
        </w:rPr>
      </w:pPr>
      <w:r w:rsidRPr="00727086">
        <w:rPr>
          <w:rFonts w:eastAsia="Times New Roman" w:cs="Arial"/>
          <w:iCs/>
          <w:sz w:val="20"/>
          <w:lang w:eastAsia="en-AU" w:bidi="en-US"/>
        </w:rPr>
        <w:t>yeast and mould—not more than 100 cfu/g for powder, not more than 50 cfu/g for liquid</w:t>
      </w:r>
    </w:p>
    <w:p w14:paraId="78474C7E" w14:textId="77777777" w:rsidR="00727086" w:rsidRPr="00727086" w:rsidRDefault="00727086" w:rsidP="00727086">
      <w:pPr>
        <w:widowControl w:val="0"/>
        <w:numPr>
          <w:ilvl w:val="0"/>
          <w:numId w:val="15"/>
        </w:numPr>
        <w:tabs>
          <w:tab w:val="left" w:pos="2835"/>
        </w:tabs>
        <w:spacing w:before="120" w:after="120"/>
        <w:ind w:left="2268" w:firstLine="0"/>
        <w:rPr>
          <w:rFonts w:eastAsia="Times New Roman" w:cs="Arial"/>
          <w:iCs/>
          <w:sz w:val="20"/>
          <w:lang w:eastAsia="en-AU" w:bidi="en-US"/>
        </w:rPr>
      </w:pPr>
      <w:r w:rsidRPr="00727086">
        <w:rPr>
          <w:rFonts w:eastAsia="Times New Roman" w:cs="Arial"/>
          <w:iCs/>
          <w:sz w:val="20"/>
          <w:lang w:eastAsia="en-AU" w:bidi="en-US"/>
        </w:rPr>
        <w:t xml:space="preserve">aflatoxin M1—not more than 0.025 μg/kg </w:t>
      </w:r>
    </w:p>
    <w:p w14:paraId="624E7B20" w14:textId="77777777" w:rsidR="00727086" w:rsidRPr="00727086" w:rsidRDefault="00727086" w:rsidP="00727086">
      <w:pPr>
        <w:widowControl w:val="0"/>
        <w:numPr>
          <w:ilvl w:val="0"/>
          <w:numId w:val="15"/>
        </w:numPr>
        <w:tabs>
          <w:tab w:val="left" w:pos="2268"/>
          <w:tab w:val="left" w:pos="2835"/>
        </w:tabs>
        <w:spacing w:before="120" w:after="120"/>
        <w:ind w:left="2268" w:firstLine="0"/>
        <w:rPr>
          <w:rFonts w:eastAsia="Times New Roman" w:cs="Arial"/>
          <w:iCs/>
          <w:sz w:val="20"/>
          <w:lang w:eastAsia="en-AU" w:bidi="en-US"/>
        </w:rPr>
      </w:pPr>
      <w:r w:rsidRPr="00727086">
        <w:rPr>
          <w:rFonts w:eastAsia="Times New Roman" w:cs="Arial"/>
          <w:iCs/>
          <w:sz w:val="20"/>
          <w:lang w:eastAsia="en-AU" w:bidi="en-US"/>
        </w:rPr>
        <w:t>endotoxins—not more than 10 EU/mg</w:t>
      </w:r>
    </w:p>
    <w:p w14:paraId="77D6767A" w14:textId="77777777" w:rsidR="00727086" w:rsidRPr="00727086" w:rsidRDefault="00727086" w:rsidP="00727086">
      <w:pPr>
        <w:widowControl w:val="0"/>
        <w:numPr>
          <w:ilvl w:val="0"/>
          <w:numId w:val="15"/>
        </w:numPr>
        <w:tabs>
          <w:tab w:val="left" w:pos="2268"/>
          <w:tab w:val="left" w:pos="2835"/>
        </w:tabs>
        <w:spacing w:before="120" w:after="120"/>
        <w:ind w:left="2268" w:firstLine="0"/>
        <w:rPr>
          <w:rFonts w:eastAsia="Times New Roman" w:cs="Arial"/>
          <w:iCs/>
          <w:sz w:val="20"/>
          <w:lang w:eastAsia="en-AU" w:bidi="en-US"/>
        </w:rPr>
      </w:pPr>
      <w:r w:rsidRPr="00727086">
        <w:rPr>
          <w:rFonts w:eastAsia="Times New Roman" w:cs="Arial"/>
          <w:iCs/>
          <w:sz w:val="20"/>
          <w:lang w:eastAsia="en-AU" w:bidi="en-US"/>
        </w:rPr>
        <w:t>GMO detection—not detected.</w:t>
      </w:r>
    </w:p>
    <w:p w14:paraId="798C302F" w14:textId="77777777" w:rsidR="00727086" w:rsidRPr="00727086" w:rsidRDefault="00727086" w:rsidP="00727086">
      <w:pPr>
        <w:tabs>
          <w:tab w:val="left" w:pos="851"/>
        </w:tabs>
        <w:spacing w:before="120" w:after="120"/>
        <w:rPr>
          <w:rFonts w:eastAsia="Times New Roman" w:cs="Times New Roman"/>
          <w:sz w:val="20"/>
          <w:szCs w:val="20"/>
          <w:lang w:bidi="en-US"/>
        </w:rPr>
      </w:pPr>
      <w:r w:rsidRPr="00727086">
        <w:rPr>
          <w:rFonts w:eastAsia="Times New Roman" w:cs="Times New Roman"/>
          <w:b/>
          <w:sz w:val="20"/>
          <w:szCs w:val="20"/>
          <w:lang w:bidi="en-US"/>
        </w:rPr>
        <w:t>[3]</w:t>
      </w:r>
      <w:r w:rsidRPr="00727086">
        <w:rPr>
          <w:rFonts w:eastAsia="Times New Roman" w:cs="Times New Roman"/>
          <w:b/>
          <w:sz w:val="20"/>
          <w:szCs w:val="20"/>
          <w:lang w:bidi="en-US"/>
        </w:rPr>
        <w:tab/>
        <w:t>Schedule 26</w:t>
      </w:r>
      <w:r w:rsidRPr="00727086">
        <w:rPr>
          <w:rFonts w:eastAsia="Times New Roman" w:cs="Times New Roman"/>
          <w:sz w:val="20"/>
          <w:szCs w:val="20"/>
          <w:lang w:bidi="en-US"/>
        </w:rPr>
        <w:t xml:space="preserve"> is </w:t>
      </w:r>
      <w:r w:rsidRPr="00727086">
        <w:rPr>
          <w:rFonts w:eastAsia="Times New Roman" w:cs="Times New Roman"/>
          <w:sz w:val="20"/>
          <w:szCs w:val="20"/>
        </w:rPr>
        <w:t>varied</w:t>
      </w:r>
      <w:r w:rsidRPr="00727086">
        <w:rPr>
          <w:rFonts w:eastAsia="Times New Roman" w:cs="Times New Roman"/>
          <w:sz w:val="20"/>
          <w:szCs w:val="20"/>
          <w:lang w:bidi="en-US"/>
        </w:rPr>
        <w:t xml:space="preserve"> by </w:t>
      </w:r>
    </w:p>
    <w:p w14:paraId="122183AC" w14:textId="77777777" w:rsidR="00727086" w:rsidRPr="00727086" w:rsidRDefault="00727086" w:rsidP="00727086">
      <w:pPr>
        <w:tabs>
          <w:tab w:val="left" w:pos="851"/>
        </w:tabs>
        <w:spacing w:before="120" w:after="120"/>
        <w:rPr>
          <w:rFonts w:eastAsia="Times New Roman" w:cs="Times New Roman"/>
          <w:sz w:val="20"/>
          <w:szCs w:val="20"/>
        </w:rPr>
      </w:pPr>
      <w:r w:rsidRPr="00727086">
        <w:rPr>
          <w:rFonts w:eastAsia="Times New Roman" w:cs="Times New Roman"/>
          <w:sz w:val="20"/>
          <w:szCs w:val="20"/>
          <w:lang w:bidi="en-US"/>
        </w:rPr>
        <w:t>[3.1]</w:t>
      </w:r>
      <w:r w:rsidRPr="00727086">
        <w:rPr>
          <w:rFonts w:eastAsia="Times New Roman" w:cs="Times New Roman"/>
          <w:sz w:val="20"/>
          <w:szCs w:val="20"/>
          <w:lang w:bidi="en-US"/>
        </w:rPr>
        <w:tab/>
        <w:t>omitting item 1 in the table to subsection S</w:t>
      </w:r>
      <w:r w:rsidRPr="00727086">
        <w:rPr>
          <w:rFonts w:eastAsia="Times New Roman" w:cs="Times New Roman"/>
          <w:sz w:val="20"/>
          <w:szCs w:val="20"/>
        </w:rPr>
        <w:t>26—3</w:t>
      </w:r>
      <w:r w:rsidRPr="00727086">
        <w:rPr>
          <w:rFonts w:eastAsia="Times New Roman" w:cs="Times New Roman"/>
          <w:sz w:val="20"/>
          <w:szCs w:val="20"/>
          <w:lang w:bidi="en-US"/>
        </w:rPr>
        <w:t>(7), substituting</w:t>
      </w:r>
    </w:p>
    <w:tbl>
      <w:tblPr>
        <w:tblW w:w="9356" w:type="dxa"/>
        <w:tblLayout w:type="fixed"/>
        <w:tblCellMar>
          <w:left w:w="0" w:type="dxa"/>
          <w:right w:w="0" w:type="dxa"/>
        </w:tblCellMar>
        <w:tblLook w:val="04A0" w:firstRow="1" w:lastRow="0" w:firstColumn="1" w:lastColumn="0" w:noHBand="0" w:noVBand="1"/>
      </w:tblPr>
      <w:tblGrid>
        <w:gridCol w:w="284"/>
        <w:gridCol w:w="2126"/>
        <w:gridCol w:w="2693"/>
        <w:gridCol w:w="993"/>
        <w:gridCol w:w="3260"/>
      </w:tblGrid>
      <w:tr w:rsidR="00727086" w:rsidRPr="00727086" w14:paraId="7D806A5A" w14:textId="77777777" w:rsidTr="00F261A2">
        <w:trPr>
          <w:cantSplit/>
          <w:trHeight w:val="329"/>
        </w:trPr>
        <w:tc>
          <w:tcPr>
            <w:tcW w:w="284" w:type="dxa"/>
            <w:tcBorders>
              <w:top w:val="nil"/>
              <w:left w:val="nil"/>
              <w:right w:val="nil"/>
            </w:tcBorders>
            <w:tcMar>
              <w:top w:w="0" w:type="dxa"/>
              <w:left w:w="108" w:type="dxa"/>
              <w:bottom w:w="0" w:type="dxa"/>
              <w:right w:w="108" w:type="dxa"/>
            </w:tcMar>
            <w:hideMark/>
          </w:tcPr>
          <w:p w14:paraId="2AC5160F" w14:textId="77777777" w:rsidR="00727086" w:rsidRPr="00727086" w:rsidRDefault="00727086" w:rsidP="00727086">
            <w:pPr>
              <w:spacing w:before="120" w:after="120"/>
              <w:rPr>
                <w:rFonts w:eastAsia="Times New Roman" w:cs="Arial"/>
                <w:sz w:val="18"/>
                <w:szCs w:val="18"/>
                <w:lang w:eastAsia="en-GB" w:bidi="en-US"/>
              </w:rPr>
            </w:pPr>
            <w:r w:rsidRPr="00727086">
              <w:rPr>
                <w:rFonts w:eastAsia="Times New Roman" w:cs="Arial"/>
                <w:b/>
                <w:bCs/>
                <w:sz w:val="18"/>
                <w:szCs w:val="18"/>
                <w:lang w:eastAsia="en-GB" w:bidi="en-US"/>
              </w:rPr>
              <w:t>1</w:t>
            </w:r>
          </w:p>
        </w:tc>
        <w:tc>
          <w:tcPr>
            <w:tcW w:w="2126" w:type="dxa"/>
            <w:tcBorders>
              <w:top w:val="nil"/>
              <w:left w:val="nil"/>
              <w:right w:val="nil"/>
            </w:tcBorders>
            <w:tcMar>
              <w:top w:w="0" w:type="dxa"/>
              <w:left w:w="108" w:type="dxa"/>
              <w:bottom w:w="0" w:type="dxa"/>
              <w:right w:w="108" w:type="dxa"/>
            </w:tcMar>
            <w:hideMark/>
          </w:tcPr>
          <w:p w14:paraId="65EBF63E" w14:textId="77777777" w:rsidR="00727086" w:rsidRPr="00727086" w:rsidRDefault="00727086" w:rsidP="00727086">
            <w:pPr>
              <w:spacing w:before="120" w:after="120"/>
              <w:rPr>
                <w:rFonts w:eastAsia="Times New Roman" w:cs="Arial"/>
                <w:sz w:val="18"/>
                <w:szCs w:val="18"/>
                <w:lang w:eastAsia="en-GB" w:bidi="en-US"/>
              </w:rPr>
            </w:pPr>
            <w:r w:rsidRPr="00727086">
              <w:rPr>
                <w:rFonts w:eastAsia="Times New Roman" w:cs="Arial"/>
                <w:b/>
                <w:bCs/>
                <w:sz w:val="18"/>
                <w:szCs w:val="18"/>
                <w:lang w:eastAsia="en-GB" w:bidi="en-US"/>
              </w:rPr>
              <w:t>2′-fucosyllactose</w:t>
            </w:r>
          </w:p>
        </w:tc>
        <w:tc>
          <w:tcPr>
            <w:tcW w:w="2693" w:type="dxa"/>
            <w:tcBorders>
              <w:top w:val="nil"/>
              <w:left w:val="nil"/>
              <w:right w:val="nil"/>
            </w:tcBorders>
            <w:hideMark/>
          </w:tcPr>
          <w:p w14:paraId="28529C97" w14:textId="77777777" w:rsidR="00727086" w:rsidRPr="00727086" w:rsidRDefault="00727086" w:rsidP="00727086">
            <w:pPr>
              <w:widowControl w:val="0"/>
              <w:numPr>
                <w:ilvl w:val="0"/>
                <w:numId w:val="16"/>
              </w:numPr>
              <w:spacing w:before="120" w:after="120"/>
              <w:ind w:left="423" w:right="36" w:hanging="286"/>
              <w:rPr>
                <w:rFonts w:eastAsia="Times New Roman" w:cs="Arial"/>
                <w:sz w:val="18"/>
                <w:szCs w:val="18"/>
                <w:lang w:eastAsia="en-GB" w:bidi="en-US"/>
              </w:rPr>
            </w:pPr>
            <w:r w:rsidRPr="00727086">
              <w:rPr>
                <w:rFonts w:eastAsia="Times New Roman" w:cs="Arial"/>
                <w:i/>
                <w:sz w:val="18"/>
                <w:szCs w:val="18"/>
                <w:lang w:eastAsia="en-GB" w:bidi="en-US"/>
              </w:rPr>
              <w:t>Escherichia coli</w:t>
            </w:r>
            <w:r w:rsidRPr="00727086">
              <w:rPr>
                <w:rFonts w:eastAsia="Times New Roman" w:cs="Arial"/>
                <w:sz w:val="18"/>
                <w:szCs w:val="18"/>
                <w:lang w:eastAsia="en-GB" w:bidi="en-US"/>
              </w:rPr>
              <w:t xml:space="preserve"> K-12 containing the gene for alpha-1,2-fucosyltransferase from </w:t>
            </w:r>
            <w:r w:rsidRPr="00727086">
              <w:rPr>
                <w:rFonts w:eastAsia="Times New Roman" w:cs="Arial"/>
                <w:i/>
                <w:sz w:val="18"/>
                <w:szCs w:val="18"/>
                <w:lang w:eastAsia="en-GB" w:bidi="en-US"/>
              </w:rPr>
              <w:t>Helicobacter pylori</w:t>
            </w:r>
          </w:p>
        </w:tc>
        <w:tc>
          <w:tcPr>
            <w:tcW w:w="993" w:type="dxa"/>
            <w:tcBorders>
              <w:top w:val="nil"/>
              <w:left w:val="nil"/>
              <w:right w:val="nil"/>
            </w:tcBorders>
            <w:tcMar>
              <w:top w:w="0" w:type="dxa"/>
              <w:left w:w="108" w:type="dxa"/>
              <w:bottom w:w="0" w:type="dxa"/>
              <w:right w:w="108" w:type="dxa"/>
            </w:tcMar>
            <w:hideMark/>
          </w:tcPr>
          <w:p w14:paraId="044E0E32" w14:textId="77777777" w:rsidR="00727086" w:rsidRPr="00727086" w:rsidRDefault="00727086" w:rsidP="00727086">
            <w:pPr>
              <w:spacing w:before="120" w:after="120"/>
              <w:rPr>
                <w:rFonts w:eastAsia="Times New Roman" w:cs="Arial"/>
                <w:sz w:val="18"/>
                <w:szCs w:val="18"/>
                <w:lang w:eastAsia="en-GB" w:bidi="en-US"/>
              </w:rPr>
            </w:pPr>
          </w:p>
        </w:tc>
        <w:tc>
          <w:tcPr>
            <w:tcW w:w="3260" w:type="dxa"/>
            <w:tcBorders>
              <w:top w:val="nil"/>
              <w:left w:val="nil"/>
              <w:right w:val="nil"/>
            </w:tcBorders>
            <w:hideMark/>
          </w:tcPr>
          <w:p w14:paraId="418356A0" w14:textId="77777777" w:rsidR="00727086" w:rsidRPr="00727086" w:rsidRDefault="00727086" w:rsidP="00727086">
            <w:pPr>
              <w:widowControl w:val="0"/>
              <w:numPr>
                <w:ilvl w:val="0"/>
                <w:numId w:val="17"/>
              </w:numPr>
              <w:spacing w:before="120" w:after="120"/>
              <w:ind w:left="305" w:right="34" w:hanging="283"/>
              <w:rPr>
                <w:rFonts w:eastAsia="Times New Roman" w:cs="Arial"/>
                <w:sz w:val="18"/>
                <w:szCs w:val="18"/>
                <w:lang w:eastAsia="en-GB" w:bidi="en-US"/>
              </w:rPr>
            </w:pPr>
            <w:r w:rsidRPr="00727086">
              <w:rPr>
                <w:rFonts w:eastAsia="Times New Roman" w:cs="Arial"/>
                <w:sz w:val="18"/>
                <w:szCs w:val="18"/>
                <w:lang w:eastAsia="en-AU" w:bidi="en-US"/>
              </w:rPr>
              <w:t>May only be added to infant formula products</w:t>
            </w:r>
            <w:r w:rsidRPr="00727086">
              <w:rPr>
                <w:rFonts w:eastAsia="Times New Roman" w:cs="Times New Roman"/>
                <w:sz w:val="18"/>
                <w:szCs w:val="18"/>
                <w:lang w:bidi="en-US"/>
              </w:rPr>
              <w:t>.</w:t>
            </w:r>
          </w:p>
          <w:p w14:paraId="669F1662" w14:textId="77777777" w:rsidR="00727086" w:rsidRPr="00727086" w:rsidRDefault="00727086" w:rsidP="00727086">
            <w:pPr>
              <w:widowControl w:val="0"/>
              <w:numPr>
                <w:ilvl w:val="0"/>
                <w:numId w:val="17"/>
              </w:numPr>
              <w:spacing w:before="120" w:after="120"/>
              <w:ind w:left="305" w:right="36" w:hanging="283"/>
              <w:rPr>
                <w:rFonts w:eastAsia="Times New Roman" w:cs="Arial"/>
                <w:sz w:val="18"/>
                <w:szCs w:val="18"/>
                <w:lang w:eastAsia="en-GB" w:bidi="en-US"/>
              </w:rPr>
            </w:pPr>
            <w:r w:rsidRPr="00727086">
              <w:rPr>
                <w:rFonts w:eastAsia="Times New Roman" w:cs="Arial"/>
                <w:sz w:val="18"/>
                <w:szCs w:val="18"/>
                <w:lang w:eastAsia="en-GB" w:bidi="en-US"/>
              </w:rPr>
              <w:t xml:space="preserve">During the </w:t>
            </w:r>
            <w:r w:rsidRPr="00727086">
              <w:rPr>
                <w:rFonts w:eastAsia="Times New Roman" w:cs="Times New Roman"/>
                <w:sz w:val="18"/>
                <w:szCs w:val="18"/>
                <w:lang w:bidi="en-US"/>
              </w:rPr>
              <w:t xml:space="preserve">exclusive use period, may only be sold under </w:t>
            </w:r>
            <w:r w:rsidRPr="00727086">
              <w:rPr>
                <w:rFonts w:eastAsia="Times New Roman" w:cs="Arial"/>
                <w:sz w:val="18"/>
                <w:szCs w:val="18"/>
                <w:lang w:eastAsia="en-AU" w:bidi="en-US"/>
              </w:rPr>
              <w:t>the brand GlyCare.</w:t>
            </w:r>
          </w:p>
          <w:p w14:paraId="002A9AC7" w14:textId="77777777" w:rsidR="00727086" w:rsidRPr="00727086" w:rsidRDefault="00727086" w:rsidP="00727086">
            <w:pPr>
              <w:widowControl w:val="0"/>
              <w:numPr>
                <w:ilvl w:val="0"/>
                <w:numId w:val="17"/>
              </w:numPr>
              <w:spacing w:before="120" w:after="120"/>
              <w:ind w:left="305" w:right="36" w:hanging="283"/>
              <w:rPr>
                <w:rFonts w:eastAsia="Times New Roman" w:cs="Arial"/>
                <w:sz w:val="18"/>
                <w:szCs w:val="18"/>
                <w:lang w:eastAsia="en-GB" w:bidi="en-US"/>
              </w:rPr>
            </w:pPr>
            <w:r w:rsidRPr="00727086">
              <w:rPr>
                <w:rFonts w:eastAsia="Times New Roman" w:cs="Times New Roman"/>
                <w:sz w:val="18"/>
                <w:szCs w:val="18"/>
                <w:lang w:bidi="en-US"/>
              </w:rPr>
              <w:t xml:space="preserve">For the purposes of condition 2 above, </w:t>
            </w:r>
            <w:r w:rsidRPr="00727086">
              <w:rPr>
                <w:rFonts w:eastAsia="Times New Roman" w:cs="Times New Roman"/>
                <w:b/>
                <w:sz w:val="18"/>
                <w:szCs w:val="18"/>
                <w:lang w:bidi="en-US"/>
              </w:rPr>
              <w:t>exclusive use period</w:t>
            </w:r>
            <w:r w:rsidRPr="00727086">
              <w:rPr>
                <w:rFonts w:eastAsia="Times New Roman" w:cs="Times New Roman"/>
                <w:sz w:val="18"/>
                <w:szCs w:val="18"/>
                <w:lang w:bidi="en-US"/>
              </w:rPr>
              <w:t xml:space="preserve"> means the period commencing on the date of gazettal of the </w:t>
            </w:r>
            <w:r w:rsidRPr="00727086">
              <w:rPr>
                <w:rFonts w:eastAsia="Times New Roman" w:cs="Times New Roman"/>
                <w:i/>
                <w:sz w:val="18"/>
                <w:szCs w:val="18"/>
                <w:lang w:bidi="en-US"/>
              </w:rPr>
              <w:t>Food Standards (Application A1155 – 2</w:t>
            </w:r>
            <w:r w:rsidRPr="00727086">
              <w:rPr>
                <w:rFonts w:eastAsia="Times New Roman" w:cs="Arial"/>
                <w:i/>
                <w:sz w:val="18"/>
                <w:szCs w:val="18"/>
                <w:lang w:bidi="en-US"/>
              </w:rPr>
              <w:t>′</w:t>
            </w:r>
            <w:r w:rsidRPr="00727086">
              <w:rPr>
                <w:rFonts w:eastAsia="Times New Roman" w:cs="Times New Roman"/>
                <w:i/>
                <w:sz w:val="18"/>
                <w:szCs w:val="18"/>
                <w:lang w:bidi="en-US"/>
              </w:rPr>
              <w:t>-FL and LNnT in infant formula and other products) Variation</w:t>
            </w:r>
            <w:r w:rsidRPr="00727086">
              <w:rPr>
                <w:rFonts w:eastAsia="Times New Roman" w:cs="Times New Roman"/>
                <w:sz w:val="18"/>
                <w:szCs w:val="18"/>
                <w:lang w:bidi="en-US"/>
              </w:rPr>
              <w:t xml:space="preserve"> and ending 15 months after that date.</w:t>
            </w:r>
          </w:p>
        </w:tc>
      </w:tr>
      <w:tr w:rsidR="00727086" w:rsidRPr="00727086" w14:paraId="01117F79" w14:textId="77777777" w:rsidTr="00F261A2">
        <w:trPr>
          <w:cantSplit/>
          <w:trHeight w:val="329"/>
        </w:trPr>
        <w:tc>
          <w:tcPr>
            <w:tcW w:w="284" w:type="dxa"/>
            <w:tcBorders>
              <w:top w:val="nil"/>
              <w:left w:val="nil"/>
              <w:right w:val="nil"/>
            </w:tcBorders>
            <w:tcMar>
              <w:top w:w="0" w:type="dxa"/>
              <w:left w:w="108" w:type="dxa"/>
              <w:bottom w:w="0" w:type="dxa"/>
              <w:right w:w="108" w:type="dxa"/>
            </w:tcMar>
          </w:tcPr>
          <w:p w14:paraId="427D0964" w14:textId="77777777" w:rsidR="00727086" w:rsidRPr="00727086" w:rsidRDefault="00727086" w:rsidP="00727086">
            <w:pPr>
              <w:spacing w:before="120" w:after="120"/>
              <w:rPr>
                <w:rFonts w:eastAsia="Times New Roman" w:cs="Arial"/>
                <w:b/>
                <w:bCs/>
                <w:sz w:val="18"/>
                <w:szCs w:val="18"/>
                <w:lang w:eastAsia="en-GB" w:bidi="en-US"/>
              </w:rPr>
            </w:pPr>
          </w:p>
        </w:tc>
        <w:tc>
          <w:tcPr>
            <w:tcW w:w="2126" w:type="dxa"/>
            <w:tcBorders>
              <w:top w:val="nil"/>
              <w:left w:val="nil"/>
              <w:right w:val="nil"/>
            </w:tcBorders>
            <w:tcMar>
              <w:top w:w="0" w:type="dxa"/>
              <w:left w:w="108" w:type="dxa"/>
              <w:bottom w:w="0" w:type="dxa"/>
              <w:right w:w="108" w:type="dxa"/>
            </w:tcMar>
          </w:tcPr>
          <w:p w14:paraId="51DE0B95" w14:textId="77777777" w:rsidR="00727086" w:rsidRPr="00727086" w:rsidRDefault="00727086" w:rsidP="00727086">
            <w:pPr>
              <w:spacing w:before="120" w:after="120"/>
              <w:rPr>
                <w:rFonts w:eastAsia="Times New Roman" w:cs="Arial"/>
                <w:b/>
                <w:bCs/>
                <w:sz w:val="18"/>
                <w:szCs w:val="18"/>
                <w:lang w:eastAsia="en-GB" w:bidi="en-US"/>
              </w:rPr>
            </w:pPr>
          </w:p>
        </w:tc>
        <w:tc>
          <w:tcPr>
            <w:tcW w:w="2693" w:type="dxa"/>
            <w:tcBorders>
              <w:top w:val="nil"/>
              <w:left w:val="nil"/>
              <w:right w:val="nil"/>
            </w:tcBorders>
          </w:tcPr>
          <w:p w14:paraId="4E6F2D31" w14:textId="77777777" w:rsidR="00727086" w:rsidRPr="00727086" w:rsidRDefault="00727086" w:rsidP="00727086">
            <w:pPr>
              <w:widowControl w:val="0"/>
              <w:numPr>
                <w:ilvl w:val="0"/>
                <w:numId w:val="16"/>
              </w:numPr>
              <w:spacing w:before="120" w:after="120"/>
              <w:ind w:left="423" w:right="36" w:hanging="286"/>
              <w:rPr>
                <w:rFonts w:eastAsia="Times New Roman" w:cs="Arial"/>
                <w:i/>
                <w:sz w:val="18"/>
                <w:szCs w:val="18"/>
                <w:lang w:eastAsia="en-GB" w:bidi="en-US"/>
              </w:rPr>
            </w:pPr>
            <w:r w:rsidRPr="00727086">
              <w:rPr>
                <w:rFonts w:eastAsia="Times New Roman" w:cs="Times New Roman"/>
                <w:i/>
                <w:sz w:val="18"/>
                <w:szCs w:val="18"/>
                <w:lang w:bidi="en-US"/>
              </w:rPr>
              <w:t>Escherichia coli</w:t>
            </w:r>
            <w:r w:rsidRPr="00727086">
              <w:rPr>
                <w:rFonts w:eastAsia="Times New Roman" w:cs="Times New Roman"/>
                <w:sz w:val="18"/>
                <w:szCs w:val="18"/>
                <w:lang w:bidi="en-US"/>
              </w:rPr>
              <w:t xml:space="preserve"> BL21 containing the gene for alpha-1,2-fucosyltransferase from </w:t>
            </w:r>
            <w:r w:rsidRPr="00727086">
              <w:rPr>
                <w:rFonts w:eastAsia="Times New Roman" w:cs="Times New Roman"/>
                <w:i/>
                <w:sz w:val="18"/>
                <w:szCs w:val="18"/>
                <w:lang w:bidi="en-US"/>
              </w:rPr>
              <w:t>Escherichia coli</w:t>
            </w:r>
            <w:r w:rsidRPr="00727086">
              <w:rPr>
                <w:rFonts w:eastAsia="Times New Roman" w:cs="Times New Roman"/>
                <w:sz w:val="18"/>
                <w:szCs w:val="18"/>
                <w:lang w:bidi="en-US"/>
              </w:rPr>
              <w:t xml:space="preserve"> O126</w:t>
            </w:r>
          </w:p>
        </w:tc>
        <w:tc>
          <w:tcPr>
            <w:tcW w:w="993" w:type="dxa"/>
            <w:tcBorders>
              <w:top w:val="nil"/>
              <w:left w:val="nil"/>
              <w:right w:val="nil"/>
            </w:tcBorders>
            <w:tcMar>
              <w:top w:w="0" w:type="dxa"/>
              <w:left w:w="108" w:type="dxa"/>
              <w:bottom w:w="0" w:type="dxa"/>
              <w:right w:w="108" w:type="dxa"/>
            </w:tcMar>
          </w:tcPr>
          <w:p w14:paraId="1A259761" w14:textId="77777777" w:rsidR="00727086" w:rsidRPr="00727086" w:rsidRDefault="00727086" w:rsidP="00727086">
            <w:pPr>
              <w:spacing w:before="120" w:after="120"/>
              <w:rPr>
                <w:rFonts w:eastAsia="Times New Roman" w:cs="Arial"/>
                <w:sz w:val="18"/>
                <w:szCs w:val="18"/>
                <w:lang w:eastAsia="en-GB" w:bidi="en-US"/>
              </w:rPr>
            </w:pPr>
          </w:p>
        </w:tc>
        <w:tc>
          <w:tcPr>
            <w:tcW w:w="3260" w:type="dxa"/>
            <w:tcBorders>
              <w:top w:val="nil"/>
              <w:left w:val="nil"/>
              <w:right w:val="nil"/>
            </w:tcBorders>
          </w:tcPr>
          <w:p w14:paraId="2F2D3144" w14:textId="77777777" w:rsidR="00727086" w:rsidRPr="00727086" w:rsidRDefault="00727086" w:rsidP="00727086">
            <w:pPr>
              <w:keepLines/>
              <w:widowControl w:val="0"/>
              <w:numPr>
                <w:ilvl w:val="0"/>
                <w:numId w:val="18"/>
              </w:numPr>
              <w:tabs>
                <w:tab w:val="right" w:pos="3969"/>
              </w:tabs>
              <w:spacing w:before="120" w:after="120"/>
              <w:ind w:left="289" w:hanging="283"/>
              <w:rPr>
                <w:rFonts w:eastAsia="Times New Roman" w:cs="Arial"/>
                <w:sz w:val="18"/>
                <w:szCs w:val="18"/>
                <w:lang w:eastAsia="en-GB" w:bidi="en-US"/>
              </w:rPr>
            </w:pPr>
            <w:r w:rsidRPr="00727086">
              <w:rPr>
                <w:rFonts w:eastAsia="Times New Roman" w:cs="Arial"/>
                <w:sz w:val="18"/>
                <w:szCs w:val="18"/>
                <w:lang w:eastAsia="en-AU" w:bidi="en-US"/>
              </w:rPr>
              <w:t>May only be added to infant formula products.</w:t>
            </w:r>
          </w:p>
          <w:p w14:paraId="73C7CD0D" w14:textId="77777777" w:rsidR="00727086" w:rsidRPr="00727086" w:rsidRDefault="00727086" w:rsidP="00727086">
            <w:pPr>
              <w:widowControl w:val="0"/>
              <w:numPr>
                <w:ilvl w:val="0"/>
                <w:numId w:val="18"/>
              </w:numPr>
              <w:spacing w:before="120" w:after="120"/>
              <w:ind w:left="286" w:right="36" w:hanging="283"/>
              <w:rPr>
                <w:rFonts w:eastAsia="Times New Roman" w:cs="Arial"/>
                <w:sz w:val="18"/>
                <w:szCs w:val="18"/>
                <w:lang w:eastAsia="en-GB" w:bidi="en-US"/>
              </w:rPr>
            </w:pPr>
            <w:r w:rsidRPr="00727086">
              <w:rPr>
                <w:rFonts w:eastAsia="Times New Roman" w:cs="Arial"/>
                <w:sz w:val="18"/>
                <w:szCs w:val="18"/>
                <w:lang w:eastAsia="en-GB" w:bidi="en-US"/>
              </w:rPr>
              <w:t>During the exclusive use period, may only be sold under the brand CHR. HANSEN™ 2′-FL.</w:t>
            </w:r>
          </w:p>
          <w:p w14:paraId="53125346" w14:textId="77777777" w:rsidR="00727086" w:rsidRPr="00727086" w:rsidRDefault="00727086" w:rsidP="00727086">
            <w:pPr>
              <w:widowControl w:val="0"/>
              <w:numPr>
                <w:ilvl w:val="0"/>
                <w:numId w:val="18"/>
              </w:numPr>
              <w:spacing w:before="120" w:after="120"/>
              <w:ind w:left="289" w:right="34" w:hanging="283"/>
              <w:rPr>
                <w:rFonts w:eastAsia="Times New Roman" w:cs="Arial"/>
                <w:sz w:val="18"/>
                <w:szCs w:val="18"/>
                <w:lang w:eastAsia="en-AU" w:bidi="en-US"/>
              </w:rPr>
            </w:pPr>
            <w:r w:rsidRPr="00727086">
              <w:rPr>
                <w:rFonts w:eastAsia="Times New Roman" w:cs="Times New Roman"/>
                <w:sz w:val="18"/>
                <w:szCs w:val="18"/>
                <w:lang w:eastAsia="en-GB" w:bidi="en-US"/>
              </w:rPr>
              <w:t xml:space="preserve">For the purposes of condition 2 above, </w:t>
            </w:r>
            <w:r w:rsidRPr="00727086">
              <w:rPr>
                <w:rFonts w:eastAsia="Times New Roman" w:cs="Times New Roman"/>
                <w:b/>
                <w:sz w:val="18"/>
                <w:szCs w:val="18"/>
                <w:lang w:eastAsia="en-GB" w:bidi="en-US"/>
              </w:rPr>
              <w:t>exclusive use period</w:t>
            </w:r>
            <w:r w:rsidRPr="00727086">
              <w:rPr>
                <w:rFonts w:eastAsia="Times New Roman" w:cs="Times New Roman"/>
                <w:sz w:val="18"/>
                <w:szCs w:val="18"/>
                <w:lang w:eastAsia="en-GB" w:bidi="en-US"/>
              </w:rPr>
              <w:t xml:space="preserve"> means the period commencing on the date of gazettal of the </w:t>
            </w:r>
            <w:r w:rsidRPr="00727086">
              <w:rPr>
                <w:rFonts w:eastAsia="Times New Roman" w:cs="Times New Roman"/>
                <w:i/>
                <w:sz w:val="18"/>
                <w:szCs w:val="18"/>
                <w:lang w:eastAsia="en-GB" w:bidi="en-US"/>
              </w:rPr>
              <w:t>Food Standards (Application A1190 – 2</w:t>
            </w:r>
            <w:r w:rsidRPr="00727086">
              <w:rPr>
                <w:rFonts w:eastAsia="Times New Roman" w:cs="Times New Roman"/>
                <w:sz w:val="18"/>
                <w:szCs w:val="24"/>
                <w:lang w:bidi="en-US"/>
              </w:rPr>
              <w:t>′</w:t>
            </w:r>
            <w:r w:rsidRPr="00727086">
              <w:rPr>
                <w:rFonts w:eastAsia="Times New Roman" w:cs="Times New Roman"/>
                <w:i/>
                <w:sz w:val="18"/>
                <w:szCs w:val="18"/>
                <w:lang w:eastAsia="en-GB" w:bidi="en-US"/>
              </w:rPr>
              <w:t>-FL in infant formula and other products) Variation</w:t>
            </w:r>
            <w:r w:rsidRPr="00727086">
              <w:rPr>
                <w:rFonts w:eastAsia="Times New Roman" w:cs="Times New Roman"/>
                <w:sz w:val="18"/>
                <w:szCs w:val="18"/>
                <w:lang w:eastAsia="en-GB" w:bidi="en-US"/>
              </w:rPr>
              <w:t xml:space="preserve"> and ending 15 months after that date.</w:t>
            </w:r>
          </w:p>
        </w:tc>
      </w:tr>
    </w:tbl>
    <w:p w14:paraId="1753ECAC" w14:textId="77777777" w:rsidR="00727086" w:rsidRPr="00727086" w:rsidRDefault="00727086" w:rsidP="00727086">
      <w:pPr>
        <w:tabs>
          <w:tab w:val="left" w:pos="851"/>
        </w:tabs>
        <w:spacing w:before="120" w:after="120"/>
        <w:rPr>
          <w:rFonts w:eastAsia="Times New Roman" w:cs="Times New Roman"/>
          <w:sz w:val="16"/>
          <w:szCs w:val="16"/>
        </w:rPr>
      </w:pPr>
      <w:r w:rsidRPr="00727086">
        <w:rPr>
          <w:rFonts w:eastAsia="Times New Roman" w:cs="Times New Roman"/>
          <w:sz w:val="20"/>
          <w:szCs w:val="20"/>
          <w:lang w:bidi="en-US"/>
        </w:rPr>
        <w:t>[3.2]</w:t>
      </w:r>
      <w:r w:rsidRPr="00727086">
        <w:rPr>
          <w:rFonts w:eastAsia="Times New Roman" w:cs="Times New Roman"/>
          <w:sz w:val="20"/>
          <w:szCs w:val="20"/>
          <w:lang w:bidi="en-US"/>
        </w:rPr>
        <w:tab/>
        <w:t>omitting “</w:t>
      </w:r>
      <w:r w:rsidRPr="00727086">
        <w:rPr>
          <w:rFonts w:eastAsia="Times New Roman" w:cs="Times New Roman"/>
          <w:sz w:val="20"/>
          <w:szCs w:val="20"/>
        </w:rPr>
        <w:t xml:space="preserve">2′-O-fucosyllactose” </w:t>
      </w:r>
      <w:r w:rsidRPr="00727086">
        <w:rPr>
          <w:rFonts w:eastAsia="Times New Roman" w:cs="Times New Roman"/>
          <w:sz w:val="20"/>
          <w:szCs w:val="20"/>
          <w:lang w:bidi="en-US"/>
        </w:rPr>
        <w:t>in item 2 in the table to subsection S</w:t>
      </w:r>
      <w:r w:rsidRPr="00727086">
        <w:rPr>
          <w:rFonts w:eastAsia="Times New Roman" w:cs="Times New Roman"/>
          <w:sz w:val="20"/>
          <w:szCs w:val="20"/>
        </w:rPr>
        <w:t>26—3</w:t>
      </w:r>
      <w:r w:rsidRPr="00727086">
        <w:rPr>
          <w:rFonts w:eastAsia="Times New Roman" w:cs="Times New Roman"/>
          <w:sz w:val="20"/>
          <w:szCs w:val="20"/>
          <w:lang w:bidi="en-US"/>
        </w:rPr>
        <w:t>(7)</w:t>
      </w:r>
      <w:r w:rsidRPr="00727086">
        <w:rPr>
          <w:rFonts w:eastAsia="Times New Roman" w:cs="Times New Roman"/>
          <w:sz w:val="20"/>
          <w:szCs w:val="20"/>
        </w:rPr>
        <w:t>, substituting “2′-fucosyllactose”</w:t>
      </w:r>
    </w:p>
    <w:p w14:paraId="09AB404E" w14:textId="77777777" w:rsidR="00727086" w:rsidRPr="00727086" w:rsidRDefault="00727086" w:rsidP="00727086">
      <w:pPr>
        <w:tabs>
          <w:tab w:val="left" w:pos="851"/>
        </w:tabs>
        <w:spacing w:before="120" w:after="120"/>
        <w:rPr>
          <w:rFonts w:eastAsia="Times New Roman" w:cs="Times New Roman"/>
          <w:sz w:val="20"/>
          <w:szCs w:val="20"/>
        </w:rPr>
      </w:pPr>
      <w:r w:rsidRPr="00727086" w:rsidDel="00BF0AD7">
        <w:rPr>
          <w:rFonts w:eastAsia="Times New Roman" w:cs="Times New Roman"/>
          <w:sz w:val="16"/>
          <w:szCs w:val="16"/>
        </w:rPr>
        <w:t xml:space="preserve"> </w:t>
      </w:r>
      <w:r w:rsidRPr="00727086">
        <w:rPr>
          <w:rFonts w:eastAsia="Times New Roman" w:cs="Times New Roman"/>
          <w:b/>
          <w:sz w:val="20"/>
          <w:szCs w:val="20"/>
          <w:lang w:bidi="en-US"/>
        </w:rPr>
        <w:t>[4]</w:t>
      </w:r>
      <w:r w:rsidRPr="00727086">
        <w:rPr>
          <w:rFonts w:eastAsia="Times New Roman" w:cs="Times New Roman"/>
          <w:b/>
          <w:sz w:val="20"/>
          <w:szCs w:val="20"/>
          <w:lang w:bidi="en-US"/>
        </w:rPr>
        <w:tab/>
        <w:t>Schedule 29</w:t>
      </w:r>
      <w:r w:rsidRPr="00727086">
        <w:rPr>
          <w:rFonts w:eastAsia="Times New Roman" w:cs="Times New Roman"/>
          <w:sz w:val="20"/>
          <w:szCs w:val="20"/>
          <w:lang w:bidi="en-US"/>
        </w:rPr>
        <w:t xml:space="preserve"> is </w:t>
      </w:r>
      <w:r w:rsidRPr="00727086">
        <w:rPr>
          <w:rFonts w:eastAsia="Times New Roman" w:cs="Times New Roman"/>
          <w:sz w:val="20"/>
          <w:szCs w:val="20"/>
        </w:rPr>
        <w:t>varied</w:t>
      </w:r>
      <w:r w:rsidRPr="00727086">
        <w:rPr>
          <w:rFonts w:eastAsia="Times New Roman" w:cs="Times New Roman"/>
          <w:sz w:val="20"/>
          <w:szCs w:val="20"/>
          <w:lang w:bidi="en-US"/>
        </w:rPr>
        <w:t xml:space="preserve"> by omitting </w:t>
      </w:r>
      <w:r w:rsidRPr="00727086">
        <w:rPr>
          <w:rFonts w:eastAsia="Times New Roman" w:cs="Times New Roman"/>
          <w:sz w:val="20"/>
          <w:szCs w:val="20"/>
        </w:rPr>
        <w:t>"</w:t>
      </w:r>
      <w:r w:rsidRPr="00727086">
        <w:rPr>
          <w:rFonts w:eastAsia="Times New Roman" w:cs="Times New Roman"/>
          <w:sz w:val="20"/>
          <w:szCs w:val="20"/>
          <w:lang w:bidi="en-US"/>
        </w:rPr>
        <w:t xml:space="preserve">2′-O-fucosyllactose” (wherever occurring) in the table to </w:t>
      </w:r>
      <w:r w:rsidRPr="00727086">
        <w:rPr>
          <w:rFonts w:eastAsia="Times New Roman" w:cs="Times New Roman"/>
          <w:sz w:val="20"/>
          <w:szCs w:val="20"/>
        </w:rPr>
        <w:t>section 2.9.1—5</w:t>
      </w:r>
      <w:r w:rsidRPr="00727086">
        <w:rPr>
          <w:rFonts w:eastAsia="Times New Roman" w:cs="Times New Roman"/>
          <w:sz w:val="20"/>
          <w:szCs w:val="20"/>
          <w:lang w:bidi="en-US"/>
        </w:rPr>
        <w:t>, substituting “2′-fucosyllactose”</w:t>
      </w:r>
    </w:p>
    <w:p w14:paraId="09CEA9B2" w14:textId="56C65CEE" w:rsidR="00727086" w:rsidRPr="00727086" w:rsidRDefault="00727086" w:rsidP="00727086">
      <w:pPr>
        <w:spacing w:before="120" w:after="120"/>
        <w:rPr>
          <w:rFonts w:eastAsia="Times New Roman" w:cs="Times New Roman"/>
          <w:szCs w:val="24"/>
        </w:rPr>
      </w:pPr>
    </w:p>
    <w:sectPr w:rsidR="00727086" w:rsidRPr="00727086"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B96C8" w14:textId="77777777" w:rsidR="008D2575" w:rsidRDefault="008D2575" w:rsidP="00676B10">
      <w:r>
        <w:separator/>
      </w:r>
    </w:p>
  </w:endnote>
  <w:endnote w:type="continuationSeparator" w:id="0">
    <w:p w14:paraId="387435F9" w14:textId="77777777" w:rsidR="008D2575" w:rsidRDefault="008D2575" w:rsidP="0067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297BE" w14:textId="77777777" w:rsidR="008D2575" w:rsidRDefault="008D2575" w:rsidP="00676B10">
      <w:r>
        <w:separator/>
      </w:r>
    </w:p>
  </w:footnote>
  <w:footnote w:type="continuationSeparator" w:id="0">
    <w:p w14:paraId="1EE44AF0" w14:textId="77777777" w:rsidR="008D2575" w:rsidRDefault="008D2575" w:rsidP="00676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42AFC"/>
    <w:multiLevelType w:val="hybridMultilevel"/>
    <w:tmpl w:val="016A8EBC"/>
    <w:lvl w:ilvl="0" w:tplc="612EBC6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1437BC"/>
    <w:multiLevelType w:val="hybridMultilevel"/>
    <w:tmpl w:val="EEC20A82"/>
    <w:lvl w:ilvl="0" w:tplc="D27090C2">
      <w:start w:val="1"/>
      <w:numFmt w:val="lowerLetter"/>
      <w:lvlText w:val="(%1)"/>
      <w:lvlJc w:val="left"/>
      <w:pPr>
        <w:ind w:left="721" w:hanging="360"/>
      </w:pPr>
      <w:rPr>
        <w:rFonts w:hint="default"/>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2"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2C2682"/>
    <w:multiLevelType w:val="hybridMultilevel"/>
    <w:tmpl w:val="AD5C28CE"/>
    <w:lvl w:ilvl="0" w:tplc="B7D283EE">
      <w:start w:val="1"/>
      <w:numFmt w:val="lowerLetter"/>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58143E8"/>
    <w:multiLevelType w:val="hybridMultilevel"/>
    <w:tmpl w:val="CF64D2D0"/>
    <w:lvl w:ilvl="0" w:tplc="AB8224B2">
      <w:start w:val="1"/>
      <w:numFmt w:val="lowerRoman"/>
      <w:lvlText w:val="(%1)"/>
      <w:lvlJc w:val="left"/>
      <w:pPr>
        <w:ind w:left="2770" w:hanging="360"/>
      </w:pPr>
    </w:lvl>
    <w:lvl w:ilvl="1" w:tplc="08090019">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7"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8" w15:restartNumberingAfterBreak="0">
    <w:nsid w:val="7F80228A"/>
    <w:multiLevelType w:val="hybridMultilevel"/>
    <w:tmpl w:val="016A8EBC"/>
    <w:lvl w:ilvl="0" w:tplc="612EBC6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7"/>
  </w:num>
  <w:num w:numId="9">
    <w:abstractNumId w:val="3"/>
  </w:num>
  <w:num w:numId="10">
    <w:abstractNumId w:val="4"/>
  </w:num>
  <w:num w:numId="11">
    <w:abstractNumId w:val="7"/>
  </w:num>
  <w:num w:numId="12">
    <w:abstractNumId w:val="3"/>
  </w:num>
  <w:num w:numId="13">
    <w:abstractNumId w:val="4"/>
  </w:num>
  <w:num w:numId="14">
    <w:abstractNumId w:val="1"/>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10"/>
    <w:rsid w:val="0000542C"/>
    <w:rsid w:val="00041643"/>
    <w:rsid w:val="000622E7"/>
    <w:rsid w:val="00066854"/>
    <w:rsid w:val="00066D85"/>
    <w:rsid w:val="000A38F8"/>
    <w:rsid w:val="000F2196"/>
    <w:rsid w:val="00152623"/>
    <w:rsid w:val="001734EA"/>
    <w:rsid w:val="00184403"/>
    <w:rsid w:val="00191770"/>
    <w:rsid w:val="001C5126"/>
    <w:rsid w:val="001E696B"/>
    <w:rsid w:val="00212CE6"/>
    <w:rsid w:val="002232B1"/>
    <w:rsid w:val="00234C31"/>
    <w:rsid w:val="0033021F"/>
    <w:rsid w:val="00341D25"/>
    <w:rsid w:val="00363409"/>
    <w:rsid w:val="0039585F"/>
    <w:rsid w:val="003A01FB"/>
    <w:rsid w:val="003E4AA4"/>
    <w:rsid w:val="00404702"/>
    <w:rsid w:val="00441D77"/>
    <w:rsid w:val="00443F05"/>
    <w:rsid w:val="004614F7"/>
    <w:rsid w:val="00486619"/>
    <w:rsid w:val="004D3868"/>
    <w:rsid w:val="004E6694"/>
    <w:rsid w:val="0054036E"/>
    <w:rsid w:val="005B578D"/>
    <w:rsid w:val="005C1996"/>
    <w:rsid w:val="00676B10"/>
    <w:rsid w:val="006A4E88"/>
    <w:rsid w:val="006B6900"/>
    <w:rsid w:val="006D473E"/>
    <w:rsid w:val="007201F8"/>
    <w:rsid w:val="00727086"/>
    <w:rsid w:val="00761D2C"/>
    <w:rsid w:val="00793DE6"/>
    <w:rsid w:val="007F53A7"/>
    <w:rsid w:val="007F6456"/>
    <w:rsid w:val="00830393"/>
    <w:rsid w:val="00833D5A"/>
    <w:rsid w:val="00860EE7"/>
    <w:rsid w:val="008631E7"/>
    <w:rsid w:val="00877A81"/>
    <w:rsid w:val="008931F6"/>
    <w:rsid w:val="008D2575"/>
    <w:rsid w:val="008E2339"/>
    <w:rsid w:val="00935023"/>
    <w:rsid w:val="009806A5"/>
    <w:rsid w:val="009D493C"/>
    <w:rsid w:val="009E265A"/>
    <w:rsid w:val="00A25B29"/>
    <w:rsid w:val="00A26F82"/>
    <w:rsid w:val="00A808E9"/>
    <w:rsid w:val="00B53154"/>
    <w:rsid w:val="00B72074"/>
    <w:rsid w:val="00BC2133"/>
    <w:rsid w:val="00BE4F3A"/>
    <w:rsid w:val="00C019A6"/>
    <w:rsid w:val="00C1796C"/>
    <w:rsid w:val="00C572A2"/>
    <w:rsid w:val="00D5526B"/>
    <w:rsid w:val="00D66962"/>
    <w:rsid w:val="00D87D9C"/>
    <w:rsid w:val="00D92B3B"/>
    <w:rsid w:val="00DA3F86"/>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B840C"/>
  <w15:chartTrackingRefBased/>
  <w15:docId w15:val="{0BE6A21B-7764-4C29-A2D4-9EDC68A1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customStyle="1" w:styleId="TableGrid2">
    <w:name w:val="Table Grid2"/>
    <w:basedOn w:val="TableNormal"/>
    <w:next w:val="TableGrid"/>
    <w:uiPriority w:val="59"/>
    <w:rsid w:val="0039585F"/>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95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CtSubpara">
    <w:name w:val="FSC_t_Subpara"/>
    <w:basedOn w:val="Normal"/>
    <w:qFormat/>
    <w:rsid w:val="003E4AA4"/>
    <w:pPr>
      <w:widowControl w:val="0"/>
      <w:tabs>
        <w:tab w:val="left" w:pos="2268"/>
      </w:tabs>
      <w:spacing w:before="60" w:after="60"/>
      <w:ind w:left="2835" w:hanging="2835"/>
    </w:pPr>
    <w:rPr>
      <w:rFonts w:eastAsia="Times New Roman" w:cs="Arial"/>
      <w:iCs/>
      <w:sz w:val="20"/>
      <w:lang w:eastAsia="en-AU"/>
    </w:rPr>
  </w:style>
  <w:style w:type="table" w:customStyle="1" w:styleId="TableGrid21">
    <w:name w:val="Table Grid21"/>
    <w:basedOn w:val="TableNormal"/>
    <w:next w:val="TableGrid"/>
    <w:uiPriority w:val="59"/>
    <w:rsid w:val="00727086"/>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MMF7YEMDTSDN-199-16777</_dlc_DocId>
    <_dlc_DocIdUrl xmlns="5759555f-5bed-45a4-a4c2-4e28e2623455">
      <Url>http://fsintranet/Sections/pss/_layouts/15/DocIdRedir.aspx?ID=MMF7YEMDTSDN-199-16777</Url>
      <Description>MMF7YEMDTSDN-199-16777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8959f586-1386-49a0-8f25-29490ba8c513" ContentTypeId="0x01010004C4C934AD08B647A78FCADD498BE31902" PreviousValue="false"/>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75606-AC0B-48B3-B3AA-C8A9C7ADA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22E25-0006-4AA2-90B1-E8E53F818DEF}">
  <ds:schemaRefs>
    <ds:schemaRef ds:uri="http://purl.org/dc/elements/1.1/"/>
    <ds:schemaRef ds:uri="ec50576e-4a27-4780-a1e1-e59563bc70b8"/>
    <ds:schemaRef ds:uri="http://schemas.microsoft.com/office/2006/documentManagement/types"/>
    <ds:schemaRef ds:uri="http://www.w3.org/XML/1998/namespace"/>
    <ds:schemaRef ds:uri="5759555f-5bed-45a4-a4c2-4e28e2623455"/>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9F9328-4B49-4C35-8715-7649140C20B9}">
  <ds:schemaRefs>
    <ds:schemaRef ds:uri="http://schemas.microsoft.com/sharepoint/v3/contenttype/forms"/>
  </ds:schemaRefs>
</ds:datastoreItem>
</file>

<file path=customXml/itemProps4.xml><?xml version="1.0" encoding="utf-8"?>
<ds:datastoreItem xmlns:ds="http://schemas.openxmlformats.org/officeDocument/2006/customXml" ds:itemID="{64C83D36-1A20-4E47-8B87-B57506A186B1}">
  <ds:schemaRefs>
    <ds:schemaRef ds:uri="http://schemas.microsoft.com/office/2006/metadata/customXsn"/>
  </ds:schemaRefs>
</ds:datastoreItem>
</file>

<file path=customXml/itemProps5.xml><?xml version="1.0" encoding="utf-8"?>
<ds:datastoreItem xmlns:ds="http://schemas.openxmlformats.org/officeDocument/2006/customXml" ds:itemID="{D5739D46-9585-484D-9A24-7C99EC922663}">
  <ds:schemaRefs>
    <ds:schemaRef ds:uri="http://schemas.microsoft.com/sharepoint/events"/>
  </ds:schemaRefs>
</ds:datastoreItem>
</file>

<file path=customXml/itemProps6.xml><?xml version="1.0" encoding="utf-8"?>
<ds:datastoreItem xmlns:ds="http://schemas.openxmlformats.org/officeDocument/2006/customXml" ds:itemID="{4A14A109-8033-4002-A398-EA71219745C2}">
  <ds:schemaRefs>
    <ds:schemaRef ds:uri="Microsoft.SharePoint.Taxonomy.ContentTypeSync"/>
  </ds:schemaRefs>
</ds:datastoreItem>
</file>

<file path=customXml/itemProps7.xml><?xml version="1.0" encoding="utf-8"?>
<ds:datastoreItem xmlns:ds="http://schemas.openxmlformats.org/officeDocument/2006/customXml" ds:itemID="{16DD5255-B6FD-4BC9-991A-5317958817A0}">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5D0FC19D-E9B1-49F0-AB85-A8B6E3F2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14</cp:revision>
  <dcterms:created xsi:type="dcterms:W3CDTF">2022-01-12T00:27:00Z</dcterms:created>
  <dcterms:modified xsi:type="dcterms:W3CDTF">2022-01-13T01:29:00Z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ea90e704-7e29-46e8-b33c-3353cbb53674</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a251238c-3728-4790-9b96-8fbb8773cc7b</vt:lpwstr>
  </property>
  <property fmtid="{D5CDD505-2E9C-101B-9397-08002B2CF9AE}" pid="9" name="DisposalClass">
    <vt:lpwstr/>
  </property>
  <property fmtid="{D5CDD505-2E9C-101B-9397-08002B2CF9AE}" pid="10" name="BCS_">
    <vt:lpwstr>531;#Instruments|4a8ff5e5-1f0e-4751-ab44-bc0d33b46a80</vt:lpwstr>
  </property>
</Properties>
</file>