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56821" w14:textId="77777777" w:rsidR="004B1238" w:rsidRPr="00677A72" w:rsidRDefault="004B1238" w:rsidP="004B1238">
      <w:pPr>
        <w:pStyle w:val="PlainParagraph"/>
        <w:jc w:val="center"/>
        <w:rPr>
          <w:rFonts w:ascii="Times New Roman" w:hAnsi="Times New Roman" w:cs="Times New Roman"/>
          <w:b/>
          <w:sz w:val="24"/>
          <w:szCs w:val="24"/>
          <w:u w:val="single"/>
        </w:rPr>
      </w:pPr>
      <w:r w:rsidRPr="00677A72">
        <w:rPr>
          <w:rFonts w:ascii="Times New Roman" w:hAnsi="Times New Roman" w:cs="Times New Roman"/>
          <w:b/>
          <w:sz w:val="24"/>
          <w:szCs w:val="24"/>
          <w:u w:val="single"/>
        </w:rPr>
        <w:t>EXPLANATORY STATEMENT</w:t>
      </w:r>
    </w:p>
    <w:p w14:paraId="0BE87B08" w14:textId="77777777" w:rsidR="004B1238" w:rsidRPr="00677A72" w:rsidRDefault="004B1238" w:rsidP="004B1238">
      <w:pPr>
        <w:pStyle w:val="PlainParagraph"/>
        <w:jc w:val="center"/>
        <w:rPr>
          <w:rFonts w:ascii="Times New Roman" w:hAnsi="Times New Roman" w:cs="Times New Roman"/>
          <w:sz w:val="24"/>
          <w:szCs w:val="24"/>
          <w:u w:val="single"/>
        </w:rPr>
      </w:pPr>
      <w:r w:rsidRPr="00677A72">
        <w:rPr>
          <w:rFonts w:ascii="Times New Roman" w:hAnsi="Times New Roman" w:cs="Times New Roman"/>
          <w:sz w:val="24"/>
          <w:szCs w:val="24"/>
          <w:u w:val="single"/>
        </w:rPr>
        <w:t>Issued by the Authority of the Minister for Industry, Energy and Emissions Reduction</w:t>
      </w:r>
    </w:p>
    <w:p w14:paraId="70C4887E" w14:textId="77777777" w:rsidR="004B1238" w:rsidRPr="00677A72" w:rsidRDefault="004B1238" w:rsidP="004B1238">
      <w:pPr>
        <w:pStyle w:val="PlainParagraph"/>
        <w:jc w:val="center"/>
        <w:rPr>
          <w:rFonts w:ascii="Times New Roman" w:hAnsi="Times New Roman" w:cs="Times New Roman"/>
          <w:i/>
          <w:sz w:val="24"/>
          <w:szCs w:val="24"/>
        </w:rPr>
      </w:pPr>
      <w:r w:rsidRPr="00677A72">
        <w:rPr>
          <w:rFonts w:ascii="Times New Roman" w:hAnsi="Times New Roman" w:cs="Times New Roman"/>
          <w:i/>
          <w:sz w:val="24"/>
          <w:szCs w:val="24"/>
        </w:rPr>
        <w:t>Carbon Credits (Carbon Farming Initiative) Act 2011</w:t>
      </w:r>
    </w:p>
    <w:p w14:paraId="3EB53885" w14:textId="3BF7DE69" w:rsidR="004B1238" w:rsidRPr="00677A72" w:rsidRDefault="004B1238" w:rsidP="004B1238">
      <w:pPr>
        <w:pStyle w:val="PlainParagraph"/>
        <w:jc w:val="center"/>
        <w:rPr>
          <w:rFonts w:ascii="Times New Roman" w:hAnsi="Times New Roman" w:cs="Times New Roman"/>
          <w:i/>
          <w:sz w:val="24"/>
          <w:szCs w:val="24"/>
        </w:rPr>
      </w:pPr>
      <w:bookmarkStart w:id="0" w:name="_GoBack"/>
      <w:r w:rsidRPr="00677A72">
        <w:rPr>
          <w:rFonts w:ascii="Times New Roman" w:hAnsi="Times New Roman" w:cs="Times New Roman"/>
          <w:i/>
          <w:sz w:val="24"/>
          <w:szCs w:val="24"/>
        </w:rPr>
        <w:t xml:space="preserve">Carbon Credits (Carbon Farming Initiative) Amendment </w:t>
      </w:r>
      <w:r>
        <w:rPr>
          <w:rFonts w:ascii="Times New Roman" w:hAnsi="Times New Roman" w:cs="Times New Roman"/>
          <w:i/>
          <w:sz w:val="24"/>
          <w:szCs w:val="24"/>
        </w:rPr>
        <w:t xml:space="preserve">(Blue Carbon Projects) </w:t>
      </w:r>
      <w:r w:rsidRPr="00677A72">
        <w:rPr>
          <w:rFonts w:ascii="Times New Roman" w:hAnsi="Times New Roman" w:cs="Times New Roman"/>
          <w:i/>
          <w:sz w:val="24"/>
          <w:szCs w:val="24"/>
        </w:rPr>
        <w:t xml:space="preserve">Rule </w:t>
      </w:r>
      <w:r w:rsidR="00FB234F">
        <w:rPr>
          <w:rFonts w:ascii="Times New Roman" w:hAnsi="Times New Roman" w:cs="Times New Roman"/>
          <w:i/>
          <w:sz w:val="24"/>
          <w:szCs w:val="24"/>
        </w:rPr>
        <w:t>2022</w:t>
      </w:r>
    </w:p>
    <w:bookmarkEnd w:id="0"/>
    <w:p w14:paraId="49460BC6" w14:textId="77777777" w:rsidR="004B1238" w:rsidRPr="00677A72" w:rsidRDefault="004B1238" w:rsidP="004B1238">
      <w:pPr>
        <w:pStyle w:val="PlainParagraph"/>
        <w:rPr>
          <w:rFonts w:ascii="Times New Roman" w:hAnsi="Times New Roman" w:cs="Times New Roman"/>
          <w:sz w:val="24"/>
          <w:szCs w:val="24"/>
        </w:rPr>
      </w:pPr>
      <w:r w:rsidRPr="00677A72">
        <w:rPr>
          <w:rFonts w:ascii="Times New Roman" w:hAnsi="Times New Roman" w:cs="Times New Roman"/>
          <w:b/>
          <w:sz w:val="24"/>
          <w:szCs w:val="24"/>
        </w:rPr>
        <w:t>Purpose</w:t>
      </w:r>
    </w:p>
    <w:p w14:paraId="1F3E9362" w14:textId="77777777" w:rsidR="004B1238" w:rsidRDefault="004B1238" w:rsidP="004B1238">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Carbon Credits (Carbon Farming Initiative) Act 2011 </w:t>
      </w:r>
      <w:r>
        <w:rPr>
          <w:rFonts w:ascii="Times New Roman" w:hAnsi="Times New Roman" w:cs="Times New Roman"/>
          <w:sz w:val="24"/>
          <w:szCs w:val="24"/>
        </w:rPr>
        <w:t>(the Act) enables the crediting of greenhouse gas abatement from emissions reduction activities across Australia. Greenhouse gas abatement is achieved either by reducing or avoiding emissions, or by removing carbon from the atmosphere and storing it</w:t>
      </w:r>
      <w:r w:rsidR="00DA470B">
        <w:rPr>
          <w:rFonts w:ascii="Times New Roman" w:hAnsi="Times New Roman" w:cs="Times New Roman"/>
          <w:sz w:val="24"/>
          <w:szCs w:val="24"/>
        </w:rPr>
        <w:t xml:space="preserve"> in soil, biomass or organic matter</w:t>
      </w:r>
      <w:r>
        <w:rPr>
          <w:rFonts w:ascii="Times New Roman" w:hAnsi="Times New Roman" w:cs="Times New Roman"/>
          <w:sz w:val="24"/>
          <w:szCs w:val="24"/>
        </w:rPr>
        <w:t>.</w:t>
      </w:r>
    </w:p>
    <w:p w14:paraId="3EA8D205" w14:textId="57D75B34" w:rsidR="004B1238" w:rsidRDefault="004B1238" w:rsidP="004B1238">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Carbon Credits (Carbon Farming Initiative) Amendment (Blue Carbon Projects) Rule </w:t>
      </w:r>
      <w:r w:rsidR="00FB234F">
        <w:rPr>
          <w:rFonts w:ascii="Times New Roman" w:hAnsi="Times New Roman" w:cs="Times New Roman"/>
          <w:i/>
          <w:sz w:val="24"/>
          <w:szCs w:val="24"/>
        </w:rPr>
        <w:t>2022</w:t>
      </w:r>
      <w:r>
        <w:rPr>
          <w:rFonts w:ascii="Times New Roman" w:hAnsi="Times New Roman" w:cs="Times New Roman"/>
          <w:i/>
          <w:sz w:val="24"/>
          <w:szCs w:val="24"/>
        </w:rPr>
        <w:t xml:space="preserve"> </w:t>
      </w:r>
      <w:r>
        <w:rPr>
          <w:rFonts w:ascii="Times New Roman" w:hAnsi="Times New Roman" w:cs="Times New Roman"/>
          <w:sz w:val="24"/>
          <w:szCs w:val="24"/>
        </w:rPr>
        <w:t xml:space="preserve">(the Amendment Rule) amends the </w:t>
      </w:r>
      <w:r>
        <w:rPr>
          <w:rFonts w:ascii="Times New Roman" w:hAnsi="Times New Roman" w:cs="Times New Roman"/>
          <w:i/>
          <w:sz w:val="24"/>
          <w:szCs w:val="24"/>
        </w:rPr>
        <w:t xml:space="preserve">Carbon Credits (Carbon Farming Initiative) Rule 2015 </w:t>
      </w:r>
      <w:r>
        <w:rPr>
          <w:rFonts w:ascii="Times New Roman" w:hAnsi="Times New Roman" w:cs="Times New Roman"/>
          <w:sz w:val="24"/>
          <w:szCs w:val="24"/>
        </w:rPr>
        <w:t>(the Principal Rule). The Amendment Rule expands the application of s</w:t>
      </w:r>
      <w:r w:rsidR="00E7267F">
        <w:rPr>
          <w:rFonts w:ascii="Times New Roman" w:hAnsi="Times New Roman" w:cs="Times New Roman"/>
          <w:sz w:val="24"/>
          <w:szCs w:val="24"/>
        </w:rPr>
        <w:t>ection</w:t>
      </w:r>
      <w:r>
        <w:rPr>
          <w:rFonts w:ascii="Times New Roman" w:hAnsi="Times New Roman" w:cs="Times New Roman"/>
          <w:sz w:val="24"/>
          <w:szCs w:val="24"/>
        </w:rPr>
        <w:t xml:space="preserve"> 9B of the Principal Rule to tidal restoration projects.</w:t>
      </w:r>
      <w:r w:rsidR="00C96812">
        <w:rPr>
          <w:rFonts w:ascii="Times New Roman" w:hAnsi="Times New Roman" w:cs="Times New Roman"/>
          <w:sz w:val="24"/>
          <w:szCs w:val="24"/>
        </w:rPr>
        <w:t xml:space="preserve"> This </w:t>
      </w:r>
      <w:r w:rsidR="001010FD">
        <w:rPr>
          <w:rFonts w:ascii="Times New Roman" w:hAnsi="Times New Roman" w:cs="Times New Roman"/>
          <w:sz w:val="24"/>
          <w:szCs w:val="24"/>
        </w:rPr>
        <w:t>sets the permanence period discount number and risk of reversal buffer number to zero under subsection 16(2) of the Act, which allows entities undertaking tidal restoration projects to receive their full unit entitlement</w:t>
      </w:r>
      <w:r w:rsidR="00377663">
        <w:rPr>
          <w:rFonts w:ascii="Times New Roman" w:hAnsi="Times New Roman" w:cs="Times New Roman"/>
          <w:sz w:val="24"/>
          <w:szCs w:val="24"/>
        </w:rPr>
        <w:t xml:space="preserve"> for avoided emissions and an appropriate discount, set out in the relevant methodology determination, for carbon sequestration by the project</w:t>
      </w:r>
      <w:r w:rsidR="001010FD">
        <w:rPr>
          <w:rFonts w:ascii="Times New Roman" w:hAnsi="Times New Roman" w:cs="Times New Roman"/>
          <w:sz w:val="24"/>
          <w:szCs w:val="24"/>
        </w:rPr>
        <w:t>.</w:t>
      </w:r>
    </w:p>
    <w:p w14:paraId="6D8DE53A" w14:textId="77777777" w:rsidR="00C96812" w:rsidRDefault="00C96812" w:rsidP="00C96812">
      <w:pPr>
        <w:pStyle w:val="PlainParagraph"/>
        <w:rPr>
          <w:rFonts w:ascii="Times New Roman" w:hAnsi="Times New Roman" w:cs="Times New Roman"/>
          <w:b/>
          <w:sz w:val="24"/>
          <w:szCs w:val="24"/>
        </w:rPr>
      </w:pPr>
      <w:r>
        <w:rPr>
          <w:rFonts w:ascii="Times New Roman" w:hAnsi="Times New Roman" w:cs="Times New Roman"/>
          <w:b/>
          <w:sz w:val="24"/>
          <w:szCs w:val="24"/>
        </w:rPr>
        <w:t>Background: Emissions Reduction Fund</w:t>
      </w:r>
    </w:p>
    <w:p w14:paraId="779FD2FC" w14:textId="77777777" w:rsidR="00C96812" w:rsidRDefault="00C96812" w:rsidP="00C96812">
      <w:pPr>
        <w:pStyle w:val="PlainParagraph"/>
        <w:rPr>
          <w:rFonts w:ascii="Times New Roman" w:hAnsi="Times New Roman" w:cs="Times New Roman"/>
          <w:sz w:val="24"/>
          <w:szCs w:val="24"/>
        </w:rPr>
      </w:pPr>
      <w:r>
        <w:rPr>
          <w:rFonts w:ascii="Times New Roman" w:hAnsi="Times New Roman" w:cs="Times New Roman"/>
          <w:sz w:val="24"/>
          <w:szCs w:val="24"/>
        </w:rPr>
        <w:t xml:space="preserve">In 2014, the Australian Government amended the Act with the </w:t>
      </w:r>
      <w:r>
        <w:rPr>
          <w:rFonts w:ascii="Times New Roman" w:hAnsi="Times New Roman" w:cs="Times New Roman"/>
          <w:i/>
          <w:sz w:val="24"/>
          <w:szCs w:val="24"/>
        </w:rPr>
        <w:t xml:space="preserve">Carbon Farming Initiative Amendment Act 2014 </w:t>
      </w:r>
      <w:r>
        <w:rPr>
          <w:rFonts w:ascii="Times New Roman" w:hAnsi="Times New Roman" w:cs="Times New Roman"/>
          <w:sz w:val="24"/>
          <w:szCs w:val="24"/>
        </w:rPr>
        <w:t xml:space="preserve">(CFI Amendment Act). The CFI Amendment Act established the Emissions Reduction Fund by expanding the crediting of emissions reductions under the Carbon Farming Initiative to non-land based sectors of the Australian economy. The primary objective of the Emissions Reduction Fund is to assist Australia to meet its greenhouse gas emissions reduction targets, consistent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its international obligations under the United Nations Framework Convention on Climate Change and the Kyoto Protocol. Further information on the Emissions Reduction Fund is available at: </w:t>
      </w:r>
      <w:hyperlink r:id="rId10" w:history="1">
        <w:r w:rsidRPr="00CD12C8">
          <w:rPr>
            <w:rStyle w:val="Hyperlink"/>
            <w:rFonts w:ascii="Times New Roman" w:hAnsi="Times New Roman" w:cs="Times New Roman"/>
            <w:sz w:val="24"/>
            <w:szCs w:val="24"/>
          </w:rPr>
          <w:t>www.industry.gov.au/funding-and-incentives/emissions-reduction-fund</w:t>
        </w:r>
      </w:hyperlink>
      <w:r>
        <w:rPr>
          <w:rFonts w:ascii="Times New Roman" w:hAnsi="Times New Roman" w:cs="Times New Roman"/>
          <w:sz w:val="24"/>
          <w:szCs w:val="24"/>
        </w:rPr>
        <w:t xml:space="preserve"> or </w:t>
      </w:r>
      <w:hyperlink r:id="rId11" w:history="1">
        <w:r w:rsidRPr="00CD12C8">
          <w:rPr>
            <w:rStyle w:val="Hyperlink"/>
            <w:rFonts w:ascii="Times New Roman" w:hAnsi="Times New Roman" w:cs="Times New Roman"/>
            <w:sz w:val="24"/>
            <w:szCs w:val="24"/>
          </w:rPr>
          <w:t>www.cleanenergyregulator.gov.au/ERF</w:t>
        </w:r>
      </w:hyperlink>
      <w:r>
        <w:rPr>
          <w:rFonts w:ascii="Times New Roman" w:hAnsi="Times New Roman" w:cs="Times New Roman"/>
          <w:sz w:val="24"/>
          <w:szCs w:val="24"/>
        </w:rPr>
        <w:t>.</w:t>
      </w:r>
    </w:p>
    <w:p w14:paraId="496E038F" w14:textId="0A8BF5E7" w:rsidR="00C96812" w:rsidRDefault="00C96812" w:rsidP="00C96812">
      <w:pPr>
        <w:pStyle w:val="PlainParagraph"/>
        <w:rPr>
          <w:rFonts w:ascii="Times New Roman" w:hAnsi="Times New Roman" w:cs="Times New Roman"/>
          <w:sz w:val="24"/>
          <w:szCs w:val="24"/>
        </w:rPr>
      </w:pPr>
      <w:r>
        <w:rPr>
          <w:rFonts w:ascii="Times New Roman" w:hAnsi="Times New Roman" w:cs="Times New Roman"/>
          <w:sz w:val="24"/>
          <w:szCs w:val="24"/>
        </w:rPr>
        <w:t>The Emissions Reduction Fund does this by purchasing approved and verified emissions reductions from registered projects. The Clean Energy Regulator (the</w:t>
      </w:r>
      <w:r w:rsidR="00814DDC">
        <w:rPr>
          <w:rFonts w:ascii="Times New Roman" w:hAnsi="Times New Roman" w:cs="Times New Roman"/>
          <w:sz w:val="24"/>
          <w:szCs w:val="24"/>
        </w:rPr>
        <w:t> </w:t>
      </w:r>
      <w:r>
        <w:rPr>
          <w:rFonts w:ascii="Times New Roman" w:hAnsi="Times New Roman" w:cs="Times New Roman"/>
          <w:sz w:val="24"/>
          <w:szCs w:val="24"/>
        </w:rPr>
        <w:t>Regulator) is empowered under the Act to conduct processes to purchase emissions reductions, and enter into contracts for this purpose.</w:t>
      </w:r>
    </w:p>
    <w:p w14:paraId="1C8B6216" w14:textId="77777777" w:rsidR="001010FD" w:rsidRDefault="001010FD" w:rsidP="00C96812">
      <w:pPr>
        <w:pStyle w:val="PlainParagraph"/>
        <w:rPr>
          <w:rFonts w:ascii="Times New Roman" w:hAnsi="Times New Roman" w:cs="Times New Roman"/>
          <w:sz w:val="24"/>
          <w:szCs w:val="24"/>
        </w:rPr>
      </w:pPr>
      <w:r>
        <w:rPr>
          <w:rFonts w:ascii="Times New Roman" w:hAnsi="Times New Roman" w:cs="Times New Roman"/>
          <w:sz w:val="24"/>
          <w:szCs w:val="24"/>
        </w:rPr>
        <w:t>Emissions reduction activities are undertaken as offsets projects. Offsets projects undertaken in accordance with a methodology determination and approved by the Regulator can generate Australian Carbon Credit Units (ACCUs) that represent greenhouse gas abatement achieved by the project.</w:t>
      </w:r>
    </w:p>
    <w:p w14:paraId="2A3EB75E" w14:textId="3658035A" w:rsidR="00C96812" w:rsidRDefault="00C96812" w:rsidP="00C96812">
      <w:pPr>
        <w:pStyle w:val="PlainParagraph"/>
        <w:rPr>
          <w:rFonts w:ascii="Times New Roman" w:hAnsi="Times New Roman" w:cs="Times New Roman"/>
          <w:sz w:val="24"/>
          <w:szCs w:val="24"/>
        </w:rPr>
      </w:pPr>
      <w:r>
        <w:rPr>
          <w:rFonts w:ascii="Times New Roman" w:hAnsi="Times New Roman" w:cs="Times New Roman"/>
          <w:sz w:val="24"/>
          <w:szCs w:val="24"/>
        </w:rPr>
        <w:lastRenderedPageBreak/>
        <w:t xml:space="preserve">The Act is supported by subordinate legislation, including methodology determinations, </w:t>
      </w:r>
      <w:r w:rsidRPr="004F1F63">
        <w:rPr>
          <w:rFonts w:ascii="Times New Roman" w:hAnsi="Times New Roman" w:cs="Times New Roman"/>
          <w:sz w:val="24"/>
          <w:szCs w:val="24"/>
        </w:rPr>
        <w:t xml:space="preserve">Principal Rule and the </w:t>
      </w:r>
      <w:r w:rsidRPr="004F1F63">
        <w:rPr>
          <w:rFonts w:ascii="Times New Roman" w:hAnsi="Times New Roman" w:cs="Times New Roman"/>
          <w:i/>
          <w:sz w:val="24"/>
          <w:szCs w:val="24"/>
        </w:rPr>
        <w:t>Carbon Credits (Carbon Farming Initiative) Regulations 2011</w:t>
      </w:r>
      <w:r w:rsidRPr="004F1F63">
        <w:rPr>
          <w:rFonts w:ascii="Times New Roman" w:hAnsi="Times New Roman" w:cs="Times New Roman"/>
          <w:sz w:val="24"/>
          <w:szCs w:val="24"/>
        </w:rPr>
        <w:t xml:space="preserve"> (the Regulations). The Principal Rule and the Regulations provide detailed explanations of the way in which the Act is administered by the Regulator. </w:t>
      </w:r>
    </w:p>
    <w:p w14:paraId="430D4EAA" w14:textId="77777777" w:rsidR="00C96812" w:rsidRPr="00C96812" w:rsidRDefault="00C96812" w:rsidP="004B1238">
      <w:pPr>
        <w:pStyle w:val="PlainParagraph"/>
        <w:rPr>
          <w:rFonts w:ascii="Times New Roman" w:hAnsi="Times New Roman" w:cs="Times New Roman"/>
          <w:b/>
          <w:sz w:val="24"/>
          <w:szCs w:val="24"/>
        </w:rPr>
      </w:pPr>
      <w:r w:rsidRPr="00C96812">
        <w:rPr>
          <w:rFonts w:ascii="Times New Roman" w:hAnsi="Times New Roman" w:cs="Times New Roman"/>
          <w:b/>
          <w:sz w:val="24"/>
          <w:szCs w:val="24"/>
        </w:rPr>
        <w:t>Background: Blue Carbon Projects</w:t>
      </w:r>
    </w:p>
    <w:p w14:paraId="0C39D883" w14:textId="17D5C3A5" w:rsidR="00BE0B68" w:rsidRPr="00C6591F" w:rsidRDefault="00D67BF4" w:rsidP="00C6591F">
      <w:pPr>
        <w:pStyle w:val="PlainParagraph"/>
        <w:rPr>
          <w:rFonts w:ascii="Times New Roman" w:hAnsi="Times New Roman" w:cs="Times New Roman"/>
          <w:sz w:val="24"/>
          <w:szCs w:val="24"/>
        </w:rPr>
      </w:pPr>
      <w:r w:rsidRPr="00C6591F">
        <w:rPr>
          <w:rFonts w:ascii="Times New Roman" w:hAnsi="Times New Roman" w:cs="Times New Roman"/>
          <w:sz w:val="24"/>
          <w:szCs w:val="24"/>
        </w:rPr>
        <w:t xml:space="preserve">In December 2020, a blue carbon methodology determination was announced as one of 5 priority </w:t>
      </w:r>
      <w:r w:rsidR="001010FD" w:rsidRPr="00C6591F">
        <w:rPr>
          <w:rFonts w:ascii="Times New Roman" w:hAnsi="Times New Roman" w:cs="Times New Roman"/>
          <w:sz w:val="24"/>
          <w:szCs w:val="24"/>
        </w:rPr>
        <w:t>Emissions Reduction Fund</w:t>
      </w:r>
      <w:r w:rsidRPr="00C6591F">
        <w:rPr>
          <w:rFonts w:ascii="Times New Roman" w:hAnsi="Times New Roman" w:cs="Times New Roman"/>
          <w:sz w:val="24"/>
          <w:szCs w:val="24"/>
        </w:rPr>
        <w:t xml:space="preserve"> methods to be developed in 2021</w:t>
      </w:r>
      <w:r w:rsidR="00BE0B68" w:rsidRPr="00C6591F">
        <w:rPr>
          <w:rFonts w:ascii="Times New Roman" w:hAnsi="Times New Roman" w:cs="Times New Roman"/>
          <w:sz w:val="24"/>
          <w:szCs w:val="24"/>
        </w:rPr>
        <w:t xml:space="preserve">. </w:t>
      </w:r>
      <w:r w:rsidR="00FB5D39">
        <w:rPr>
          <w:rFonts w:ascii="Times New Roman" w:hAnsi="Times New Roman" w:cs="Times New Roman"/>
          <w:sz w:val="24"/>
          <w:szCs w:val="24"/>
        </w:rPr>
        <w:t xml:space="preserve">The </w:t>
      </w:r>
      <w:r w:rsidR="00FB5D39" w:rsidRPr="00C6591F">
        <w:rPr>
          <w:rFonts w:ascii="Times New Roman" w:hAnsi="Times New Roman" w:cs="Times New Roman"/>
          <w:sz w:val="24"/>
          <w:szCs w:val="24"/>
        </w:rPr>
        <w:t>Carbon Credits (Carbon Farming Initiative—Tidal Restoration of Blue Carbon Ecosystems) Methodology</w:t>
      </w:r>
      <w:r w:rsidR="00FB5D39">
        <w:rPr>
          <w:rFonts w:ascii="Times New Roman" w:hAnsi="Times New Roman" w:cs="Times New Roman"/>
          <w:i/>
          <w:sz w:val="24"/>
          <w:szCs w:val="24"/>
        </w:rPr>
        <w:t xml:space="preserve"> </w:t>
      </w:r>
      <w:r w:rsidR="00FB5D39" w:rsidRPr="0001490E">
        <w:rPr>
          <w:rFonts w:ascii="Times New Roman" w:hAnsi="Times New Roman" w:cs="Times New Roman"/>
          <w:sz w:val="24"/>
          <w:szCs w:val="24"/>
        </w:rPr>
        <w:t xml:space="preserve">Determination </w:t>
      </w:r>
      <w:r w:rsidR="00FB234F" w:rsidRPr="0001490E">
        <w:rPr>
          <w:rFonts w:ascii="Times New Roman" w:hAnsi="Times New Roman" w:cs="Times New Roman"/>
          <w:sz w:val="24"/>
          <w:szCs w:val="24"/>
        </w:rPr>
        <w:t>2022</w:t>
      </w:r>
      <w:r w:rsidR="00FB5D39">
        <w:rPr>
          <w:rFonts w:ascii="Times New Roman" w:hAnsi="Times New Roman" w:cs="Times New Roman"/>
          <w:i/>
          <w:sz w:val="24"/>
          <w:szCs w:val="24"/>
        </w:rPr>
        <w:t xml:space="preserve"> </w:t>
      </w:r>
      <w:r w:rsidR="00FB5D39" w:rsidRPr="0001490E">
        <w:rPr>
          <w:rFonts w:ascii="Times New Roman" w:hAnsi="Times New Roman"/>
          <w:sz w:val="24"/>
        </w:rPr>
        <w:t>(</w:t>
      </w:r>
      <w:r w:rsidR="00FB5D39">
        <w:rPr>
          <w:rFonts w:ascii="Times New Roman" w:hAnsi="Times New Roman" w:cs="Times New Roman"/>
          <w:sz w:val="24"/>
          <w:szCs w:val="24"/>
        </w:rPr>
        <w:t>Blue Carbon Method)</w:t>
      </w:r>
      <w:r w:rsidR="00FB5D39">
        <w:rPr>
          <w:rFonts w:ascii="TimesNewRomanPSMT" w:hAnsi="TimesNewRomanPSMT" w:cs="TimesNewRomanPSMT"/>
          <w:sz w:val="24"/>
          <w:szCs w:val="24"/>
        </w:rPr>
        <w:t xml:space="preserve"> </w:t>
      </w:r>
      <w:r w:rsidR="00BE0B68">
        <w:rPr>
          <w:rFonts w:ascii="TimesNewRomanPSMT" w:hAnsi="TimesNewRomanPSMT" w:cs="TimesNewRomanPSMT"/>
          <w:sz w:val="24"/>
          <w:szCs w:val="24"/>
        </w:rPr>
        <w:t xml:space="preserve">enables projects </w:t>
      </w:r>
      <w:r w:rsidR="00BE0B68" w:rsidRPr="00C6591F">
        <w:rPr>
          <w:rFonts w:ascii="Times New Roman" w:hAnsi="Times New Roman" w:cs="Times New Roman"/>
          <w:sz w:val="24"/>
          <w:szCs w:val="24"/>
        </w:rPr>
        <w:t>that sequester carbon in biomass and soils, and avoid emissions</w:t>
      </w:r>
      <w:r w:rsidR="00E45161">
        <w:rPr>
          <w:rFonts w:ascii="Times New Roman" w:hAnsi="Times New Roman" w:cs="Times New Roman"/>
          <w:sz w:val="24"/>
          <w:szCs w:val="24"/>
        </w:rPr>
        <w:t>,</w:t>
      </w:r>
      <w:r w:rsidR="00BE0B68" w:rsidRPr="00C6591F">
        <w:rPr>
          <w:rFonts w:ascii="Times New Roman" w:hAnsi="Times New Roman" w:cs="Times New Roman"/>
          <w:sz w:val="24"/>
          <w:szCs w:val="24"/>
        </w:rPr>
        <w:t xml:space="preserve"> through the establishment of coastal wetland ecosystems</w:t>
      </w:r>
      <w:r w:rsidR="00875044" w:rsidRPr="00C6591F">
        <w:rPr>
          <w:rFonts w:ascii="Times New Roman" w:hAnsi="Times New Roman" w:cs="Times New Roman"/>
          <w:sz w:val="24"/>
          <w:szCs w:val="24"/>
        </w:rPr>
        <w:t xml:space="preserve"> to </w:t>
      </w:r>
      <w:r w:rsidR="00BE0B68" w:rsidRPr="00C6591F">
        <w:rPr>
          <w:rFonts w:ascii="Times New Roman" w:hAnsi="Times New Roman" w:cs="Times New Roman"/>
          <w:sz w:val="24"/>
          <w:szCs w:val="24"/>
        </w:rPr>
        <w:t>generate ACCUs.</w:t>
      </w:r>
    </w:p>
    <w:p w14:paraId="5324FBD9" w14:textId="53C80B79" w:rsidR="00377663" w:rsidRPr="00C6591F" w:rsidRDefault="00DA470B" w:rsidP="004B1238">
      <w:pPr>
        <w:pStyle w:val="PlainParagraph"/>
        <w:rPr>
          <w:rFonts w:ascii="TimesNewRomanPSMT" w:hAnsi="TimesNewRomanPSMT" w:cs="TimesNewRomanPSMT"/>
          <w:sz w:val="24"/>
          <w:szCs w:val="24"/>
        </w:rPr>
      </w:pPr>
      <w:r w:rsidRPr="00907E6D">
        <w:rPr>
          <w:rFonts w:ascii="Times New Roman" w:hAnsi="Times New Roman" w:cs="Times New Roman"/>
          <w:sz w:val="24"/>
          <w:szCs w:val="24"/>
        </w:rPr>
        <w:t xml:space="preserve">The Amendment Rule facilitates the introduction of the </w:t>
      </w:r>
      <w:r w:rsidR="00FB5D39" w:rsidRPr="00C6591F">
        <w:rPr>
          <w:rFonts w:ascii="Times New Roman" w:hAnsi="Times New Roman" w:cs="Times New Roman"/>
          <w:sz w:val="24"/>
          <w:szCs w:val="24"/>
        </w:rPr>
        <w:t>Blue Carbon Method</w:t>
      </w:r>
      <w:r w:rsidRPr="00907E6D">
        <w:rPr>
          <w:rFonts w:ascii="Times New Roman" w:hAnsi="Times New Roman" w:cs="Times New Roman"/>
          <w:sz w:val="24"/>
          <w:szCs w:val="24"/>
        </w:rPr>
        <w:t>, which sets out the rules for calculating, crediting and reporting the abatement from undertaking eligible project activities for the purpose of creating ACCUs. It also sets out the rules for</w:t>
      </w:r>
      <w:r w:rsidRPr="00C6591F">
        <w:rPr>
          <w:rFonts w:ascii="TimesNewRomanPSMT" w:hAnsi="TimesNewRomanPSMT" w:cs="TimesNewRomanPSMT"/>
          <w:sz w:val="24"/>
          <w:szCs w:val="24"/>
        </w:rPr>
        <w:t xml:space="preserve"> eligibility of projects to be credited for carbon sequestration and emissions avoidance, and specific notification and monitoring requirements.</w:t>
      </w:r>
      <w:r w:rsidR="00377663" w:rsidRPr="00C6591F">
        <w:rPr>
          <w:rFonts w:ascii="TimesNewRomanPSMT" w:hAnsi="TimesNewRomanPSMT" w:cs="TimesNewRomanPSMT"/>
          <w:sz w:val="24"/>
          <w:szCs w:val="24"/>
        </w:rPr>
        <w:t xml:space="preserve"> </w:t>
      </w:r>
    </w:p>
    <w:p w14:paraId="4CDE8DF8" w14:textId="476EE0BB" w:rsidR="00DA470B" w:rsidRDefault="00377663" w:rsidP="004B1238">
      <w:pPr>
        <w:pStyle w:val="PlainParagraph"/>
        <w:rPr>
          <w:rFonts w:ascii="Times New Roman" w:hAnsi="Times New Roman" w:cs="Times New Roman"/>
          <w:sz w:val="24"/>
          <w:szCs w:val="24"/>
        </w:rPr>
      </w:pPr>
      <w:r>
        <w:rPr>
          <w:rFonts w:ascii="Times New Roman" w:hAnsi="Times New Roman" w:cs="Times New Roman"/>
          <w:sz w:val="24"/>
          <w:szCs w:val="24"/>
        </w:rPr>
        <w:t>This method is similar to the</w:t>
      </w:r>
      <w:r w:rsidRPr="00377663">
        <w:rPr>
          <w:rFonts w:ascii="Times New Roman" w:hAnsi="Times New Roman" w:cs="Times New Roman"/>
          <w:sz w:val="24"/>
          <w:szCs w:val="24"/>
        </w:rPr>
        <w:t xml:space="preserve"> </w:t>
      </w:r>
      <w:r w:rsidRPr="00634E86">
        <w:rPr>
          <w:rFonts w:ascii="Times New Roman" w:hAnsi="Times New Roman" w:cs="Times New Roman"/>
          <w:i/>
          <w:sz w:val="24"/>
          <w:szCs w:val="24"/>
        </w:rPr>
        <w:t>Carbon Credits (Carbon Farming Initiative—Savanna Fire Management—Sequestration and Emissions Avoidance) Methodology Determination 2018</w:t>
      </w:r>
      <w:r>
        <w:rPr>
          <w:rFonts w:ascii="Times New Roman" w:hAnsi="Times New Roman" w:cs="Times New Roman"/>
          <w:sz w:val="24"/>
          <w:szCs w:val="24"/>
        </w:rPr>
        <w:t xml:space="preserve"> in that project</w:t>
      </w:r>
      <w:r w:rsidR="00EB34C6">
        <w:rPr>
          <w:rFonts w:ascii="Times New Roman" w:hAnsi="Times New Roman" w:cs="Times New Roman"/>
          <w:sz w:val="24"/>
          <w:szCs w:val="24"/>
        </w:rPr>
        <w:t>s</w:t>
      </w:r>
      <w:r>
        <w:rPr>
          <w:rFonts w:ascii="Times New Roman" w:hAnsi="Times New Roman" w:cs="Times New Roman"/>
          <w:sz w:val="24"/>
          <w:szCs w:val="24"/>
        </w:rPr>
        <w:t xml:space="preserve"> create abatement by both avoiding emissions and carbon sequestration. The discounts in section 16 of the Act are unable to distinguish between these two forms of abatement and abatement for emissions avoidance is not discounted under section 18 of the Act (because once emissions are avoided that is a permanent benefit to the atmosphere). Accordingly, for the same reasons as applied to the savanna sequestration method, the discounts under section 16 of the Act are set to zero so that the methodology determination can set out appropriate discounts for sequestration, but provide full crediting for emissions avoidance. </w:t>
      </w:r>
    </w:p>
    <w:p w14:paraId="10F950A4" w14:textId="57972A7B" w:rsidR="00634E86" w:rsidRDefault="00377663" w:rsidP="004B1238">
      <w:pPr>
        <w:pStyle w:val="PlainParagraph"/>
        <w:rPr>
          <w:rFonts w:ascii="Times New Roman" w:hAnsi="Times New Roman" w:cs="Times New Roman"/>
          <w:sz w:val="24"/>
          <w:szCs w:val="24"/>
        </w:rPr>
      </w:pPr>
      <w:r>
        <w:rPr>
          <w:rFonts w:ascii="Times New Roman" w:hAnsi="Times New Roman" w:cs="Times New Roman"/>
          <w:sz w:val="24"/>
          <w:szCs w:val="24"/>
        </w:rPr>
        <w:t>The application of</w:t>
      </w:r>
      <w:r w:rsidR="004369F4">
        <w:rPr>
          <w:rFonts w:ascii="Times New Roman" w:hAnsi="Times New Roman" w:cs="Times New Roman"/>
          <w:sz w:val="24"/>
          <w:szCs w:val="24"/>
        </w:rPr>
        <w:t xml:space="preserve"> the discounts for sequestration abatement is achieved by section</w:t>
      </w:r>
      <w:r w:rsidR="00814DDC">
        <w:rPr>
          <w:rFonts w:ascii="Times New Roman" w:hAnsi="Times New Roman" w:cs="Times New Roman"/>
          <w:sz w:val="24"/>
          <w:szCs w:val="24"/>
        </w:rPr>
        <w:t> </w:t>
      </w:r>
      <w:r w:rsidR="004369F4">
        <w:rPr>
          <w:rFonts w:ascii="Times New Roman" w:hAnsi="Times New Roman" w:cs="Times New Roman"/>
          <w:sz w:val="24"/>
          <w:szCs w:val="24"/>
        </w:rPr>
        <w:t xml:space="preserve">29 of the </w:t>
      </w:r>
      <w:r w:rsidR="004369F4">
        <w:rPr>
          <w:rFonts w:ascii="Times New Roman" w:hAnsi="Times New Roman" w:cs="Times New Roman"/>
          <w:i/>
          <w:sz w:val="24"/>
          <w:szCs w:val="24"/>
        </w:rPr>
        <w:t>Carbon Credits (Carbon Farming Initiative</w:t>
      </w:r>
      <w:r w:rsidR="004369F4" w:rsidRPr="00DA470B">
        <w:rPr>
          <w:rFonts w:ascii="Times New Roman" w:hAnsi="Times New Roman" w:cs="Times New Roman"/>
          <w:i/>
          <w:sz w:val="24"/>
          <w:szCs w:val="24"/>
        </w:rPr>
        <w:t>—</w:t>
      </w:r>
      <w:r w:rsidR="004369F4">
        <w:rPr>
          <w:rFonts w:ascii="Times New Roman" w:hAnsi="Times New Roman" w:cs="Times New Roman"/>
          <w:i/>
          <w:sz w:val="24"/>
          <w:szCs w:val="24"/>
        </w:rPr>
        <w:t xml:space="preserve">Tidal Restoration of Blue Carbon Ecosystems) Methodology Determination </w:t>
      </w:r>
      <w:r w:rsidR="00FB234F">
        <w:rPr>
          <w:rFonts w:ascii="Times New Roman" w:hAnsi="Times New Roman" w:cs="Times New Roman"/>
          <w:i/>
          <w:sz w:val="24"/>
          <w:szCs w:val="24"/>
        </w:rPr>
        <w:t>2022</w:t>
      </w:r>
      <w:r w:rsidR="004369F4">
        <w:rPr>
          <w:rFonts w:ascii="Times New Roman" w:hAnsi="Times New Roman" w:cs="Times New Roman"/>
          <w:sz w:val="24"/>
          <w:szCs w:val="24"/>
        </w:rPr>
        <w:t xml:space="preserve"> with the concept of a ‘sequestration buffer’. The combined discounts for 100-year and 25-year permanence period projects </w:t>
      </w:r>
      <w:r w:rsidR="00EB34C6">
        <w:rPr>
          <w:rFonts w:ascii="Times New Roman" w:hAnsi="Times New Roman" w:cs="Times New Roman"/>
          <w:sz w:val="24"/>
          <w:szCs w:val="24"/>
        </w:rPr>
        <w:t>are</w:t>
      </w:r>
      <w:r w:rsidR="004369F4">
        <w:rPr>
          <w:rFonts w:ascii="Times New Roman" w:hAnsi="Times New Roman" w:cs="Times New Roman"/>
          <w:sz w:val="24"/>
          <w:szCs w:val="24"/>
        </w:rPr>
        <w:t xml:space="preserve"> generally the same as applies under section 16 of the Act</w:t>
      </w:r>
      <w:r w:rsidR="005B0F2C">
        <w:rPr>
          <w:rFonts w:ascii="Times New Roman" w:hAnsi="Times New Roman" w:cs="Times New Roman"/>
          <w:sz w:val="24"/>
          <w:szCs w:val="24"/>
        </w:rPr>
        <w:t xml:space="preserve"> for carbon sequestration</w:t>
      </w:r>
      <w:r w:rsidR="004369F4">
        <w:rPr>
          <w:rFonts w:ascii="Times New Roman" w:hAnsi="Times New Roman" w:cs="Times New Roman"/>
          <w:sz w:val="24"/>
          <w:szCs w:val="24"/>
        </w:rPr>
        <w:t>, however a higher total discount of 25</w:t>
      </w:r>
      <w:r w:rsidR="006F48A1">
        <w:rPr>
          <w:rFonts w:ascii="Times New Roman" w:hAnsi="Times New Roman" w:cs="Times New Roman"/>
          <w:sz w:val="24"/>
          <w:szCs w:val="24"/>
        </w:rPr>
        <w:t xml:space="preserve"> per cent </w:t>
      </w:r>
      <w:r w:rsidR="004369F4">
        <w:rPr>
          <w:rFonts w:ascii="Times New Roman" w:hAnsi="Times New Roman" w:cs="Times New Roman"/>
          <w:sz w:val="24"/>
          <w:szCs w:val="24"/>
        </w:rPr>
        <w:t xml:space="preserve">is applied to 100-year permanence period projects where </w:t>
      </w:r>
      <w:r w:rsidR="00EB34C6">
        <w:rPr>
          <w:rFonts w:ascii="Times New Roman" w:hAnsi="Times New Roman" w:cs="Times New Roman"/>
          <w:sz w:val="24"/>
          <w:szCs w:val="24"/>
        </w:rPr>
        <w:t xml:space="preserve">the </w:t>
      </w:r>
      <w:r w:rsidR="004369F4">
        <w:rPr>
          <w:rFonts w:ascii="Times New Roman" w:hAnsi="Times New Roman" w:cs="Times New Roman"/>
          <w:sz w:val="24"/>
          <w:szCs w:val="24"/>
        </w:rPr>
        <w:t xml:space="preserve">project includes less than </w:t>
      </w:r>
      <w:r w:rsidR="004369F4" w:rsidRPr="004369F4">
        <w:rPr>
          <w:rFonts w:ascii="Times New Roman" w:hAnsi="Times New Roman" w:cs="Times New Roman"/>
          <w:sz w:val="24"/>
          <w:szCs w:val="24"/>
        </w:rPr>
        <w:t xml:space="preserve">80 per cent of all land identified as impacted land for the project in </w:t>
      </w:r>
      <w:r w:rsidR="004369F4">
        <w:rPr>
          <w:rFonts w:ascii="Times New Roman" w:hAnsi="Times New Roman" w:cs="Times New Roman"/>
          <w:sz w:val="24"/>
          <w:szCs w:val="24"/>
        </w:rPr>
        <w:t xml:space="preserve">permanence period. </w:t>
      </w:r>
      <w:r w:rsidR="005B0F2C">
        <w:rPr>
          <w:rFonts w:ascii="Times New Roman" w:hAnsi="Times New Roman" w:cs="Times New Roman"/>
          <w:sz w:val="24"/>
          <w:szCs w:val="24"/>
        </w:rPr>
        <w:t xml:space="preserve">This higher </w:t>
      </w:r>
      <w:r w:rsidR="005B0F2C" w:rsidRPr="005B0F2C">
        <w:rPr>
          <w:rFonts w:ascii="Times New Roman" w:hAnsi="Times New Roman" w:cs="Times New Roman"/>
          <w:sz w:val="24"/>
          <w:szCs w:val="24"/>
        </w:rPr>
        <w:t>discount is intended to manage the risk that the coasta</w:t>
      </w:r>
      <w:r w:rsidR="005B0F2C">
        <w:rPr>
          <w:rFonts w:ascii="Times New Roman" w:hAnsi="Times New Roman" w:cs="Times New Roman"/>
          <w:sz w:val="24"/>
          <w:szCs w:val="24"/>
        </w:rPr>
        <w:t xml:space="preserve">l wetland ecosystem vegetation </w:t>
      </w:r>
      <w:r w:rsidR="005B0F2C" w:rsidRPr="005B0F2C">
        <w:rPr>
          <w:rFonts w:ascii="Times New Roman" w:hAnsi="Times New Roman" w:cs="Times New Roman"/>
          <w:sz w:val="24"/>
          <w:szCs w:val="24"/>
        </w:rPr>
        <w:t>that establishes as a result of the project migrates beyond the project area over time</w:t>
      </w:r>
      <w:r w:rsidR="005B0F2C">
        <w:rPr>
          <w:rFonts w:ascii="Times New Roman" w:hAnsi="Times New Roman" w:cs="Times New Roman"/>
          <w:sz w:val="24"/>
          <w:szCs w:val="24"/>
        </w:rPr>
        <w:t>.</w:t>
      </w:r>
      <w:r w:rsidR="007972AB">
        <w:rPr>
          <w:rFonts w:ascii="Times New Roman" w:hAnsi="Times New Roman" w:cs="Times New Roman"/>
          <w:sz w:val="24"/>
          <w:szCs w:val="24"/>
        </w:rPr>
        <w:t xml:space="preserve"> No discount is applied to avoided emissions. These discount arrangements were considered appropriate by the Emissions Reduction Assurance Committee in providing advice on the making of the methodology determination.</w:t>
      </w:r>
    </w:p>
    <w:p w14:paraId="5FFF22A7" w14:textId="77777777" w:rsidR="00814DDC" w:rsidRDefault="00814DDC" w:rsidP="004B1238">
      <w:pPr>
        <w:pStyle w:val="PlainParagraph"/>
        <w:rPr>
          <w:rFonts w:ascii="Times New Roman" w:hAnsi="Times New Roman" w:cs="Times New Roman"/>
          <w:sz w:val="24"/>
          <w:szCs w:val="24"/>
        </w:rPr>
      </w:pPr>
    </w:p>
    <w:p w14:paraId="78D26FEB" w14:textId="77777777" w:rsidR="00946F67" w:rsidRDefault="00946F67" w:rsidP="004B1238">
      <w:pPr>
        <w:pStyle w:val="PlainParagraph"/>
        <w:rPr>
          <w:rFonts w:ascii="Times New Roman" w:hAnsi="Times New Roman" w:cs="Times New Roman"/>
          <w:b/>
          <w:sz w:val="24"/>
          <w:szCs w:val="24"/>
        </w:rPr>
      </w:pPr>
    </w:p>
    <w:p w14:paraId="3C1C73CC" w14:textId="77777777" w:rsidR="00946F67" w:rsidRDefault="00946F67" w:rsidP="004B1238">
      <w:pPr>
        <w:pStyle w:val="PlainParagraph"/>
        <w:rPr>
          <w:rFonts w:ascii="Times New Roman" w:hAnsi="Times New Roman" w:cs="Times New Roman"/>
          <w:b/>
          <w:sz w:val="24"/>
          <w:szCs w:val="24"/>
        </w:rPr>
      </w:pPr>
    </w:p>
    <w:p w14:paraId="47976C7C" w14:textId="48E362F1" w:rsidR="00C96812" w:rsidRPr="00C96812" w:rsidRDefault="00C96812" w:rsidP="004B1238">
      <w:pPr>
        <w:pStyle w:val="PlainParagraph"/>
        <w:rPr>
          <w:rFonts w:ascii="Times New Roman" w:hAnsi="Times New Roman" w:cs="Times New Roman"/>
          <w:b/>
          <w:sz w:val="24"/>
          <w:szCs w:val="24"/>
        </w:rPr>
      </w:pPr>
      <w:r w:rsidRPr="00C96812">
        <w:rPr>
          <w:rFonts w:ascii="Times New Roman" w:hAnsi="Times New Roman" w:cs="Times New Roman"/>
          <w:b/>
          <w:sz w:val="24"/>
          <w:szCs w:val="24"/>
        </w:rPr>
        <w:lastRenderedPageBreak/>
        <w:t>Operation</w:t>
      </w:r>
    </w:p>
    <w:p w14:paraId="1729A0C6" w14:textId="2EE1B5CE" w:rsidR="00C96812" w:rsidRPr="00F86255" w:rsidRDefault="00C96812" w:rsidP="00C96812">
      <w:pPr>
        <w:autoSpaceDE w:val="0"/>
        <w:autoSpaceDN w:val="0"/>
        <w:adjustRightInd w:val="0"/>
        <w:rPr>
          <w:rFonts w:ascii="TimesNewRomanPSMT" w:hAnsi="TimesNewRomanPSMT" w:cs="TimesNewRomanPSMT"/>
          <w:sz w:val="24"/>
          <w:szCs w:val="24"/>
        </w:rPr>
      </w:pPr>
      <w:r>
        <w:rPr>
          <w:rFonts w:ascii="Times New Roman" w:hAnsi="Times New Roman" w:cs="Times New Roman"/>
          <w:sz w:val="24"/>
          <w:szCs w:val="24"/>
        </w:rPr>
        <w:t>The Act is supported by subordinate legislation, including the Principal Rule, and the Regulations. The Principal Rule and Regulations provide detailed explanations of the way in which the Act is administered by the Regulator.</w:t>
      </w:r>
    </w:p>
    <w:p w14:paraId="33098999" w14:textId="77777777" w:rsidR="00C96812" w:rsidRDefault="00C96812" w:rsidP="00C96812">
      <w:pPr>
        <w:pStyle w:val="PlainParagraph"/>
        <w:rPr>
          <w:rFonts w:ascii="Times New Roman" w:hAnsi="Times New Roman" w:cs="Times New Roman"/>
          <w:sz w:val="24"/>
          <w:szCs w:val="24"/>
        </w:rPr>
      </w:pPr>
      <w:r>
        <w:rPr>
          <w:rFonts w:ascii="Times New Roman" w:hAnsi="Times New Roman" w:cs="Times New Roman"/>
          <w:sz w:val="24"/>
          <w:szCs w:val="24"/>
        </w:rPr>
        <w:t xml:space="preserve">The Minister for Industry, Energy and Emissions Reduction is empowered to make legislative rules under section 308 of the Act. </w:t>
      </w:r>
    </w:p>
    <w:p w14:paraId="0FF078DE" w14:textId="77777777" w:rsidR="00C42C20" w:rsidRDefault="00C42C20" w:rsidP="00C96812">
      <w:pPr>
        <w:pStyle w:val="PlainParagraph"/>
        <w:rPr>
          <w:rFonts w:ascii="Times New Roman" w:hAnsi="Times New Roman" w:cs="Times New Roman"/>
          <w:sz w:val="24"/>
          <w:szCs w:val="24"/>
        </w:rPr>
      </w:pPr>
      <w:r>
        <w:rPr>
          <w:rFonts w:ascii="Times New Roman" w:hAnsi="Times New Roman" w:cs="Times New Roman"/>
          <w:sz w:val="24"/>
          <w:szCs w:val="24"/>
        </w:rPr>
        <w:t>The Amendment Rule expands the application of section 9B of the Principal Rule, which details the permanence period discount number and risk of reversal buffer number for savanna sequestration projects, to tidal restoration projects.</w:t>
      </w:r>
    </w:p>
    <w:p w14:paraId="17599EAA" w14:textId="7E2948F3" w:rsidR="00C96812" w:rsidRPr="00C96812" w:rsidRDefault="00C96812" w:rsidP="00C96812">
      <w:pPr>
        <w:pStyle w:val="PlainParagraph"/>
        <w:rPr>
          <w:rFonts w:ascii="Times New Roman" w:hAnsi="Times New Roman" w:cs="Times New Roman"/>
          <w:sz w:val="24"/>
          <w:szCs w:val="24"/>
        </w:rPr>
      </w:pPr>
      <w:r>
        <w:rPr>
          <w:rFonts w:ascii="Times New Roman" w:hAnsi="Times New Roman" w:cs="Times New Roman"/>
          <w:sz w:val="24"/>
          <w:szCs w:val="24"/>
        </w:rPr>
        <w:t>T</w:t>
      </w:r>
      <w:r w:rsidR="00C42C20">
        <w:rPr>
          <w:rFonts w:ascii="Times New Roman" w:hAnsi="Times New Roman" w:cs="Times New Roman"/>
          <w:sz w:val="24"/>
          <w:szCs w:val="24"/>
        </w:rPr>
        <w:t>o support this in the Principal Rule, t</w:t>
      </w:r>
      <w:r>
        <w:rPr>
          <w:rFonts w:ascii="Times New Roman" w:hAnsi="Times New Roman" w:cs="Times New Roman"/>
          <w:sz w:val="24"/>
          <w:szCs w:val="24"/>
        </w:rPr>
        <w:t xml:space="preserve">he Amendment Rule inserts a new definition of “tidal restoration project”, which refers to sequestration offsets projects that introduce tidal flow in order to support the establishment of coastal wetlands ecosystems. The applicable methodology determination for tidal restoration projects is the </w:t>
      </w:r>
      <w:r>
        <w:rPr>
          <w:rFonts w:ascii="Times New Roman" w:hAnsi="Times New Roman" w:cs="Times New Roman"/>
          <w:i/>
          <w:sz w:val="24"/>
          <w:szCs w:val="24"/>
        </w:rPr>
        <w:t>Carbon Credits (Carbon Farming Initiative</w:t>
      </w:r>
      <w:r w:rsidRPr="00C96812">
        <w:rPr>
          <w:rFonts w:ascii="Times New Roman" w:hAnsi="Times New Roman" w:cs="Times New Roman"/>
          <w:i/>
          <w:sz w:val="24"/>
          <w:szCs w:val="24"/>
        </w:rPr>
        <w:t>—</w:t>
      </w:r>
      <w:r>
        <w:rPr>
          <w:rFonts w:ascii="Times New Roman" w:hAnsi="Times New Roman" w:cs="Times New Roman"/>
          <w:i/>
          <w:sz w:val="24"/>
          <w:szCs w:val="24"/>
        </w:rPr>
        <w:t xml:space="preserve">Tidal Restoration of Blue Carbon Ecosystems) Methodology Determination </w:t>
      </w:r>
      <w:r w:rsidR="00FB234F">
        <w:rPr>
          <w:rFonts w:ascii="Times New Roman" w:hAnsi="Times New Roman" w:cs="Times New Roman"/>
          <w:i/>
          <w:sz w:val="24"/>
          <w:szCs w:val="24"/>
        </w:rPr>
        <w:t>2022</w:t>
      </w:r>
      <w:r>
        <w:rPr>
          <w:rFonts w:ascii="Times New Roman" w:hAnsi="Times New Roman" w:cs="Times New Roman"/>
          <w:sz w:val="24"/>
          <w:szCs w:val="24"/>
        </w:rPr>
        <w:t>, or earlier versions of that determination that apply to the project by operation of sections 125, 126, 127 or 130 of the Act.</w:t>
      </w:r>
      <w:r w:rsidR="007972AB">
        <w:rPr>
          <w:rFonts w:ascii="Times New Roman" w:hAnsi="Times New Roman" w:cs="Times New Roman"/>
          <w:sz w:val="24"/>
          <w:szCs w:val="24"/>
        </w:rPr>
        <w:t xml:space="preserve"> Those sections allow for the application of earlier versions of the methodology determination to projects in the event the determination expires or is varied or revoked.</w:t>
      </w:r>
    </w:p>
    <w:p w14:paraId="64289435" w14:textId="77777777" w:rsidR="00897A70" w:rsidRDefault="00897A70" w:rsidP="00897A70">
      <w:pPr>
        <w:pStyle w:val="PlainParagraph"/>
        <w:rPr>
          <w:rFonts w:ascii="Times New Roman" w:hAnsi="Times New Roman" w:cs="Times New Roman"/>
          <w:b/>
          <w:sz w:val="24"/>
          <w:szCs w:val="24"/>
        </w:rPr>
      </w:pPr>
      <w:r>
        <w:rPr>
          <w:rFonts w:ascii="Times New Roman" w:hAnsi="Times New Roman" w:cs="Times New Roman"/>
          <w:b/>
          <w:sz w:val="24"/>
          <w:szCs w:val="24"/>
        </w:rPr>
        <w:t>Detailed description of the Amendment Rule</w:t>
      </w:r>
    </w:p>
    <w:p w14:paraId="03CA94CB" w14:textId="77777777"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u w:val="single"/>
        </w:rPr>
        <w:t xml:space="preserve">Attachment A </w:t>
      </w:r>
      <w:r>
        <w:rPr>
          <w:rFonts w:ascii="Times New Roman" w:hAnsi="Times New Roman" w:cs="Times New Roman"/>
          <w:sz w:val="24"/>
          <w:szCs w:val="24"/>
        </w:rPr>
        <w:t>outlines and describes the sections in the Amendment Rule.</w:t>
      </w:r>
    </w:p>
    <w:p w14:paraId="0DBAD391" w14:textId="77777777" w:rsidR="00897A70" w:rsidRDefault="00897A70" w:rsidP="00897A70">
      <w:pPr>
        <w:pStyle w:val="PlainParagraph"/>
        <w:rPr>
          <w:rFonts w:ascii="Times New Roman" w:hAnsi="Times New Roman" w:cs="Times New Roman"/>
          <w:sz w:val="24"/>
          <w:szCs w:val="24"/>
        </w:rPr>
      </w:pPr>
      <w:r>
        <w:rPr>
          <w:rFonts w:ascii="Times New Roman" w:hAnsi="Times New Roman" w:cs="Times New Roman"/>
          <w:b/>
          <w:sz w:val="24"/>
          <w:szCs w:val="24"/>
        </w:rPr>
        <w:t>Public consultation</w:t>
      </w:r>
    </w:p>
    <w:p w14:paraId="53530E68" w14:textId="03A07723"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The Regulator and the Department of Industry, Science, Energy and Resources </w:t>
      </w:r>
      <w:r w:rsidR="0001490E">
        <w:rPr>
          <w:rFonts w:ascii="Times New Roman" w:hAnsi="Times New Roman" w:cs="Times New Roman"/>
          <w:sz w:val="24"/>
          <w:szCs w:val="24"/>
        </w:rPr>
        <w:t xml:space="preserve">publically </w:t>
      </w:r>
      <w:r>
        <w:rPr>
          <w:rFonts w:ascii="Times New Roman" w:hAnsi="Times New Roman" w:cs="Times New Roman"/>
          <w:sz w:val="24"/>
          <w:szCs w:val="24"/>
        </w:rPr>
        <w:t xml:space="preserve">consulted on the new blue carbon ecosystems method leading up to the release of the </w:t>
      </w:r>
      <w:r>
        <w:rPr>
          <w:rFonts w:ascii="Times New Roman" w:hAnsi="Times New Roman" w:cs="Times New Roman"/>
          <w:i/>
          <w:sz w:val="24"/>
          <w:szCs w:val="24"/>
        </w:rPr>
        <w:t>Carbon Credits (Carbon Farming Initiative</w:t>
      </w:r>
      <w:r w:rsidRPr="00DB2CAC">
        <w:rPr>
          <w:rFonts w:ascii="Times New Roman" w:hAnsi="Times New Roman" w:cs="Times New Roman"/>
          <w:i/>
          <w:sz w:val="24"/>
          <w:szCs w:val="24"/>
        </w:rPr>
        <w:t>—</w:t>
      </w:r>
      <w:r>
        <w:rPr>
          <w:rFonts w:ascii="Times New Roman" w:hAnsi="Times New Roman" w:cs="Times New Roman"/>
          <w:i/>
          <w:sz w:val="24"/>
          <w:szCs w:val="24"/>
        </w:rPr>
        <w:t xml:space="preserve">Tidal Restoration of Blue Carbon Ecosystems) Methodology Determination </w:t>
      </w:r>
      <w:r w:rsidR="00FB234F">
        <w:rPr>
          <w:rFonts w:ascii="Times New Roman" w:hAnsi="Times New Roman" w:cs="Times New Roman"/>
          <w:i/>
          <w:sz w:val="24"/>
          <w:szCs w:val="24"/>
        </w:rPr>
        <w:t>2022</w:t>
      </w:r>
      <w:r>
        <w:rPr>
          <w:rFonts w:ascii="Times New Roman" w:hAnsi="Times New Roman" w:cs="Times New Roman"/>
          <w:sz w:val="24"/>
          <w:szCs w:val="24"/>
        </w:rPr>
        <w:t xml:space="preserve">. This included information relevant to the Amendment Rule, including information about the new permanence period discount number and risk of reversal buffer number which applies to tidal restoration projects. </w:t>
      </w:r>
    </w:p>
    <w:p w14:paraId="345C967B" w14:textId="77777777" w:rsidR="00897A70" w:rsidRDefault="00897A70" w:rsidP="00897A70">
      <w:pPr>
        <w:pStyle w:val="PlainParagraph"/>
        <w:rPr>
          <w:rFonts w:ascii="Times New Roman" w:hAnsi="Times New Roman" w:cs="Times New Roman"/>
          <w:b/>
          <w:sz w:val="24"/>
          <w:szCs w:val="24"/>
        </w:rPr>
      </w:pPr>
      <w:r>
        <w:rPr>
          <w:rFonts w:ascii="Times New Roman" w:hAnsi="Times New Roman" w:cs="Times New Roman"/>
          <w:b/>
          <w:sz w:val="24"/>
          <w:szCs w:val="24"/>
        </w:rPr>
        <w:t>Regulatory impact</w:t>
      </w:r>
    </w:p>
    <w:p w14:paraId="549EF988" w14:textId="2A932277" w:rsidR="003746B7" w:rsidRDefault="003746B7" w:rsidP="00897A70">
      <w:pPr>
        <w:pStyle w:val="PlainParagraph"/>
        <w:rPr>
          <w:rFonts w:ascii="Times New Roman" w:hAnsi="Times New Roman" w:cs="Times New Roman"/>
          <w:sz w:val="24"/>
          <w:szCs w:val="24"/>
        </w:rPr>
      </w:pPr>
      <w:r w:rsidRPr="003746B7">
        <w:rPr>
          <w:rFonts w:ascii="Times New Roman" w:hAnsi="Times New Roman" w:cs="Times New Roman"/>
          <w:sz w:val="24"/>
          <w:szCs w:val="24"/>
        </w:rPr>
        <w:t>The Office of Best Practice Regulation has confirmed that a Regulatory Impact Statement is not required, because the proposal is unlikely to have more than a minor regulatory im</w:t>
      </w:r>
      <w:r>
        <w:rPr>
          <w:rFonts w:ascii="Times New Roman" w:hAnsi="Times New Roman" w:cs="Times New Roman"/>
          <w:sz w:val="24"/>
          <w:szCs w:val="24"/>
        </w:rPr>
        <w:t>pact</w:t>
      </w:r>
      <w:r w:rsidR="00946F67">
        <w:rPr>
          <w:rFonts w:ascii="Times New Roman" w:hAnsi="Times New Roman" w:cs="Times New Roman"/>
          <w:sz w:val="24"/>
          <w:szCs w:val="24"/>
        </w:rPr>
        <w:t xml:space="preserve"> (OBPR reference 44151)</w:t>
      </w:r>
      <w:r>
        <w:rPr>
          <w:rFonts w:ascii="Times New Roman" w:hAnsi="Times New Roman" w:cs="Times New Roman"/>
          <w:sz w:val="24"/>
          <w:szCs w:val="24"/>
        </w:rPr>
        <w:t>.</w:t>
      </w:r>
    </w:p>
    <w:p w14:paraId="79A3EB1C" w14:textId="71D7B4BD" w:rsidR="00897A70" w:rsidRDefault="00897A70" w:rsidP="00897A70">
      <w:pPr>
        <w:pStyle w:val="PlainParagraph"/>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207F8D55" w14:textId="631B52CB"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A statement of </w:t>
      </w:r>
      <w:r w:rsidR="00814DDC">
        <w:rPr>
          <w:rFonts w:ascii="Times New Roman" w:hAnsi="Times New Roman" w:cs="Times New Roman"/>
          <w:sz w:val="24"/>
          <w:szCs w:val="24"/>
        </w:rPr>
        <w:t>C</w:t>
      </w:r>
      <w:r>
        <w:rPr>
          <w:rFonts w:ascii="Times New Roman" w:hAnsi="Times New Roman" w:cs="Times New Roman"/>
          <w:sz w:val="24"/>
          <w:szCs w:val="24"/>
        </w:rPr>
        <w:t xml:space="preserve">ompatibility with </w:t>
      </w:r>
      <w:r w:rsidR="00814DDC">
        <w:rPr>
          <w:rFonts w:ascii="Times New Roman" w:hAnsi="Times New Roman" w:cs="Times New Roman"/>
          <w:sz w:val="24"/>
          <w:szCs w:val="24"/>
        </w:rPr>
        <w:t>H</w:t>
      </w:r>
      <w:r>
        <w:rPr>
          <w:rFonts w:ascii="Times New Roman" w:hAnsi="Times New Roman" w:cs="Times New Roman"/>
          <w:sz w:val="24"/>
          <w:szCs w:val="24"/>
        </w:rPr>
        <w:t xml:space="preserve">uman </w:t>
      </w:r>
      <w:r w:rsidR="00814DDC">
        <w:rPr>
          <w:rFonts w:ascii="Times New Roman" w:hAnsi="Times New Roman" w:cs="Times New Roman"/>
          <w:sz w:val="24"/>
          <w:szCs w:val="24"/>
        </w:rPr>
        <w:t>R</w:t>
      </w:r>
      <w:r>
        <w:rPr>
          <w:rFonts w:ascii="Times New Roman" w:hAnsi="Times New Roman" w:cs="Times New Roman"/>
          <w:sz w:val="24"/>
          <w:szCs w:val="24"/>
        </w:rPr>
        <w:t xml:space="preserve">ights for the purposes of Part 3 of the </w:t>
      </w:r>
      <w:r>
        <w:rPr>
          <w:rFonts w:ascii="Times New Roman" w:hAnsi="Times New Roman" w:cs="Times New Roman"/>
          <w:i/>
          <w:sz w:val="24"/>
          <w:szCs w:val="24"/>
        </w:rPr>
        <w:t xml:space="preserve">Human Rights (Parliamentary Scrutiny) Act 2011 </w:t>
      </w:r>
      <w:r>
        <w:rPr>
          <w:rFonts w:ascii="Times New Roman" w:hAnsi="Times New Roman" w:cs="Times New Roman"/>
          <w:sz w:val="24"/>
          <w:szCs w:val="24"/>
        </w:rPr>
        <w:t xml:space="preserve">is set out at </w:t>
      </w:r>
      <w:r w:rsidRPr="00125E7B">
        <w:rPr>
          <w:rFonts w:ascii="Times New Roman" w:hAnsi="Times New Roman" w:cs="Times New Roman"/>
          <w:sz w:val="24"/>
          <w:szCs w:val="24"/>
          <w:u w:val="single"/>
        </w:rPr>
        <w:t>Attachment B</w:t>
      </w:r>
      <w:r>
        <w:rPr>
          <w:rFonts w:ascii="Times New Roman" w:hAnsi="Times New Roman" w:cs="Times New Roman"/>
          <w:sz w:val="24"/>
          <w:szCs w:val="24"/>
        </w:rPr>
        <w:t>.</w:t>
      </w:r>
    </w:p>
    <w:p w14:paraId="585DA89B" w14:textId="77777777" w:rsidR="00897A70" w:rsidRDefault="00897A70">
      <w:r>
        <w:br w:type="page"/>
      </w:r>
    </w:p>
    <w:p w14:paraId="1C1A1B07" w14:textId="77777777" w:rsidR="00897A70" w:rsidRPr="00CE4CB0" w:rsidRDefault="00897A70" w:rsidP="00897A70">
      <w:pPr>
        <w:pStyle w:val="PlainParagraph"/>
        <w:jc w:val="right"/>
        <w:rPr>
          <w:rFonts w:ascii="Times New Roman" w:hAnsi="Times New Roman" w:cs="Times New Roman"/>
          <w:b/>
          <w:sz w:val="24"/>
          <w:szCs w:val="24"/>
          <w:u w:val="single"/>
        </w:rPr>
      </w:pPr>
      <w:r w:rsidRPr="00CE4CB0">
        <w:rPr>
          <w:rFonts w:ascii="Times New Roman" w:hAnsi="Times New Roman" w:cs="Times New Roman"/>
          <w:b/>
          <w:sz w:val="24"/>
          <w:szCs w:val="24"/>
          <w:u w:val="single"/>
        </w:rPr>
        <w:lastRenderedPageBreak/>
        <w:t>ATTACHMENT A</w:t>
      </w:r>
    </w:p>
    <w:p w14:paraId="308B916B" w14:textId="7F497857" w:rsidR="00897A70" w:rsidRPr="00CE4CB0" w:rsidRDefault="00897A70" w:rsidP="00897A70">
      <w:pPr>
        <w:pStyle w:val="PlainParagraph"/>
        <w:rPr>
          <w:rFonts w:ascii="Times New Roman" w:hAnsi="Times New Roman" w:cs="Times New Roman"/>
          <w:b/>
          <w:sz w:val="24"/>
          <w:szCs w:val="24"/>
          <w:u w:val="single"/>
        </w:rPr>
      </w:pPr>
      <w:r w:rsidRPr="00CE4CB0">
        <w:rPr>
          <w:rFonts w:ascii="Times New Roman" w:hAnsi="Times New Roman" w:cs="Times New Roman"/>
          <w:b/>
          <w:sz w:val="24"/>
          <w:szCs w:val="24"/>
          <w:u w:val="single"/>
        </w:rPr>
        <w:t>Details of the sections in the Carbon Credits (Carbon Farming Initiative) Amendment (</w:t>
      </w:r>
      <w:r>
        <w:rPr>
          <w:rFonts w:ascii="Times New Roman" w:hAnsi="Times New Roman" w:cs="Times New Roman"/>
          <w:b/>
          <w:sz w:val="24"/>
          <w:szCs w:val="24"/>
          <w:u w:val="single"/>
        </w:rPr>
        <w:t>Blue Carbon Projects</w:t>
      </w:r>
      <w:r w:rsidRPr="00CE4CB0">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Rule </w:t>
      </w:r>
      <w:r w:rsidR="00FB234F">
        <w:rPr>
          <w:rFonts w:ascii="Times New Roman" w:hAnsi="Times New Roman" w:cs="Times New Roman"/>
          <w:b/>
          <w:sz w:val="24"/>
          <w:szCs w:val="24"/>
          <w:u w:val="single"/>
        </w:rPr>
        <w:t>2022</w:t>
      </w:r>
    </w:p>
    <w:p w14:paraId="75568059" w14:textId="77777777" w:rsidR="00897A70" w:rsidRPr="009C2CE8" w:rsidRDefault="00897A70" w:rsidP="00897A70">
      <w:pPr>
        <w:pStyle w:val="PlainParagraph"/>
        <w:rPr>
          <w:rFonts w:ascii="Times New Roman" w:hAnsi="Times New Roman" w:cs="Times New Roman"/>
          <w:sz w:val="24"/>
          <w:szCs w:val="24"/>
          <w:u w:val="single"/>
        </w:rPr>
      </w:pPr>
      <w:r w:rsidRPr="009C2CE8">
        <w:rPr>
          <w:rFonts w:ascii="Times New Roman" w:hAnsi="Times New Roman" w:cs="Times New Roman"/>
          <w:sz w:val="24"/>
          <w:szCs w:val="24"/>
          <w:u w:val="single"/>
        </w:rPr>
        <w:t>1. Name</w:t>
      </w:r>
    </w:p>
    <w:p w14:paraId="1286C54E" w14:textId="27084E20"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Section 1 provides that the name of the Amendment Rule is the </w:t>
      </w:r>
      <w:r>
        <w:rPr>
          <w:rFonts w:ascii="Times New Roman" w:hAnsi="Times New Roman" w:cs="Times New Roman"/>
          <w:i/>
          <w:sz w:val="24"/>
          <w:szCs w:val="24"/>
        </w:rPr>
        <w:t xml:space="preserve">Carbon Credits (Carbon Farming Initiative) Amendment (Blue Carbon Projects) Rule </w:t>
      </w:r>
      <w:r w:rsidR="00FB234F">
        <w:rPr>
          <w:rFonts w:ascii="Times New Roman" w:hAnsi="Times New Roman" w:cs="Times New Roman"/>
          <w:i/>
          <w:sz w:val="24"/>
          <w:szCs w:val="24"/>
        </w:rPr>
        <w:t>2022</w:t>
      </w:r>
      <w:r>
        <w:rPr>
          <w:rFonts w:ascii="Times New Roman" w:hAnsi="Times New Roman" w:cs="Times New Roman"/>
          <w:sz w:val="24"/>
          <w:szCs w:val="24"/>
        </w:rPr>
        <w:t>.</w:t>
      </w:r>
    </w:p>
    <w:p w14:paraId="574BF543" w14:textId="77777777" w:rsidR="00897A70" w:rsidRPr="009C2CE8" w:rsidRDefault="00897A70" w:rsidP="00897A70">
      <w:pPr>
        <w:pStyle w:val="PlainParagraph"/>
        <w:rPr>
          <w:rFonts w:ascii="Times New Roman" w:hAnsi="Times New Roman" w:cs="Times New Roman"/>
          <w:sz w:val="24"/>
          <w:szCs w:val="24"/>
          <w:u w:val="single"/>
        </w:rPr>
      </w:pPr>
      <w:r w:rsidRPr="009C2CE8">
        <w:rPr>
          <w:rFonts w:ascii="Times New Roman" w:hAnsi="Times New Roman" w:cs="Times New Roman"/>
          <w:sz w:val="24"/>
          <w:szCs w:val="24"/>
          <w:u w:val="single"/>
        </w:rPr>
        <w:t>2. Commencement</w:t>
      </w:r>
    </w:p>
    <w:p w14:paraId="180CE076" w14:textId="77777777"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Section 2 provides that the Amendment Rule commences on the day after it is registered.</w:t>
      </w:r>
    </w:p>
    <w:p w14:paraId="410BCF88" w14:textId="77777777" w:rsidR="00897A70" w:rsidRPr="009C2CE8" w:rsidRDefault="00897A70" w:rsidP="00897A70">
      <w:pPr>
        <w:pStyle w:val="PlainParagraph"/>
        <w:rPr>
          <w:rFonts w:ascii="Times New Roman" w:hAnsi="Times New Roman" w:cs="Times New Roman"/>
          <w:sz w:val="24"/>
          <w:szCs w:val="24"/>
          <w:u w:val="single"/>
        </w:rPr>
      </w:pPr>
      <w:r w:rsidRPr="009C2CE8">
        <w:rPr>
          <w:rFonts w:ascii="Times New Roman" w:hAnsi="Times New Roman" w:cs="Times New Roman"/>
          <w:sz w:val="24"/>
          <w:szCs w:val="24"/>
          <w:u w:val="single"/>
        </w:rPr>
        <w:t>3. Authority</w:t>
      </w:r>
    </w:p>
    <w:p w14:paraId="7D2564E0" w14:textId="497EDB0C"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Section 3 clarifies that the Amendment Rule is made under the </w:t>
      </w:r>
      <w:r w:rsidR="00814DDC">
        <w:rPr>
          <w:rFonts w:ascii="Times New Roman" w:hAnsi="Times New Roman" w:cs="Times New Roman"/>
          <w:sz w:val="24"/>
          <w:szCs w:val="24"/>
        </w:rPr>
        <w:t>Act</w:t>
      </w:r>
      <w:r>
        <w:rPr>
          <w:rFonts w:ascii="Times New Roman" w:hAnsi="Times New Roman" w:cs="Times New Roman"/>
          <w:sz w:val="24"/>
          <w:szCs w:val="24"/>
        </w:rPr>
        <w:t xml:space="preserve">. In particular, section 308 of the Act provides the Minister with the power to make legislative rules. The power to make rules in section 308 of the Act includes the power to amend rules already made, with any doubt about this resolved by subsection 33(3) of the </w:t>
      </w:r>
      <w:r>
        <w:rPr>
          <w:rFonts w:ascii="Times New Roman" w:hAnsi="Times New Roman" w:cs="Times New Roman"/>
          <w:i/>
          <w:sz w:val="24"/>
          <w:szCs w:val="24"/>
        </w:rPr>
        <w:t>Acts Interpretation Act 1901</w:t>
      </w:r>
      <w:r>
        <w:rPr>
          <w:rFonts w:ascii="Times New Roman" w:hAnsi="Times New Roman" w:cs="Times New Roman"/>
          <w:sz w:val="24"/>
          <w:szCs w:val="24"/>
        </w:rPr>
        <w:t>.</w:t>
      </w:r>
    </w:p>
    <w:p w14:paraId="1E9BE8BA" w14:textId="77777777" w:rsidR="00897A70" w:rsidRPr="009C2CE8" w:rsidRDefault="00897A70" w:rsidP="00897A70">
      <w:pPr>
        <w:pStyle w:val="PlainParagraph"/>
        <w:rPr>
          <w:rFonts w:ascii="Times New Roman" w:hAnsi="Times New Roman" w:cs="Times New Roman"/>
          <w:sz w:val="24"/>
          <w:szCs w:val="24"/>
          <w:u w:val="single"/>
        </w:rPr>
      </w:pPr>
      <w:r w:rsidRPr="009C2CE8">
        <w:rPr>
          <w:rFonts w:ascii="Times New Roman" w:hAnsi="Times New Roman" w:cs="Times New Roman"/>
          <w:sz w:val="24"/>
          <w:szCs w:val="24"/>
          <w:u w:val="single"/>
        </w:rPr>
        <w:t>4. Schedules</w:t>
      </w:r>
    </w:p>
    <w:p w14:paraId="5E3BEB14" w14:textId="475FE939"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Section 4 provides that the draft Amendment Rule would, when made, amend the Principal Rule in the manner set out in the Schedule.</w:t>
      </w:r>
    </w:p>
    <w:p w14:paraId="3BB6515B" w14:textId="77777777" w:rsidR="00897A70" w:rsidRDefault="00897A70" w:rsidP="00897A70">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5C5BE9E5" w14:textId="77777777" w:rsidR="00897A70" w:rsidRDefault="00897A70" w:rsidP="00897A70">
      <w:pPr>
        <w:pStyle w:val="PlainParagraph"/>
        <w:rPr>
          <w:rFonts w:ascii="Times New Roman" w:hAnsi="Times New Roman" w:cs="Times New Roman"/>
          <w:sz w:val="24"/>
          <w:szCs w:val="24"/>
          <w:u w:val="single"/>
        </w:rPr>
      </w:pPr>
      <w:r>
        <w:rPr>
          <w:rFonts w:ascii="Times New Roman" w:hAnsi="Times New Roman" w:cs="Times New Roman"/>
          <w:sz w:val="24"/>
          <w:szCs w:val="24"/>
          <w:u w:val="single"/>
        </w:rPr>
        <w:lastRenderedPageBreak/>
        <w:t>Schedule 1</w:t>
      </w:r>
      <w:r w:rsidRPr="001F5FDA">
        <w:rPr>
          <w:rFonts w:ascii="Times New Roman" w:hAnsi="Times New Roman" w:cs="Times New Roman"/>
          <w:sz w:val="24"/>
          <w:szCs w:val="24"/>
          <w:u w:val="single"/>
        </w:rPr>
        <w:t>—</w:t>
      </w:r>
      <w:r>
        <w:rPr>
          <w:rFonts w:ascii="Times New Roman" w:hAnsi="Times New Roman" w:cs="Times New Roman"/>
          <w:sz w:val="24"/>
          <w:szCs w:val="24"/>
          <w:u w:val="single"/>
        </w:rPr>
        <w:t xml:space="preserve">Amendments </w:t>
      </w:r>
    </w:p>
    <w:p w14:paraId="4D28EE3A" w14:textId="42AC539E" w:rsidR="00897A70" w:rsidRP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This Schedule sets out amendments to the </w:t>
      </w:r>
      <w:r w:rsidR="00814DDC">
        <w:rPr>
          <w:rFonts w:ascii="Times New Roman" w:hAnsi="Times New Roman" w:cs="Times New Roman"/>
          <w:sz w:val="24"/>
          <w:szCs w:val="24"/>
        </w:rPr>
        <w:t>Principal Rule.</w:t>
      </w:r>
      <w:r>
        <w:rPr>
          <w:rFonts w:ascii="Times New Roman" w:hAnsi="Times New Roman" w:cs="Times New Roman"/>
          <w:sz w:val="24"/>
          <w:szCs w:val="24"/>
        </w:rPr>
        <w:t xml:space="preserve"> </w:t>
      </w:r>
    </w:p>
    <w:p w14:paraId="36480076" w14:textId="77777777" w:rsidR="00897A70" w:rsidRDefault="00897A70" w:rsidP="00897A70">
      <w:pPr>
        <w:pStyle w:val="PlainParagraph"/>
        <w:rPr>
          <w:rFonts w:ascii="Times New Roman" w:hAnsi="Times New Roman" w:cs="Times New Roman"/>
          <w:sz w:val="24"/>
          <w:szCs w:val="24"/>
          <w:u w:val="single"/>
        </w:rPr>
      </w:pPr>
      <w:r>
        <w:rPr>
          <w:rFonts w:ascii="Times New Roman" w:hAnsi="Times New Roman" w:cs="Times New Roman"/>
          <w:sz w:val="24"/>
          <w:szCs w:val="24"/>
          <w:u w:val="single"/>
        </w:rPr>
        <w:t>1. Section 4</w:t>
      </w:r>
    </w:p>
    <w:p w14:paraId="03467D19" w14:textId="4C4599E4"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This item inserts a definition of “tidal restoration project”</w:t>
      </w:r>
      <w:r w:rsidR="00F82548">
        <w:rPr>
          <w:rFonts w:ascii="Times New Roman" w:hAnsi="Times New Roman" w:cs="Times New Roman"/>
          <w:sz w:val="24"/>
          <w:szCs w:val="24"/>
        </w:rPr>
        <w:t xml:space="preserve"> into section 4 of the </w:t>
      </w:r>
      <w:r w:rsidR="00814DDC">
        <w:rPr>
          <w:rFonts w:ascii="Times New Roman" w:hAnsi="Times New Roman" w:cs="Times New Roman"/>
          <w:sz w:val="24"/>
          <w:szCs w:val="24"/>
        </w:rPr>
        <w:t>Principal</w:t>
      </w:r>
      <w:r w:rsidR="00F82548" w:rsidRPr="0001490E">
        <w:rPr>
          <w:rFonts w:ascii="Times New Roman" w:hAnsi="Times New Roman"/>
          <w:sz w:val="24"/>
        </w:rPr>
        <w:t xml:space="preserve"> Rule</w:t>
      </w:r>
      <w:r w:rsidR="00814DDC">
        <w:rPr>
          <w:rFonts w:ascii="Times New Roman" w:hAnsi="Times New Roman" w:cs="Times New Roman"/>
          <w:sz w:val="24"/>
          <w:szCs w:val="24"/>
        </w:rPr>
        <w:t>.</w:t>
      </w:r>
    </w:p>
    <w:p w14:paraId="4239CD79" w14:textId="4F982A8B"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A tidal restoration project is a sequestration offsets projects that introduces tidal flow in order to support the establishment of coastal wetlands ecosystems. To fall within the section 4 definition, the applicable methodology determination for tidal restoration projects must be the </w:t>
      </w:r>
      <w:r>
        <w:rPr>
          <w:rFonts w:ascii="Times New Roman" w:hAnsi="Times New Roman" w:cs="Times New Roman"/>
          <w:i/>
          <w:sz w:val="24"/>
          <w:szCs w:val="24"/>
        </w:rPr>
        <w:t>Carbon Credits (Carbon Farming Initiative</w:t>
      </w:r>
      <w:r w:rsidRPr="00C96812">
        <w:rPr>
          <w:rFonts w:ascii="Times New Roman" w:hAnsi="Times New Roman" w:cs="Times New Roman"/>
          <w:i/>
          <w:sz w:val="24"/>
          <w:szCs w:val="24"/>
        </w:rPr>
        <w:t>—</w:t>
      </w:r>
      <w:r>
        <w:rPr>
          <w:rFonts w:ascii="Times New Roman" w:hAnsi="Times New Roman" w:cs="Times New Roman"/>
          <w:i/>
          <w:sz w:val="24"/>
          <w:szCs w:val="24"/>
        </w:rPr>
        <w:t xml:space="preserve">Tidal Restoration of Blue Carbon Ecosystems) Methodology Determination </w:t>
      </w:r>
      <w:r w:rsidR="00FB234F">
        <w:rPr>
          <w:rFonts w:ascii="Times New Roman" w:hAnsi="Times New Roman" w:cs="Times New Roman"/>
          <w:i/>
          <w:sz w:val="24"/>
          <w:szCs w:val="24"/>
        </w:rPr>
        <w:t>2022</w:t>
      </w:r>
      <w:r>
        <w:rPr>
          <w:rFonts w:ascii="Times New Roman" w:hAnsi="Times New Roman" w:cs="Times New Roman"/>
          <w:sz w:val="24"/>
          <w:szCs w:val="24"/>
        </w:rPr>
        <w:t>, or earlier versions of that determination that apply to the project by operation of sections 125, 126, 127 or 130 of the Act.</w:t>
      </w:r>
      <w:r w:rsidR="00E7267F">
        <w:rPr>
          <w:rFonts w:ascii="Times New Roman" w:hAnsi="Times New Roman" w:cs="Times New Roman"/>
          <w:sz w:val="24"/>
          <w:szCs w:val="24"/>
        </w:rPr>
        <w:t xml:space="preserve"> </w:t>
      </w:r>
    </w:p>
    <w:p w14:paraId="3E8C66F0" w14:textId="77777777" w:rsidR="00897A70" w:rsidRPr="00D82C0C" w:rsidRDefault="00897A70" w:rsidP="00897A70">
      <w:pPr>
        <w:pStyle w:val="PlainParagraph"/>
        <w:rPr>
          <w:rFonts w:ascii="Times New Roman" w:hAnsi="Times New Roman" w:cs="Times New Roman"/>
          <w:sz w:val="24"/>
          <w:szCs w:val="24"/>
          <w:u w:val="single"/>
        </w:rPr>
      </w:pPr>
      <w:r w:rsidRPr="00D82C0C">
        <w:rPr>
          <w:rFonts w:ascii="Times New Roman" w:hAnsi="Times New Roman" w:cs="Times New Roman"/>
          <w:sz w:val="24"/>
          <w:szCs w:val="24"/>
          <w:u w:val="single"/>
        </w:rPr>
        <w:t xml:space="preserve">2. </w:t>
      </w:r>
      <w:r>
        <w:rPr>
          <w:rFonts w:ascii="Times New Roman" w:hAnsi="Times New Roman" w:cs="Times New Roman"/>
          <w:sz w:val="24"/>
          <w:szCs w:val="24"/>
          <w:u w:val="single"/>
        </w:rPr>
        <w:t>Section 9B (heading)</w:t>
      </w:r>
    </w:p>
    <w:p w14:paraId="2B55D6B6" w14:textId="77777777"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This item updates the heading to section 9B to reflect amendments made to subsection </w:t>
      </w:r>
      <w:proofErr w:type="gramStart"/>
      <w:r>
        <w:rPr>
          <w:rFonts w:ascii="Times New Roman" w:hAnsi="Times New Roman" w:cs="Times New Roman"/>
          <w:sz w:val="24"/>
          <w:szCs w:val="24"/>
        </w:rPr>
        <w:t>9B(</w:t>
      </w:r>
      <w:proofErr w:type="gramEnd"/>
      <w:r>
        <w:rPr>
          <w:rFonts w:ascii="Times New Roman" w:hAnsi="Times New Roman" w:cs="Times New Roman"/>
          <w:sz w:val="24"/>
          <w:szCs w:val="24"/>
        </w:rPr>
        <w:t>1)</w:t>
      </w:r>
      <w:r w:rsidR="00F82548">
        <w:rPr>
          <w:rFonts w:ascii="Times New Roman" w:hAnsi="Times New Roman" w:cs="Times New Roman"/>
          <w:sz w:val="24"/>
          <w:szCs w:val="24"/>
        </w:rPr>
        <w:t xml:space="preserve"> which</w:t>
      </w:r>
      <w:r>
        <w:rPr>
          <w:rFonts w:ascii="Times New Roman" w:hAnsi="Times New Roman" w:cs="Times New Roman"/>
          <w:sz w:val="24"/>
          <w:szCs w:val="24"/>
        </w:rPr>
        <w:t xml:space="preserve"> expand the application of the section to include tidal restoration projects.</w:t>
      </w:r>
    </w:p>
    <w:p w14:paraId="171ACF93" w14:textId="77777777" w:rsidR="00897A70" w:rsidRPr="00D82C0C" w:rsidRDefault="00897A70" w:rsidP="00897A70">
      <w:pPr>
        <w:pStyle w:val="PlainParagraph"/>
        <w:rPr>
          <w:rFonts w:ascii="Times New Roman" w:hAnsi="Times New Roman" w:cs="Times New Roman"/>
          <w:sz w:val="24"/>
          <w:szCs w:val="24"/>
          <w:u w:val="single"/>
        </w:rPr>
      </w:pPr>
      <w:r w:rsidRPr="00D82C0C">
        <w:rPr>
          <w:rFonts w:ascii="Times New Roman" w:hAnsi="Times New Roman" w:cs="Times New Roman"/>
          <w:sz w:val="24"/>
          <w:szCs w:val="24"/>
          <w:u w:val="single"/>
        </w:rPr>
        <w:t xml:space="preserve">3. </w:t>
      </w:r>
      <w:r>
        <w:rPr>
          <w:rFonts w:ascii="Times New Roman" w:hAnsi="Times New Roman" w:cs="Times New Roman"/>
          <w:sz w:val="24"/>
          <w:szCs w:val="24"/>
          <w:u w:val="single"/>
        </w:rPr>
        <w:t xml:space="preserve">Subsection </w:t>
      </w:r>
      <w:proofErr w:type="gramStart"/>
      <w:r>
        <w:rPr>
          <w:rFonts w:ascii="Times New Roman" w:hAnsi="Times New Roman" w:cs="Times New Roman"/>
          <w:sz w:val="24"/>
          <w:szCs w:val="24"/>
          <w:u w:val="single"/>
        </w:rPr>
        <w:t>9B</w:t>
      </w:r>
      <w:r w:rsidRPr="00D82C0C">
        <w:rPr>
          <w:rFonts w:ascii="Times New Roman" w:hAnsi="Times New Roman" w:cs="Times New Roman"/>
          <w:sz w:val="24"/>
          <w:szCs w:val="24"/>
          <w:u w:val="single"/>
        </w:rPr>
        <w:t>(</w:t>
      </w:r>
      <w:proofErr w:type="gramEnd"/>
      <w:r w:rsidRPr="00D82C0C">
        <w:rPr>
          <w:rFonts w:ascii="Times New Roman" w:hAnsi="Times New Roman" w:cs="Times New Roman"/>
          <w:sz w:val="24"/>
          <w:szCs w:val="24"/>
          <w:u w:val="single"/>
        </w:rPr>
        <w:t>1)</w:t>
      </w:r>
    </w:p>
    <w:p w14:paraId="7A99EA81" w14:textId="0FC04171" w:rsidR="00897A70" w:rsidRDefault="00140BA9"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This item extends the operation of subsection </w:t>
      </w:r>
      <w:proofErr w:type="gramStart"/>
      <w:r>
        <w:rPr>
          <w:rFonts w:ascii="Times New Roman" w:hAnsi="Times New Roman" w:cs="Times New Roman"/>
          <w:sz w:val="24"/>
          <w:szCs w:val="24"/>
        </w:rPr>
        <w:t>9B(</w:t>
      </w:r>
      <w:proofErr w:type="gramEnd"/>
      <w:r>
        <w:rPr>
          <w:rFonts w:ascii="Times New Roman" w:hAnsi="Times New Roman" w:cs="Times New Roman"/>
          <w:sz w:val="24"/>
          <w:szCs w:val="24"/>
        </w:rPr>
        <w:t xml:space="preserve">1) to tidal restoration projects. The effect of this amendment is that the permanence period discount number and the risk of reversal buffer number </w:t>
      </w:r>
      <w:r w:rsidR="00AC03AE">
        <w:rPr>
          <w:rFonts w:ascii="Times New Roman" w:hAnsi="Times New Roman" w:cs="Times New Roman"/>
          <w:sz w:val="24"/>
          <w:szCs w:val="24"/>
        </w:rPr>
        <w:t xml:space="preserve">for the purposes of </w:t>
      </w:r>
      <w:r>
        <w:rPr>
          <w:rFonts w:ascii="Times New Roman" w:hAnsi="Times New Roman" w:cs="Times New Roman"/>
          <w:sz w:val="24"/>
          <w:szCs w:val="24"/>
        </w:rPr>
        <w:t>subsection 16(2) of the Act is zero percent for tidal restoration projects.</w:t>
      </w:r>
    </w:p>
    <w:p w14:paraId="7DC6483A" w14:textId="1B54716F" w:rsidR="00140BA9" w:rsidRDefault="001010FD" w:rsidP="00897A70">
      <w:pPr>
        <w:pStyle w:val="PlainParagraph"/>
        <w:rPr>
          <w:rFonts w:ascii="Times New Roman" w:hAnsi="Times New Roman" w:cs="Times New Roman"/>
          <w:sz w:val="24"/>
          <w:szCs w:val="24"/>
        </w:rPr>
      </w:pPr>
      <w:r>
        <w:rPr>
          <w:rFonts w:ascii="Times New Roman" w:hAnsi="Times New Roman" w:cs="Times New Roman"/>
          <w:sz w:val="24"/>
          <w:szCs w:val="24"/>
        </w:rPr>
        <w:t>Under subsection 16(2), the risk of reversal buffer is 5</w:t>
      </w:r>
      <w:r w:rsidR="006F48A1">
        <w:rPr>
          <w:rFonts w:ascii="Times New Roman" w:hAnsi="Times New Roman" w:cs="Times New Roman"/>
          <w:sz w:val="24"/>
          <w:szCs w:val="24"/>
        </w:rPr>
        <w:t xml:space="preserve"> per cent</w:t>
      </w:r>
      <w:r>
        <w:rPr>
          <w:rFonts w:ascii="Times New Roman" w:hAnsi="Times New Roman" w:cs="Times New Roman"/>
          <w:sz w:val="24"/>
          <w:szCs w:val="24"/>
        </w:rPr>
        <w:t>, unless another percentage is specified in the rules at the start of the crediting period in which the reporting period is included</w:t>
      </w:r>
      <w:r w:rsidR="00F82548">
        <w:rPr>
          <w:rFonts w:ascii="Times New Roman" w:hAnsi="Times New Roman" w:cs="Times New Roman"/>
          <w:sz w:val="24"/>
          <w:szCs w:val="24"/>
        </w:rPr>
        <w:t>,</w:t>
      </w:r>
      <w:r>
        <w:rPr>
          <w:rFonts w:ascii="Times New Roman" w:hAnsi="Times New Roman" w:cs="Times New Roman"/>
          <w:sz w:val="24"/>
          <w:szCs w:val="24"/>
        </w:rPr>
        <w:t xml:space="preserve"> and the permanence period discount number is zero for 100-year permanence period projects, or for 25-year permanence projects, 20</w:t>
      </w:r>
      <w:r w:rsidR="006F48A1">
        <w:rPr>
          <w:rFonts w:ascii="Times New Roman" w:hAnsi="Times New Roman" w:cs="Times New Roman"/>
          <w:sz w:val="24"/>
          <w:szCs w:val="24"/>
        </w:rPr>
        <w:t xml:space="preserve"> per cent</w:t>
      </w:r>
      <w:r>
        <w:rPr>
          <w:rFonts w:ascii="Times New Roman" w:hAnsi="Times New Roman" w:cs="Times New Roman"/>
          <w:sz w:val="24"/>
          <w:szCs w:val="24"/>
        </w:rPr>
        <w:t xml:space="preserve"> or a percentage set by the rules.</w:t>
      </w:r>
      <w:r w:rsidR="00F82548">
        <w:rPr>
          <w:rFonts w:ascii="Times New Roman" w:hAnsi="Times New Roman" w:cs="Times New Roman"/>
          <w:sz w:val="24"/>
          <w:szCs w:val="24"/>
        </w:rPr>
        <w:t xml:space="preserve"> The purpose of the risk of reversal buffer and the permanence period discount is to account for the risk to the Government that the project is discontinued or reversed.</w:t>
      </w:r>
      <w:r>
        <w:rPr>
          <w:rFonts w:ascii="Times New Roman" w:hAnsi="Times New Roman" w:cs="Times New Roman"/>
          <w:sz w:val="24"/>
          <w:szCs w:val="24"/>
        </w:rPr>
        <w:t xml:space="preserve"> </w:t>
      </w:r>
      <w:r w:rsidR="00F82548">
        <w:rPr>
          <w:rFonts w:ascii="Times New Roman" w:hAnsi="Times New Roman" w:cs="Times New Roman"/>
          <w:sz w:val="24"/>
          <w:szCs w:val="24"/>
        </w:rPr>
        <w:t xml:space="preserve">This item reduces the relevant percentages in section 16(2) that would otherwise apply to zero. </w:t>
      </w:r>
      <w:r w:rsidR="00140BA9">
        <w:rPr>
          <w:rFonts w:ascii="Times New Roman" w:hAnsi="Times New Roman" w:cs="Times New Roman"/>
          <w:sz w:val="24"/>
          <w:szCs w:val="24"/>
        </w:rPr>
        <w:t>By setting this number to zero, no discount will be applied for ACCUs accumulated from tidal restoration projects</w:t>
      </w:r>
      <w:r w:rsidR="007972AB">
        <w:rPr>
          <w:rFonts w:ascii="Times New Roman" w:hAnsi="Times New Roman" w:cs="Times New Roman"/>
          <w:sz w:val="24"/>
          <w:szCs w:val="24"/>
        </w:rPr>
        <w:t xml:space="preserve"> under section 16 of the Act, but appropriate sequestration discounts will be applied to the sequestration portion of the abatement under the </w:t>
      </w:r>
      <w:r w:rsidR="007972AB">
        <w:rPr>
          <w:rFonts w:ascii="Times New Roman" w:hAnsi="Times New Roman" w:cs="Times New Roman"/>
          <w:i/>
          <w:sz w:val="24"/>
          <w:szCs w:val="24"/>
        </w:rPr>
        <w:t>Carbon Credits (Carbon Farming Initiative</w:t>
      </w:r>
      <w:r w:rsidR="007972AB" w:rsidRPr="00C96812">
        <w:rPr>
          <w:rFonts w:ascii="Times New Roman" w:hAnsi="Times New Roman" w:cs="Times New Roman"/>
          <w:i/>
          <w:sz w:val="24"/>
          <w:szCs w:val="24"/>
        </w:rPr>
        <w:t>—</w:t>
      </w:r>
      <w:r w:rsidR="007972AB">
        <w:rPr>
          <w:rFonts w:ascii="Times New Roman" w:hAnsi="Times New Roman" w:cs="Times New Roman"/>
          <w:i/>
          <w:sz w:val="24"/>
          <w:szCs w:val="24"/>
        </w:rPr>
        <w:t xml:space="preserve">Tidal Restoration of Blue Carbon Ecosystems) Methodology Determination </w:t>
      </w:r>
      <w:r w:rsidR="00FB234F">
        <w:rPr>
          <w:rFonts w:ascii="Times New Roman" w:hAnsi="Times New Roman" w:cs="Times New Roman"/>
          <w:i/>
          <w:sz w:val="24"/>
          <w:szCs w:val="24"/>
        </w:rPr>
        <w:t>2022</w:t>
      </w:r>
      <w:r w:rsidR="00140BA9">
        <w:rPr>
          <w:rFonts w:ascii="Times New Roman" w:hAnsi="Times New Roman" w:cs="Times New Roman"/>
          <w:sz w:val="24"/>
          <w:szCs w:val="24"/>
        </w:rPr>
        <w:t>.</w:t>
      </w:r>
      <w:r w:rsidR="007972AB">
        <w:rPr>
          <w:rFonts w:ascii="Times New Roman" w:hAnsi="Times New Roman" w:cs="Times New Roman"/>
          <w:sz w:val="24"/>
          <w:szCs w:val="24"/>
        </w:rPr>
        <w:t xml:space="preserve"> This is achieved in section 29 of that determination. </w:t>
      </w:r>
    </w:p>
    <w:p w14:paraId="3ACDD288" w14:textId="77777777" w:rsidR="00897A70" w:rsidRDefault="00897A70" w:rsidP="00897A70">
      <w:pPr>
        <w:pStyle w:val="PlainParagraph"/>
        <w:rPr>
          <w:rFonts w:ascii="Times New Roman" w:hAnsi="Times New Roman" w:cs="Times New Roman"/>
          <w:sz w:val="24"/>
          <w:szCs w:val="24"/>
        </w:rPr>
      </w:pPr>
    </w:p>
    <w:p w14:paraId="05126FD2" w14:textId="77777777" w:rsidR="00897A70" w:rsidRDefault="00897A70" w:rsidP="00897A70">
      <w:pPr>
        <w:rPr>
          <w:rFonts w:ascii="Times New Roman" w:hAnsi="Times New Roman" w:cs="Times New Roman"/>
          <w:sz w:val="24"/>
          <w:szCs w:val="24"/>
        </w:rPr>
      </w:pPr>
      <w:r>
        <w:rPr>
          <w:rFonts w:ascii="Times New Roman" w:hAnsi="Times New Roman" w:cs="Times New Roman"/>
          <w:sz w:val="24"/>
          <w:szCs w:val="24"/>
        </w:rPr>
        <w:br w:type="page"/>
      </w:r>
    </w:p>
    <w:p w14:paraId="2F58788C" w14:textId="06A35FB8" w:rsidR="00897A70" w:rsidRPr="009F7525" w:rsidRDefault="00897A70" w:rsidP="00897A70">
      <w:pPr>
        <w:pStyle w:val="PlainParagraph"/>
        <w:jc w:val="right"/>
        <w:rPr>
          <w:rFonts w:ascii="Times New Roman" w:hAnsi="Times New Roman" w:cs="Times New Roman"/>
          <w:b/>
          <w:sz w:val="24"/>
          <w:szCs w:val="24"/>
          <w:u w:val="single"/>
        </w:rPr>
      </w:pPr>
      <w:r w:rsidRPr="009F7525">
        <w:rPr>
          <w:rFonts w:ascii="Times New Roman" w:hAnsi="Times New Roman" w:cs="Times New Roman"/>
          <w:b/>
          <w:sz w:val="24"/>
          <w:szCs w:val="24"/>
          <w:u w:val="single"/>
        </w:rPr>
        <w:lastRenderedPageBreak/>
        <w:t>ATTACHMENT B</w:t>
      </w:r>
    </w:p>
    <w:p w14:paraId="7015619B" w14:textId="77777777" w:rsidR="00897A70" w:rsidRDefault="00897A70" w:rsidP="00897A70">
      <w:pPr>
        <w:pStyle w:val="PlainParagraph"/>
        <w:jc w:val="center"/>
        <w:rPr>
          <w:rFonts w:ascii="Times New Roman" w:hAnsi="Times New Roman" w:cs="Times New Roman"/>
          <w:b/>
          <w:sz w:val="24"/>
          <w:szCs w:val="24"/>
          <w:u w:val="single"/>
        </w:rPr>
      </w:pPr>
      <w:r w:rsidRPr="009F7525">
        <w:rPr>
          <w:rFonts w:ascii="Times New Roman" w:hAnsi="Times New Roman" w:cs="Times New Roman"/>
          <w:b/>
          <w:sz w:val="24"/>
          <w:szCs w:val="24"/>
          <w:u w:val="single"/>
        </w:rPr>
        <w:t>Statement of Compatibility with Human Rights</w:t>
      </w:r>
    </w:p>
    <w:p w14:paraId="7F4E73D6" w14:textId="77777777" w:rsidR="00897A70" w:rsidRPr="003429E2" w:rsidRDefault="00897A70" w:rsidP="003429E2">
      <w:pPr>
        <w:pStyle w:val="PlainParagraph"/>
        <w:jc w:val="center"/>
        <w:rPr>
          <w:rFonts w:ascii="Times New Roman" w:hAnsi="Times New Roman" w:cs="Times New Roman"/>
          <w:i/>
          <w:sz w:val="24"/>
          <w:szCs w:val="24"/>
        </w:rPr>
      </w:pPr>
      <w:r>
        <w:rPr>
          <w:rFonts w:ascii="Times New Roman" w:hAnsi="Times New Roman" w:cs="Times New Roman"/>
          <w:i/>
          <w:sz w:val="24"/>
          <w:szCs w:val="24"/>
        </w:rPr>
        <w:t>Prepared in accordance with Part 3 of the Human Rights (Parliamentary Scrutiny) Act 2011</w:t>
      </w:r>
    </w:p>
    <w:p w14:paraId="7FBED4BF" w14:textId="46E5F4C3" w:rsidR="00897A70" w:rsidRDefault="00897A70" w:rsidP="00897A70">
      <w:pPr>
        <w:pStyle w:val="PlainParagraph"/>
        <w:jc w:val="center"/>
        <w:rPr>
          <w:rFonts w:ascii="Times New Roman" w:hAnsi="Times New Roman" w:cs="Times New Roman"/>
          <w:b/>
          <w:i/>
          <w:sz w:val="24"/>
          <w:szCs w:val="24"/>
        </w:rPr>
      </w:pPr>
      <w:r>
        <w:rPr>
          <w:rFonts w:ascii="Times New Roman" w:hAnsi="Times New Roman" w:cs="Times New Roman"/>
          <w:b/>
          <w:i/>
          <w:sz w:val="24"/>
          <w:szCs w:val="24"/>
        </w:rPr>
        <w:t>Carbon Credits (Carbon Farming Initiative) Amendment (</w:t>
      </w:r>
      <w:r w:rsidR="00140BA9">
        <w:rPr>
          <w:rFonts w:ascii="Times New Roman" w:hAnsi="Times New Roman" w:cs="Times New Roman"/>
          <w:b/>
          <w:i/>
          <w:sz w:val="24"/>
          <w:szCs w:val="24"/>
        </w:rPr>
        <w:t>Blue Carbon Projects</w:t>
      </w:r>
      <w:r>
        <w:rPr>
          <w:rFonts w:ascii="Times New Roman" w:hAnsi="Times New Roman" w:cs="Times New Roman"/>
          <w:b/>
          <w:i/>
          <w:sz w:val="24"/>
          <w:szCs w:val="24"/>
        </w:rPr>
        <w:t xml:space="preserve">) Rule </w:t>
      </w:r>
      <w:r w:rsidR="00FB234F">
        <w:rPr>
          <w:rFonts w:ascii="Times New Roman" w:hAnsi="Times New Roman" w:cs="Times New Roman"/>
          <w:b/>
          <w:i/>
          <w:sz w:val="24"/>
          <w:szCs w:val="24"/>
        </w:rPr>
        <w:t>2022</w:t>
      </w:r>
    </w:p>
    <w:p w14:paraId="56F494E7" w14:textId="77777777" w:rsidR="00897A70" w:rsidRDefault="00897A70" w:rsidP="00897A70">
      <w:pPr>
        <w:pStyle w:val="PlainParagraph"/>
        <w:rPr>
          <w:rFonts w:ascii="Times New Roman" w:hAnsi="Times New Roman" w:cs="Times New Roman"/>
          <w:sz w:val="24"/>
          <w:szCs w:val="24"/>
        </w:rPr>
      </w:pPr>
    </w:p>
    <w:p w14:paraId="000142F4" w14:textId="3B2C3A08"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Carbon Credits (Carbon Farming Initiative) Amendment (</w:t>
      </w:r>
      <w:r w:rsidR="00140BA9">
        <w:rPr>
          <w:rFonts w:ascii="Times New Roman" w:hAnsi="Times New Roman" w:cs="Times New Roman"/>
          <w:i/>
          <w:sz w:val="24"/>
          <w:szCs w:val="24"/>
        </w:rPr>
        <w:t>Blue Carbon Projects</w:t>
      </w:r>
      <w:r>
        <w:rPr>
          <w:rFonts w:ascii="Times New Roman" w:hAnsi="Times New Roman" w:cs="Times New Roman"/>
          <w:i/>
          <w:sz w:val="24"/>
          <w:szCs w:val="24"/>
        </w:rPr>
        <w:t xml:space="preserve">) </w:t>
      </w:r>
      <w:r w:rsidR="00FB234F">
        <w:rPr>
          <w:rFonts w:ascii="Times New Roman" w:hAnsi="Times New Roman" w:cs="Times New Roman"/>
          <w:i/>
          <w:sz w:val="24"/>
          <w:szCs w:val="24"/>
        </w:rPr>
        <w:t>2022</w:t>
      </w:r>
      <w:r>
        <w:rPr>
          <w:rFonts w:ascii="Times New Roman" w:hAnsi="Times New Roman" w:cs="Times New Roman"/>
          <w:i/>
          <w:sz w:val="24"/>
          <w:szCs w:val="24"/>
        </w:rPr>
        <w:t xml:space="preserve"> </w:t>
      </w:r>
      <w:r>
        <w:rPr>
          <w:rFonts w:ascii="Times New Roman" w:hAnsi="Times New Roman" w:cs="Times New Roman"/>
          <w:sz w:val="24"/>
          <w:szCs w:val="24"/>
        </w:rPr>
        <w:t xml:space="preserve">(Amendment Rule)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4B7246BC" w14:textId="77777777" w:rsidR="00897A70" w:rsidRDefault="00897A70" w:rsidP="00897A70">
      <w:pPr>
        <w:pStyle w:val="PlainParagraph"/>
        <w:rPr>
          <w:rFonts w:ascii="Times New Roman" w:hAnsi="Times New Roman" w:cs="Times New Roman"/>
          <w:sz w:val="24"/>
          <w:szCs w:val="24"/>
        </w:rPr>
      </w:pPr>
      <w:r>
        <w:rPr>
          <w:rFonts w:ascii="Times New Roman" w:hAnsi="Times New Roman" w:cs="Times New Roman"/>
          <w:b/>
          <w:sz w:val="24"/>
          <w:szCs w:val="24"/>
        </w:rPr>
        <w:t>Overview of the Legislative Instrument</w:t>
      </w:r>
    </w:p>
    <w:p w14:paraId="7A1067B2" w14:textId="77777777" w:rsidR="00140BA9" w:rsidRDefault="00140BA9" w:rsidP="00140BA9">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Carbon Credits (Carbon Farming Initiative) Act 2011 </w:t>
      </w:r>
      <w:r>
        <w:rPr>
          <w:rFonts w:ascii="Times New Roman" w:hAnsi="Times New Roman" w:cs="Times New Roman"/>
          <w:sz w:val="24"/>
          <w:szCs w:val="24"/>
        </w:rPr>
        <w:t>(the Act) enables the crediting of greenhouse gas abatement from emissions reduction activities across Australia. Greenhouse gas abatement is achieved either by reducing or avoiding emissions, or by removing carbon from the atmosphere and storing it in soil, biomass or organic matter.</w:t>
      </w:r>
    </w:p>
    <w:p w14:paraId="626717B7" w14:textId="66349E05" w:rsidR="00140BA9" w:rsidRDefault="00140BA9" w:rsidP="00140BA9">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Carbon Credits (Carbon Farming Initiative) Amendment (Blue Carbon Projects) Rule </w:t>
      </w:r>
      <w:r w:rsidR="00FB234F">
        <w:rPr>
          <w:rFonts w:ascii="Times New Roman" w:hAnsi="Times New Roman" w:cs="Times New Roman"/>
          <w:i/>
          <w:sz w:val="24"/>
          <w:szCs w:val="24"/>
        </w:rPr>
        <w:t>2022</w:t>
      </w:r>
      <w:r>
        <w:rPr>
          <w:rFonts w:ascii="Times New Roman" w:hAnsi="Times New Roman" w:cs="Times New Roman"/>
          <w:i/>
          <w:sz w:val="24"/>
          <w:szCs w:val="24"/>
        </w:rPr>
        <w:t xml:space="preserve"> </w:t>
      </w:r>
      <w:r>
        <w:rPr>
          <w:rFonts w:ascii="Times New Roman" w:hAnsi="Times New Roman" w:cs="Times New Roman"/>
          <w:sz w:val="24"/>
          <w:szCs w:val="24"/>
        </w:rPr>
        <w:t xml:space="preserve">(the Amendment Rule) amends the </w:t>
      </w:r>
      <w:r>
        <w:rPr>
          <w:rFonts w:ascii="Times New Roman" w:hAnsi="Times New Roman" w:cs="Times New Roman"/>
          <w:i/>
          <w:sz w:val="24"/>
          <w:szCs w:val="24"/>
        </w:rPr>
        <w:t xml:space="preserve">Carbon Credits (Carbon Farming Initiative) Rule 2015 </w:t>
      </w:r>
      <w:r>
        <w:rPr>
          <w:rFonts w:ascii="Times New Roman" w:hAnsi="Times New Roman" w:cs="Times New Roman"/>
          <w:sz w:val="24"/>
          <w:szCs w:val="24"/>
        </w:rPr>
        <w:t>(the Principal Rule). The Amendment Rule expands the application of section 9B of the Principal Rule, which details the permanence period discount number and risk of reversal buffer number for savanna sequestration projects, to tidal restoration projects.</w:t>
      </w:r>
    </w:p>
    <w:p w14:paraId="2805B1A8" w14:textId="0F6CF8F5" w:rsidR="00140BA9" w:rsidRPr="00C96812" w:rsidRDefault="00140BA9" w:rsidP="00140BA9">
      <w:pPr>
        <w:pStyle w:val="PlainParagraph"/>
        <w:rPr>
          <w:rFonts w:ascii="Times New Roman" w:hAnsi="Times New Roman" w:cs="Times New Roman"/>
          <w:sz w:val="24"/>
          <w:szCs w:val="24"/>
        </w:rPr>
      </w:pPr>
      <w:r>
        <w:rPr>
          <w:rFonts w:ascii="Times New Roman" w:hAnsi="Times New Roman" w:cs="Times New Roman"/>
          <w:sz w:val="24"/>
          <w:szCs w:val="24"/>
        </w:rPr>
        <w:t xml:space="preserve">To support this in the Principal Rule, the Amendment Rule inserts a new definition of “tidal restoration project”, which refers to sequestration offsets projects that introduce tidal flow in order to support the establishment of coastal wetlands ecosystems. The applicable methodology determination for tidal restoration projects is the </w:t>
      </w:r>
      <w:r>
        <w:rPr>
          <w:rFonts w:ascii="Times New Roman" w:hAnsi="Times New Roman" w:cs="Times New Roman"/>
          <w:i/>
          <w:sz w:val="24"/>
          <w:szCs w:val="24"/>
        </w:rPr>
        <w:t>Carbon Credits (Carbon Farming Initiative</w:t>
      </w:r>
      <w:r w:rsidRPr="00C96812">
        <w:rPr>
          <w:rFonts w:ascii="Times New Roman" w:hAnsi="Times New Roman" w:cs="Times New Roman"/>
          <w:i/>
          <w:sz w:val="24"/>
          <w:szCs w:val="24"/>
        </w:rPr>
        <w:t>—</w:t>
      </w:r>
      <w:r>
        <w:rPr>
          <w:rFonts w:ascii="Times New Roman" w:hAnsi="Times New Roman" w:cs="Times New Roman"/>
          <w:i/>
          <w:sz w:val="24"/>
          <w:szCs w:val="24"/>
        </w:rPr>
        <w:t xml:space="preserve">Tidal Restoration of Blue Carbon Ecosystems) Methodology Determination </w:t>
      </w:r>
      <w:r w:rsidR="00FB234F">
        <w:rPr>
          <w:rFonts w:ascii="Times New Roman" w:hAnsi="Times New Roman" w:cs="Times New Roman"/>
          <w:i/>
          <w:sz w:val="24"/>
          <w:szCs w:val="24"/>
        </w:rPr>
        <w:t>2022</w:t>
      </w:r>
      <w:r>
        <w:rPr>
          <w:rFonts w:ascii="Times New Roman" w:hAnsi="Times New Roman" w:cs="Times New Roman"/>
          <w:sz w:val="24"/>
          <w:szCs w:val="24"/>
        </w:rPr>
        <w:t>, or earlier versions of that determination that apply to the project by operation of sections 125, 126, 127 or 130 of the Act.</w:t>
      </w:r>
    </w:p>
    <w:p w14:paraId="7D7D3C44" w14:textId="77777777" w:rsidR="00897A70" w:rsidRDefault="00897A70" w:rsidP="00897A70">
      <w:pPr>
        <w:pStyle w:val="PlainParagraph"/>
        <w:rPr>
          <w:rFonts w:ascii="Times New Roman" w:hAnsi="Times New Roman" w:cs="Times New Roman"/>
          <w:b/>
          <w:sz w:val="24"/>
          <w:szCs w:val="24"/>
        </w:rPr>
      </w:pPr>
      <w:r>
        <w:rPr>
          <w:rFonts w:ascii="Times New Roman" w:hAnsi="Times New Roman" w:cs="Times New Roman"/>
          <w:b/>
          <w:sz w:val="24"/>
          <w:szCs w:val="24"/>
        </w:rPr>
        <w:t>Human rights implications</w:t>
      </w:r>
    </w:p>
    <w:p w14:paraId="487DEC6C" w14:textId="77777777" w:rsidR="00897A70" w:rsidRDefault="00897A70" w:rsidP="00897A70">
      <w:pPr>
        <w:pStyle w:val="PlainParagraph"/>
        <w:rPr>
          <w:rFonts w:ascii="Times New Roman" w:hAnsi="Times New Roman" w:cs="Times New Roman"/>
          <w:sz w:val="24"/>
          <w:szCs w:val="24"/>
        </w:rPr>
      </w:pPr>
      <w:r>
        <w:rPr>
          <w:rFonts w:ascii="Times New Roman" w:hAnsi="Times New Roman" w:cs="Times New Roman"/>
          <w:sz w:val="24"/>
          <w:szCs w:val="24"/>
        </w:rPr>
        <w:t>The Amendment Rule does not engage any of the applicable rights or freedoms.</w:t>
      </w:r>
    </w:p>
    <w:p w14:paraId="21E3BE7B" w14:textId="77777777" w:rsidR="00897A70" w:rsidRDefault="00897A70" w:rsidP="00897A70">
      <w:pPr>
        <w:pStyle w:val="PlainParagraph"/>
        <w:rPr>
          <w:rFonts w:ascii="Times New Roman" w:hAnsi="Times New Roman" w:cs="Times New Roman"/>
          <w:b/>
          <w:sz w:val="24"/>
          <w:szCs w:val="24"/>
        </w:rPr>
      </w:pPr>
      <w:r>
        <w:rPr>
          <w:rFonts w:ascii="Times New Roman" w:hAnsi="Times New Roman" w:cs="Times New Roman"/>
          <w:b/>
          <w:sz w:val="24"/>
          <w:szCs w:val="24"/>
        </w:rPr>
        <w:t>Conclusion</w:t>
      </w:r>
    </w:p>
    <w:p w14:paraId="390F46F5" w14:textId="77777777" w:rsidR="003429E2" w:rsidRDefault="00897A70" w:rsidP="002A6F8E">
      <w:pPr>
        <w:pStyle w:val="PlainParagraph"/>
        <w:rPr>
          <w:rFonts w:ascii="Times New Roman" w:hAnsi="Times New Roman" w:cs="Times New Roman"/>
          <w:sz w:val="24"/>
          <w:szCs w:val="24"/>
        </w:rPr>
      </w:pPr>
      <w:r>
        <w:rPr>
          <w:rFonts w:ascii="Times New Roman" w:hAnsi="Times New Roman" w:cs="Times New Roman"/>
          <w:sz w:val="24"/>
          <w:szCs w:val="24"/>
        </w:rPr>
        <w:t xml:space="preserve">The Amendment Rule is compatible with human rights because it does not limit any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1A21E96B" w14:textId="77777777" w:rsidR="003429E2" w:rsidRDefault="00E7267F" w:rsidP="003429E2">
      <w:pPr>
        <w:pStyle w:val="PlainParagraph"/>
        <w:spacing w:before="0" w:after="0"/>
        <w:jc w:val="center"/>
        <w:rPr>
          <w:rFonts w:ascii="Times New Roman" w:hAnsi="Times New Roman" w:cs="Times New Roman"/>
          <w:b/>
          <w:sz w:val="24"/>
          <w:szCs w:val="24"/>
        </w:rPr>
      </w:pPr>
      <w:r w:rsidRPr="003429E2">
        <w:rPr>
          <w:rFonts w:ascii="Times New Roman" w:hAnsi="Times New Roman" w:cs="Times New Roman"/>
          <w:b/>
          <w:sz w:val="24"/>
          <w:szCs w:val="24"/>
        </w:rPr>
        <w:t>The Hon Angus Tayl</w:t>
      </w:r>
      <w:r w:rsidR="003429E2">
        <w:rPr>
          <w:rFonts w:ascii="Times New Roman" w:hAnsi="Times New Roman" w:cs="Times New Roman"/>
          <w:b/>
          <w:sz w:val="24"/>
          <w:szCs w:val="24"/>
        </w:rPr>
        <w:t>or MP</w:t>
      </w:r>
    </w:p>
    <w:p w14:paraId="22045B21" w14:textId="77777777" w:rsidR="00E7267F" w:rsidRPr="003429E2" w:rsidRDefault="00E7267F" w:rsidP="003429E2">
      <w:pPr>
        <w:pStyle w:val="PlainParagraph"/>
        <w:spacing w:before="0" w:after="0"/>
        <w:jc w:val="center"/>
        <w:rPr>
          <w:rFonts w:ascii="Times New Roman" w:hAnsi="Times New Roman" w:cs="Times New Roman"/>
          <w:b/>
          <w:sz w:val="24"/>
          <w:szCs w:val="24"/>
        </w:rPr>
      </w:pPr>
      <w:r w:rsidRPr="003429E2">
        <w:rPr>
          <w:rFonts w:ascii="Times New Roman" w:hAnsi="Times New Roman" w:cs="Times New Roman"/>
          <w:b/>
          <w:sz w:val="24"/>
          <w:szCs w:val="24"/>
        </w:rPr>
        <w:t>Minister for Industry, Energy and Emissions Reduction</w:t>
      </w:r>
    </w:p>
    <w:sectPr w:rsidR="00E7267F" w:rsidRPr="003429E2" w:rsidSect="00FE005B">
      <w:headerReference w:type="even" r:id="rId12"/>
      <w:headerReference w:type="default" r:id="rId13"/>
      <w:footerReference w:type="even" r:id="rId14"/>
      <w:footerReference w:type="default" r:id="rId15"/>
      <w:headerReference w:type="first" r:id="rId16"/>
      <w:footerReference w:type="first" r:id="rId17"/>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74BF6" w14:textId="77777777" w:rsidR="0001490E" w:rsidRDefault="0001490E">
      <w:r>
        <w:separator/>
      </w:r>
    </w:p>
  </w:endnote>
  <w:endnote w:type="continuationSeparator" w:id="0">
    <w:p w14:paraId="3DC64F6D" w14:textId="77777777" w:rsidR="0001490E" w:rsidRDefault="0001490E">
      <w:r>
        <w:continuationSeparator/>
      </w:r>
    </w:p>
  </w:endnote>
  <w:endnote w:type="continuationNotice" w:id="1">
    <w:p w14:paraId="24D5478F" w14:textId="77777777" w:rsidR="0001490E" w:rsidRDefault="0001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C03E2" w14:textId="77777777" w:rsidR="009A4C41" w:rsidRDefault="009A4C41">
    <w:pPr>
      <w:pStyle w:val="Footer"/>
    </w:pPr>
  </w:p>
  <w:p w14:paraId="3D5DC221" w14:textId="77777777" w:rsidR="009A4C41" w:rsidRDefault="00920E29" w:rsidP="009A4C41">
    <w:pPr>
      <w:pStyle w:val="ClassificationDLMfooter"/>
    </w:pPr>
    <w:sdt>
      <w:sdtPr>
        <w:alias w:val="DLMClassification"/>
        <w:tag w:val="ctDLMClassification"/>
        <w:id w:val="-998113564"/>
        <w:text/>
      </w:sdtPr>
      <w:sdtEndPr/>
      <w:sdtContent>
        <w:r w:rsidR="009A4C41">
          <w:t>Legal-Privilege</w:t>
        </w:r>
      </w:sdtContent>
    </w:sdt>
  </w:p>
  <w:sdt>
    <w:sdtPr>
      <w:alias w:val="SecurityClassification"/>
      <w:tag w:val="ctSecurityClassification"/>
      <w:id w:val="-1417703575"/>
      <w:text/>
    </w:sdtPr>
    <w:sdtEndPr/>
    <w:sdtContent>
      <w:p w14:paraId="50ED3B56" w14:textId="77777777" w:rsidR="009A4C41" w:rsidRDefault="009A4C41" w:rsidP="009A4C41">
        <w:pPr>
          <w:pStyle w:val="Classificationsecurityheader"/>
        </w:pPr>
        <w:r>
          <w:t>​OFFICIAL: Sensitive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547229"/>
      <w:docPartObj>
        <w:docPartGallery w:val="Page Numbers (Bottom of Page)"/>
        <w:docPartUnique/>
      </w:docPartObj>
    </w:sdtPr>
    <w:sdtEndPr>
      <w:rPr>
        <w:noProof/>
      </w:rPr>
    </w:sdtEndPr>
    <w:sdtContent>
      <w:p w14:paraId="0E3163B1" w14:textId="77777777" w:rsidR="00814DDC" w:rsidRDefault="00814DDC">
        <w:pPr>
          <w:pStyle w:val="Footer"/>
          <w:jc w:val="center"/>
        </w:pPr>
        <w:r w:rsidRPr="00930F8E">
          <w:rPr>
            <w:rFonts w:ascii="Times New Roman" w:hAnsi="Times New Roman" w:cs="Times New Roman"/>
            <w:sz w:val="20"/>
            <w:szCs w:val="20"/>
          </w:rPr>
          <w:fldChar w:fldCharType="begin"/>
        </w:r>
        <w:r w:rsidRPr="00930F8E">
          <w:rPr>
            <w:rFonts w:ascii="Times New Roman" w:hAnsi="Times New Roman" w:cs="Times New Roman"/>
            <w:sz w:val="20"/>
            <w:szCs w:val="20"/>
          </w:rPr>
          <w:instrText xml:space="preserve"> PAGE   \* MERGEFORMAT </w:instrText>
        </w:r>
        <w:r w:rsidRPr="00930F8E">
          <w:rPr>
            <w:rFonts w:ascii="Times New Roman" w:hAnsi="Times New Roman" w:cs="Times New Roman"/>
            <w:sz w:val="20"/>
            <w:szCs w:val="20"/>
          </w:rPr>
          <w:fldChar w:fldCharType="separate"/>
        </w:r>
        <w:r w:rsidR="00920E29">
          <w:rPr>
            <w:rFonts w:ascii="Times New Roman" w:hAnsi="Times New Roman" w:cs="Times New Roman"/>
            <w:noProof/>
            <w:sz w:val="20"/>
            <w:szCs w:val="20"/>
          </w:rPr>
          <w:t>1</w:t>
        </w:r>
        <w:r w:rsidRPr="00930F8E">
          <w:rPr>
            <w:rFonts w:ascii="Times New Roman" w:hAnsi="Times New Roman" w:cs="Times New Roman"/>
            <w:noProof/>
            <w:sz w:val="20"/>
            <w:szCs w:val="20"/>
          </w:rPr>
          <w:fldChar w:fldCharType="end"/>
        </w:r>
      </w:p>
    </w:sdtContent>
  </w:sdt>
  <w:p w14:paraId="0DACD51F" w14:textId="77777777" w:rsidR="004B1238" w:rsidRPr="004B1238" w:rsidRDefault="004B1238" w:rsidP="004B12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C0D7" w14:textId="77777777" w:rsidR="009A4C41" w:rsidRDefault="009A4C41">
    <w:pPr>
      <w:pStyle w:val="Footer"/>
    </w:pPr>
  </w:p>
  <w:p w14:paraId="30E8AEBB" w14:textId="77777777" w:rsidR="009A4C41" w:rsidRDefault="00920E29" w:rsidP="009A4C41">
    <w:pPr>
      <w:pStyle w:val="ClassificationDLMfooter"/>
    </w:pPr>
    <w:sdt>
      <w:sdtPr>
        <w:alias w:val="DLMClassification"/>
        <w:tag w:val="ctDLMClassification"/>
        <w:id w:val="-2116199820"/>
        <w:text/>
      </w:sdtPr>
      <w:sdtEndPr/>
      <w:sdtContent>
        <w:r w:rsidR="009A4C41">
          <w:t>Legal-Privilege</w:t>
        </w:r>
      </w:sdtContent>
    </w:sdt>
  </w:p>
  <w:sdt>
    <w:sdtPr>
      <w:alias w:val="SecurityClassification"/>
      <w:tag w:val="ctSecurityClassification"/>
      <w:id w:val="1929306174"/>
      <w:text/>
    </w:sdtPr>
    <w:sdtEndPr/>
    <w:sdtContent>
      <w:p w14:paraId="6983FF5E" w14:textId="77777777" w:rsidR="009A4C41" w:rsidRDefault="009A4C41" w:rsidP="009A4C41">
        <w:pPr>
          <w:pStyle w:val="Classificationsecurityheader"/>
        </w:pPr>
        <w:r>
          <w:t>​OFFICIAL: Sensitive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967CF" w14:textId="77777777" w:rsidR="0001490E" w:rsidRDefault="0001490E">
      <w:r>
        <w:separator/>
      </w:r>
    </w:p>
  </w:footnote>
  <w:footnote w:type="continuationSeparator" w:id="0">
    <w:p w14:paraId="6DB40F09" w14:textId="77777777" w:rsidR="0001490E" w:rsidRDefault="0001490E">
      <w:r>
        <w:continuationSeparator/>
      </w:r>
    </w:p>
  </w:footnote>
  <w:footnote w:type="continuationNotice" w:id="1">
    <w:p w14:paraId="4FCAD4A3" w14:textId="77777777" w:rsidR="0001490E" w:rsidRDefault="000149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ecurityClassification"/>
      <w:tag w:val="ctSecurityClassification"/>
      <w:id w:val="-1018691434"/>
      <w:text/>
    </w:sdtPr>
    <w:sdtEndPr/>
    <w:sdtContent>
      <w:p w14:paraId="0EF1A438" w14:textId="77777777" w:rsidR="009A4C41" w:rsidRDefault="009A4C41" w:rsidP="009A4C41">
        <w:pPr>
          <w:pStyle w:val="Classificationsecurityheader"/>
        </w:pPr>
        <w:r>
          <w:t>​OFFICIAL: Sensitive</w:t>
        </w:r>
      </w:p>
    </w:sdtContent>
  </w:sdt>
  <w:p w14:paraId="6735B0B0" w14:textId="77777777" w:rsidR="009A4C41" w:rsidRDefault="00920E29" w:rsidP="009A4C41">
    <w:pPr>
      <w:pStyle w:val="ClassificationDLMheader"/>
    </w:pPr>
    <w:sdt>
      <w:sdtPr>
        <w:alias w:val="DLMClassification"/>
        <w:tag w:val="ctDLMClassification"/>
        <w:id w:val="263431300"/>
        <w:text/>
      </w:sdtPr>
      <w:sdtEndPr/>
      <w:sdtContent>
        <w:r w:rsidR="009A4C41">
          <w:t>Legal-Privilege</w:t>
        </w:r>
      </w:sdtContent>
    </w:sdt>
  </w:p>
  <w:p w14:paraId="11C8408F" w14:textId="77777777" w:rsidR="009A4C41" w:rsidRDefault="009A4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04A65" w14:textId="77777777" w:rsidR="0001490E" w:rsidRDefault="000149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ecurityClassification"/>
      <w:tag w:val="ctSecurityClassification"/>
      <w:id w:val="1301264152"/>
      <w:text/>
    </w:sdtPr>
    <w:sdtEndPr/>
    <w:sdtContent>
      <w:p w14:paraId="4388E432" w14:textId="77777777" w:rsidR="009A4C41" w:rsidRDefault="009A4C41" w:rsidP="009A4C41">
        <w:pPr>
          <w:pStyle w:val="Classificationsecurityheader"/>
        </w:pPr>
        <w:r>
          <w:t>​OFFICIAL: Sensitive</w:t>
        </w:r>
      </w:p>
    </w:sdtContent>
  </w:sdt>
  <w:p w14:paraId="75A72C73" w14:textId="77777777" w:rsidR="009A4C41" w:rsidRDefault="00920E29" w:rsidP="009A4C41">
    <w:pPr>
      <w:pStyle w:val="ClassificationDLMheader"/>
    </w:pPr>
    <w:sdt>
      <w:sdtPr>
        <w:alias w:val="DLMClassification"/>
        <w:tag w:val="ctDLMClassification"/>
        <w:id w:val="-2022157697"/>
        <w:text/>
      </w:sdtPr>
      <w:sdtEndPr/>
      <w:sdtContent>
        <w:r w:rsidR="009A4C41">
          <w:t>Legal-Privilege</w:t>
        </w:r>
      </w:sdtContent>
    </w:sdt>
  </w:p>
  <w:p w14:paraId="29613343" w14:textId="77777777" w:rsidR="009A4C41" w:rsidRDefault="009A4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15:restartNumberingAfterBreak="0">
    <w:nsid w:val="113147C1"/>
    <w:multiLevelType w:val="hybridMultilevel"/>
    <w:tmpl w:val="47A63402"/>
    <w:lvl w:ilvl="0" w:tplc="95C2C836">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9"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2"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3"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8"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6B48EB"/>
    <w:multiLevelType w:val="hybridMultilevel"/>
    <w:tmpl w:val="31141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1"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22"/>
  </w:num>
  <w:num w:numId="4">
    <w:abstractNumId w:val="13"/>
  </w:num>
  <w:num w:numId="5">
    <w:abstractNumId w:val="17"/>
  </w:num>
  <w:num w:numId="6">
    <w:abstractNumId w:val="12"/>
  </w:num>
  <w:num w:numId="7">
    <w:abstractNumId w:val="37"/>
  </w:num>
  <w:num w:numId="8">
    <w:abstractNumId w:val="41"/>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21"/>
  </w:num>
  <w:num w:numId="22">
    <w:abstractNumId w:val="33"/>
  </w:num>
  <w:num w:numId="23">
    <w:abstractNumId w:val="18"/>
  </w:num>
  <w:num w:numId="24">
    <w:abstractNumId w:val="10"/>
  </w:num>
  <w:num w:numId="25">
    <w:abstractNumId w:val="19"/>
  </w:num>
  <w:num w:numId="26">
    <w:abstractNumId w:val="16"/>
  </w:num>
  <w:num w:numId="27">
    <w:abstractNumId w:val="40"/>
  </w:num>
  <w:num w:numId="28">
    <w:abstractNumId w:val="14"/>
  </w:num>
  <w:num w:numId="29">
    <w:abstractNumId w:val="23"/>
  </w:num>
  <w:num w:numId="30">
    <w:abstractNumId w:val="40"/>
  </w:num>
  <w:num w:numId="31">
    <w:abstractNumId w:val="40"/>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4"/>
  </w:num>
  <w:num w:numId="42">
    <w:abstractNumId w:val="23"/>
  </w:num>
  <w:num w:numId="43">
    <w:abstractNumId w:val="10"/>
  </w:num>
  <w:num w:numId="44">
    <w:abstractNumId w:val="19"/>
  </w:num>
  <w:num w:numId="45">
    <w:abstractNumId w:val="20"/>
  </w:num>
  <w:num w:numId="46">
    <w:abstractNumId w:val="16"/>
  </w:num>
  <w:num w:numId="47">
    <w:abstractNumId w:val="15"/>
  </w:num>
  <w:num w:numId="48">
    <w:abstractNumId w:val="16"/>
  </w:num>
  <w:num w:numId="49">
    <w:abstractNumId w:val="16"/>
  </w:num>
  <w:num w:numId="50">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4B1238"/>
    <w:rsid w:val="0000305A"/>
    <w:rsid w:val="0001490E"/>
    <w:rsid w:val="00014971"/>
    <w:rsid w:val="000545DF"/>
    <w:rsid w:val="00062C2A"/>
    <w:rsid w:val="000928CD"/>
    <w:rsid w:val="00094670"/>
    <w:rsid w:val="000B56AC"/>
    <w:rsid w:val="000E6D03"/>
    <w:rsid w:val="001010FD"/>
    <w:rsid w:val="0011343D"/>
    <w:rsid w:val="00124DEA"/>
    <w:rsid w:val="00136521"/>
    <w:rsid w:val="00137A06"/>
    <w:rsid w:val="00140BA9"/>
    <w:rsid w:val="0015439B"/>
    <w:rsid w:val="001636A2"/>
    <w:rsid w:val="00195069"/>
    <w:rsid w:val="001B02A5"/>
    <w:rsid w:val="001C0768"/>
    <w:rsid w:val="001D0122"/>
    <w:rsid w:val="001F124F"/>
    <w:rsid w:val="00255131"/>
    <w:rsid w:val="00262059"/>
    <w:rsid w:val="002A6F8E"/>
    <w:rsid w:val="002B3CFD"/>
    <w:rsid w:val="002D3C63"/>
    <w:rsid w:val="002E2B47"/>
    <w:rsid w:val="003079C3"/>
    <w:rsid w:val="003121EF"/>
    <w:rsid w:val="003361E1"/>
    <w:rsid w:val="003429E2"/>
    <w:rsid w:val="00354E4F"/>
    <w:rsid w:val="003746B7"/>
    <w:rsid w:val="00377663"/>
    <w:rsid w:val="00382276"/>
    <w:rsid w:val="00391780"/>
    <w:rsid w:val="00395E20"/>
    <w:rsid w:val="003964C0"/>
    <w:rsid w:val="003973B7"/>
    <w:rsid w:val="0039749E"/>
    <w:rsid w:val="003C452F"/>
    <w:rsid w:val="0040665C"/>
    <w:rsid w:val="0041640A"/>
    <w:rsid w:val="00424D63"/>
    <w:rsid w:val="004369F4"/>
    <w:rsid w:val="00442B3A"/>
    <w:rsid w:val="004A097D"/>
    <w:rsid w:val="004B1238"/>
    <w:rsid w:val="004D5CC0"/>
    <w:rsid w:val="005342BF"/>
    <w:rsid w:val="00540465"/>
    <w:rsid w:val="00545952"/>
    <w:rsid w:val="00562634"/>
    <w:rsid w:val="00591D59"/>
    <w:rsid w:val="00591E1F"/>
    <w:rsid w:val="005957A4"/>
    <w:rsid w:val="00596D35"/>
    <w:rsid w:val="005B0F2C"/>
    <w:rsid w:val="005D5B26"/>
    <w:rsid w:val="00633EC1"/>
    <w:rsid w:val="00634E86"/>
    <w:rsid w:val="00643D2C"/>
    <w:rsid w:val="0064667D"/>
    <w:rsid w:val="006616FA"/>
    <w:rsid w:val="006668C4"/>
    <w:rsid w:val="006E7240"/>
    <w:rsid w:val="006F48A1"/>
    <w:rsid w:val="0074624E"/>
    <w:rsid w:val="007972AB"/>
    <w:rsid w:val="007A18ED"/>
    <w:rsid w:val="007A2B63"/>
    <w:rsid w:val="007D729A"/>
    <w:rsid w:val="008014B0"/>
    <w:rsid w:val="00814096"/>
    <w:rsid w:val="00814DDC"/>
    <w:rsid w:val="0082072D"/>
    <w:rsid w:val="008411BA"/>
    <w:rsid w:val="008679D0"/>
    <w:rsid w:val="00875044"/>
    <w:rsid w:val="008906A9"/>
    <w:rsid w:val="00897A70"/>
    <w:rsid w:val="008A3BC4"/>
    <w:rsid w:val="008B3176"/>
    <w:rsid w:val="008B4393"/>
    <w:rsid w:val="008C7251"/>
    <w:rsid w:val="008C7290"/>
    <w:rsid w:val="008D3A51"/>
    <w:rsid w:val="008D3B2B"/>
    <w:rsid w:val="008D4582"/>
    <w:rsid w:val="008F3A94"/>
    <w:rsid w:val="008F6B5D"/>
    <w:rsid w:val="00903111"/>
    <w:rsid w:val="00904115"/>
    <w:rsid w:val="00907E6D"/>
    <w:rsid w:val="00907FC3"/>
    <w:rsid w:val="0091674D"/>
    <w:rsid w:val="00920E29"/>
    <w:rsid w:val="00930F8E"/>
    <w:rsid w:val="0093199E"/>
    <w:rsid w:val="009319D5"/>
    <w:rsid w:val="00935658"/>
    <w:rsid w:val="00946F67"/>
    <w:rsid w:val="00982D68"/>
    <w:rsid w:val="009A4C41"/>
    <w:rsid w:val="009A5C70"/>
    <w:rsid w:val="00A37BE7"/>
    <w:rsid w:val="00A42666"/>
    <w:rsid w:val="00A64080"/>
    <w:rsid w:val="00A654AB"/>
    <w:rsid w:val="00A6740A"/>
    <w:rsid w:val="00A83D1A"/>
    <w:rsid w:val="00AA7A5B"/>
    <w:rsid w:val="00AB1029"/>
    <w:rsid w:val="00AB6123"/>
    <w:rsid w:val="00AC03AE"/>
    <w:rsid w:val="00AE237A"/>
    <w:rsid w:val="00AF1FE5"/>
    <w:rsid w:val="00B02F0C"/>
    <w:rsid w:val="00B0341A"/>
    <w:rsid w:val="00B1730F"/>
    <w:rsid w:val="00B21AD5"/>
    <w:rsid w:val="00B253B1"/>
    <w:rsid w:val="00B32FCE"/>
    <w:rsid w:val="00B365FA"/>
    <w:rsid w:val="00B5048F"/>
    <w:rsid w:val="00B55095"/>
    <w:rsid w:val="00B65179"/>
    <w:rsid w:val="00B92AF0"/>
    <w:rsid w:val="00BC5541"/>
    <w:rsid w:val="00BC6976"/>
    <w:rsid w:val="00BC740E"/>
    <w:rsid w:val="00BD3E5E"/>
    <w:rsid w:val="00BE0B68"/>
    <w:rsid w:val="00BE6556"/>
    <w:rsid w:val="00BF1EFF"/>
    <w:rsid w:val="00C24D46"/>
    <w:rsid w:val="00C42C20"/>
    <w:rsid w:val="00C4589F"/>
    <w:rsid w:val="00C51B4A"/>
    <w:rsid w:val="00C53AF7"/>
    <w:rsid w:val="00C5611B"/>
    <w:rsid w:val="00C6591F"/>
    <w:rsid w:val="00C75FF1"/>
    <w:rsid w:val="00C9673D"/>
    <w:rsid w:val="00C96812"/>
    <w:rsid w:val="00CC5A7F"/>
    <w:rsid w:val="00CD41FC"/>
    <w:rsid w:val="00CE4770"/>
    <w:rsid w:val="00CF2CAA"/>
    <w:rsid w:val="00CF48E0"/>
    <w:rsid w:val="00CF6A47"/>
    <w:rsid w:val="00D1697E"/>
    <w:rsid w:val="00D67BF4"/>
    <w:rsid w:val="00D7186D"/>
    <w:rsid w:val="00D91106"/>
    <w:rsid w:val="00DA1D5A"/>
    <w:rsid w:val="00DA470B"/>
    <w:rsid w:val="00DD2247"/>
    <w:rsid w:val="00DD3B39"/>
    <w:rsid w:val="00DE03E9"/>
    <w:rsid w:val="00E03FEC"/>
    <w:rsid w:val="00E05CDC"/>
    <w:rsid w:val="00E23850"/>
    <w:rsid w:val="00E3004D"/>
    <w:rsid w:val="00E3062C"/>
    <w:rsid w:val="00E45161"/>
    <w:rsid w:val="00E54BA1"/>
    <w:rsid w:val="00E7267F"/>
    <w:rsid w:val="00E95A42"/>
    <w:rsid w:val="00EA51DD"/>
    <w:rsid w:val="00EB34C6"/>
    <w:rsid w:val="00EC5848"/>
    <w:rsid w:val="00EC7978"/>
    <w:rsid w:val="00EE6D46"/>
    <w:rsid w:val="00EF0601"/>
    <w:rsid w:val="00F24040"/>
    <w:rsid w:val="00F24A53"/>
    <w:rsid w:val="00F33528"/>
    <w:rsid w:val="00F52A80"/>
    <w:rsid w:val="00F53CC3"/>
    <w:rsid w:val="00F6181B"/>
    <w:rsid w:val="00F75E3A"/>
    <w:rsid w:val="00F76C83"/>
    <w:rsid w:val="00F82548"/>
    <w:rsid w:val="00F930BE"/>
    <w:rsid w:val="00FA5BB2"/>
    <w:rsid w:val="00FB234F"/>
    <w:rsid w:val="00FB5D39"/>
    <w:rsid w:val="00FE005B"/>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D13405"/>
  <w15:chartTrackingRefBased/>
  <w15:docId w15:val="{41300BC5-C7B7-444D-A043-5624046C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98"/>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7"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C96812"/>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9"/>
      </w:numPr>
    </w:pPr>
  </w:style>
  <w:style w:type="paragraph" w:customStyle="1" w:styleId="NumberLevel2">
    <w:name w:val="Number Level 2"/>
    <w:aliases w:val="N2"/>
    <w:basedOn w:val="PlainParagraph"/>
    <w:uiPriority w:val="1"/>
    <w:qFormat/>
    <w:rsid w:val="00AA7A5B"/>
    <w:pPr>
      <w:numPr>
        <w:ilvl w:val="1"/>
        <w:numId w:val="49"/>
      </w:numPr>
    </w:pPr>
  </w:style>
  <w:style w:type="paragraph" w:customStyle="1" w:styleId="NumberLevel3">
    <w:name w:val="Number Level 3"/>
    <w:aliases w:val="N3"/>
    <w:basedOn w:val="PlainParagraph"/>
    <w:uiPriority w:val="1"/>
    <w:qFormat/>
    <w:rsid w:val="00AA7A5B"/>
    <w:pPr>
      <w:numPr>
        <w:ilvl w:val="2"/>
        <w:numId w:val="49"/>
      </w:numPr>
    </w:pPr>
  </w:style>
  <w:style w:type="paragraph" w:customStyle="1" w:styleId="NumberLevel4">
    <w:name w:val="Number Level 4"/>
    <w:aliases w:val="N4"/>
    <w:basedOn w:val="PlainParagraph"/>
    <w:uiPriority w:val="1"/>
    <w:qFormat/>
    <w:rsid w:val="00AA7A5B"/>
    <w:pPr>
      <w:numPr>
        <w:ilvl w:val="3"/>
        <w:numId w:val="49"/>
      </w:numPr>
      <w:spacing w:before="0"/>
    </w:pPr>
  </w:style>
  <w:style w:type="paragraph" w:customStyle="1" w:styleId="NumberLevel5">
    <w:name w:val="Number Level 5"/>
    <w:aliases w:val="N5"/>
    <w:basedOn w:val="PlainParagraph"/>
    <w:uiPriority w:val="1"/>
    <w:semiHidden/>
    <w:rsid w:val="00AA7A5B"/>
    <w:pPr>
      <w:numPr>
        <w:ilvl w:val="4"/>
        <w:numId w:val="4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spacing w:line="280" w:lineRule="atLeast"/>
      <w:jc w:val="center"/>
    </w:pPr>
    <w:rPr>
      <w:color w:val="FF0000"/>
      <w:sz w:val="24"/>
    </w:rPr>
  </w:style>
  <w:style w:type="paragraph" w:customStyle="1" w:styleId="Leg7SubParaA">
    <w:name w:val="Leg7 SubPara: (A)"/>
    <w:aliases w:val="L7"/>
    <w:basedOn w:val="Leg6SubParai"/>
    <w:uiPriority w:val="5"/>
    <w:qFormat/>
    <w:rsid w:val="00395E20"/>
    <w:pPr>
      <w:ind w:left="3060" w:hanging="65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line="280" w:lineRule="atLeast"/>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FooterChar">
    <w:name w:val="Footer Char"/>
    <w:basedOn w:val="DefaultParagraphFont"/>
    <w:link w:val="Footer"/>
    <w:uiPriority w:val="99"/>
    <w:rsid w:val="006F48A1"/>
    <w:rPr>
      <w:rFonts w:ascii="Arial" w:hAnsi="Arial" w:cs="Arial"/>
      <w:sz w:val="16"/>
      <w:szCs w:val="22"/>
    </w:rPr>
  </w:style>
  <w:style w:type="paragraph" w:styleId="Revision">
    <w:name w:val="Revision"/>
    <w:hidden/>
    <w:uiPriority w:val="99"/>
    <w:semiHidden/>
    <w:rsid w:val="0001490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eanenergyregulator.gov.au/ER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industry.gov.au/funding-and-incentives/emissions-reduction-fun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9141FF6-C379-4480-B232-3AC59B47DD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8642A9618BDD40AA13958DA43850F7" ma:contentTypeVersion="" ma:contentTypeDescription="PDMS Document Site Content Type" ma:contentTypeScope="" ma:versionID="274b2dcce864c2e8d6f0d941d6196a0c">
  <xsd:schema xmlns:xsd="http://www.w3.org/2001/XMLSchema" xmlns:xs="http://www.w3.org/2001/XMLSchema" xmlns:p="http://schemas.microsoft.com/office/2006/metadata/properties" xmlns:ns2="89141FF6-C379-4480-B232-3AC59B47DDDD" targetNamespace="http://schemas.microsoft.com/office/2006/metadata/properties" ma:root="true" ma:fieldsID="08d3ba3d092650994223f2cda3afe30a" ns2:_="">
    <xsd:import namespace="89141FF6-C379-4480-B232-3AC59B47DD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41FF6-C379-4480-B232-3AC59B47DD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AE70A-B07C-4AEE-AB59-5DC33234C261}">
  <ds:schemaRefs>
    <ds:schemaRef ds:uri="http://schemas.microsoft.com/office/2006/metadata/properties"/>
    <ds:schemaRef ds:uri="89141FF6-C379-4480-B232-3AC59B47DD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3.xml><?xml version="1.0" encoding="utf-8"?>
<ds:datastoreItem xmlns:ds="http://schemas.openxmlformats.org/officeDocument/2006/customXml" ds:itemID="{A6213DA4-7BF6-400C-9974-A805120E8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41FF6-C379-4480-B232-3AC59B47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11830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Smart, Claire</dc:creator>
  <cp:keywords/>
  <dc:description/>
  <cp:lastModifiedBy>Dowie, Thea</cp:lastModifiedBy>
  <cp:revision>2</cp:revision>
  <dcterms:created xsi:type="dcterms:W3CDTF">2022-01-19T03:43:00Z</dcterms:created>
  <dcterms:modified xsi:type="dcterms:W3CDTF">2022-01-19T03:43:00Z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43296970</vt:lpwstr>
  </property>
  <property fmtid="{D5CDD505-2E9C-101B-9397-08002B2CF9AE}" pid="8" name="ContentTypeId">
    <vt:lpwstr>0x010100266966F133664895A6EE3632470D45F500868642A9618BDD40AA13958DA43850F7</vt:lpwstr>
  </property>
  <property fmtid="{D5CDD505-2E9C-101B-9397-08002B2CF9AE}" pid="9" name="DocHub_Year">
    <vt:lpwstr/>
  </property>
  <property fmtid="{D5CDD505-2E9C-101B-9397-08002B2CF9AE}" pid="10" name="DocHub_DocumentType">
    <vt:lpwstr>460;#Explanatory Memorandum|e1baf4eb-cfb1-4562-a99a-5aebab1aca70</vt:lpwstr>
  </property>
  <property fmtid="{D5CDD505-2E9C-101B-9397-08002B2CF9AE}" pid="11" name="DocHub_SecurityClassification">
    <vt:lpwstr>923;#Legislative secrecy|7696ab49-fa39-45c8-8833-1b0d93fa11aa</vt:lpwstr>
  </property>
  <property fmtid="{D5CDD505-2E9C-101B-9397-08002B2CF9AE}" pid="12" name="DocHub_Keywords">
    <vt:lpwstr/>
  </property>
  <property fmtid="{D5CDD505-2E9C-101B-9397-08002B2CF9AE}" pid="13" name="DocHub_WorkActivity">
    <vt:lpwstr/>
  </property>
</Properties>
</file>