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F2E17" w14:textId="5BCC6200" w:rsidR="00E578DD" w:rsidRPr="00634C4B" w:rsidRDefault="004C4A61" w:rsidP="00E578DD">
      <w:pPr>
        <w:spacing w:after="200" w:line="276" w:lineRule="auto"/>
        <w:jc w:val="center"/>
        <w:rPr>
          <w:rFonts w:ascii="Times New Roman" w:eastAsia="Times New Roman" w:hAnsi="Times New Roman"/>
          <w:b/>
          <w:sz w:val="24"/>
          <w:szCs w:val="24"/>
          <w:u w:val="single"/>
          <w:lang w:eastAsia="en-AU"/>
        </w:rPr>
      </w:pPr>
      <w:bookmarkStart w:id="0" w:name="_GoBack"/>
      <w:bookmarkEnd w:id="0"/>
      <w:r w:rsidRPr="00634C4B">
        <w:rPr>
          <w:rFonts w:ascii="Times New Roman" w:eastAsia="Times New Roman" w:hAnsi="Times New Roman"/>
          <w:b/>
          <w:sz w:val="24"/>
          <w:szCs w:val="24"/>
          <w:lang w:eastAsia="en-AU"/>
        </w:rPr>
        <w:t>Australian Prudential Regulation Authority</w:t>
      </w:r>
      <w:r w:rsidR="00E578DD" w:rsidRPr="00634C4B">
        <w:rPr>
          <w:rFonts w:ascii="Times New Roman" w:eastAsia="Times New Roman" w:hAnsi="Times New Roman"/>
          <w:b/>
          <w:sz w:val="24"/>
          <w:szCs w:val="24"/>
          <w:lang w:eastAsia="en-AU"/>
        </w:rPr>
        <w:t xml:space="preserve"> (</w:t>
      </w:r>
      <w:r w:rsidRPr="00634C4B">
        <w:rPr>
          <w:rFonts w:ascii="Times New Roman" w:eastAsia="Times New Roman" w:hAnsi="Times New Roman"/>
          <w:b/>
          <w:sz w:val="24"/>
          <w:szCs w:val="24"/>
          <w:lang w:eastAsia="en-AU"/>
        </w:rPr>
        <w:t>confidentiality</w:t>
      </w:r>
      <w:r w:rsidR="00E578DD" w:rsidRPr="00634C4B">
        <w:rPr>
          <w:rFonts w:ascii="Times New Roman" w:eastAsia="Times New Roman" w:hAnsi="Times New Roman"/>
          <w:b/>
          <w:sz w:val="24"/>
          <w:szCs w:val="24"/>
          <w:lang w:eastAsia="en-AU"/>
        </w:rPr>
        <w:t xml:space="preserve">) determination </w:t>
      </w:r>
      <w:r w:rsidR="00AC2DDF">
        <w:rPr>
          <w:rFonts w:ascii="Times New Roman" w:eastAsia="Times New Roman" w:hAnsi="Times New Roman"/>
          <w:b/>
          <w:sz w:val="24"/>
          <w:szCs w:val="24"/>
          <w:lang w:eastAsia="en-AU"/>
        </w:rPr>
        <w:br/>
      </w:r>
      <w:r w:rsidR="00E578DD" w:rsidRPr="00634C4B">
        <w:rPr>
          <w:rFonts w:ascii="Times New Roman" w:eastAsia="Times New Roman" w:hAnsi="Times New Roman"/>
          <w:b/>
          <w:sz w:val="24"/>
          <w:szCs w:val="24"/>
          <w:lang w:eastAsia="en-AU"/>
        </w:rPr>
        <w:t xml:space="preserve">No. </w:t>
      </w:r>
      <w:r w:rsidR="00AB105B">
        <w:rPr>
          <w:rFonts w:ascii="Times New Roman" w:eastAsia="Times New Roman" w:hAnsi="Times New Roman"/>
          <w:b/>
          <w:sz w:val="24"/>
          <w:szCs w:val="24"/>
          <w:lang w:eastAsia="en-AU"/>
        </w:rPr>
        <w:t>1</w:t>
      </w:r>
      <w:r w:rsidR="00E578DD" w:rsidRPr="00634C4B">
        <w:rPr>
          <w:rFonts w:ascii="Times New Roman" w:eastAsia="Times New Roman" w:hAnsi="Times New Roman"/>
          <w:b/>
          <w:sz w:val="24"/>
          <w:szCs w:val="24"/>
          <w:lang w:eastAsia="en-AU"/>
        </w:rPr>
        <w:t xml:space="preserve"> of 2</w:t>
      </w:r>
      <w:r w:rsidR="007D1D55" w:rsidRPr="00634C4B">
        <w:rPr>
          <w:rFonts w:ascii="Times New Roman" w:eastAsia="Times New Roman" w:hAnsi="Times New Roman"/>
          <w:b/>
          <w:sz w:val="24"/>
          <w:szCs w:val="24"/>
          <w:lang w:eastAsia="en-AU"/>
        </w:rPr>
        <w:t>0</w:t>
      </w:r>
      <w:r w:rsidR="0059180D">
        <w:rPr>
          <w:rFonts w:ascii="Times New Roman" w:eastAsia="Times New Roman" w:hAnsi="Times New Roman"/>
          <w:b/>
          <w:sz w:val="24"/>
          <w:szCs w:val="24"/>
          <w:lang w:eastAsia="en-AU"/>
        </w:rPr>
        <w:t>2</w:t>
      </w:r>
      <w:r w:rsidR="00AB105B">
        <w:rPr>
          <w:rFonts w:ascii="Times New Roman" w:eastAsia="Times New Roman" w:hAnsi="Times New Roman"/>
          <w:b/>
          <w:sz w:val="24"/>
          <w:szCs w:val="24"/>
          <w:lang w:eastAsia="en-AU"/>
        </w:rPr>
        <w:t>2</w:t>
      </w:r>
    </w:p>
    <w:p w14:paraId="0497E08E" w14:textId="77777777" w:rsidR="00E578DD" w:rsidRPr="00E578DD" w:rsidRDefault="00E578DD" w:rsidP="00E578DD">
      <w:pPr>
        <w:spacing w:after="200" w:line="276" w:lineRule="auto"/>
        <w:jc w:val="center"/>
        <w:rPr>
          <w:rFonts w:ascii="Times New Roman" w:eastAsia="Times New Roman" w:hAnsi="Times New Roman"/>
          <w:b/>
          <w:sz w:val="24"/>
          <w:szCs w:val="24"/>
          <w:u w:val="single"/>
          <w:lang w:eastAsia="en-AU"/>
        </w:rPr>
      </w:pPr>
      <w:r w:rsidRPr="00E578DD">
        <w:rPr>
          <w:rFonts w:ascii="Times New Roman" w:eastAsia="Times New Roman" w:hAnsi="Times New Roman"/>
          <w:b/>
          <w:sz w:val="24"/>
          <w:szCs w:val="24"/>
          <w:u w:val="single"/>
          <w:lang w:eastAsia="en-AU"/>
        </w:rPr>
        <w:t>EXPLANATORY STATEMENT</w:t>
      </w:r>
    </w:p>
    <w:p w14:paraId="518E63E7" w14:textId="77777777" w:rsidR="00E578DD" w:rsidRPr="00E578DD" w:rsidRDefault="00E578DD" w:rsidP="00E578DD">
      <w:pPr>
        <w:spacing w:after="200" w:line="276" w:lineRule="auto"/>
        <w:jc w:val="center"/>
        <w:rPr>
          <w:rFonts w:ascii="Times New Roman" w:eastAsia="Times New Roman" w:hAnsi="Times New Roman"/>
          <w:sz w:val="24"/>
          <w:szCs w:val="24"/>
          <w:lang w:eastAsia="en-AU"/>
        </w:rPr>
      </w:pPr>
      <w:r w:rsidRPr="00612891">
        <w:rPr>
          <w:rFonts w:ascii="Times New Roman" w:eastAsia="Times New Roman" w:hAnsi="Times New Roman"/>
          <w:b/>
          <w:sz w:val="24"/>
          <w:szCs w:val="24"/>
          <w:lang w:eastAsia="en-AU"/>
        </w:rPr>
        <w:t>Prepared by the Australian Prudential Regulation Authority</w:t>
      </w:r>
      <w:r w:rsidRPr="00E578DD">
        <w:rPr>
          <w:rFonts w:ascii="Times New Roman" w:eastAsia="Times New Roman" w:hAnsi="Times New Roman"/>
          <w:sz w:val="24"/>
          <w:szCs w:val="24"/>
          <w:lang w:eastAsia="en-AU"/>
        </w:rPr>
        <w:t xml:space="preserve"> (</w:t>
      </w:r>
      <w:r w:rsidRPr="00E578DD">
        <w:rPr>
          <w:rFonts w:ascii="Times New Roman" w:eastAsia="Times New Roman" w:hAnsi="Times New Roman"/>
          <w:b/>
          <w:sz w:val="24"/>
          <w:szCs w:val="24"/>
          <w:lang w:eastAsia="en-AU"/>
        </w:rPr>
        <w:t>APRA</w:t>
      </w:r>
      <w:r w:rsidRPr="00E578DD">
        <w:rPr>
          <w:rFonts w:ascii="Times New Roman" w:eastAsia="Times New Roman" w:hAnsi="Times New Roman"/>
          <w:sz w:val="24"/>
          <w:szCs w:val="24"/>
          <w:lang w:eastAsia="en-AU"/>
        </w:rPr>
        <w:t>)</w:t>
      </w:r>
    </w:p>
    <w:p w14:paraId="5E9B7739" w14:textId="77777777" w:rsidR="00E578DD" w:rsidRDefault="00E578DD" w:rsidP="00E578DD">
      <w:pPr>
        <w:spacing w:after="200" w:line="276" w:lineRule="auto"/>
        <w:jc w:val="center"/>
        <w:rPr>
          <w:rFonts w:ascii="Times New Roman" w:eastAsia="Times New Roman" w:hAnsi="Times New Roman"/>
          <w:sz w:val="24"/>
          <w:szCs w:val="24"/>
          <w:lang w:eastAsia="en-AU"/>
        </w:rPr>
      </w:pPr>
      <w:r w:rsidRPr="00E578DD">
        <w:rPr>
          <w:rFonts w:ascii="Times New Roman" w:eastAsia="Times New Roman" w:hAnsi="Times New Roman"/>
          <w:i/>
          <w:sz w:val="24"/>
          <w:szCs w:val="24"/>
          <w:lang w:eastAsia="en-AU"/>
        </w:rPr>
        <w:t>Australian Prudential Regulation Authority Act 1998</w:t>
      </w:r>
      <w:r w:rsidRPr="00E578DD">
        <w:rPr>
          <w:rFonts w:ascii="Times New Roman" w:eastAsia="Times New Roman" w:hAnsi="Times New Roman"/>
          <w:sz w:val="24"/>
          <w:szCs w:val="24"/>
          <w:lang w:eastAsia="en-AU"/>
        </w:rPr>
        <w:t>, section 57</w:t>
      </w:r>
    </w:p>
    <w:p w14:paraId="0D39AB8A" w14:textId="77777777" w:rsidR="00EB2516" w:rsidRDefault="00EB2516" w:rsidP="00EB2516">
      <w:pPr>
        <w:spacing w:after="200" w:line="276" w:lineRule="auto"/>
        <w:jc w:val="center"/>
        <w:rPr>
          <w:rFonts w:ascii="Times New Roman" w:eastAsia="Times New Roman" w:hAnsi="Times New Roman"/>
          <w:sz w:val="24"/>
          <w:szCs w:val="24"/>
          <w:lang w:eastAsia="en-AU"/>
        </w:rPr>
      </w:pPr>
      <w:r w:rsidRPr="00E6235E">
        <w:rPr>
          <w:rFonts w:ascii="Times New Roman" w:eastAsia="Times New Roman" w:hAnsi="Times New Roman"/>
          <w:i/>
          <w:sz w:val="24"/>
          <w:szCs w:val="24"/>
          <w:lang w:eastAsia="en-AU"/>
        </w:rPr>
        <w:t>Acts Interpretation Act 1901</w:t>
      </w:r>
      <w:r>
        <w:rPr>
          <w:rFonts w:ascii="Times New Roman" w:eastAsia="Times New Roman" w:hAnsi="Times New Roman"/>
          <w:sz w:val="24"/>
          <w:szCs w:val="24"/>
          <w:lang w:eastAsia="en-AU"/>
        </w:rPr>
        <w:t>, section 33</w:t>
      </w:r>
    </w:p>
    <w:p w14:paraId="78767AD6" w14:textId="28F012CB" w:rsidR="000C3FBD" w:rsidRPr="00634C4B" w:rsidRDefault="007D1D55" w:rsidP="00E578DD">
      <w:pPr>
        <w:spacing w:after="200" w:line="276" w:lineRule="auto"/>
        <w:rPr>
          <w:rFonts w:ascii="Times New Roman" w:eastAsia="Times New Roman" w:hAnsi="Times New Roman"/>
          <w:sz w:val="24"/>
          <w:szCs w:val="24"/>
          <w:lang w:eastAsia="en-AU"/>
        </w:rPr>
      </w:pPr>
      <w:r w:rsidRPr="00634C4B">
        <w:rPr>
          <w:rFonts w:ascii="Times New Roman" w:eastAsia="Times New Roman" w:hAnsi="Times New Roman"/>
          <w:sz w:val="24"/>
          <w:szCs w:val="24"/>
          <w:lang w:eastAsia="en-AU"/>
        </w:rPr>
        <w:t xml:space="preserve">Under </w:t>
      </w:r>
      <w:r w:rsidR="00EB2516">
        <w:rPr>
          <w:rFonts w:ascii="Times New Roman" w:eastAsia="Times New Roman" w:hAnsi="Times New Roman"/>
          <w:sz w:val="24"/>
          <w:szCs w:val="24"/>
          <w:lang w:eastAsia="en-AU"/>
        </w:rPr>
        <w:t>section</w:t>
      </w:r>
      <w:r w:rsidRPr="00634C4B">
        <w:rPr>
          <w:rFonts w:ascii="Times New Roman" w:eastAsia="Times New Roman" w:hAnsi="Times New Roman"/>
          <w:sz w:val="24"/>
          <w:szCs w:val="24"/>
          <w:lang w:eastAsia="en-AU"/>
        </w:rPr>
        <w:t xml:space="preserve"> 57 of the</w:t>
      </w:r>
      <w:r w:rsidR="000C3FBD" w:rsidRPr="00634C4B">
        <w:rPr>
          <w:rFonts w:ascii="Times New Roman" w:eastAsia="Times New Roman" w:hAnsi="Times New Roman"/>
          <w:i/>
          <w:sz w:val="24"/>
          <w:szCs w:val="24"/>
          <w:lang w:eastAsia="en-AU"/>
        </w:rPr>
        <w:t xml:space="preserve"> Australian Prudential Regulation Authority Act 1998 </w:t>
      </w:r>
      <w:r w:rsidR="000C3FBD" w:rsidRPr="00612891">
        <w:rPr>
          <w:rFonts w:ascii="Times New Roman" w:eastAsia="Times New Roman" w:hAnsi="Times New Roman"/>
          <w:sz w:val="24"/>
          <w:szCs w:val="24"/>
          <w:lang w:eastAsia="en-AU"/>
        </w:rPr>
        <w:t>(the Act)</w:t>
      </w:r>
      <w:r w:rsidR="000C3FBD" w:rsidRPr="00634C4B">
        <w:rPr>
          <w:rFonts w:ascii="Times New Roman" w:eastAsia="Times New Roman" w:hAnsi="Times New Roman"/>
          <w:sz w:val="24"/>
          <w:szCs w:val="24"/>
          <w:lang w:eastAsia="en-AU"/>
        </w:rPr>
        <w:t xml:space="preserve">, APRA may determine, by legislative instrument, that all or a specified part of </w:t>
      </w:r>
      <w:r w:rsidR="00EB2516">
        <w:rPr>
          <w:rFonts w:ascii="Times New Roman" w:eastAsia="Times New Roman" w:hAnsi="Times New Roman"/>
          <w:sz w:val="24"/>
          <w:szCs w:val="24"/>
          <w:lang w:eastAsia="en-AU"/>
        </w:rPr>
        <w:t xml:space="preserve">a </w:t>
      </w:r>
      <w:r w:rsidR="000C3FBD" w:rsidRPr="00634C4B">
        <w:rPr>
          <w:rFonts w:ascii="Times New Roman" w:eastAsia="Times New Roman" w:hAnsi="Times New Roman"/>
          <w:sz w:val="24"/>
          <w:szCs w:val="24"/>
          <w:lang w:eastAsia="en-AU"/>
        </w:rPr>
        <w:t>relevant reporting document</w:t>
      </w:r>
      <w:r w:rsidR="00EB2516">
        <w:rPr>
          <w:rFonts w:ascii="Times New Roman" w:eastAsia="Times New Roman" w:hAnsi="Times New Roman"/>
          <w:sz w:val="24"/>
          <w:szCs w:val="24"/>
          <w:lang w:eastAsia="en-AU"/>
        </w:rPr>
        <w:t xml:space="preserve"> or</w:t>
      </w:r>
      <w:r w:rsidR="000C3FBD" w:rsidRPr="00634C4B">
        <w:rPr>
          <w:rFonts w:ascii="Times New Roman" w:eastAsia="Times New Roman" w:hAnsi="Times New Roman"/>
          <w:sz w:val="24"/>
          <w:szCs w:val="24"/>
          <w:lang w:eastAsia="en-AU"/>
        </w:rPr>
        <w:t xml:space="preserve"> </w:t>
      </w:r>
      <w:r w:rsidR="00EB2516" w:rsidRPr="00634C4B">
        <w:rPr>
          <w:rFonts w:ascii="Times New Roman" w:eastAsia="Times New Roman" w:hAnsi="Times New Roman"/>
          <w:sz w:val="24"/>
          <w:szCs w:val="24"/>
          <w:lang w:eastAsia="en-AU"/>
        </w:rPr>
        <w:t>all or a specified part of relevant reporting document</w:t>
      </w:r>
      <w:r w:rsidR="00230E14">
        <w:rPr>
          <w:rFonts w:ascii="Times New Roman" w:eastAsia="Times New Roman" w:hAnsi="Times New Roman"/>
          <w:sz w:val="24"/>
          <w:szCs w:val="24"/>
          <w:lang w:eastAsia="en-AU"/>
        </w:rPr>
        <w:t>s</w:t>
      </w:r>
      <w:r w:rsidR="00EB2516" w:rsidRPr="00634C4B">
        <w:rPr>
          <w:rFonts w:ascii="Times New Roman" w:eastAsia="Times New Roman" w:hAnsi="Times New Roman"/>
          <w:sz w:val="24"/>
          <w:szCs w:val="24"/>
          <w:lang w:eastAsia="en-AU"/>
        </w:rPr>
        <w:t xml:space="preserve"> </w:t>
      </w:r>
      <w:r w:rsidR="000C3FBD" w:rsidRPr="00634C4B">
        <w:rPr>
          <w:rFonts w:ascii="Times New Roman" w:eastAsia="Times New Roman" w:hAnsi="Times New Roman"/>
          <w:sz w:val="24"/>
          <w:szCs w:val="24"/>
          <w:lang w:eastAsia="en-AU"/>
        </w:rPr>
        <w:t>of a specified kind contain</w:t>
      </w:r>
      <w:r w:rsidR="00582FA2">
        <w:rPr>
          <w:rFonts w:ascii="Times New Roman" w:eastAsia="Times New Roman" w:hAnsi="Times New Roman"/>
          <w:sz w:val="24"/>
          <w:szCs w:val="24"/>
          <w:lang w:eastAsia="en-AU"/>
        </w:rPr>
        <w:t>s</w:t>
      </w:r>
      <w:r w:rsidR="000C3FBD" w:rsidRPr="00634C4B">
        <w:rPr>
          <w:rFonts w:ascii="Times New Roman" w:eastAsia="Times New Roman" w:hAnsi="Times New Roman"/>
          <w:sz w:val="24"/>
          <w:szCs w:val="24"/>
          <w:lang w:eastAsia="en-AU"/>
        </w:rPr>
        <w:t>, or do</w:t>
      </w:r>
      <w:r w:rsidR="00582FA2">
        <w:rPr>
          <w:rFonts w:ascii="Times New Roman" w:eastAsia="Times New Roman" w:hAnsi="Times New Roman"/>
          <w:sz w:val="24"/>
          <w:szCs w:val="24"/>
          <w:lang w:eastAsia="en-AU"/>
        </w:rPr>
        <w:t>es</w:t>
      </w:r>
      <w:r w:rsidR="000C3FBD" w:rsidRPr="00634C4B">
        <w:rPr>
          <w:rFonts w:ascii="Times New Roman" w:eastAsia="Times New Roman" w:hAnsi="Times New Roman"/>
          <w:sz w:val="24"/>
          <w:szCs w:val="24"/>
          <w:lang w:eastAsia="en-AU"/>
        </w:rPr>
        <w:t xml:space="preserve"> not contain, confidential information.</w:t>
      </w:r>
    </w:p>
    <w:p w14:paraId="74535C4D" w14:textId="2BBC7E13" w:rsidR="00E578DD" w:rsidRPr="00612891" w:rsidRDefault="000C3FBD" w:rsidP="00E578DD">
      <w:pPr>
        <w:spacing w:after="200" w:line="276" w:lineRule="auto"/>
        <w:rPr>
          <w:rFonts w:ascii="Times New Roman" w:eastAsia="Times New Roman" w:hAnsi="Times New Roman"/>
          <w:sz w:val="24"/>
          <w:szCs w:val="24"/>
          <w:lang w:eastAsia="en-AU"/>
        </w:rPr>
      </w:pPr>
      <w:r w:rsidRPr="00612891">
        <w:rPr>
          <w:rFonts w:ascii="Times New Roman" w:eastAsia="Times New Roman" w:hAnsi="Times New Roman"/>
          <w:sz w:val="24"/>
          <w:szCs w:val="24"/>
          <w:lang w:eastAsia="en-AU"/>
        </w:rPr>
        <w:t>On</w:t>
      </w:r>
      <w:r w:rsidR="00867796">
        <w:rPr>
          <w:rFonts w:ascii="Times New Roman" w:eastAsia="Times New Roman" w:hAnsi="Times New Roman"/>
          <w:sz w:val="24"/>
          <w:szCs w:val="24"/>
          <w:lang w:eastAsia="en-AU"/>
        </w:rPr>
        <w:t xml:space="preserve"> </w:t>
      </w:r>
      <w:r w:rsidR="00BB2DAD">
        <w:rPr>
          <w:rFonts w:ascii="Times New Roman" w:eastAsia="Times New Roman" w:hAnsi="Times New Roman"/>
          <w:sz w:val="24"/>
          <w:szCs w:val="24"/>
          <w:lang w:eastAsia="en-AU"/>
        </w:rPr>
        <w:t>18</w:t>
      </w:r>
      <w:r w:rsidR="0059180D">
        <w:rPr>
          <w:rFonts w:ascii="Times New Roman" w:eastAsia="Times New Roman" w:hAnsi="Times New Roman"/>
          <w:sz w:val="24"/>
          <w:szCs w:val="24"/>
          <w:lang w:eastAsia="en-AU"/>
        </w:rPr>
        <w:t xml:space="preserve"> </w:t>
      </w:r>
      <w:r w:rsidR="00524340">
        <w:rPr>
          <w:rFonts w:ascii="Times New Roman" w:eastAsia="Times New Roman" w:hAnsi="Times New Roman"/>
          <w:sz w:val="24"/>
          <w:szCs w:val="24"/>
          <w:lang w:eastAsia="en-AU"/>
        </w:rPr>
        <w:t xml:space="preserve">January </w:t>
      </w:r>
      <w:r w:rsidR="0059180D">
        <w:rPr>
          <w:rFonts w:ascii="Times New Roman" w:eastAsia="Times New Roman" w:hAnsi="Times New Roman"/>
          <w:sz w:val="24"/>
          <w:szCs w:val="24"/>
          <w:lang w:eastAsia="en-AU"/>
        </w:rPr>
        <w:t>202</w:t>
      </w:r>
      <w:r w:rsidR="00524340">
        <w:rPr>
          <w:rFonts w:ascii="Times New Roman" w:eastAsia="Times New Roman" w:hAnsi="Times New Roman"/>
          <w:sz w:val="24"/>
          <w:szCs w:val="24"/>
          <w:lang w:eastAsia="en-AU"/>
        </w:rPr>
        <w:t>2</w:t>
      </w:r>
      <w:r w:rsidRPr="00612891">
        <w:rPr>
          <w:rFonts w:ascii="Times New Roman" w:eastAsia="Times New Roman" w:hAnsi="Times New Roman"/>
          <w:sz w:val="24"/>
          <w:szCs w:val="24"/>
          <w:lang w:eastAsia="en-AU"/>
        </w:rPr>
        <w:t xml:space="preserve">, APRA made </w:t>
      </w:r>
      <w:r w:rsidR="00E578DD" w:rsidRPr="00612891">
        <w:rPr>
          <w:rFonts w:ascii="Times New Roman" w:eastAsia="Times New Roman" w:hAnsi="Times New Roman"/>
          <w:sz w:val="24"/>
          <w:szCs w:val="24"/>
          <w:lang w:eastAsia="en-AU"/>
        </w:rPr>
        <w:t>Australian Prudential Regulation Authority (confidentiality) determination No.</w:t>
      </w:r>
      <w:r w:rsidR="0062611E">
        <w:rPr>
          <w:rFonts w:ascii="Times New Roman" w:eastAsia="Times New Roman" w:hAnsi="Times New Roman"/>
          <w:sz w:val="24"/>
          <w:szCs w:val="24"/>
          <w:lang w:eastAsia="en-AU"/>
        </w:rPr>
        <w:t xml:space="preserve"> </w:t>
      </w:r>
      <w:r w:rsidR="00AB105B">
        <w:rPr>
          <w:rFonts w:ascii="Times New Roman" w:eastAsia="Times New Roman" w:hAnsi="Times New Roman"/>
          <w:sz w:val="24"/>
          <w:szCs w:val="24"/>
          <w:lang w:eastAsia="en-AU"/>
        </w:rPr>
        <w:t>1</w:t>
      </w:r>
      <w:r w:rsidR="0059180D" w:rsidRPr="00612891">
        <w:rPr>
          <w:rFonts w:ascii="Times New Roman" w:eastAsia="Times New Roman" w:hAnsi="Times New Roman"/>
          <w:sz w:val="24"/>
          <w:szCs w:val="24"/>
          <w:lang w:eastAsia="en-AU"/>
        </w:rPr>
        <w:t xml:space="preserve"> </w:t>
      </w:r>
      <w:r w:rsidR="00E578DD" w:rsidRPr="00612891">
        <w:rPr>
          <w:rFonts w:ascii="Times New Roman" w:eastAsia="Times New Roman" w:hAnsi="Times New Roman"/>
          <w:sz w:val="24"/>
          <w:szCs w:val="24"/>
          <w:lang w:eastAsia="en-AU"/>
        </w:rPr>
        <w:t xml:space="preserve">of </w:t>
      </w:r>
      <w:r w:rsidR="0059180D" w:rsidRPr="00612891">
        <w:rPr>
          <w:rFonts w:ascii="Times New Roman" w:eastAsia="Times New Roman" w:hAnsi="Times New Roman"/>
          <w:sz w:val="24"/>
          <w:szCs w:val="24"/>
          <w:lang w:eastAsia="en-AU"/>
        </w:rPr>
        <w:t>20</w:t>
      </w:r>
      <w:r w:rsidR="0059180D">
        <w:rPr>
          <w:rFonts w:ascii="Times New Roman" w:eastAsia="Times New Roman" w:hAnsi="Times New Roman"/>
          <w:sz w:val="24"/>
          <w:szCs w:val="24"/>
          <w:lang w:eastAsia="en-AU"/>
        </w:rPr>
        <w:t>2</w:t>
      </w:r>
      <w:r w:rsidR="00AB105B">
        <w:rPr>
          <w:rFonts w:ascii="Times New Roman" w:eastAsia="Times New Roman" w:hAnsi="Times New Roman"/>
          <w:sz w:val="24"/>
          <w:szCs w:val="24"/>
          <w:lang w:eastAsia="en-AU"/>
        </w:rPr>
        <w:t>2</w:t>
      </w:r>
      <w:r w:rsidR="0059180D" w:rsidRPr="00612891">
        <w:rPr>
          <w:rFonts w:ascii="Times New Roman" w:eastAsia="Times New Roman" w:hAnsi="Times New Roman"/>
          <w:sz w:val="24"/>
          <w:szCs w:val="24"/>
          <w:lang w:eastAsia="en-AU"/>
        </w:rPr>
        <w:t xml:space="preserve"> </w:t>
      </w:r>
      <w:r w:rsidR="00E578DD" w:rsidRPr="00612891">
        <w:rPr>
          <w:rFonts w:ascii="Times New Roman" w:eastAsia="Times New Roman" w:hAnsi="Times New Roman"/>
          <w:sz w:val="24"/>
          <w:szCs w:val="24"/>
          <w:lang w:eastAsia="en-AU"/>
        </w:rPr>
        <w:t xml:space="preserve">(the </w:t>
      </w:r>
      <w:r w:rsidRPr="00612891">
        <w:rPr>
          <w:rFonts w:ascii="Times New Roman" w:eastAsia="Times New Roman" w:hAnsi="Times New Roman"/>
          <w:sz w:val="24"/>
          <w:szCs w:val="24"/>
          <w:lang w:eastAsia="en-AU"/>
        </w:rPr>
        <w:t>instrument</w:t>
      </w:r>
      <w:r w:rsidR="00E578DD" w:rsidRPr="00612891">
        <w:rPr>
          <w:rFonts w:ascii="Times New Roman" w:eastAsia="Times New Roman" w:hAnsi="Times New Roman"/>
          <w:sz w:val="24"/>
          <w:szCs w:val="24"/>
          <w:lang w:eastAsia="en-AU"/>
        </w:rPr>
        <w:t>)</w:t>
      </w:r>
      <w:r w:rsidR="00AD5E0F">
        <w:rPr>
          <w:rFonts w:ascii="Times New Roman" w:eastAsia="Times New Roman" w:hAnsi="Times New Roman"/>
          <w:sz w:val="24"/>
          <w:szCs w:val="24"/>
          <w:lang w:eastAsia="en-AU"/>
        </w:rPr>
        <w:t>,</w:t>
      </w:r>
      <w:r w:rsidRPr="00612891">
        <w:rPr>
          <w:rFonts w:ascii="Times New Roman" w:eastAsia="Times New Roman" w:hAnsi="Times New Roman"/>
          <w:sz w:val="24"/>
          <w:szCs w:val="24"/>
          <w:lang w:eastAsia="en-AU"/>
        </w:rPr>
        <w:t xml:space="preserve"> which</w:t>
      </w:r>
      <w:r w:rsidR="00EB722E" w:rsidRPr="00612891">
        <w:rPr>
          <w:rFonts w:ascii="Times New Roman" w:eastAsia="Times New Roman" w:hAnsi="Times New Roman"/>
          <w:sz w:val="24"/>
          <w:szCs w:val="24"/>
          <w:lang w:eastAsia="en-AU"/>
        </w:rPr>
        <w:t xml:space="preserve"> </w:t>
      </w:r>
      <w:r w:rsidR="006905D5">
        <w:rPr>
          <w:rFonts w:ascii="Times New Roman" w:eastAsia="Times New Roman" w:hAnsi="Times New Roman"/>
          <w:sz w:val="24"/>
          <w:szCs w:val="24"/>
          <w:lang w:eastAsia="en-AU"/>
        </w:rPr>
        <w:t xml:space="preserve">revokes Australian Prudential Regulation Authority (confidentiality) determination No. 11 of 2015 and </w:t>
      </w:r>
      <w:r w:rsidR="00EB722E" w:rsidRPr="00612891">
        <w:rPr>
          <w:rFonts w:ascii="Times New Roman" w:eastAsia="Times New Roman" w:hAnsi="Times New Roman"/>
          <w:sz w:val="24"/>
          <w:szCs w:val="24"/>
          <w:lang w:eastAsia="en-AU"/>
        </w:rPr>
        <w:t>determines that</w:t>
      </w:r>
      <w:r w:rsidR="00E578DD" w:rsidRPr="00612891">
        <w:rPr>
          <w:rFonts w:ascii="Times New Roman" w:eastAsia="Times New Roman" w:hAnsi="Times New Roman"/>
          <w:sz w:val="24"/>
          <w:szCs w:val="24"/>
          <w:lang w:eastAsia="en-AU"/>
        </w:rPr>
        <w:t xml:space="preserve"> </w:t>
      </w:r>
      <w:r w:rsidR="00CE7675">
        <w:rPr>
          <w:rFonts w:ascii="Times New Roman" w:eastAsia="Times New Roman" w:hAnsi="Times New Roman"/>
          <w:sz w:val="24"/>
          <w:szCs w:val="24"/>
          <w:lang w:eastAsia="en-AU"/>
        </w:rPr>
        <w:t>certain information provided to APRA under specified reporting standards by general insurers, is not confidential</w:t>
      </w:r>
      <w:r w:rsidR="00B318CE">
        <w:rPr>
          <w:rFonts w:ascii="Times New Roman" w:eastAsia="Times New Roman" w:hAnsi="Times New Roman"/>
          <w:sz w:val="24"/>
          <w:szCs w:val="24"/>
          <w:lang w:eastAsia="en-AU"/>
        </w:rPr>
        <w:t xml:space="preserve">. </w:t>
      </w:r>
    </w:p>
    <w:p w14:paraId="3D08D9DA" w14:textId="287A5BCC" w:rsidR="00EB722E" w:rsidRPr="00E578DD" w:rsidRDefault="00EB722E" w:rsidP="00E578DD">
      <w:pPr>
        <w:spacing w:after="200" w:line="276" w:lineRule="auto"/>
        <w:rPr>
          <w:rFonts w:ascii="Times New Roman" w:eastAsia="Times New Roman" w:hAnsi="Times New Roman"/>
          <w:sz w:val="24"/>
          <w:szCs w:val="24"/>
          <w:lang w:eastAsia="en-AU"/>
        </w:rPr>
      </w:pPr>
      <w:r w:rsidRPr="00634C4B">
        <w:rPr>
          <w:rFonts w:ascii="Times New Roman" w:eastAsia="Times New Roman" w:hAnsi="Times New Roman"/>
          <w:sz w:val="24"/>
          <w:szCs w:val="24"/>
          <w:lang w:eastAsia="en-AU"/>
        </w:rPr>
        <w:t xml:space="preserve">The instrument commences on the date of registration on the Federal Register of </w:t>
      </w:r>
      <w:r w:rsidR="00E025CE">
        <w:rPr>
          <w:rFonts w:ascii="Times New Roman" w:eastAsia="Times New Roman" w:hAnsi="Times New Roman"/>
          <w:sz w:val="24"/>
          <w:szCs w:val="24"/>
          <w:lang w:eastAsia="en-AU"/>
        </w:rPr>
        <w:t>Legislation</w:t>
      </w:r>
      <w:r w:rsidRPr="00634C4B">
        <w:rPr>
          <w:rFonts w:ascii="Times New Roman" w:eastAsia="Times New Roman" w:hAnsi="Times New Roman"/>
          <w:sz w:val="24"/>
          <w:szCs w:val="24"/>
          <w:lang w:eastAsia="en-AU"/>
        </w:rPr>
        <w:t>.</w:t>
      </w:r>
    </w:p>
    <w:p w14:paraId="179A5EFB" w14:textId="77777777" w:rsidR="00E578DD" w:rsidRPr="00E578DD" w:rsidRDefault="00EB722E" w:rsidP="00E578DD">
      <w:pPr>
        <w:numPr>
          <w:ilvl w:val="0"/>
          <w:numId w:val="34"/>
        </w:numPr>
        <w:spacing w:after="240" w:line="240" w:lineRule="auto"/>
        <w:rPr>
          <w:rFonts w:ascii="Times New Roman" w:eastAsia="Times New Roman" w:hAnsi="Times New Roman"/>
          <w:b/>
          <w:sz w:val="24"/>
          <w:szCs w:val="24"/>
          <w:lang w:eastAsia="en-AU"/>
        </w:rPr>
      </w:pPr>
      <w:r w:rsidRPr="00634C4B">
        <w:rPr>
          <w:rFonts w:ascii="Times New Roman" w:eastAsia="Times New Roman" w:hAnsi="Times New Roman"/>
          <w:b/>
          <w:sz w:val="24"/>
          <w:szCs w:val="24"/>
          <w:lang w:eastAsia="en-AU"/>
        </w:rPr>
        <w:t>B</w:t>
      </w:r>
      <w:r w:rsidR="00E578DD" w:rsidRPr="00E578DD">
        <w:rPr>
          <w:rFonts w:ascii="Times New Roman" w:eastAsia="Times New Roman" w:hAnsi="Times New Roman"/>
          <w:b/>
          <w:sz w:val="24"/>
          <w:szCs w:val="24"/>
          <w:lang w:eastAsia="en-AU"/>
        </w:rPr>
        <w:t>ackground</w:t>
      </w:r>
    </w:p>
    <w:p w14:paraId="7B5A6767" w14:textId="1CCE908D" w:rsidR="0010476D" w:rsidRDefault="008C4B9B" w:rsidP="00E578DD">
      <w:pPr>
        <w:spacing w:after="200" w:line="276" w:lineRule="auto"/>
        <w:rPr>
          <w:rFonts w:ascii="Times New Roman" w:eastAsia="Times New Roman" w:hAnsi="Times New Roman"/>
          <w:sz w:val="24"/>
          <w:szCs w:val="24"/>
          <w:lang w:eastAsia="en-AU"/>
        </w:rPr>
      </w:pPr>
      <w:r w:rsidRPr="00634C4B">
        <w:rPr>
          <w:rFonts w:ascii="Times New Roman" w:eastAsia="Times New Roman" w:hAnsi="Times New Roman"/>
          <w:sz w:val="24"/>
          <w:szCs w:val="24"/>
          <w:lang w:eastAsia="en-AU"/>
        </w:rPr>
        <w:t>Subsection 56(2)</w:t>
      </w:r>
      <w:r w:rsidR="00634C4B" w:rsidRPr="00634C4B">
        <w:rPr>
          <w:rFonts w:ascii="Times New Roman" w:eastAsia="Times New Roman" w:hAnsi="Times New Roman"/>
          <w:sz w:val="24"/>
          <w:szCs w:val="24"/>
          <w:lang w:eastAsia="en-AU"/>
        </w:rPr>
        <w:t xml:space="preserve"> of the </w:t>
      </w:r>
      <w:r w:rsidRPr="00634C4B">
        <w:rPr>
          <w:rFonts w:ascii="Times New Roman" w:eastAsia="Times New Roman" w:hAnsi="Times New Roman"/>
          <w:sz w:val="24"/>
          <w:szCs w:val="24"/>
          <w:lang w:eastAsia="en-AU"/>
        </w:rPr>
        <w:t>Act provides that it is an offence</w:t>
      </w:r>
      <w:r w:rsidR="00634C4B" w:rsidRPr="00634C4B">
        <w:rPr>
          <w:rFonts w:ascii="Times New Roman" w:eastAsia="Times New Roman" w:hAnsi="Times New Roman"/>
          <w:sz w:val="24"/>
          <w:szCs w:val="24"/>
          <w:lang w:eastAsia="en-AU"/>
        </w:rPr>
        <w:t xml:space="preserve"> to disclose “protected information”</w:t>
      </w:r>
      <w:r w:rsidR="00BF6D1D">
        <w:rPr>
          <w:rStyle w:val="FootnoteReference"/>
          <w:rFonts w:eastAsia="Times New Roman"/>
          <w:szCs w:val="24"/>
          <w:lang w:eastAsia="en-AU"/>
        </w:rPr>
        <w:footnoteReference w:id="1"/>
      </w:r>
      <w:r w:rsidR="00634C4B" w:rsidRPr="00634C4B">
        <w:rPr>
          <w:rFonts w:ascii="Times New Roman" w:eastAsia="Times New Roman" w:hAnsi="Times New Roman"/>
          <w:sz w:val="24"/>
          <w:szCs w:val="24"/>
          <w:lang w:eastAsia="en-AU"/>
        </w:rPr>
        <w:t xml:space="preserve"> or a “protected document”</w:t>
      </w:r>
      <w:r w:rsidR="00BF6D1D">
        <w:rPr>
          <w:rStyle w:val="FootnoteReference"/>
          <w:rFonts w:eastAsia="Times New Roman"/>
          <w:szCs w:val="24"/>
          <w:lang w:eastAsia="en-AU"/>
        </w:rPr>
        <w:footnoteReference w:id="2"/>
      </w:r>
      <w:r w:rsidR="00634C4B" w:rsidRPr="00634C4B">
        <w:rPr>
          <w:rFonts w:ascii="Times New Roman" w:eastAsia="Times New Roman" w:hAnsi="Times New Roman"/>
          <w:sz w:val="24"/>
          <w:szCs w:val="24"/>
          <w:lang w:eastAsia="en-AU"/>
        </w:rPr>
        <w:t xml:space="preserve">, </w:t>
      </w:r>
      <w:r w:rsidR="008A61BD">
        <w:rPr>
          <w:rFonts w:ascii="Times New Roman" w:eastAsia="Times New Roman" w:hAnsi="Times New Roman"/>
          <w:sz w:val="24"/>
          <w:szCs w:val="24"/>
          <w:lang w:eastAsia="en-AU"/>
        </w:rPr>
        <w:t>which includes</w:t>
      </w:r>
      <w:r w:rsidR="00634C4B" w:rsidRPr="00634C4B">
        <w:rPr>
          <w:rFonts w:ascii="Times New Roman" w:eastAsia="Times New Roman" w:hAnsi="Times New Roman"/>
          <w:sz w:val="24"/>
          <w:szCs w:val="24"/>
          <w:lang w:eastAsia="en-AU"/>
        </w:rPr>
        <w:t xml:space="preserve"> information or documents provided to APRA under a “prudential supervision framework law”</w:t>
      </w:r>
      <w:r w:rsidR="00BF6D1D">
        <w:rPr>
          <w:rStyle w:val="FootnoteReference"/>
          <w:rFonts w:eastAsia="Times New Roman"/>
          <w:szCs w:val="24"/>
          <w:lang w:eastAsia="en-AU"/>
        </w:rPr>
        <w:footnoteReference w:id="3"/>
      </w:r>
      <w:r w:rsidR="00634C4B" w:rsidRPr="00634C4B">
        <w:rPr>
          <w:rFonts w:ascii="Times New Roman" w:eastAsia="Times New Roman" w:hAnsi="Times New Roman"/>
          <w:sz w:val="24"/>
          <w:szCs w:val="24"/>
          <w:lang w:eastAsia="en-AU"/>
        </w:rPr>
        <w:t xml:space="preserve">.  </w:t>
      </w:r>
    </w:p>
    <w:p w14:paraId="1A5C2FBA" w14:textId="0DAB7415" w:rsidR="00E578DD" w:rsidRPr="00E578DD" w:rsidRDefault="00634C4B" w:rsidP="00E578DD">
      <w:pPr>
        <w:spacing w:after="200" w:line="276" w:lineRule="auto"/>
        <w:rPr>
          <w:rFonts w:ascii="Times New Roman" w:eastAsia="Times New Roman" w:hAnsi="Times New Roman"/>
          <w:sz w:val="24"/>
          <w:szCs w:val="24"/>
          <w:lang w:eastAsia="en-AU"/>
        </w:rPr>
      </w:pPr>
      <w:r w:rsidRPr="00634C4B">
        <w:rPr>
          <w:rFonts w:ascii="Times New Roman" w:eastAsia="Times New Roman" w:hAnsi="Times New Roman"/>
          <w:sz w:val="24"/>
          <w:szCs w:val="24"/>
          <w:lang w:eastAsia="en-AU"/>
        </w:rPr>
        <w:t>The</w:t>
      </w:r>
      <w:r w:rsidR="008C4B9B" w:rsidRPr="00634C4B">
        <w:rPr>
          <w:rFonts w:ascii="Times New Roman" w:eastAsia="Times New Roman" w:hAnsi="Times New Roman"/>
          <w:sz w:val="24"/>
          <w:szCs w:val="24"/>
          <w:lang w:eastAsia="en-AU"/>
        </w:rPr>
        <w:t xml:space="preserve"> </w:t>
      </w:r>
      <w:r w:rsidR="00F74E58" w:rsidRPr="00612891">
        <w:rPr>
          <w:rFonts w:ascii="Times New Roman" w:eastAsia="Times New Roman" w:hAnsi="Times New Roman"/>
          <w:i/>
          <w:sz w:val="24"/>
          <w:szCs w:val="24"/>
          <w:lang w:eastAsia="en-AU"/>
        </w:rPr>
        <w:t>Financial Sector (Collection of Data) Act 2001</w:t>
      </w:r>
      <w:r w:rsidR="00F74E58">
        <w:rPr>
          <w:rFonts w:ascii="Times New Roman" w:eastAsia="Times New Roman" w:hAnsi="Times New Roman"/>
          <w:sz w:val="24"/>
          <w:szCs w:val="24"/>
          <w:lang w:eastAsia="en-AU"/>
        </w:rPr>
        <w:t xml:space="preserve"> </w:t>
      </w:r>
      <w:r w:rsidR="008731CD" w:rsidRPr="008731CD">
        <w:rPr>
          <w:rFonts w:ascii="Times New Roman" w:eastAsia="Times New Roman" w:hAnsi="Times New Roman"/>
          <w:sz w:val="24"/>
          <w:szCs w:val="24"/>
          <w:lang w:eastAsia="en-AU"/>
        </w:rPr>
        <w:t>(FSCOD Act)</w:t>
      </w:r>
      <w:r w:rsidR="008731CD">
        <w:rPr>
          <w:rFonts w:ascii="Times New Roman" w:eastAsia="Times New Roman" w:hAnsi="Times New Roman"/>
          <w:sz w:val="24"/>
          <w:szCs w:val="24"/>
          <w:lang w:eastAsia="en-AU"/>
        </w:rPr>
        <w:t xml:space="preserve"> </w:t>
      </w:r>
      <w:r w:rsidR="00F74E58" w:rsidRPr="00F74E58">
        <w:rPr>
          <w:rFonts w:ascii="Times New Roman" w:eastAsia="Times New Roman" w:hAnsi="Times New Roman"/>
          <w:sz w:val="24"/>
          <w:szCs w:val="24"/>
          <w:lang w:eastAsia="en-AU"/>
        </w:rPr>
        <w:t>is a prudential supervision framework law</w:t>
      </w:r>
      <w:r w:rsidR="008731CD">
        <w:rPr>
          <w:rFonts w:ascii="Times New Roman" w:eastAsia="Times New Roman" w:hAnsi="Times New Roman"/>
          <w:sz w:val="24"/>
          <w:szCs w:val="24"/>
          <w:lang w:eastAsia="en-AU"/>
        </w:rPr>
        <w:t>,</w:t>
      </w:r>
      <w:r w:rsidR="00BF6D1D">
        <w:rPr>
          <w:rFonts w:ascii="Times New Roman" w:eastAsia="Times New Roman" w:hAnsi="Times New Roman"/>
          <w:sz w:val="24"/>
          <w:szCs w:val="24"/>
          <w:lang w:eastAsia="en-AU"/>
        </w:rPr>
        <w:t xml:space="preserve"> and</w:t>
      </w:r>
      <w:r w:rsidR="00F74E58">
        <w:rPr>
          <w:rFonts w:ascii="Times New Roman" w:eastAsia="Times New Roman" w:hAnsi="Times New Roman"/>
          <w:sz w:val="24"/>
          <w:szCs w:val="24"/>
          <w:lang w:eastAsia="en-AU"/>
        </w:rPr>
        <w:t xml:space="preserve"> the </w:t>
      </w:r>
      <w:r w:rsidR="008B1404">
        <w:rPr>
          <w:rFonts w:ascii="Times New Roman" w:eastAsia="Times New Roman" w:hAnsi="Times New Roman"/>
          <w:sz w:val="24"/>
          <w:szCs w:val="24"/>
          <w:lang w:eastAsia="en-AU"/>
        </w:rPr>
        <w:t>reporting documents</w:t>
      </w:r>
      <w:r w:rsidR="00F74E58">
        <w:rPr>
          <w:rFonts w:ascii="Times New Roman" w:eastAsia="Times New Roman" w:hAnsi="Times New Roman"/>
          <w:sz w:val="24"/>
          <w:szCs w:val="24"/>
          <w:lang w:eastAsia="en-AU"/>
        </w:rPr>
        <w:t xml:space="preserve"> </w:t>
      </w:r>
      <w:r w:rsidR="008731CD">
        <w:rPr>
          <w:rFonts w:ascii="Times New Roman" w:eastAsia="Times New Roman" w:hAnsi="Times New Roman"/>
          <w:sz w:val="24"/>
          <w:szCs w:val="24"/>
          <w:lang w:eastAsia="en-AU"/>
        </w:rPr>
        <w:t>listed in the instrument, having been provided to APRA under that Act, are protected documents.</w:t>
      </w:r>
      <w:r w:rsidR="008B1404">
        <w:rPr>
          <w:rFonts w:ascii="Times New Roman" w:eastAsia="Times New Roman" w:hAnsi="Times New Roman"/>
          <w:sz w:val="24"/>
          <w:szCs w:val="24"/>
          <w:lang w:eastAsia="en-AU"/>
        </w:rPr>
        <w:t xml:space="preserve"> </w:t>
      </w:r>
      <w:r w:rsidR="00E578DD" w:rsidRPr="00E578DD">
        <w:rPr>
          <w:rFonts w:ascii="Times New Roman" w:eastAsia="Times New Roman" w:hAnsi="Times New Roman"/>
          <w:sz w:val="24"/>
          <w:szCs w:val="24"/>
          <w:lang w:eastAsia="en-AU"/>
        </w:rPr>
        <w:t xml:space="preserve">Subsection 56(5C) of the Act provides that it is not an offence to disclose information in a reporting document given to APRA under section 13 of the FSCOD Act where APRA has </w:t>
      </w:r>
      <w:r w:rsidR="008C4B9B" w:rsidRPr="00634C4B">
        <w:rPr>
          <w:rFonts w:ascii="Times New Roman" w:eastAsia="Times New Roman" w:hAnsi="Times New Roman"/>
          <w:sz w:val="24"/>
          <w:szCs w:val="24"/>
          <w:lang w:eastAsia="en-AU"/>
        </w:rPr>
        <w:t xml:space="preserve">made a </w:t>
      </w:r>
      <w:r w:rsidR="00E578DD" w:rsidRPr="00E578DD">
        <w:rPr>
          <w:rFonts w:ascii="Times New Roman" w:eastAsia="Times New Roman" w:hAnsi="Times New Roman"/>
          <w:sz w:val="24"/>
          <w:szCs w:val="24"/>
          <w:lang w:eastAsia="en-AU"/>
        </w:rPr>
        <w:t>determin</w:t>
      </w:r>
      <w:r w:rsidR="008C4B9B" w:rsidRPr="00634C4B">
        <w:rPr>
          <w:rFonts w:ascii="Times New Roman" w:eastAsia="Times New Roman" w:hAnsi="Times New Roman"/>
          <w:sz w:val="24"/>
          <w:szCs w:val="24"/>
          <w:lang w:eastAsia="en-AU"/>
        </w:rPr>
        <w:t>ation</w:t>
      </w:r>
      <w:r w:rsidR="00E578DD" w:rsidRPr="00E578DD">
        <w:rPr>
          <w:rFonts w:ascii="Times New Roman" w:eastAsia="Times New Roman" w:hAnsi="Times New Roman"/>
          <w:sz w:val="24"/>
          <w:szCs w:val="24"/>
          <w:lang w:eastAsia="en-AU"/>
        </w:rPr>
        <w:t xml:space="preserve"> under section 57</w:t>
      </w:r>
      <w:r w:rsidR="008C4B9B" w:rsidRPr="00634C4B">
        <w:rPr>
          <w:rFonts w:ascii="Times New Roman" w:eastAsia="Times New Roman" w:hAnsi="Times New Roman"/>
          <w:sz w:val="24"/>
          <w:szCs w:val="24"/>
          <w:lang w:eastAsia="en-AU"/>
        </w:rPr>
        <w:t xml:space="preserve"> of the Act in relation to the information</w:t>
      </w:r>
      <w:r w:rsidR="00E578DD" w:rsidRPr="00E578DD">
        <w:rPr>
          <w:rFonts w:ascii="Times New Roman" w:eastAsia="Times New Roman" w:hAnsi="Times New Roman"/>
          <w:sz w:val="24"/>
          <w:szCs w:val="24"/>
          <w:lang w:eastAsia="en-AU"/>
        </w:rPr>
        <w:t xml:space="preserve">. </w:t>
      </w:r>
    </w:p>
    <w:p w14:paraId="5D9FB328" w14:textId="77777777" w:rsidR="00E578DD" w:rsidRPr="00E578DD" w:rsidRDefault="00E578DD" w:rsidP="00BD7626">
      <w:pPr>
        <w:spacing w:after="200" w:line="276" w:lineRule="auto"/>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t xml:space="preserve">Under subsections 57(2) and (4) of the Act APRA may, by legislative instrument, determine that: </w:t>
      </w:r>
    </w:p>
    <w:p w14:paraId="52A8F566" w14:textId="77777777" w:rsidR="00E578DD" w:rsidRPr="00E578DD" w:rsidRDefault="00E578DD" w:rsidP="00BD7626">
      <w:pPr>
        <w:spacing w:after="200" w:line="276" w:lineRule="auto"/>
        <w:ind w:left="1440" w:hanging="720"/>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lastRenderedPageBreak/>
        <w:t xml:space="preserve">(a) </w:t>
      </w:r>
      <w:r w:rsidRPr="00E578DD">
        <w:rPr>
          <w:rFonts w:ascii="Times New Roman" w:eastAsia="Times New Roman" w:hAnsi="Times New Roman"/>
          <w:sz w:val="24"/>
          <w:szCs w:val="24"/>
          <w:lang w:eastAsia="en-AU"/>
        </w:rPr>
        <w:tab/>
        <w:t xml:space="preserve">all or a specified part of a relevant reporting document does not contain confidential information; or </w:t>
      </w:r>
    </w:p>
    <w:p w14:paraId="36DB2B2A" w14:textId="77777777" w:rsidR="00E578DD" w:rsidRPr="00E578DD" w:rsidRDefault="00E578DD" w:rsidP="00BD7626">
      <w:pPr>
        <w:tabs>
          <w:tab w:val="left" w:pos="1418"/>
          <w:tab w:val="left" w:pos="2268"/>
        </w:tabs>
        <w:spacing w:after="200" w:line="276" w:lineRule="auto"/>
        <w:ind w:left="1418" w:hanging="698"/>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t xml:space="preserve">(b) </w:t>
      </w:r>
      <w:r w:rsidRPr="00E578DD">
        <w:rPr>
          <w:rFonts w:ascii="Times New Roman" w:eastAsia="Times New Roman" w:hAnsi="Times New Roman"/>
          <w:sz w:val="24"/>
          <w:szCs w:val="24"/>
          <w:lang w:eastAsia="en-AU"/>
        </w:rPr>
        <w:tab/>
        <w:t>all or a specified part of relevant reporting documents of a specified kind do</w:t>
      </w:r>
      <w:r w:rsidR="005D416C">
        <w:rPr>
          <w:rFonts w:ascii="Times New Roman" w:eastAsia="Times New Roman" w:hAnsi="Times New Roman"/>
          <w:sz w:val="24"/>
          <w:szCs w:val="24"/>
          <w:lang w:eastAsia="en-AU"/>
        </w:rPr>
        <w:t>es</w:t>
      </w:r>
      <w:r w:rsidRPr="00E578DD">
        <w:rPr>
          <w:rFonts w:ascii="Times New Roman" w:eastAsia="Times New Roman" w:hAnsi="Times New Roman"/>
          <w:sz w:val="24"/>
          <w:szCs w:val="24"/>
          <w:lang w:eastAsia="en-AU"/>
        </w:rPr>
        <w:t xml:space="preserve"> not contain confidential information</w:t>
      </w:r>
      <w:r w:rsidR="00973EBF">
        <w:rPr>
          <w:rFonts w:ascii="Times New Roman" w:eastAsia="Times New Roman" w:hAnsi="Times New Roman"/>
          <w:sz w:val="24"/>
          <w:szCs w:val="24"/>
          <w:lang w:eastAsia="en-AU"/>
        </w:rPr>
        <w:t>,</w:t>
      </w:r>
      <w:r w:rsidRPr="00E578DD">
        <w:rPr>
          <w:rFonts w:ascii="Times New Roman" w:eastAsia="Times New Roman" w:hAnsi="Times New Roman"/>
          <w:sz w:val="24"/>
          <w:szCs w:val="24"/>
          <w:lang w:eastAsia="en-AU"/>
        </w:rPr>
        <w:t xml:space="preserve"> </w:t>
      </w:r>
    </w:p>
    <w:p w14:paraId="1113AD52" w14:textId="77777777" w:rsidR="00E578DD" w:rsidRPr="00E578DD" w:rsidRDefault="00E578DD" w:rsidP="00E578DD">
      <w:pPr>
        <w:spacing w:before="100" w:beforeAutospacing="1" w:after="100" w:afterAutospacing="1" w:line="240" w:lineRule="auto"/>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t xml:space="preserve">if, taking into account any representations made under subsection 57(3) in relation to the document or documents of that kind, APRA considers that the benefit to the public from the disclosure of the document or documents, or information contained in the document or documents, outweighs any detriment to commercial interests that the disclosure may cause. </w:t>
      </w:r>
    </w:p>
    <w:p w14:paraId="7EBF5A72" w14:textId="6717C02D" w:rsidR="00E578DD" w:rsidRPr="00E578DD" w:rsidRDefault="0090186B" w:rsidP="00E578DD">
      <w:pPr>
        <w:numPr>
          <w:ilvl w:val="0"/>
          <w:numId w:val="34"/>
        </w:numPr>
        <w:spacing w:after="240" w:line="240" w:lineRule="auto"/>
        <w:rPr>
          <w:rFonts w:ascii="Times New Roman" w:eastAsia="Times New Roman" w:hAnsi="Times New Roman"/>
          <w:sz w:val="24"/>
          <w:szCs w:val="24"/>
          <w:lang w:eastAsia="en-AU"/>
        </w:rPr>
      </w:pPr>
      <w:r w:rsidRPr="00634C4B">
        <w:rPr>
          <w:rFonts w:ascii="Times New Roman" w:eastAsia="Times New Roman" w:hAnsi="Times New Roman"/>
          <w:b/>
          <w:sz w:val="24"/>
          <w:szCs w:val="24"/>
          <w:lang w:eastAsia="en-AU"/>
        </w:rPr>
        <w:t xml:space="preserve">Purpose and </w:t>
      </w:r>
      <w:r w:rsidR="00F050DF">
        <w:rPr>
          <w:rFonts w:ascii="Times New Roman" w:eastAsia="Times New Roman" w:hAnsi="Times New Roman"/>
          <w:b/>
          <w:sz w:val="24"/>
          <w:szCs w:val="24"/>
          <w:lang w:eastAsia="en-AU"/>
        </w:rPr>
        <w:t>o</w:t>
      </w:r>
      <w:r w:rsidRPr="00634C4B">
        <w:rPr>
          <w:rFonts w:ascii="Times New Roman" w:eastAsia="Times New Roman" w:hAnsi="Times New Roman"/>
          <w:b/>
          <w:sz w:val="24"/>
          <w:szCs w:val="24"/>
          <w:lang w:eastAsia="en-AU"/>
        </w:rPr>
        <w:t xml:space="preserve">peration of the </w:t>
      </w:r>
      <w:r w:rsidR="00F050DF">
        <w:rPr>
          <w:rFonts w:ascii="Times New Roman" w:eastAsia="Times New Roman" w:hAnsi="Times New Roman"/>
          <w:b/>
          <w:sz w:val="24"/>
          <w:szCs w:val="24"/>
          <w:lang w:eastAsia="en-AU"/>
        </w:rPr>
        <w:t>i</w:t>
      </w:r>
      <w:r w:rsidRPr="00634C4B">
        <w:rPr>
          <w:rFonts w:ascii="Times New Roman" w:eastAsia="Times New Roman" w:hAnsi="Times New Roman"/>
          <w:b/>
          <w:sz w:val="24"/>
          <w:szCs w:val="24"/>
          <w:lang w:eastAsia="en-AU"/>
        </w:rPr>
        <w:t>nstrument</w:t>
      </w:r>
      <w:r w:rsidR="00E578DD" w:rsidRPr="00E578DD">
        <w:rPr>
          <w:rFonts w:ascii="Times New Roman" w:eastAsia="Times New Roman" w:hAnsi="Times New Roman"/>
          <w:sz w:val="24"/>
          <w:szCs w:val="24"/>
          <w:lang w:eastAsia="en-AU"/>
        </w:rPr>
        <w:t xml:space="preserve">  </w:t>
      </w:r>
    </w:p>
    <w:p w14:paraId="0DFDB5F0" w14:textId="14FB68F6" w:rsidR="00B44A29" w:rsidRDefault="00E578DD" w:rsidP="00B44A29">
      <w:pPr>
        <w:spacing w:after="200" w:line="276" w:lineRule="auto"/>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t xml:space="preserve">The </w:t>
      </w:r>
      <w:r w:rsidR="00A66ADC">
        <w:rPr>
          <w:rFonts w:ascii="Times New Roman" w:eastAsia="Times New Roman" w:hAnsi="Times New Roman"/>
          <w:sz w:val="24"/>
          <w:szCs w:val="24"/>
          <w:lang w:eastAsia="en-AU"/>
        </w:rPr>
        <w:t>instrument</w:t>
      </w:r>
      <w:r w:rsidRPr="00E578DD">
        <w:rPr>
          <w:rFonts w:ascii="Times New Roman" w:eastAsia="Times New Roman" w:hAnsi="Times New Roman"/>
          <w:sz w:val="24"/>
          <w:szCs w:val="24"/>
          <w:lang w:eastAsia="en-AU"/>
        </w:rPr>
        <w:t xml:space="preserve"> provides that certain information given to APRA under the reporting standards listed in </w:t>
      </w:r>
      <w:r w:rsidR="003178F7" w:rsidRPr="00634C4B">
        <w:rPr>
          <w:rFonts w:ascii="Times New Roman" w:eastAsia="Times New Roman" w:hAnsi="Times New Roman"/>
          <w:sz w:val="24"/>
          <w:szCs w:val="24"/>
          <w:lang w:eastAsia="en-AU"/>
        </w:rPr>
        <w:t>the instrument is non-confidential</w:t>
      </w:r>
      <w:r w:rsidRPr="00E578DD">
        <w:rPr>
          <w:rFonts w:ascii="Times New Roman" w:eastAsia="Times New Roman" w:hAnsi="Times New Roman"/>
          <w:sz w:val="24"/>
          <w:szCs w:val="24"/>
          <w:lang w:eastAsia="en-AU"/>
        </w:rPr>
        <w:t xml:space="preserve">. </w:t>
      </w:r>
      <w:r w:rsidR="003178F7" w:rsidRPr="00634C4B">
        <w:rPr>
          <w:rFonts w:ascii="Times New Roman" w:eastAsia="Times New Roman" w:hAnsi="Times New Roman"/>
          <w:sz w:val="24"/>
          <w:szCs w:val="24"/>
          <w:lang w:eastAsia="en-AU"/>
        </w:rPr>
        <w:t xml:space="preserve"> </w:t>
      </w:r>
      <w:bookmarkStart w:id="1" w:name="_Hlk81865739"/>
      <w:r w:rsidR="00B44A29">
        <w:rPr>
          <w:rFonts w:ascii="Times New Roman" w:eastAsia="Times New Roman" w:hAnsi="Times New Roman"/>
          <w:sz w:val="24"/>
          <w:szCs w:val="24"/>
          <w:lang w:eastAsia="en-AU"/>
        </w:rPr>
        <w:t xml:space="preserve">The information determined to be non-confidential is set out in the Schedule to the instrument.  The Schedule is divided into three main parts.  Parts 1 and 2 cover reporting documents submitted to APRA under current reporting standards.  Part 1 covers reporting documents which are subject to the </w:t>
      </w:r>
      <w:r w:rsidR="0024194B">
        <w:rPr>
          <w:rFonts w:ascii="Times New Roman" w:eastAsia="Times New Roman" w:hAnsi="Times New Roman"/>
          <w:sz w:val="24"/>
          <w:szCs w:val="24"/>
          <w:lang w:eastAsia="en-AU"/>
        </w:rPr>
        <w:t>instrument</w:t>
      </w:r>
      <w:r w:rsidR="00B44A29">
        <w:rPr>
          <w:rFonts w:ascii="Times New Roman" w:eastAsia="Times New Roman" w:hAnsi="Times New Roman"/>
          <w:sz w:val="24"/>
          <w:szCs w:val="24"/>
          <w:lang w:eastAsia="en-AU"/>
        </w:rPr>
        <w:t xml:space="preserve"> in their entirety and Part 2 covers reporting documents which are partly, but not entirely, subject to the </w:t>
      </w:r>
      <w:r w:rsidR="0024194B">
        <w:rPr>
          <w:rFonts w:ascii="Times New Roman" w:eastAsia="Times New Roman" w:hAnsi="Times New Roman"/>
          <w:sz w:val="24"/>
          <w:szCs w:val="24"/>
          <w:lang w:eastAsia="en-AU"/>
        </w:rPr>
        <w:t>instrument</w:t>
      </w:r>
      <w:r w:rsidR="00B44A29">
        <w:rPr>
          <w:rFonts w:ascii="Times New Roman" w:eastAsia="Times New Roman" w:hAnsi="Times New Roman"/>
          <w:sz w:val="24"/>
          <w:szCs w:val="24"/>
          <w:lang w:eastAsia="en-AU"/>
        </w:rPr>
        <w:t xml:space="preserve">. </w:t>
      </w:r>
      <w:bookmarkEnd w:id="1"/>
      <w:r w:rsidR="00B44A29">
        <w:rPr>
          <w:rFonts w:ascii="Times New Roman" w:eastAsia="Times New Roman" w:hAnsi="Times New Roman"/>
          <w:sz w:val="24"/>
          <w:szCs w:val="24"/>
          <w:lang w:eastAsia="en-AU"/>
        </w:rPr>
        <w:t>Part 3 covers reporting documents, in some cases partly and in other cases entirely</w:t>
      </w:r>
      <w:r w:rsidR="00576F7A" w:rsidRPr="00576F7A">
        <w:rPr>
          <w:rFonts w:ascii="Times New Roman" w:eastAsia="Times New Roman" w:hAnsi="Times New Roman"/>
          <w:sz w:val="24"/>
          <w:szCs w:val="24"/>
          <w:lang w:eastAsia="en-AU"/>
        </w:rPr>
        <w:t xml:space="preserve"> </w:t>
      </w:r>
      <w:r w:rsidR="00576F7A">
        <w:rPr>
          <w:rFonts w:ascii="Times New Roman" w:eastAsia="Times New Roman" w:hAnsi="Times New Roman"/>
          <w:sz w:val="24"/>
          <w:szCs w:val="24"/>
          <w:lang w:eastAsia="en-AU"/>
        </w:rPr>
        <w:t>subject to the instrument</w:t>
      </w:r>
      <w:r w:rsidR="00B44A29">
        <w:rPr>
          <w:rFonts w:ascii="Times New Roman" w:eastAsia="Times New Roman" w:hAnsi="Times New Roman"/>
          <w:sz w:val="24"/>
          <w:szCs w:val="24"/>
          <w:lang w:eastAsia="en-AU"/>
        </w:rPr>
        <w:t>,</w:t>
      </w:r>
      <w:r w:rsidR="00576F7A">
        <w:rPr>
          <w:rFonts w:ascii="Times New Roman" w:eastAsia="Times New Roman" w:hAnsi="Times New Roman"/>
          <w:sz w:val="24"/>
          <w:szCs w:val="24"/>
          <w:lang w:eastAsia="en-AU"/>
        </w:rPr>
        <w:t xml:space="preserve"> which have been</w:t>
      </w:r>
      <w:r w:rsidR="00B44A29">
        <w:rPr>
          <w:rFonts w:ascii="Times New Roman" w:eastAsia="Times New Roman" w:hAnsi="Times New Roman"/>
          <w:sz w:val="24"/>
          <w:szCs w:val="24"/>
          <w:lang w:eastAsia="en-AU"/>
        </w:rPr>
        <w:t xml:space="preserve"> </w:t>
      </w:r>
      <w:bookmarkStart w:id="2" w:name="_Hlk81866215"/>
      <w:r w:rsidR="00B44A29">
        <w:rPr>
          <w:rFonts w:ascii="Times New Roman" w:eastAsia="Times New Roman" w:hAnsi="Times New Roman"/>
          <w:sz w:val="24"/>
          <w:szCs w:val="24"/>
          <w:lang w:eastAsia="en-AU"/>
        </w:rPr>
        <w:t xml:space="preserve">submitted to APRA under reporting standards which </w:t>
      </w:r>
      <w:r w:rsidR="00320A5E">
        <w:rPr>
          <w:rFonts w:ascii="Times New Roman" w:eastAsia="Times New Roman" w:hAnsi="Times New Roman"/>
          <w:sz w:val="24"/>
          <w:szCs w:val="24"/>
          <w:lang w:eastAsia="en-AU"/>
        </w:rPr>
        <w:t xml:space="preserve">have </w:t>
      </w:r>
      <w:r w:rsidR="00B44A29">
        <w:rPr>
          <w:rFonts w:ascii="Times New Roman" w:eastAsia="Times New Roman" w:hAnsi="Times New Roman"/>
          <w:sz w:val="24"/>
          <w:szCs w:val="24"/>
          <w:lang w:eastAsia="en-AU"/>
        </w:rPr>
        <w:t>ceased to have effect</w:t>
      </w:r>
      <w:bookmarkEnd w:id="2"/>
      <w:r w:rsidR="00B44A29">
        <w:rPr>
          <w:rFonts w:ascii="Times New Roman" w:eastAsia="Times New Roman" w:hAnsi="Times New Roman"/>
          <w:sz w:val="24"/>
          <w:szCs w:val="24"/>
          <w:lang w:eastAsia="en-AU"/>
        </w:rPr>
        <w:t>.</w:t>
      </w:r>
    </w:p>
    <w:p w14:paraId="593968AA" w14:textId="77777777" w:rsidR="00582C59" w:rsidRDefault="003178F7" w:rsidP="00F74E58">
      <w:pPr>
        <w:spacing w:after="200" w:line="276" w:lineRule="auto"/>
        <w:rPr>
          <w:rFonts w:ascii="Times New Roman" w:eastAsia="Times New Roman" w:hAnsi="Times New Roman"/>
          <w:sz w:val="24"/>
          <w:szCs w:val="24"/>
          <w:lang w:eastAsia="en-AU"/>
        </w:rPr>
      </w:pPr>
      <w:r w:rsidRPr="00634C4B">
        <w:rPr>
          <w:rFonts w:ascii="Times New Roman" w:eastAsia="Times New Roman" w:hAnsi="Times New Roman"/>
          <w:sz w:val="24"/>
          <w:szCs w:val="24"/>
          <w:lang w:eastAsia="en-AU"/>
        </w:rPr>
        <w:t xml:space="preserve">The information </w:t>
      </w:r>
      <w:r w:rsidR="00764256">
        <w:rPr>
          <w:rFonts w:ascii="Times New Roman" w:eastAsia="Times New Roman" w:hAnsi="Times New Roman"/>
          <w:sz w:val="24"/>
          <w:szCs w:val="24"/>
          <w:lang w:eastAsia="en-AU"/>
        </w:rPr>
        <w:t xml:space="preserve">which is determined by the instrument to be non-confidential </w:t>
      </w:r>
      <w:r w:rsidRPr="00634C4B">
        <w:rPr>
          <w:rFonts w:ascii="Times New Roman" w:eastAsia="Times New Roman" w:hAnsi="Times New Roman"/>
          <w:sz w:val="24"/>
          <w:szCs w:val="24"/>
          <w:lang w:eastAsia="en-AU"/>
        </w:rPr>
        <w:t>will form the ba</w:t>
      </w:r>
      <w:r w:rsidR="00A35C0E" w:rsidRPr="00634C4B">
        <w:rPr>
          <w:rFonts w:ascii="Times New Roman" w:eastAsia="Times New Roman" w:hAnsi="Times New Roman"/>
          <w:sz w:val="24"/>
          <w:szCs w:val="24"/>
          <w:lang w:eastAsia="en-AU"/>
        </w:rPr>
        <w:t xml:space="preserve">sis of statistical publications which </w:t>
      </w:r>
      <w:r w:rsidRPr="00634C4B">
        <w:rPr>
          <w:rFonts w:ascii="Times New Roman" w:eastAsia="Times New Roman" w:hAnsi="Times New Roman"/>
          <w:sz w:val="24"/>
          <w:szCs w:val="24"/>
          <w:lang w:eastAsia="en-AU"/>
        </w:rPr>
        <w:t xml:space="preserve">will be of use to regulators, policymakers, industry, researchers, analysts and other interested parties.  </w:t>
      </w:r>
    </w:p>
    <w:p w14:paraId="219A9DD0" w14:textId="77777777" w:rsidR="00E578DD" w:rsidRPr="00E578DD" w:rsidRDefault="00E578DD" w:rsidP="00E578DD">
      <w:pPr>
        <w:numPr>
          <w:ilvl w:val="0"/>
          <w:numId w:val="34"/>
        </w:numPr>
        <w:spacing w:after="0" w:line="240" w:lineRule="auto"/>
        <w:rPr>
          <w:rFonts w:ascii="Times New Roman" w:eastAsia="Times New Roman" w:hAnsi="Times New Roman"/>
          <w:b/>
          <w:color w:val="000000"/>
          <w:sz w:val="24"/>
          <w:szCs w:val="24"/>
          <w:lang w:eastAsia="en-AU"/>
        </w:rPr>
      </w:pPr>
      <w:r w:rsidRPr="00E578DD">
        <w:rPr>
          <w:rFonts w:ascii="Times New Roman" w:eastAsia="Times New Roman" w:hAnsi="Times New Roman"/>
          <w:b/>
          <w:color w:val="000000"/>
          <w:sz w:val="24"/>
          <w:szCs w:val="24"/>
          <w:lang w:eastAsia="en-AU"/>
        </w:rPr>
        <w:t>Consultation</w:t>
      </w:r>
    </w:p>
    <w:p w14:paraId="43A4F3BA" w14:textId="77777777" w:rsidR="00E578DD" w:rsidRPr="00E578DD" w:rsidRDefault="00E578DD" w:rsidP="00E578DD">
      <w:pPr>
        <w:spacing w:after="0" w:line="276" w:lineRule="auto"/>
        <w:rPr>
          <w:rFonts w:ascii="Times New Roman" w:eastAsia="Times New Roman" w:hAnsi="Times New Roman"/>
          <w:color w:val="000000"/>
          <w:sz w:val="24"/>
          <w:szCs w:val="24"/>
          <w:lang w:eastAsia="en-AU"/>
        </w:rPr>
      </w:pPr>
    </w:p>
    <w:p w14:paraId="2A270522" w14:textId="09934BE6" w:rsidR="00E578DD" w:rsidRPr="00DD6962" w:rsidRDefault="00753844" w:rsidP="00E578DD">
      <w:pPr>
        <w:spacing w:after="0" w:line="276" w:lineRule="auto"/>
        <w:rPr>
          <w:rFonts w:ascii="Times New Roman" w:eastAsia="Times New Roman" w:hAnsi="Times New Roman"/>
          <w:color w:val="000000"/>
          <w:sz w:val="24"/>
          <w:szCs w:val="24"/>
          <w:lang w:eastAsia="en-AU"/>
        </w:rPr>
      </w:pPr>
      <w:bookmarkStart w:id="3" w:name="_Hlk70933941"/>
      <w:r>
        <w:rPr>
          <w:rFonts w:ascii="Times New Roman" w:eastAsia="Times New Roman" w:hAnsi="Times New Roman"/>
          <w:color w:val="000000"/>
          <w:sz w:val="24"/>
          <w:szCs w:val="24"/>
          <w:lang w:eastAsia="en-AU"/>
        </w:rPr>
        <w:t xml:space="preserve">APRA consulted with interested parties in relation to this instrument. </w:t>
      </w:r>
      <w:r w:rsidR="00E578DD" w:rsidRPr="00DD6962">
        <w:rPr>
          <w:rFonts w:ascii="Times New Roman" w:eastAsia="Times New Roman" w:hAnsi="Times New Roman"/>
          <w:color w:val="000000"/>
          <w:sz w:val="24"/>
          <w:szCs w:val="24"/>
          <w:lang w:eastAsia="en-AU"/>
        </w:rPr>
        <w:t xml:space="preserve">In accordance with the requirements for consultation under section 57 of the APRA Act, APRA released a discussion paper in </w:t>
      </w:r>
      <w:r w:rsidR="00F327CB" w:rsidRPr="00DD6962">
        <w:rPr>
          <w:rFonts w:ascii="Times New Roman" w:eastAsia="Times New Roman" w:hAnsi="Times New Roman"/>
          <w:color w:val="000000"/>
          <w:sz w:val="24"/>
          <w:szCs w:val="24"/>
          <w:lang w:eastAsia="en-AU"/>
        </w:rPr>
        <w:t xml:space="preserve">February </w:t>
      </w:r>
      <w:r w:rsidR="00C87FCF" w:rsidRPr="00DD6962">
        <w:rPr>
          <w:rFonts w:ascii="Times New Roman" w:eastAsia="Times New Roman" w:hAnsi="Times New Roman"/>
          <w:color w:val="000000"/>
          <w:sz w:val="24"/>
          <w:szCs w:val="24"/>
          <w:lang w:eastAsia="en-AU"/>
        </w:rPr>
        <w:t>20</w:t>
      </w:r>
      <w:r w:rsidR="00C87FCF" w:rsidRPr="00BD7626">
        <w:rPr>
          <w:rFonts w:ascii="Times New Roman" w:eastAsia="Times New Roman" w:hAnsi="Times New Roman"/>
          <w:color w:val="000000"/>
          <w:sz w:val="24"/>
          <w:szCs w:val="24"/>
          <w:lang w:eastAsia="en-AU"/>
        </w:rPr>
        <w:t>20</w:t>
      </w:r>
      <w:r w:rsidR="00C87FCF" w:rsidRPr="00DD6962">
        <w:rPr>
          <w:rFonts w:ascii="Times New Roman" w:eastAsia="Times New Roman" w:hAnsi="Times New Roman"/>
          <w:color w:val="000000"/>
          <w:sz w:val="24"/>
          <w:szCs w:val="24"/>
          <w:lang w:eastAsia="en-AU"/>
        </w:rPr>
        <w:t xml:space="preserve"> </w:t>
      </w:r>
      <w:r w:rsidR="00E578DD" w:rsidRPr="00DD6962">
        <w:rPr>
          <w:rFonts w:ascii="Times New Roman" w:eastAsia="Times New Roman" w:hAnsi="Times New Roman"/>
          <w:color w:val="000000"/>
          <w:sz w:val="24"/>
          <w:szCs w:val="24"/>
          <w:lang w:eastAsia="en-AU"/>
        </w:rPr>
        <w:t xml:space="preserve">that proposed that </w:t>
      </w:r>
      <w:r w:rsidR="007F6BB6" w:rsidRPr="00DD6962">
        <w:rPr>
          <w:rFonts w:ascii="Times New Roman" w:eastAsia="Times New Roman" w:hAnsi="Times New Roman"/>
          <w:color w:val="000000"/>
          <w:sz w:val="24"/>
          <w:szCs w:val="24"/>
          <w:lang w:eastAsia="en-AU"/>
        </w:rPr>
        <w:t>all</w:t>
      </w:r>
      <w:r w:rsidR="00C87FCF" w:rsidRPr="00BD7626">
        <w:rPr>
          <w:rFonts w:ascii="Times New Roman" w:eastAsia="Times New Roman" w:hAnsi="Times New Roman"/>
          <w:color w:val="000000"/>
          <w:sz w:val="24"/>
          <w:szCs w:val="24"/>
          <w:lang w:eastAsia="en-AU"/>
        </w:rPr>
        <w:t xml:space="preserve"> </w:t>
      </w:r>
      <w:r w:rsidR="007612CB">
        <w:rPr>
          <w:rFonts w:ascii="Times New Roman" w:eastAsia="Times New Roman" w:hAnsi="Times New Roman"/>
          <w:color w:val="000000"/>
          <w:sz w:val="24"/>
          <w:szCs w:val="24"/>
          <w:lang w:eastAsia="en-AU"/>
        </w:rPr>
        <w:t xml:space="preserve">general insurance </w:t>
      </w:r>
      <w:r w:rsidR="00C87FCF" w:rsidRPr="00BD7626">
        <w:rPr>
          <w:rFonts w:ascii="Times New Roman" w:eastAsia="Times New Roman" w:hAnsi="Times New Roman"/>
          <w:color w:val="000000"/>
          <w:sz w:val="24"/>
          <w:szCs w:val="24"/>
          <w:lang w:eastAsia="en-AU"/>
        </w:rPr>
        <w:t>class of business</w:t>
      </w:r>
      <w:r w:rsidR="007F6BB6" w:rsidRPr="00DD6962">
        <w:rPr>
          <w:rFonts w:ascii="Times New Roman" w:eastAsia="Times New Roman" w:hAnsi="Times New Roman"/>
          <w:color w:val="000000"/>
          <w:sz w:val="24"/>
          <w:szCs w:val="24"/>
          <w:lang w:eastAsia="en-AU"/>
        </w:rPr>
        <w:t xml:space="preserve"> </w:t>
      </w:r>
      <w:r w:rsidR="00E578DD" w:rsidRPr="00DD6962">
        <w:rPr>
          <w:rFonts w:ascii="Times New Roman" w:eastAsia="Times New Roman" w:hAnsi="Times New Roman"/>
          <w:color w:val="000000"/>
          <w:sz w:val="24"/>
          <w:szCs w:val="24"/>
          <w:lang w:eastAsia="en-AU"/>
        </w:rPr>
        <w:t>data</w:t>
      </w:r>
      <w:r w:rsidR="00E578DD" w:rsidRPr="00DD6962">
        <w:rPr>
          <w:rFonts w:ascii="Times New Roman" w:eastAsia="Times New Roman" w:hAnsi="Times New Roman"/>
          <w:color w:val="000000"/>
          <w:sz w:val="24"/>
          <w:szCs w:val="24"/>
          <w:vertAlign w:val="superscript"/>
          <w:lang w:eastAsia="en-AU"/>
        </w:rPr>
        <w:footnoteReference w:id="4"/>
      </w:r>
      <w:r w:rsidR="00E578DD" w:rsidRPr="00DD6962">
        <w:rPr>
          <w:rFonts w:ascii="Times New Roman" w:eastAsia="Times New Roman" w:hAnsi="Times New Roman"/>
          <w:color w:val="000000"/>
          <w:sz w:val="24"/>
          <w:szCs w:val="24"/>
          <w:lang w:eastAsia="en-AU"/>
        </w:rPr>
        <w:t xml:space="preserve"> be determined non-confidential</w:t>
      </w:r>
      <w:r w:rsidR="00E26F43">
        <w:rPr>
          <w:rStyle w:val="FootnoteReference"/>
          <w:rFonts w:eastAsia="Times New Roman"/>
          <w:szCs w:val="24"/>
          <w:lang w:eastAsia="en-AU"/>
        </w:rPr>
        <w:footnoteReference w:id="5"/>
      </w:r>
      <w:r w:rsidR="00E578DD" w:rsidRPr="00DD6962">
        <w:rPr>
          <w:rFonts w:ascii="Times New Roman" w:eastAsia="Times New Roman" w:hAnsi="Times New Roman"/>
          <w:color w:val="000000"/>
          <w:sz w:val="24"/>
          <w:szCs w:val="24"/>
          <w:lang w:eastAsia="en-AU"/>
        </w:rPr>
        <w:t xml:space="preserve">. The discussion paper provided all affected entities an opportunity to make representations on the proposed determination. The consultation period ended on </w:t>
      </w:r>
      <w:r w:rsidR="00C87FCF" w:rsidRPr="00BD7626">
        <w:rPr>
          <w:rFonts w:ascii="Times New Roman" w:eastAsia="Times New Roman" w:hAnsi="Times New Roman"/>
          <w:color w:val="000000"/>
          <w:sz w:val="24"/>
          <w:szCs w:val="24"/>
          <w:lang w:eastAsia="en-AU"/>
        </w:rPr>
        <w:t>3</w:t>
      </w:r>
      <w:r w:rsidR="00C87FCF" w:rsidRPr="00DD6962">
        <w:rPr>
          <w:rFonts w:ascii="Times New Roman" w:eastAsia="Times New Roman" w:hAnsi="Times New Roman"/>
          <w:color w:val="000000"/>
          <w:sz w:val="24"/>
          <w:szCs w:val="24"/>
          <w:lang w:eastAsia="en-AU"/>
        </w:rPr>
        <w:t xml:space="preserve"> </w:t>
      </w:r>
      <w:r w:rsidR="00C87FCF" w:rsidRPr="00BD7626">
        <w:rPr>
          <w:rFonts w:ascii="Times New Roman" w:eastAsia="Times New Roman" w:hAnsi="Times New Roman"/>
          <w:color w:val="000000"/>
          <w:sz w:val="24"/>
          <w:szCs w:val="24"/>
          <w:lang w:eastAsia="en-AU"/>
        </w:rPr>
        <w:t>December</w:t>
      </w:r>
      <w:r w:rsidR="00C87FCF" w:rsidRPr="00DD6962">
        <w:rPr>
          <w:rFonts w:ascii="Times New Roman" w:eastAsia="Times New Roman" w:hAnsi="Times New Roman"/>
          <w:color w:val="000000"/>
          <w:sz w:val="24"/>
          <w:szCs w:val="24"/>
          <w:lang w:eastAsia="en-AU"/>
        </w:rPr>
        <w:t xml:space="preserve"> 20</w:t>
      </w:r>
      <w:r w:rsidR="00C87FCF" w:rsidRPr="00BD7626">
        <w:rPr>
          <w:rFonts w:ascii="Times New Roman" w:eastAsia="Times New Roman" w:hAnsi="Times New Roman"/>
          <w:color w:val="000000"/>
          <w:sz w:val="24"/>
          <w:szCs w:val="24"/>
          <w:lang w:eastAsia="en-AU"/>
        </w:rPr>
        <w:t>20 following suspension due to the impact of COVID-19</w:t>
      </w:r>
      <w:r w:rsidR="00E578DD" w:rsidRPr="00DD6962">
        <w:rPr>
          <w:rFonts w:ascii="Times New Roman" w:eastAsia="Times New Roman" w:hAnsi="Times New Roman"/>
          <w:color w:val="000000"/>
          <w:sz w:val="24"/>
          <w:szCs w:val="24"/>
          <w:lang w:eastAsia="en-AU"/>
        </w:rPr>
        <w:t>.</w:t>
      </w:r>
    </w:p>
    <w:p w14:paraId="35FCA5AB" w14:textId="77777777" w:rsidR="00E578DD" w:rsidRPr="00DD6962" w:rsidRDefault="00E578DD" w:rsidP="00E578DD">
      <w:pPr>
        <w:spacing w:after="0" w:line="276" w:lineRule="auto"/>
        <w:rPr>
          <w:rFonts w:ascii="Times New Roman" w:eastAsia="Times New Roman" w:hAnsi="Times New Roman"/>
          <w:color w:val="000000"/>
          <w:sz w:val="24"/>
          <w:szCs w:val="24"/>
          <w:lang w:eastAsia="en-AU"/>
        </w:rPr>
      </w:pPr>
    </w:p>
    <w:p w14:paraId="1BBAF269" w14:textId="72D37305" w:rsidR="00C87FCF" w:rsidRPr="00DD6962" w:rsidRDefault="00200E7D" w:rsidP="00C87FCF">
      <w:pPr>
        <w:spacing w:after="0" w:line="276" w:lineRule="auto"/>
        <w:rPr>
          <w:rFonts w:ascii="Times New Roman" w:eastAsia="Times New Roman" w:hAnsi="Times New Roman"/>
          <w:color w:val="000000"/>
          <w:sz w:val="24"/>
          <w:szCs w:val="24"/>
          <w:lang w:eastAsia="en-AU"/>
        </w:rPr>
      </w:pPr>
      <w:r w:rsidRPr="00DD6962">
        <w:rPr>
          <w:rFonts w:ascii="Times New Roman" w:eastAsia="Times New Roman" w:hAnsi="Times New Roman"/>
          <w:color w:val="000000"/>
          <w:sz w:val="24"/>
          <w:szCs w:val="24"/>
          <w:lang w:eastAsia="en-AU"/>
        </w:rPr>
        <w:lastRenderedPageBreak/>
        <w:t xml:space="preserve">APRA received submissions from </w:t>
      </w:r>
      <w:r w:rsidR="00C87FCF" w:rsidRPr="00BD7626">
        <w:rPr>
          <w:rFonts w:ascii="Times New Roman" w:eastAsia="Times New Roman" w:hAnsi="Times New Roman"/>
          <w:color w:val="000000"/>
          <w:sz w:val="24"/>
          <w:szCs w:val="24"/>
          <w:lang w:eastAsia="en-AU"/>
        </w:rPr>
        <w:t>nine</w:t>
      </w:r>
      <w:r w:rsidR="00C87FCF" w:rsidRPr="00DD6962">
        <w:rPr>
          <w:rFonts w:ascii="Times New Roman" w:eastAsia="Times New Roman" w:hAnsi="Times New Roman"/>
          <w:color w:val="000000"/>
          <w:sz w:val="24"/>
          <w:szCs w:val="24"/>
          <w:lang w:eastAsia="en-AU"/>
        </w:rPr>
        <w:t xml:space="preserve"> </w:t>
      </w:r>
      <w:r w:rsidRPr="00DD6962">
        <w:rPr>
          <w:rFonts w:ascii="Times New Roman" w:eastAsia="Times New Roman" w:hAnsi="Times New Roman"/>
          <w:color w:val="000000"/>
          <w:sz w:val="24"/>
          <w:szCs w:val="24"/>
          <w:lang w:eastAsia="en-AU"/>
        </w:rPr>
        <w:t xml:space="preserve">entities and representative associations during the consultation. </w:t>
      </w:r>
      <w:r w:rsidR="00C87FCF" w:rsidRPr="00DD6962">
        <w:rPr>
          <w:rFonts w:ascii="Times New Roman" w:eastAsia="Times New Roman" w:hAnsi="Times New Roman"/>
          <w:color w:val="000000"/>
          <w:sz w:val="24"/>
          <w:szCs w:val="24"/>
          <w:lang w:eastAsia="en-AU"/>
        </w:rPr>
        <w:t>Submissions were generally supportive of the intent of APRA’s initiative, albeit there were some concerns raised.</w:t>
      </w:r>
    </w:p>
    <w:p w14:paraId="06498533" w14:textId="77777777" w:rsidR="00C87FCF" w:rsidRPr="00DD6962" w:rsidRDefault="00C87FCF" w:rsidP="00C87FCF">
      <w:pPr>
        <w:spacing w:after="0" w:line="276" w:lineRule="auto"/>
        <w:rPr>
          <w:rFonts w:ascii="Times New Roman" w:eastAsia="Times New Roman" w:hAnsi="Times New Roman"/>
          <w:color w:val="000000"/>
          <w:sz w:val="24"/>
          <w:szCs w:val="24"/>
          <w:lang w:eastAsia="en-AU"/>
        </w:rPr>
      </w:pPr>
    </w:p>
    <w:p w14:paraId="6DF2580B" w14:textId="34F0770F" w:rsidR="00C87FCF" w:rsidRPr="00DD6962" w:rsidRDefault="00C87FCF" w:rsidP="00C87FCF">
      <w:pPr>
        <w:spacing w:after="0" w:line="276" w:lineRule="auto"/>
        <w:rPr>
          <w:rFonts w:ascii="Times New Roman" w:eastAsia="Times New Roman" w:hAnsi="Times New Roman"/>
          <w:color w:val="000000"/>
          <w:sz w:val="24"/>
          <w:szCs w:val="24"/>
          <w:lang w:eastAsia="en-AU"/>
        </w:rPr>
      </w:pPr>
      <w:r w:rsidRPr="00DD6962">
        <w:rPr>
          <w:rFonts w:ascii="Times New Roman" w:eastAsia="Times New Roman" w:hAnsi="Times New Roman"/>
          <w:color w:val="000000"/>
          <w:sz w:val="24"/>
          <w:szCs w:val="24"/>
          <w:lang w:eastAsia="en-AU"/>
        </w:rPr>
        <w:t>A number of respondents raised concerns about APRA publishing or otherwise disclosing class of business for individual insurers.  APRA will not be publishing insurer level data from reporting forms beyond that already published.  Should APRA plan in the future to expand the publication of insurer level data to include class of business data for specific entities, APRA will formally need to consult on any such proposals at that time with industry.</w:t>
      </w:r>
    </w:p>
    <w:p w14:paraId="07A9AC8A" w14:textId="77777777" w:rsidR="00C87FCF" w:rsidRPr="00DD6962" w:rsidRDefault="00C87FCF" w:rsidP="00C87FCF">
      <w:pPr>
        <w:spacing w:after="0" w:line="276" w:lineRule="auto"/>
        <w:rPr>
          <w:rFonts w:ascii="Times New Roman" w:eastAsia="Times New Roman" w:hAnsi="Times New Roman"/>
          <w:color w:val="000000"/>
          <w:sz w:val="24"/>
          <w:szCs w:val="24"/>
          <w:lang w:eastAsia="en-AU"/>
        </w:rPr>
      </w:pPr>
    </w:p>
    <w:p w14:paraId="05289D27" w14:textId="0F87E5D5" w:rsidR="00C87FCF" w:rsidRPr="00DD6962" w:rsidRDefault="00C87FCF" w:rsidP="00C87FCF">
      <w:pPr>
        <w:spacing w:after="0" w:line="276" w:lineRule="auto"/>
        <w:rPr>
          <w:rFonts w:ascii="Times New Roman" w:eastAsia="Times New Roman" w:hAnsi="Times New Roman"/>
          <w:color w:val="000000"/>
          <w:sz w:val="24"/>
          <w:szCs w:val="24"/>
          <w:lang w:eastAsia="en-AU"/>
        </w:rPr>
      </w:pPr>
      <w:r w:rsidRPr="00DD6962">
        <w:rPr>
          <w:rFonts w:ascii="Times New Roman" w:eastAsia="Times New Roman" w:hAnsi="Times New Roman"/>
          <w:color w:val="000000"/>
          <w:sz w:val="24"/>
          <w:szCs w:val="24"/>
          <w:lang w:eastAsia="en-AU"/>
        </w:rPr>
        <w:t xml:space="preserve">APRA’s determination will only impact APRA’s current publications of aggregate industry data. In practice it will result in APRA </w:t>
      </w:r>
      <w:r w:rsidR="004D6152">
        <w:rPr>
          <w:rFonts w:ascii="Times New Roman" w:eastAsia="Times New Roman" w:hAnsi="Times New Roman"/>
          <w:color w:val="000000"/>
          <w:sz w:val="24"/>
          <w:szCs w:val="24"/>
          <w:lang w:eastAsia="en-AU"/>
        </w:rPr>
        <w:t>publishing</w:t>
      </w:r>
      <w:r w:rsidRPr="00DD6962">
        <w:rPr>
          <w:rFonts w:ascii="Times New Roman" w:eastAsia="Times New Roman" w:hAnsi="Times New Roman"/>
          <w:color w:val="000000"/>
          <w:sz w:val="24"/>
          <w:szCs w:val="24"/>
          <w:lang w:eastAsia="en-AU"/>
        </w:rPr>
        <w:t xml:space="preserve"> a very limited number of data items which were previously masked in these publications.</w:t>
      </w:r>
    </w:p>
    <w:p w14:paraId="0BBB5D04" w14:textId="77777777" w:rsidR="00DD6962" w:rsidRPr="00DD6962" w:rsidRDefault="00DD6962" w:rsidP="00C87FCF">
      <w:pPr>
        <w:spacing w:after="0" w:line="276" w:lineRule="auto"/>
        <w:rPr>
          <w:rFonts w:ascii="Times New Roman" w:eastAsia="Times New Roman" w:hAnsi="Times New Roman"/>
          <w:color w:val="000000"/>
          <w:sz w:val="24"/>
          <w:szCs w:val="24"/>
          <w:lang w:eastAsia="en-AU"/>
        </w:rPr>
      </w:pPr>
    </w:p>
    <w:bookmarkEnd w:id="3"/>
    <w:p w14:paraId="0393D17B" w14:textId="77777777" w:rsidR="00064C43" w:rsidRPr="00E578DD" w:rsidRDefault="00064C43" w:rsidP="00E578DD">
      <w:pPr>
        <w:spacing w:after="0" w:line="276" w:lineRule="auto"/>
        <w:rPr>
          <w:rFonts w:ascii="Times New Roman" w:eastAsia="Times New Roman" w:hAnsi="Times New Roman"/>
          <w:color w:val="000000"/>
          <w:sz w:val="24"/>
          <w:szCs w:val="24"/>
          <w:lang w:eastAsia="en-AU"/>
        </w:rPr>
      </w:pPr>
    </w:p>
    <w:p w14:paraId="58D80079" w14:textId="77777777" w:rsidR="00E578DD" w:rsidRPr="00E578DD" w:rsidRDefault="00E578DD" w:rsidP="00E578DD">
      <w:pPr>
        <w:spacing w:after="0" w:line="276" w:lineRule="auto"/>
        <w:rPr>
          <w:rFonts w:ascii="Times New Roman" w:eastAsia="Times New Roman" w:hAnsi="Times New Roman"/>
          <w:sz w:val="24"/>
          <w:szCs w:val="24"/>
          <w:lang w:eastAsia="en-AU"/>
        </w:rPr>
      </w:pPr>
    </w:p>
    <w:p w14:paraId="719702E9" w14:textId="77777777" w:rsidR="00E578DD" w:rsidRPr="00E578DD" w:rsidRDefault="00E578DD" w:rsidP="00E578DD">
      <w:pPr>
        <w:numPr>
          <w:ilvl w:val="0"/>
          <w:numId w:val="34"/>
        </w:numPr>
        <w:autoSpaceDE w:val="0"/>
        <w:autoSpaceDN w:val="0"/>
        <w:adjustRightInd w:val="0"/>
        <w:spacing w:after="0" w:line="240" w:lineRule="auto"/>
        <w:rPr>
          <w:rFonts w:ascii="Times New Roman" w:eastAsia="Times New Roman" w:hAnsi="Times New Roman"/>
          <w:b/>
          <w:sz w:val="24"/>
          <w:szCs w:val="24"/>
          <w:lang w:eastAsia="en-AU"/>
        </w:rPr>
      </w:pPr>
      <w:r w:rsidRPr="00E578DD">
        <w:rPr>
          <w:rFonts w:ascii="Times New Roman" w:eastAsia="Times New Roman" w:hAnsi="Times New Roman"/>
          <w:b/>
          <w:sz w:val="24"/>
          <w:szCs w:val="24"/>
          <w:lang w:eastAsia="en-AU"/>
        </w:rPr>
        <w:t>Statement of compatibility with human rights prepared in accordance with</w:t>
      </w:r>
      <w:r w:rsidRPr="00E578DD">
        <w:rPr>
          <w:rFonts w:ascii="Times New Roman" w:eastAsia="Times New Roman" w:hAnsi="Times New Roman"/>
          <w:sz w:val="24"/>
          <w:szCs w:val="24"/>
          <w:lang w:eastAsia="en-AU"/>
        </w:rPr>
        <w:t xml:space="preserve"> </w:t>
      </w:r>
      <w:r w:rsidRPr="00E578DD">
        <w:rPr>
          <w:rFonts w:ascii="Times New Roman" w:eastAsia="Times New Roman" w:hAnsi="Times New Roman"/>
          <w:b/>
          <w:sz w:val="24"/>
          <w:szCs w:val="24"/>
          <w:lang w:eastAsia="en-AU"/>
        </w:rPr>
        <w:t>Part 3 of the Human Rights (Parliamentary Scrutiny) Act 2011</w:t>
      </w:r>
    </w:p>
    <w:p w14:paraId="4957A67F" w14:textId="77777777" w:rsidR="00E578DD" w:rsidRPr="00E578DD" w:rsidRDefault="00E578DD" w:rsidP="00E578DD">
      <w:pPr>
        <w:spacing w:after="0" w:line="276" w:lineRule="auto"/>
        <w:rPr>
          <w:rFonts w:ascii="Times New Roman" w:eastAsia="Times New Roman" w:hAnsi="Times New Roman"/>
          <w:sz w:val="24"/>
          <w:szCs w:val="24"/>
          <w:lang w:eastAsia="en-AU"/>
        </w:rPr>
      </w:pPr>
    </w:p>
    <w:p w14:paraId="429B27BC" w14:textId="4D388A6F" w:rsidR="002C347C" w:rsidRDefault="00E578DD" w:rsidP="00E578DD">
      <w:pPr>
        <w:autoSpaceDE w:val="0"/>
        <w:autoSpaceDN w:val="0"/>
        <w:adjustRightInd w:val="0"/>
        <w:spacing w:after="200" w:line="276" w:lineRule="auto"/>
        <w:jc w:val="both"/>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t xml:space="preserve">A Statement of </w:t>
      </w:r>
      <w:r w:rsidR="000810C5">
        <w:rPr>
          <w:rFonts w:ascii="Times New Roman" w:eastAsia="Times New Roman" w:hAnsi="Times New Roman"/>
          <w:sz w:val="24"/>
          <w:szCs w:val="24"/>
          <w:lang w:eastAsia="en-AU"/>
        </w:rPr>
        <w:t>C</w:t>
      </w:r>
      <w:r w:rsidRPr="00E578DD">
        <w:rPr>
          <w:rFonts w:ascii="Times New Roman" w:eastAsia="Times New Roman" w:hAnsi="Times New Roman"/>
          <w:sz w:val="24"/>
          <w:szCs w:val="24"/>
          <w:lang w:eastAsia="en-AU"/>
        </w:rPr>
        <w:t>ompatibility</w:t>
      </w:r>
      <w:r w:rsidR="000810C5">
        <w:rPr>
          <w:rFonts w:ascii="Times New Roman" w:eastAsia="Times New Roman" w:hAnsi="Times New Roman"/>
          <w:sz w:val="24"/>
          <w:szCs w:val="24"/>
          <w:lang w:eastAsia="en-AU"/>
        </w:rPr>
        <w:t xml:space="preserve"> with Human Rights </w:t>
      </w:r>
      <w:r w:rsidRPr="00E578DD">
        <w:rPr>
          <w:rFonts w:ascii="Times New Roman" w:eastAsia="Times New Roman" w:hAnsi="Times New Roman"/>
          <w:sz w:val="24"/>
          <w:szCs w:val="24"/>
          <w:lang w:eastAsia="en-AU"/>
        </w:rPr>
        <w:t xml:space="preserve">is provided at Appendix </w:t>
      </w:r>
      <w:r w:rsidR="00582C59" w:rsidRPr="00634C4B">
        <w:rPr>
          <w:rFonts w:ascii="Times New Roman" w:eastAsia="Times New Roman" w:hAnsi="Times New Roman"/>
          <w:sz w:val="24"/>
          <w:szCs w:val="24"/>
          <w:lang w:eastAsia="en-AU"/>
        </w:rPr>
        <w:t>A</w:t>
      </w:r>
      <w:r w:rsidRPr="00E578DD">
        <w:rPr>
          <w:rFonts w:ascii="Times New Roman" w:eastAsia="Times New Roman" w:hAnsi="Times New Roman"/>
          <w:sz w:val="24"/>
          <w:szCs w:val="24"/>
          <w:lang w:eastAsia="en-AU"/>
        </w:rPr>
        <w:t>.</w:t>
      </w:r>
    </w:p>
    <w:p w14:paraId="1419FD91" w14:textId="77777777" w:rsidR="00BD7626" w:rsidRDefault="00BD7626">
      <w:pPr>
        <w:rPr>
          <w:rFonts w:ascii="Times New Roman" w:eastAsia="Times New Roman" w:hAnsi="Times New Roman"/>
          <w:b/>
          <w:kern w:val="32"/>
          <w:sz w:val="28"/>
          <w:szCs w:val="28"/>
        </w:rPr>
      </w:pPr>
      <w:r>
        <w:rPr>
          <w:rFonts w:ascii="Times New Roman" w:eastAsia="Times New Roman" w:hAnsi="Times New Roman"/>
          <w:b/>
          <w:kern w:val="32"/>
          <w:sz w:val="28"/>
          <w:szCs w:val="28"/>
        </w:rPr>
        <w:br w:type="page"/>
      </w:r>
    </w:p>
    <w:p w14:paraId="555029B8" w14:textId="53E85BE3" w:rsidR="00815FF6" w:rsidRPr="00BD7626" w:rsidRDefault="00815FF6" w:rsidP="00612891">
      <w:pPr>
        <w:keepNext/>
        <w:spacing w:before="240" w:after="240" w:line="240" w:lineRule="auto"/>
        <w:outlineLvl w:val="0"/>
        <w:rPr>
          <w:rFonts w:ascii="Times New Roman" w:eastAsia="Times New Roman" w:hAnsi="Times New Roman"/>
          <w:b/>
          <w:kern w:val="32"/>
          <w:sz w:val="28"/>
          <w:szCs w:val="28"/>
        </w:rPr>
      </w:pPr>
      <w:r w:rsidRPr="00BD7626">
        <w:rPr>
          <w:rFonts w:ascii="Times New Roman" w:eastAsia="Times New Roman" w:hAnsi="Times New Roman"/>
          <w:b/>
          <w:kern w:val="32"/>
          <w:sz w:val="28"/>
          <w:szCs w:val="28"/>
        </w:rPr>
        <w:lastRenderedPageBreak/>
        <w:t>Appendix A</w:t>
      </w:r>
    </w:p>
    <w:p w14:paraId="7F5D4A30" w14:textId="77777777" w:rsidR="002C347C" w:rsidRPr="002C347C" w:rsidRDefault="002C347C" w:rsidP="002C347C">
      <w:pPr>
        <w:keepNext/>
        <w:spacing w:before="240" w:after="240" w:line="240" w:lineRule="auto"/>
        <w:jc w:val="center"/>
        <w:outlineLvl w:val="0"/>
        <w:rPr>
          <w:rFonts w:ascii="Times New Roman" w:eastAsia="Times New Roman" w:hAnsi="Times New Roman"/>
          <w:b/>
          <w:kern w:val="32"/>
          <w:sz w:val="24"/>
          <w:szCs w:val="24"/>
        </w:rPr>
      </w:pPr>
      <w:r w:rsidRPr="002C347C">
        <w:rPr>
          <w:rFonts w:ascii="Times New Roman" w:eastAsia="Times New Roman" w:hAnsi="Times New Roman"/>
          <w:b/>
          <w:kern w:val="32"/>
          <w:sz w:val="24"/>
          <w:szCs w:val="24"/>
        </w:rPr>
        <w:t>Statement of Compatibility with Human Rights</w:t>
      </w:r>
    </w:p>
    <w:p w14:paraId="38F4052E" w14:textId="77777777" w:rsidR="002C347C" w:rsidRPr="002C347C" w:rsidRDefault="002C347C" w:rsidP="00BD7626">
      <w:pPr>
        <w:widowControl w:val="0"/>
        <w:spacing w:after="240" w:line="240" w:lineRule="auto"/>
        <w:rPr>
          <w:rFonts w:ascii="Times New Roman" w:eastAsia="Times New Roman" w:hAnsi="Times New Roman"/>
          <w:b/>
          <w:sz w:val="24"/>
          <w:szCs w:val="24"/>
        </w:rPr>
      </w:pPr>
      <w:r w:rsidRPr="002C347C">
        <w:rPr>
          <w:rFonts w:ascii="Times New Roman" w:eastAsia="Times New Roman" w:hAnsi="Times New Roman"/>
          <w:sz w:val="24"/>
          <w:szCs w:val="24"/>
        </w:rPr>
        <w:t xml:space="preserve">Prepared in accordance with Part 3 of the </w:t>
      </w:r>
      <w:r w:rsidRPr="00BD7626">
        <w:rPr>
          <w:rFonts w:ascii="Times New Roman" w:eastAsia="Times New Roman" w:hAnsi="Times New Roman"/>
          <w:i/>
          <w:sz w:val="24"/>
          <w:szCs w:val="24"/>
        </w:rPr>
        <w:t>Human Rights (Parliamentary Scrutiny) Act 2011</w:t>
      </w:r>
    </w:p>
    <w:p w14:paraId="0477855D" w14:textId="08DD55E2" w:rsidR="002C347C" w:rsidRPr="00BD7626" w:rsidRDefault="006F0351" w:rsidP="002C347C">
      <w:pPr>
        <w:spacing w:after="0" w:line="240" w:lineRule="auto"/>
        <w:jc w:val="center"/>
        <w:rPr>
          <w:rFonts w:ascii="Times New Roman" w:eastAsia="Times New Roman" w:hAnsi="Times New Roman"/>
          <w:b/>
          <w:sz w:val="24"/>
          <w:szCs w:val="24"/>
        </w:rPr>
      </w:pPr>
      <w:r w:rsidRPr="00BD7626">
        <w:rPr>
          <w:rFonts w:ascii="Times New Roman" w:eastAsia="Times New Roman" w:hAnsi="Times New Roman"/>
          <w:b/>
          <w:sz w:val="24"/>
          <w:szCs w:val="24"/>
          <w:lang w:eastAsia="en-AU"/>
        </w:rPr>
        <w:t xml:space="preserve">Australian Prudential Regulation Authority (confidentiality) determination </w:t>
      </w:r>
      <w:r w:rsidR="00F94FF4">
        <w:rPr>
          <w:rFonts w:ascii="Times New Roman" w:eastAsia="Times New Roman" w:hAnsi="Times New Roman"/>
          <w:b/>
          <w:sz w:val="24"/>
          <w:szCs w:val="24"/>
          <w:lang w:eastAsia="en-AU"/>
        </w:rPr>
        <w:br/>
      </w:r>
      <w:r w:rsidRPr="00BD7626">
        <w:rPr>
          <w:rFonts w:ascii="Times New Roman" w:eastAsia="Times New Roman" w:hAnsi="Times New Roman"/>
          <w:b/>
          <w:sz w:val="24"/>
          <w:szCs w:val="24"/>
          <w:lang w:eastAsia="en-AU"/>
        </w:rPr>
        <w:t>No.</w:t>
      </w:r>
      <w:r w:rsidR="0062611E" w:rsidRPr="00BD7626">
        <w:rPr>
          <w:rFonts w:ascii="Times New Roman" w:eastAsia="Times New Roman" w:hAnsi="Times New Roman"/>
          <w:b/>
          <w:sz w:val="24"/>
          <w:szCs w:val="24"/>
          <w:lang w:eastAsia="en-AU"/>
        </w:rPr>
        <w:t xml:space="preserve"> </w:t>
      </w:r>
      <w:r w:rsidR="001B261D">
        <w:rPr>
          <w:rFonts w:ascii="Times New Roman" w:eastAsia="Times New Roman" w:hAnsi="Times New Roman"/>
          <w:b/>
          <w:sz w:val="24"/>
          <w:szCs w:val="24"/>
          <w:lang w:eastAsia="en-AU"/>
        </w:rPr>
        <w:t>1 of 2022</w:t>
      </w:r>
      <w:r w:rsidR="003C3AFA" w:rsidRPr="00BD7626">
        <w:rPr>
          <w:rFonts w:ascii="Times New Roman" w:eastAsia="Times New Roman" w:hAnsi="Times New Roman"/>
          <w:b/>
          <w:sz w:val="24"/>
          <w:szCs w:val="24"/>
          <w:lang w:eastAsia="en-AU"/>
        </w:rPr>
        <w:t xml:space="preserve"> </w:t>
      </w:r>
    </w:p>
    <w:p w14:paraId="44E5F8AA" w14:textId="77777777" w:rsidR="00883E31" w:rsidRDefault="00883E31" w:rsidP="00BD7626">
      <w:pPr>
        <w:widowControl w:val="0"/>
        <w:spacing w:after="0" w:line="240" w:lineRule="auto"/>
        <w:jc w:val="both"/>
        <w:rPr>
          <w:rFonts w:ascii="Times New Roman" w:eastAsia="Times New Roman" w:hAnsi="Times New Roman"/>
          <w:sz w:val="24"/>
          <w:szCs w:val="24"/>
        </w:rPr>
      </w:pPr>
    </w:p>
    <w:p w14:paraId="7843F77B" w14:textId="3ADCD50C" w:rsidR="002C347C" w:rsidRPr="002C347C" w:rsidRDefault="002C347C" w:rsidP="002C347C">
      <w:pPr>
        <w:widowControl w:val="0"/>
        <w:spacing w:after="240" w:line="240" w:lineRule="auto"/>
        <w:jc w:val="both"/>
        <w:rPr>
          <w:rFonts w:ascii="Times New Roman" w:eastAsia="Times New Roman" w:hAnsi="Times New Roman"/>
          <w:sz w:val="24"/>
          <w:szCs w:val="24"/>
        </w:rPr>
      </w:pPr>
      <w:r w:rsidRPr="002C347C">
        <w:rPr>
          <w:rFonts w:ascii="Times New Roman" w:eastAsia="Times New Roman" w:hAnsi="Times New Roman"/>
          <w:sz w:val="24"/>
          <w:szCs w:val="24"/>
        </w:rPr>
        <w:t xml:space="preserve">This Legislative Instrument is compatible with the human rights and freedoms recognised or declared in the international instrument listed in section 3 of the </w:t>
      </w:r>
      <w:r w:rsidRPr="002C347C">
        <w:rPr>
          <w:rFonts w:ascii="Times New Roman" w:eastAsia="Times New Roman" w:hAnsi="Times New Roman"/>
          <w:i/>
          <w:sz w:val="24"/>
          <w:szCs w:val="24"/>
        </w:rPr>
        <w:t>Human Rights (Parliamentary Scrutiny) Act 2011</w:t>
      </w:r>
      <w:r w:rsidRPr="002C347C">
        <w:rPr>
          <w:rFonts w:ascii="Times New Roman" w:eastAsia="Times New Roman" w:hAnsi="Times New Roman"/>
          <w:sz w:val="24"/>
          <w:szCs w:val="24"/>
        </w:rPr>
        <w:t xml:space="preserve"> (HRPS Act).</w:t>
      </w:r>
    </w:p>
    <w:p w14:paraId="627A1A73" w14:textId="77777777" w:rsidR="002C347C" w:rsidRPr="002C347C" w:rsidRDefault="002C347C" w:rsidP="002C347C">
      <w:pPr>
        <w:spacing w:after="240" w:line="240" w:lineRule="auto"/>
        <w:jc w:val="both"/>
        <w:rPr>
          <w:rFonts w:ascii="Times New Roman" w:eastAsia="Times New Roman" w:hAnsi="Times New Roman"/>
          <w:sz w:val="24"/>
          <w:szCs w:val="24"/>
        </w:rPr>
      </w:pPr>
      <w:r w:rsidRPr="002C347C">
        <w:rPr>
          <w:rFonts w:ascii="Times New Roman" w:eastAsia="Times New Roman" w:hAnsi="Times New Roman"/>
          <w:b/>
          <w:sz w:val="24"/>
          <w:szCs w:val="24"/>
        </w:rPr>
        <w:t>Overview of the Legislative Instrument</w:t>
      </w:r>
    </w:p>
    <w:p w14:paraId="015595DB" w14:textId="2056396C" w:rsidR="002C347C" w:rsidRPr="002C347C" w:rsidRDefault="002C347C" w:rsidP="002C347C">
      <w:pPr>
        <w:widowControl w:val="0"/>
        <w:spacing w:after="240" w:line="240" w:lineRule="auto"/>
        <w:jc w:val="both"/>
        <w:rPr>
          <w:rFonts w:ascii="Times New Roman" w:eastAsia="Times New Roman" w:hAnsi="Times New Roman"/>
          <w:sz w:val="24"/>
          <w:szCs w:val="24"/>
        </w:rPr>
      </w:pPr>
      <w:r w:rsidRPr="002C347C">
        <w:rPr>
          <w:rFonts w:ascii="Times New Roman" w:eastAsia="Times New Roman" w:hAnsi="Times New Roman"/>
          <w:sz w:val="24"/>
          <w:szCs w:val="24"/>
        </w:rPr>
        <w:t>Th</w:t>
      </w:r>
      <w:r w:rsidR="004D6152">
        <w:rPr>
          <w:rFonts w:ascii="Times New Roman" w:eastAsia="Times New Roman" w:hAnsi="Times New Roman"/>
          <w:sz w:val="24"/>
          <w:szCs w:val="24"/>
        </w:rPr>
        <w:t>is</w:t>
      </w:r>
      <w:r w:rsidRPr="002C347C">
        <w:rPr>
          <w:rFonts w:ascii="Times New Roman" w:eastAsia="Times New Roman" w:hAnsi="Times New Roman"/>
          <w:sz w:val="24"/>
          <w:szCs w:val="24"/>
        </w:rPr>
        <w:t xml:space="preserve"> Legislative Instrument </w:t>
      </w:r>
      <w:r w:rsidR="004D6152">
        <w:rPr>
          <w:rFonts w:ascii="Times New Roman" w:eastAsia="Times New Roman" w:hAnsi="Times New Roman"/>
          <w:sz w:val="24"/>
          <w:szCs w:val="24"/>
        </w:rPr>
        <w:t>will</w:t>
      </w:r>
      <w:r w:rsidRPr="002C347C">
        <w:rPr>
          <w:rFonts w:ascii="Times New Roman" w:eastAsia="Times New Roman" w:hAnsi="Times New Roman"/>
          <w:sz w:val="24"/>
          <w:szCs w:val="24"/>
        </w:rPr>
        <w:t xml:space="preserve"> enable APRA to disclose </w:t>
      </w:r>
      <w:r w:rsidR="00A032BF">
        <w:rPr>
          <w:rFonts w:ascii="Times New Roman" w:eastAsia="Times New Roman" w:hAnsi="Times New Roman"/>
          <w:sz w:val="24"/>
          <w:szCs w:val="24"/>
        </w:rPr>
        <w:t>(</w:t>
      </w:r>
      <w:r w:rsidRPr="002C347C">
        <w:rPr>
          <w:rFonts w:ascii="Times New Roman" w:eastAsia="Times New Roman" w:hAnsi="Times New Roman"/>
          <w:sz w:val="24"/>
          <w:szCs w:val="24"/>
        </w:rPr>
        <w:t>including by way of publication</w:t>
      </w:r>
      <w:r>
        <w:rPr>
          <w:rFonts w:ascii="Times New Roman" w:eastAsia="Times New Roman" w:hAnsi="Times New Roman"/>
          <w:sz w:val="24"/>
          <w:szCs w:val="24"/>
        </w:rPr>
        <w:t xml:space="preserve"> in industry bulletins</w:t>
      </w:r>
      <w:r w:rsidR="00A032BF">
        <w:rPr>
          <w:rFonts w:ascii="Times New Roman" w:eastAsia="Times New Roman" w:hAnsi="Times New Roman"/>
          <w:sz w:val="24"/>
          <w:szCs w:val="24"/>
        </w:rPr>
        <w:t>)</w:t>
      </w:r>
      <w:r w:rsidRPr="002C347C">
        <w:rPr>
          <w:rFonts w:ascii="Times New Roman" w:eastAsia="Times New Roman" w:hAnsi="Times New Roman"/>
          <w:sz w:val="24"/>
          <w:szCs w:val="24"/>
        </w:rPr>
        <w:t xml:space="preserve"> certain information provided to APRA by </w:t>
      </w:r>
      <w:r w:rsidR="0096273C">
        <w:rPr>
          <w:rFonts w:ascii="Times New Roman" w:eastAsia="Times New Roman" w:hAnsi="Times New Roman"/>
          <w:sz w:val="24"/>
          <w:szCs w:val="24"/>
        </w:rPr>
        <w:t>general insurance</w:t>
      </w:r>
      <w:r w:rsidRPr="002C347C">
        <w:rPr>
          <w:rFonts w:ascii="Times New Roman" w:eastAsia="Times New Roman" w:hAnsi="Times New Roman"/>
          <w:sz w:val="24"/>
          <w:szCs w:val="24"/>
        </w:rPr>
        <w:t xml:space="preserve"> entities </w:t>
      </w:r>
      <w:r w:rsidR="00606A83" w:rsidRPr="00606A83">
        <w:rPr>
          <w:rFonts w:ascii="Times New Roman" w:eastAsia="Times New Roman" w:hAnsi="Times New Roman"/>
          <w:sz w:val="24"/>
          <w:szCs w:val="24"/>
        </w:rPr>
        <w:t>under certain reporting standards.  This information will be of use to inter alia, regulators, policymakers, industry, researchers and analysts.</w:t>
      </w:r>
    </w:p>
    <w:p w14:paraId="4B62B17F" w14:textId="77777777" w:rsidR="002C347C" w:rsidRPr="002C347C" w:rsidRDefault="002C347C" w:rsidP="002C347C">
      <w:pPr>
        <w:spacing w:after="240" w:line="240" w:lineRule="auto"/>
        <w:jc w:val="both"/>
        <w:rPr>
          <w:rFonts w:ascii="Times New Roman" w:eastAsia="Times New Roman" w:hAnsi="Times New Roman"/>
          <w:sz w:val="24"/>
          <w:szCs w:val="24"/>
        </w:rPr>
      </w:pPr>
      <w:r w:rsidRPr="002C347C">
        <w:rPr>
          <w:rFonts w:ascii="Times New Roman" w:eastAsia="Times New Roman" w:hAnsi="Times New Roman"/>
          <w:b/>
          <w:sz w:val="24"/>
          <w:szCs w:val="24"/>
        </w:rPr>
        <w:t>Human rights implications</w:t>
      </w:r>
    </w:p>
    <w:p w14:paraId="24404528" w14:textId="5B988545" w:rsidR="002C347C" w:rsidRPr="002C347C" w:rsidRDefault="002C347C" w:rsidP="002C347C">
      <w:pPr>
        <w:widowControl w:val="0"/>
        <w:spacing w:after="240" w:line="240" w:lineRule="auto"/>
        <w:jc w:val="both"/>
        <w:rPr>
          <w:rFonts w:ascii="Times New Roman" w:eastAsia="Times New Roman" w:hAnsi="Times New Roman"/>
          <w:sz w:val="24"/>
          <w:szCs w:val="24"/>
        </w:rPr>
      </w:pPr>
      <w:r w:rsidRPr="002C347C">
        <w:rPr>
          <w:rFonts w:ascii="Times New Roman" w:eastAsia="Times New Roman" w:hAnsi="Times New Roman"/>
          <w:sz w:val="24"/>
          <w:szCs w:val="24"/>
        </w:rPr>
        <w:t>APRA has assessed th</w:t>
      </w:r>
      <w:r w:rsidR="00F94FF4">
        <w:rPr>
          <w:rFonts w:ascii="Times New Roman" w:eastAsia="Times New Roman" w:hAnsi="Times New Roman"/>
          <w:sz w:val="24"/>
          <w:szCs w:val="24"/>
        </w:rPr>
        <w:t>is</w:t>
      </w:r>
      <w:r w:rsidRPr="002C347C">
        <w:rPr>
          <w:rFonts w:ascii="Times New Roman" w:eastAsia="Times New Roman" w:hAnsi="Times New Roman"/>
          <w:sz w:val="24"/>
          <w:szCs w:val="24"/>
        </w:rPr>
        <w:t xml:space="preserve"> Legislative Instrument against the international instruments listed in section 3 of the HRPS Act and determined that only Article 17 of the International Covenant on Civil and Political Rights (ICCPR) is conceivably of relevance to th</w:t>
      </w:r>
      <w:r w:rsidR="00533090">
        <w:rPr>
          <w:rFonts w:ascii="Times New Roman" w:eastAsia="Times New Roman" w:hAnsi="Times New Roman"/>
          <w:sz w:val="24"/>
          <w:szCs w:val="24"/>
        </w:rPr>
        <w:t>is</w:t>
      </w:r>
      <w:r w:rsidRPr="002C347C">
        <w:rPr>
          <w:rFonts w:ascii="Times New Roman" w:eastAsia="Times New Roman" w:hAnsi="Times New Roman"/>
          <w:sz w:val="24"/>
          <w:szCs w:val="24"/>
        </w:rPr>
        <w:t xml:space="preserve"> Legislative Instrument.</w:t>
      </w:r>
    </w:p>
    <w:p w14:paraId="50A9E3AD" w14:textId="77777777" w:rsidR="002C347C" w:rsidRPr="002C347C" w:rsidRDefault="002C347C" w:rsidP="002C347C">
      <w:pPr>
        <w:widowControl w:val="0"/>
        <w:spacing w:after="240" w:line="240" w:lineRule="auto"/>
        <w:jc w:val="both"/>
        <w:rPr>
          <w:rFonts w:ascii="Times New Roman" w:eastAsia="Times New Roman" w:hAnsi="Times New Roman"/>
          <w:sz w:val="24"/>
          <w:szCs w:val="24"/>
        </w:rPr>
      </w:pPr>
      <w:r w:rsidRPr="002C347C">
        <w:rPr>
          <w:rFonts w:ascii="Times New Roman" w:eastAsia="Times New Roman" w:hAnsi="Times New Roman"/>
          <w:sz w:val="24"/>
          <w:szCs w:val="24"/>
        </w:rP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14:paraId="20903D04" w14:textId="1C6057AC" w:rsidR="002C347C" w:rsidRPr="002C347C" w:rsidRDefault="002C347C" w:rsidP="002C347C">
      <w:pPr>
        <w:widowControl w:val="0"/>
        <w:spacing w:after="240" w:line="240" w:lineRule="auto"/>
        <w:jc w:val="both"/>
        <w:rPr>
          <w:rFonts w:ascii="Times New Roman" w:eastAsia="Times New Roman" w:hAnsi="Times New Roman"/>
          <w:sz w:val="24"/>
          <w:szCs w:val="24"/>
        </w:rPr>
      </w:pPr>
      <w:r w:rsidRPr="002C347C">
        <w:rPr>
          <w:rFonts w:ascii="Times New Roman" w:eastAsia="Times New Roman" w:hAnsi="Times New Roman"/>
          <w:sz w:val="24"/>
          <w:szCs w:val="24"/>
        </w:rPr>
        <w:t>Th</w:t>
      </w:r>
      <w:r w:rsidR="00912217">
        <w:rPr>
          <w:rFonts w:ascii="Times New Roman" w:eastAsia="Times New Roman" w:hAnsi="Times New Roman"/>
          <w:sz w:val="24"/>
          <w:szCs w:val="24"/>
        </w:rPr>
        <w:t>is</w:t>
      </w:r>
      <w:r w:rsidRPr="002C347C">
        <w:rPr>
          <w:rFonts w:ascii="Times New Roman" w:eastAsia="Times New Roman" w:hAnsi="Times New Roman"/>
          <w:sz w:val="24"/>
          <w:szCs w:val="24"/>
        </w:rPr>
        <w:t xml:space="preserve"> Legislative Instrument will facilitate the disclosure of specific information provided to APRA by </w:t>
      </w:r>
      <w:r w:rsidR="004655A9">
        <w:rPr>
          <w:rFonts w:ascii="Times New Roman" w:eastAsia="Times New Roman" w:hAnsi="Times New Roman"/>
          <w:sz w:val="24"/>
          <w:szCs w:val="24"/>
        </w:rPr>
        <w:t>general insurance entities</w:t>
      </w:r>
      <w:r w:rsidRPr="002C347C">
        <w:rPr>
          <w:rFonts w:ascii="Times New Roman" w:eastAsia="Times New Roman" w:hAnsi="Times New Roman"/>
          <w:sz w:val="24"/>
          <w:szCs w:val="24"/>
        </w:rPr>
        <w:t xml:space="preserve"> in accordance with </w:t>
      </w:r>
      <w:r w:rsidR="00606A83">
        <w:rPr>
          <w:rFonts w:ascii="Times New Roman" w:eastAsia="Times New Roman" w:hAnsi="Times New Roman"/>
          <w:sz w:val="24"/>
          <w:szCs w:val="24"/>
        </w:rPr>
        <w:t>certain</w:t>
      </w:r>
      <w:r w:rsidRPr="002C347C">
        <w:rPr>
          <w:rFonts w:ascii="Times New Roman" w:eastAsia="Times New Roman" w:hAnsi="Times New Roman"/>
          <w:sz w:val="24"/>
          <w:szCs w:val="24"/>
        </w:rPr>
        <w:t xml:space="preserve"> reporting standard</w:t>
      </w:r>
      <w:r w:rsidR="00606A83">
        <w:rPr>
          <w:rFonts w:ascii="Times New Roman" w:eastAsia="Times New Roman" w:hAnsi="Times New Roman"/>
          <w:sz w:val="24"/>
          <w:szCs w:val="24"/>
        </w:rPr>
        <w:t>s</w:t>
      </w:r>
      <w:r w:rsidRPr="002C347C">
        <w:rPr>
          <w:rFonts w:ascii="Times New Roman" w:eastAsia="Times New Roman" w:hAnsi="Times New Roman"/>
          <w:sz w:val="24"/>
          <w:szCs w:val="24"/>
        </w:rPr>
        <w:t xml:space="preserve">. </w:t>
      </w:r>
      <w:r w:rsidR="004E6E7B">
        <w:rPr>
          <w:rFonts w:ascii="Times New Roman" w:eastAsia="Times New Roman" w:hAnsi="Times New Roman"/>
          <w:sz w:val="24"/>
          <w:szCs w:val="24"/>
        </w:rPr>
        <w:t>Th</w:t>
      </w:r>
      <w:r w:rsidR="00BF7BEB">
        <w:rPr>
          <w:rFonts w:ascii="Times New Roman" w:eastAsia="Times New Roman" w:hAnsi="Times New Roman"/>
          <w:sz w:val="24"/>
          <w:szCs w:val="24"/>
        </w:rPr>
        <w:t>is</w:t>
      </w:r>
      <w:r w:rsidR="004E6E7B">
        <w:rPr>
          <w:rFonts w:ascii="Times New Roman" w:eastAsia="Times New Roman" w:hAnsi="Times New Roman"/>
          <w:sz w:val="24"/>
          <w:szCs w:val="24"/>
        </w:rPr>
        <w:t xml:space="preserve"> Legislative Instrument</w:t>
      </w:r>
      <w:r w:rsidR="00606A83" w:rsidRPr="00606A83">
        <w:rPr>
          <w:rFonts w:ascii="Times New Roman" w:eastAsia="Times New Roman" w:hAnsi="Times New Roman"/>
          <w:sz w:val="24"/>
          <w:szCs w:val="24"/>
        </w:rPr>
        <w:t xml:space="preserve"> does not involve the disclosure of information directly relating to individual persons. Further, APRA reviews all releases of data received under reporting standards to ensure that no information pertaining to an individual person can be deduced from the data.</w:t>
      </w:r>
      <w:r w:rsidRPr="002C347C">
        <w:rPr>
          <w:rFonts w:ascii="Times New Roman" w:eastAsia="Times New Roman" w:hAnsi="Times New Roman"/>
          <w:sz w:val="24"/>
          <w:szCs w:val="24"/>
        </w:rPr>
        <w:t xml:space="preserve"> </w:t>
      </w:r>
    </w:p>
    <w:p w14:paraId="58817BC6" w14:textId="2836A361" w:rsidR="002C347C" w:rsidRPr="002C347C" w:rsidRDefault="002C347C" w:rsidP="002C347C">
      <w:pPr>
        <w:widowControl w:val="0"/>
        <w:spacing w:after="240" w:line="240" w:lineRule="auto"/>
        <w:jc w:val="both"/>
        <w:rPr>
          <w:rFonts w:ascii="Times New Roman" w:eastAsia="Times New Roman" w:hAnsi="Times New Roman"/>
          <w:sz w:val="24"/>
          <w:szCs w:val="24"/>
        </w:rPr>
      </w:pPr>
      <w:r w:rsidRPr="002C347C">
        <w:rPr>
          <w:rFonts w:ascii="Times New Roman" w:eastAsia="Times New Roman" w:hAnsi="Times New Roman"/>
          <w:sz w:val="24"/>
          <w:szCs w:val="24"/>
        </w:rPr>
        <w:t>Consequently, th</w:t>
      </w:r>
      <w:r w:rsidR="00F94FF4">
        <w:rPr>
          <w:rFonts w:ascii="Times New Roman" w:eastAsia="Times New Roman" w:hAnsi="Times New Roman"/>
          <w:sz w:val="24"/>
          <w:szCs w:val="24"/>
        </w:rPr>
        <w:t>is</w:t>
      </w:r>
      <w:r w:rsidRPr="002C347C">
        <w:rPr>
          <w:rFonts w:ascii="Times New Roman" w:eastAsia="Times New Roman" w:hAnsi="Times New Roman"/>
          <w:sz w:val="24"/>
          <w:szCs w:val="24"/>
        </w:rPr>
        <w:t xml:space="preserve"> Legislative Instrument does not engage any of the applicable rights or freedoms recognised or declared in the international instruments listed in section 3 of the HRPS Act. </w:t>
      </w:r>
      <w:bookmarkStart w:id="4" w:name="_Hlk81902436"/>
      <w:r w:rsidRPr="002C347C">
        <w:rPr>
          <w:rFonts w:ascii="Times New Roman" w:eastAsia="Times New Roman" w:hAnsi="Times New Roman"/>
          <w:sz w:val="24"/>
          <w:szCs w:val="24"/>
        </w:rPr>
        <w:t>Accordingly, in APRA’s assessment, th</w:t>
      </w:r>
      <w:r w:rsidR="00F94FF4">
        <w:rPr>
          <w:rFonts w:ascii="Times New Roman" w:eastAsia="Times New Roman" w:hAnsi="Times New Roman"/>
          <w:sz w:val="24"/>
          <w:szCs w:val="24"/>
        </w:rPr>
        <w:t>is</w:t>
      </w:r>
      <w:r w:rsidRPr="002C347C">
        <w:rPr>
          <w:rFonts w:ascii="Times New Roman" w:eastAsia="Times New Roman" w:hAnsi="Times New Roman"/>
          <w:sz w:val="24"/>
          <w:szCs w:val="24"/>
        </w:rPr>
        <w:t xml:space="preserve"> Legislative Instrument is compatible with human rights.</w:t>
      </w:r>
      <w:bookmarkEnd w:id="4"/>
    </w:p>
    <w:p w14:paraId="4D9CAC3F" w14:textId="2994DDDC" w:rsidR="00A478C4" w:rsidRPr="002C347C" w:rsidRDefault="00A478C4" w:rsidP="00A478C4">
      <w:pPr>
        <w:spacing w:after="240" w:line="240" w:lineRule="auto"/>
        <w:jc w:val="both"/>
        <w:rPr>
          <w:rFonts w:ascii="Times New Roman" w:eastAsia="Times New Roman" w:hAnsi="Times New Roman"/>
          <w:sz w:val="24"/>
          <w:szCs w:val="24"/>
        </w:rPr>
      </w:pPr>
      <w:r>
        <w:rPr>
          <w:rFonts w:ascii="Times New Roman" w:eastAsia="Times New Roman" w:hAnsi="Times New Roman"/>
          <w:b/>
          <w:sz w:val="24"/>
          <w:szCs w:val="24"/>
        </w:rPr>
        <w:t>Conclusion</w:t>
      </w:r>
    </w:p>
    <w:p w14:paraId="23911E37" w14:textId="28F4CB44" w:rsidR="00EF5EE9" w:rsidRPr="00634C4B" w:rsidRDefault="00A478C4" w:rsidP="00612891">
      <w:pPr>
        <w:autoSpaceDE w:val="0"/>
        <w:autoSpaceDN w:val="0"/>
        <w:adjustRightInd w:val="0"/>
        <w:spacing w:after="200" w:line="276" w:lineRule="auto"/>
        <w:jc w:val="both"/>
        <w:rPr>
          <w:sz w:val="24"/>
          <w:szCs w:val="24"/>
        </w:rPr>
      </w:pPr>
      <w:r>
        <w:rPr>
          <w:rFonts w:ascii="Times New Roman" w:eastAsia="Times New Roman" w:hAnsi="Times New Roman"/>
          <w:sz w:val="24"/>
          <w:szCs w:val="24"/>
        </w:rPr>
        <w:t xml:space="preserve">This Legislative Instrument is compatible with human rights as it does not raise any human rights issues. </w:t>
      </w:r>
    </w:p>
    <w:sectPr w:rsidR="00EF5EE9" w:rsidRPr="00634C4B" w:rsidSect="00F94FF4">
      <w:headerReference w:type="default" r:id="rId14"/>
      <w:footerReference w:type="default" r:id="rId15"/>
      <w:headerReference w:type="first" r:id="rId16"/>
      <w:pgSz w:w="11906" w:h="16838" w:code="9"/>
      <w:pgMar w:top="1440" w:right="1797" w:bottom="1440" w:left="179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C52CE" w14:textId="77777777" w:rsidR="0039473F" w:rsidRDefault="0039473F" w:rsidP="007A463E">
      <w:pPr>
        <w:spacing w:after="0" w:line="240" w:lineRule="auto"/>
      </w:pPr>
      <w:r>
        <w:separator/>
      </w:r>
    </w:p>
    <w:p w14:paraId="6E216C32" w14:textId="77777777" w:rsidR="0039473F" w:rsidRDefault="0039473F"/>
  </w:endnote>
  <w:endnote w:type="continuationSeparator" w:id="0">
    <w:p w14:paraId="312CC8A8" w14:textId="77777777" w:rsidR="0039473F" w:rsidRDefault="0039473F" w:rsidP="007A463E">
      <w:pPr>
        <w:spacing w:after="0" w:line="240" w:lineRule="auto"/>
      </w:pPr>
      <w:r>
        <w:continuationSeparator/>
      </w:r>
    </w:p>
    <w:p w14:paraId="1E1AB3E5" w14:textId="77777777" w:rsidR="0039473F" w:rsidRDefault="00394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836328"/>
      <w:docPartObj>
        <w:docPartGallery w:val="Page Numbers (Bottom of Page)"/>
        <w:docPartUnique/>
      </w:docPartObj>
    </w:sdtPr>
    <w:sdtEndPr/>
    <w:sdtContent>
      <w:sdt>
        <w:sdtPr>
          <w:id w:val="-1705238520"/>
          <w:docPartObj>
            <w:docPartGallery w:val="Page Numbers (Top of Page)"/>
            <w:docPartUnique/>
          </w:docPartObj>
        </w:sdtPr>
        <w:sdtEndPr/>
        <w:sdtContent>
          <w:p w14:paraId="149479F6" w14:textId="655C76CB" w:rsidR="00F94FF4" w:rsidRDefault="00F94FF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356C296" w14:textId="4E5B0325" w:rsidR="00665727" w:rsidRDefault="00665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4AC37" w14:textId="77777777" w:rsidR="0039473F" w:rsidRDefault="0039473F" w:rsidP="007A463E">
      <w:pPr>
        <w:spacing w:after="0" w:line="240" w:lineRule="auto"/>
      </w:pPr>
      <w:r>
        <w:separator/>
      </w:r>
    </w:p>
    <w:p w14:paraId="42FF7EB1" w14:textId="77777777" w:rsidR="0039473F" w:rsidRDefault="0039473F"/>
  </w:footnote>
  <w:footnote w:type="continuationSeparator" w:id="0">
    <w:p w14:paraId="0ABF0198" w14:textId="77777777" w:rsidR="0039473F" w:rsidRDefault="0039473F" w:rsidP="007A463E">
      <w:pPr>
        <w:spacing w:after="0" w:line="240" w:lineRule="auto"/>
      </w:pPr>
      <w:r>
        <w:continuationSeparator/>
      </w:r>
    </w:p>
    <w:p w14:paraId="5CACD585" w14:textId="77777777" w:rsidR="0039473F" w:rsidRDefault="0039473F"/>
  </w:footnote>
  <w:footnote w:id="1">
    <w:p w14:paraId="33FA7FCD" w14:textId="77777777" w:rsidR="00BF6D1D" w:rsidRDefault="00BF6D1D">
      <w:pPr>
        <w:pStyle w:val="FootnoteText"/>
      </w:pPr>
      <w:r>
        <w:rPr>
          <w:rStyle w:val="FootnoteReference"/>
        </w:rPr>
        <w:footnoteRef/>
      </w:r>
      <w:r>
        <w:t xml:space="preserve"> </w:t>
      </w:r>
      <w:r w:rsidRPr="00BF6D1D">
        <w:rPr>
          <w:rFonts w:ascii="Times New Roman" w:hAnsi="Times New Roman"/>
        </w:rPr>
        <w:t>Defined in s.56(1) of the Act</w:t>
      </w:r>
      <w:r>
        <w:rPr>
          <w:rFonts w:ascii="Times New Roman" w:hAnsi="Times New Roman"/>
        </w:rPr>
        <w:t>.</w:t>
      </w:r>
    </w:p>
  </w:footnote>
  <w:footnote w:id="2">
    <w:p w14:paraId="2C05B816" w14:textId="77777777" w:rsidR="00BF6D1D" w:rsidRPr="00BF6D1D" w:rsidRDefault="00BF6D1D">
      <w:pPr>
        <w:pStyle w:val="FootnoteText"/>
        <w:rPr>
          <w:rFonts w:ascii="Times New Roman" w:hAnsi="Times New Roman"/>
        </w:rPr>
      </w:pPr>
      <w:r w:rsidRPr="00BF6D1D">
        <w:rPr>
          <w:rStyle w:val="FootnoteReference"/>
          <w:rFonts w:ascii="Times New Roman" w:hAnsi="Times New Roman"/>
        </w:rPr>
        <w:footnoteRef/>
      </w:r>
      <w:r w:rsidRPr="00BF6D1D">
        <w:rPr>
          <w:rFonts w:ascii="Times New Roman" w:hAnsi="Times New Roman"/>
        </w:rPr>
        <w:t xml:space="preserve"> Defined in s.56(1) of the Act.</w:t>
      </w:r>
    </w:p>
  </w:footnote>
  <w:footnote w:id="3">
    <w:p w14:paraId="7273EAF2" w14:textId="77777777" w:rsidR="00BF6D1D" w:rsidRDefault="00BF6D1D">
      <w:pPr>
        <w:pStyle w:val="FootnoteText"/>
      </w:pPr>
      <w:r w:rsidRPr="00612891">
        <w:rPr>
          <w:rStyle w:val="FootnoteReference"/>
          <w:rFonts w:ascii="Times New Roman" w:hAnsi="Times New Roman"/>
        </w:rPr>
        <w:footnoteRef/>
      </w:r>
      <w:r w:rsidRPr="00612891">
        <w:rPr>
          <w:rFonts w:ascii="Times New Roman" w:hAnsi="Times New Roman"/>
        </w:rPr>
        <w:t xml:space="preserve"> Defined in s.3(1) of the Act.</w:t>
      </w:r>
    </w:p>
  </w:footnote>
  <w:footnote w:id="4">
    <w:p w14:paraId="640946A4" w14:textId="795C5462" w:rsidR="00E578DD" w:rsidRPr="004F2B36" w:rsidRDefault="00E578DD" w:rsidP="00E578DD">
      <w:pPr>
        <w:pStyle w:val="FootnoteText"/>
        <w:rPr>
          <w:rFonts w:ascii="Times New Roman" w:hAnsi="Times New Roman"/>
        </w:rPr>
      </w:pPr>
      <w:r w:rsidRPr="00612891">
        <w:rPr>
          <w:rStyle w:val="FootnoteReference"/>
          <w:rFonts w:ascii="Times New Roman" w:hAnsi="Times New Roman"/>
        </w:rPr>
        <w:footnoteRef/>
      </w:r>
      <w:r w:rsidRPr="00612891">
        <w:rPr>
          <w:rFonts w:ascii="Times New Roman" w:hAnsi="Times New Roman"/>
        </w:rPr>
        <w:t xml:space="preserve">   Where data are provided under the </w:t>
      </w:r>
      <w:r w:rsidRPr="00612891">
        <w:rPr>
          <w:rFonts w:ascii="Times New Roman" w:hAnsi="Times New Roman"/>
          <w:i/>
        </w:rPr>
        <w:t>Financial Sector (Collection of Data) Act 2001</w:t>
      </w:r>
      <w:r w:rsidR="00E26F43">
        <w:rPr>
          <w:rFonts w:ascii="Times New Roman" w:hAnsi="Times New Roman"/>
          <w:i/>
        </w:rPr>
        <w:t>.</w:t>
      </w:r>
    </w:p>
  </w:footnote>
  <w:footnote w:id="5">
    <w:p w14:paraId="38D1CDD4" w14:textId="661E2DE2" w:rsidR="00E26F43" w:rsidRDefault="00E26F43">
      <w:pPr>
        <w:pStyle w:val="FootnoteText"/>
      </w:pPr>
      <w:r>
        <w:rPr>
          <w:rStyle w:val="FootnoteReference"/>
        </w:rPr>
        <w:footnoteRef/>
      </w:r>
      <w:r>
        <w:t xml:space="preserve"> </w:t>
      </w:r>
      <w:r w:rsidRPr="0096657A">
        <w:rPr>
          <w:rFonts w:ascii="Times New Roman" w:hAnsi="Times New Roman"/>
        </w:rPr>
        <w:t>https://www.apra.gov.au/apra-commences-consultation-on-increased-transparency-of-general-insurance-and-life-insurance-data</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134F1" w14:textId="4162A0EB" w:rsidR="00665727" w:rsidRPr="00665727" w:rsidRDefault="00665727" w:rsidP="006657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1D459" w14:textId="7FC42DFC" w:rsidR="000F20CF" w:rsidRDefault="000F20CF" w:rsidP="000F20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0"/>
    <w:multiLevelType w:val="singleLevel"/>
    <w:tmpl w:val="A07AE4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D8A4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4887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AE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9" w15:restartNumberingAfterBreak="0">
    <w:nsid w:val="FFFFFF89"/>
    <w:multiLevelType w:val="singleLevel"/>
    <w:tmpl w:val="0C09000F"/>
    <w:lvl w:ilvl="0">
      <w:start w:val="1"/>
      <w:numFmt w:val="decimal"/>
      <w:lvlText w:val="%1."/>
      <w:lvlJc w:val="left"/>
      <w:pPr>
        <w:ind w:left="360" w:hanging="360"/>
      </w:pPr>
      <w:rPr>
        <w:rFonts w:hint="default"/>
      </w:rPr>
    </w:lvl>
  </w:abstractNum>
  <w:abstractNum w:abstractNumId="10" w15:restartNumberingAfterBreak="0">
    <w:nsid w:val="04BB1D97"/>
    <w:multiLevelType w:val="hybridMultilevel"/>
    <w:tmpl w:val="CEF4D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7803E8"/>
    <w:multiLevelType w:val="multilevel"/>
    <w:tmpl w:val="0C09001F"/>
    <w:numStyleLink w:val="111111"/>
  </w:abstractNum>
  <w:abstractNum w:abstractNumId="12" w15:restartNumberingAfterBreak="0">
    <w:nsid w:val="1E1409B1"/>
    <w:multiLevelType w:val="multilevel"/>
    <w:tmpl w:val="0C09001F"/>
    <w:numStyleLink w:val="111111"/>
  </w:abstractNum>
  <w:abstractNum w:abstractNumId="13"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A24224"/>
    <w:multiLevelType w:val="hybridMultilevel"/>
    <w:tmpl w:val="4DDC5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B47CE9"/>
    <w:multiLevelType w:val="hybridMultilevel"/>
    <w:tmpl w:val="135CF526"/>
    <w:lvl w:ilvl="0" w:tplc="5706FFF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00E1983"/>
    <w:multiLevelType w:val="multilevel"/>
    <w:tmpl w:val="0C09001F"/>
    <w:numStyleLink w:val="111111"/>
  </w:abstractNum>
  <w:abstractNum w:abstractNumId="18" w15:restartNumberingAfterBreak="0">
    <w:nsid w:val="562E7D1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EA072EC"/>
    <w:multiLevelType w:val="multilevel"/>
    <w:tmpl w:val="331866B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0"/>
  </w:num>
  <w:num w:numId="2">
    <w:abstractNumId w:val="20"/>
  </w:num>
  <w:num w:numId="3">
    <w:abstractNumId w:val="20"/>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20"/>
  </w:num>
  <w:num w:numId="12">
    <w:abstractNumId w:val="20"/>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7"/>
  </w:num>
  <w:num w:numId="26">
    <w:abstractNumId w:val="12"/>
  </w:num>
  <w:num w:numId="27">
    <w:abstractNumId w:val="11"/>
  </w:num>
  <w:num w:numId="28">
    <w:abstractNumId w:val="12"/>
  </w:num>
  <w:num w:numId="29">
    <w:abstractNumId w:val="19"/>
  </w:num>
  <w:num w:numId="30">
    <w:abstractNumId w:val="12"/>
    <w:lvlOverride w:ilvl="0">
      <w:startOverride w:val="1"/>
    </w:lvlOverride>
  </w:num>
  <w:num w:numId="31">
    <w:abstractNumId w:val="8"/>
    <w:lvlOverride w:ilvl="0">
      <w:startOverride w:val="2"/>
    </w:lvlOverride>
    <w:lvlOverride w:ilvl="1">
      <w:startOverride w:val="1"/>
    </w:lvlOverride>
  </w:num>
  <w:num w:numId="32">
    <w:abstractNumId w:val="8"/>
    <w:lvlOverride w:ilvl="0">
      <w:startOverride w:val="2"/>
    </w:lvlOverride>
    <w:lvlOverride w:ilvl="1">
      <w:startOverride w:val="1"/>
    </w:lvlOverride>
  </w:num>
  <w:num w:numId="33">
    <w:abstractNumId w:val="15"/>
  </w:num>
  <w:num w:numId="34">
    <w:abstractNumId w:val="16"/>
  </w:num>
  <w:num w:numId="35">
    <w:abstractNumId w:val="1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DD"/>
    <w:rsid w:val="00003065"/>
    <w:rsid w:val="00005705"/>
    <w:rsid w:val="00011B0A"/>
    <w:rsid w:val="00022A11"/>
    <w:rsid w:val="00034C52"/>
    <w:rsid w:val="00053F0B"/>
    <w:rsid w:val="00063BDC"/>
    <w:rsid w:val="00064C43"/>
    <w:rsid w:val="000810C5"/>
    <w:rsid w:val="000A1A18"/>
    <w:rsid w:val="000C170D"/>
    <w:rsid w:val="000C3FBD"/>
    <w:rsid w:val="000D2D92"/>
    <w:rsid w:val="000E4BA8"/>
    <w:rsid w:val="000E7027"/>
    <w:rsid w:val="000F20CF"/>
    <w:rsid w:val="0010476D"/>
    <w:rsid w:val="00115A5C"/>
    <w:rsid w:val="00115A8B"/>
    <w:rsid w:val="00122E07"/>
    <w:rsid w:val="00132345"/>
    <w:rsid w:val="001502F1"/>
    <w:rsid w:val="00156AB9"/>
    <w:rsid w:val="001B261D"/>
    <w:rsid w:val="001D3046"/>
    <w:rsid w:val="001D505A"/>
    <w:rsid w:val="001E00D2"/>
    <w:rsid w:val="001F3843"/>
    <w:rsid w:val="001F71DC"/>
    <w:rsid w:val="00200E7D"/>
    <w:rsid w:val="0021143E"/>
    <w:rsid w:val="00230E14"/>
    <w:rsid w:val="002329A8"/>
    <w:rsid w:val="002403C8"/>
    <w:rsid w:val="0024194B"/>
    <w:rsid w:val="00243CEF"/>
    <w:rsid w:val="00257E33"/>
    <w:rsid w:val="0026542C"/>
    <w:rsid w:val="00267EBC"/>
    <w:rsid w:val="00271018"/>
    <w:rsid w:val="002762C5"/>
    <w:rsid w:val="002767C9"/>
    <w:rsid w:val="00276B5A"/>
    <w:rsid w:val="00284B80"/>
    <w:rsid w:val="00295D02"/>
    <w:rsid w:val="00295E33"/>
    <w:rsid w:val="002B0B89"/>
    <w:rsid w:val="002B5482"/>
    <w:rsid w:val="002B6F5E"/>
    <w:rsid w:val="002C347C"/>
    <w:rsid w:val="002F5035"/>
    <w:rsid w:val="003178F7"/>
    <w:rsid w:val="00320A5E"/>
    <w:rsid w:val="00327FA7"/>
    <w:rsid w:val="00343710"/>
    <w:rsid w:val="00353DE2"/>
    <w:rsid w:val="003553F5"/>
    <w:rsid w:val="00356B85"/>
    <w:rsid w:val="00367A5D"/>
    <w:rsid w:val="003707EE"/>
    <w:rsid w:val="00373B0D"/>
    <w:rsid w:val="0039473F"/>
    <w:rsid w:val="00395114"/>
    <w:rsid w:val="003C1F81"/>
    <w:rsid w:val="003C3AFA"/>
    <w:rsid w:val="003C6CBE"/>
    <w:rsid w:val="003D6738"/>
    <w:rsid w:val="003F610C"/>
    <w:rsid w:val="00404DA2"/>
    <w:rsid w:val="00416E30"/>
    <w:rsid w:val="004211E3"/>
    <w:rsid w:val="0043440F"/>
    <w:rsid w:val="00444BF0"/>
    <w:rsid w:val="004655A9"/>
    <w:rsid w:val="00465B2F"/>
    <w:rsid w:val="004C2EC4"/>
    <w:rsid w:val="004C4A61"/>
    <w:rsid w:val="004D6152"/>
    <w:rsid w:val="004D7117"/>
    <w:rsid w:val="004E6E7B"/>
    <w:rsid w:val="004E7E09"/>
    <w:rsid w:val="004F2B36"/>
    <w:rsid w:val="00501BE4"/>
    <w:rsid w:val="00524340"/>
    <w:rsid w:val="00533090"/>
    <w:rsid w:val="00547263"/>
    <w:rsid w:val="00555790"/>
    <w:rsid w:val="0056571B"/>
    <w:rsid w:val="00576F7A"/>
    <w:rsid w:val="00582C59"/>
    <w:rsid w:val="00582FA2"/>
    <w:rsid w:val="0059180D"/>
    <w:rsid w:val="005A0CB4"/>
    <w:rsid w:val="005D416C"/>
    <w:rsid w:val="005E1E5D"/>
    <w:rsid w:val="00606A83"/>
    <w:rsid w:val="00606F5A"/>
    <w:rsid w:val="0060742D"/>
    <w:rsid w:val="00612891"/>
    <w:rsid w:val="006128BA"/>
    <w:rsid w:val="0061410E"/>
    <w:rsid w:val="0062513A"/>
    <w:rsid w:val="0062611E"/>
    <w:rsid w:val="00626FC9"/>
    <w:rsid w:val="00634C4B"/>
    <w:rsid w:val="006352A2"/>
    <w:rsid w:val="00643A21"/>
    <w:rsid w:val="00646C7A"/>
    <w:rsid w:val="00665727"/>
    <w:rsid w:val="00677A36"/>
    <w:rsid w:val="006905D5"/>
    <w:rsid w:val="00694115"/>
    <w:rsid w:val="006A5169"/>
    <w:rsid w:val="006C1429"/>
    <w:rsid w:val="006E4003"/>
    <w:rsid w:val="006F0351"/>
    <w:rsid w:val="00706180"/>
    <w:rsid w:val="007123A1"/>
    <w:rsid w:val="007236E2"/>
    <w:rsid w:val="007250D2"/>
    <w:rsid w:val="007403DD"/>
    <w:rsid w:val="0074761E"/>
    <w:rsid w:val="00753844"/>
    <w:rsid w:val="007612CB"/>
    <w:rsid w:val="00764256"/>
    <w:rsid w:val="00781FF4"/>
    <w:rsid w:val="00786B63"/>
    <w:rsid w:val="007A2435"/>
    <w:rsid w:val="007A463E"/>
    <w:rsid w:val="007B22EE"/>
    <w:rsid w:val="007D1D55"/>
    <w:rsid w:val="007E44CA"/>
    <w:rsid w:val="007E742F"/>
    <w:rsid w:val="007F6BB6"/>
    <w:rsid w:val="00810AA7"/>
    <w:rsid w:val="00815FF6"/>
    <w:rsid w:val="00816255"/>
    <w:rsid w:val="008204C0"/>
    <w:rsid w:val="00857706"/>
    <w:rsid w:val="00857979"/>
    <w:rsid w:val="008660B2"/>
    <w:rsid w:val="00867796"/>
    <w:rsid w:val="00870FFC"/>
    <w:rsid w:val="00872E1D"/>
    <w:rsid w:val="008731CD"/>
    <w:rsid w:val="00883E31"/>
    <w:rsid w:val="008A61BD"/>
    <w:rsid w:val="008B1404"/>
    <w:rsid w:val="008B2E1E"/>
    <w:rsid w:val="008C4B9B"/>
    <w:rsid w:val="0090186B"/>
    <w:rsid w:val="009118C6"/>
    <w:rsid w:val="00912217"/>
    <w:rsid w:val="00921341"/>
    <w:rsid w:val="00925FBE"/>
    <w:rsid w:val="0092635A"/>
    <w:rsid w:val="0096273C"/>
    <w:rsid w:val="00970A4C"/>
    <w:rsid w:val="0097242F"/>
    <w:rsid w:val="00973EBF"/>
    <w:rsid w:val="0098213D"/>
    <w:rsid w:val="00983285"/>
    <w:rsid w:val="00985F74"/>
    <w:rsid w:val="00986C42"/>
    <w:rsid w:val="0098743D"/>
    <w:rsid w:val="009F1036"/>
    <w:rsid w:val="00A00652"/>
    <w:rsid w:val="00A032BF"/>
    <w:rsid w:val="00A06EE8"/>
    <w:rsid w:val="00A077E2"/>
    <w:rsid w:val="00A17687"/>
    <w:rsid w:val="00A30827"/>
    <w:rsid w:val="00A35C0E"/>
    <w:rsid w:val="00A37017"/>
    <w:rsid w:val="00A478C4"/>
    <w:rsid w:val="00A54292"/>
    <w:rsid w:val="00A66ADC"/>
    <w:rsid w:val="00A84282"/>
    <w:rsid w:val="00AA701F"/>
    <w:rsid w:val="00AB105B"/>
    <w:rsid w:val="00AC2DDF"/>
    <w:rsid w:val="00AD5E0F"/>
    <w:rsid w:val="00AD6C14"/>
    <w:rsid w:val="00AF470F"/>
    <w:rsid w:val="00B011AF"/>
    <w:rsid w:val="00B11096"/>
    <w:rsid w:val="00B202BF"/>
    <w:rsid w:val="00B21A37"/>
    <w:rsid w:val="00B318CE"/>
    <w:rsid w:val="00B36BD8"/>
    <w:rsid w:val="00B44A29"/>
    <w:rsid w:val="00B66A86"/>
    <w:rsid w:val="00B66C36"/>
    <w:rsid w:val="00B86EF7"/>
    <w:rsid w:val="00BA4CC0"/>
    <w:rsid w:val="00BB2DAD"/>
    <w:rsid w:val="00BD5CEC"/>
    <w:rsid w:val="00BD7626"/>
    <w:rsid w:val="00BF6D1D"/>
    <w:rsid w:val="00BF7BEB"/>
    <w:rsid w:val="00C05769"/>
    <w:rsid w:val="00C614C0"/>
    <w:rsid w:val="00C824DE"/>
    <w:rsid w:val="00C82CA0"/>
    <w:rsid w:val="00C87FCF"/>
    <w:rsid w:val="00CA247C"/>
    <w:rsid w:val="00CA59EB"/>
    <w:rsid w:val="00CC05EA"/>
    <w:rsid w:val="00CE0F02"/>
    <w:rsid w:val="00CE3987"/>
    <w:rsid w:val="00CE7675"/>
    <w:rsid w:val="00CF1FC4"/>
    <w:rsid w:val="00D02242"/>
    <w:rsid w:val="00D04818"/>
    <w:rsid w:val="00D048F1"/>
    <w:rsid w:val="00D14049"/>
    <w:rsid w:val="00D3332F"/>
    <w:rsid w:val="00D56A37"/>
    <w:rsid w:val="00D66296"/>
    <w:rsid w:val="00D74134"/>
    <w:rsid w:val="00D94B82"/>
    <w:rsid w:val="00D95999"/>
    <w:rsid w:val="00DC771B"/>
    <w:rsid w:val="00DC7EF3"/>
    <w:rsid w:val="00DD6962"/>
    <w:rsid w:val="00DD75D8"/>
    <w:rsid w:val="00E01084"/>
    <w:rsid w:val="00E025CE"/>
    <w:rsid w:val="00E1430F"/>
    <w:rsid w:val="00E26F43"/>
    <w:rsid w:val="00E32CE9"/>
    <w:rsid w:val="00E36C9E"/>
    <w:rsid w:val="00E453BF"/>
    <w:rsid w:val="00E5132A"/>
    <w:rsid w:val="00E55A7E"/>
    <w:rsid w:val="00E578DD"/>
    <w:rsid w:val="00E6235E"/>
    <w:rsid w:val="00E63012"/>
    <w:rsid w:val="00E81F89"/>
    <w:rsid w:val="00E83A0A"/>
    <w:rsid w:val="00E83D82"/>
    <w:rsid w:val="00E96618"/>
    <w:rsid w:val="00EB2516"/>
    <w:rsid w:val="00EB722E"/>
    <w:rsid w:val="00ED3926"/>
    <w:rsid w:val="00EE08D5"/>
    <w:rsid w:val="00EF496F"/>
    <w:rsid w:val="00EF5EE9"/>
    <w:rsid w:val="00F050DF"/>
    <w:rsid w:val="00F11BC9"/>
    <w:rsid w:val="00F143DE"/>
    <w:rsid w:val="00F327CB"/>
    <w:rsid w:val="00F678CF"/>
    <w:rsid w:val="00F702BD"/>
    <w:rsid w:val="00F74E58"/>
    <w:rsid w:val="00F77F5D"/>
    <w:rsid w:val="00F865EB"/>
    <w:rsid w:val="00F94FF4"/>
    <w:rsid w:val="00FA2F99"/>
    <w:rsid w:val="00FC7C63"/>
    <w:rsid w:val="00FD6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92E050C"/>
  <w15:docId w15:val="{512C97C8-F06F-4559-A135-4EE55B84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EF3"/>
  </w:style>
  <w:style w:type="paragraph" w:styleId="Heading1">
    <w:name w:val="heading 1"/>
    <w:next w:val="Normal"/>
    <w:link w:val="Heading1Char"/>
    <w:uiPriority w:val="9"/>
    <w:qFormat/>
    <w:rsid w:val="00DC7EF3"/>
    <w:pPr>
      <w:keepNext/>
      <w:keepLines/>
      <w:spacing w:before="480" w:after="600" w:line="360" w:lineRule="auto"/>
      <w:contextualSpacing/>
      <w:outlineLvl w:val="0"/>
    </w:pPr>
    <w:rPr>
      <w:rFonts w:eastAsiaTheme="majorEastAsia" w:cstheme="majorBidi"/>
      <w:b/>
      <w:bCs/>
      <w:kern w:val="28"/>
      <w:sz w:val="56"/>
      <w:szCs w:val="32"/>
    </w:rPr>
  </w:style>
  <w:style w:type="paragraph" w:styleId="Heading2">
    <w:name w:val="heading 2"/>
    <w:basedOn w:val="Heading1"/>
    <w:next w:val="Normal"/>
    <w:link w:val="Heading2Char"/>
    <w:uiPriority w:val="9"/>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9"/>
    <w:rsid w:val="00DC7EF3"/>
    <w:rPr>
      <w:rFonts w:eastAsiaTheme="majorEastAsia" w:cstheme="majorBidi"/>
      <w:b/>
      <w:bCs/>
      <w:kern w:val="28"/>
      <w:sz w:val="56"/>
      <w:szCs w:val="32"/>
    </w:rPr>
  </w:style>
  <w:style w:type="character" w:customStyle="1" w:styleId="Heading2Char">
    <w:name w:val="Heading 2 Char"/>
    <w:link w:val="Heading2"/>
    <w:uiPriority w:val="9"/>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3"/>
      </w:numPr>
      <w:tabs>
        <w:tab w:val="left" w:pos="1935"/>
      </w:tabs>
      <w:spacing w:before="120" w:line="240" w:lineRule="auto"/>
    </w:pPr>
    <w:rPr>
      <w:sz w:val="24"/>
    </w:rPr>
  </w:style>
  <w:style w:type="character" w:customStyle="1" w:styleId="BulletChar">
    <w:name w:val="Bullet Char"/>
    <w:link w:val="Bullet"/>
    <w:rsid w:val="006E4003"/>
    <w:rPr>
      <w:rFonts w:ascii="Trebuchet MS" w:eastAsia="Times New Roman" w:hAnsi="Trebuchet MS" w:cs="Times New Roman"/>
      <w:sz w:val="24"/>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6E4003"/>
    <w:pPr>
      <w:tabs>
        <w:tab w:val="right" w:leader="dot" w:pos="9016"/>
      </w:tabs>
    </w:pPr>
    <w:rPr>
      <w:b/>
      <w:noProof/>
    </w:rPr>
  </w:style>
  <w:style w:type="paragraph" w:styleId="TOC2">
    <w:name w:val="toc 2"/>
    <w:basedOn w:val="Normal"/>
    <w:next w:val="Normal"/>
    <w:autoRedefine/>
    <w:uiPriority w:val="39"/>
    <w:unhideWhenUsed/>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basedOn w:val="Normal"/>
    <w:link w:val="FootnoteTextChar"/>
    <w:uiPriority w:val="99"/>
    <w:unhideWhenUsed/>
    <w:rsid w:val="006E4003"/>
    <w:pPr>
      <w:spacing w:line="240" w:lineRule="auto"/>
    </w:pPr>
    <w:rPr>
      <w:sz w:val="18"/>
    </w:rPr>
  </w:style>
  <w:style w:type="character" w:customStyle="1" w:styleId="FootnoteTextChar">
    <w:name w:val="Footnote Text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21143E"/>
    <w:pPr>
      <w:tabs>
        <w:tab w:val="center" w:pos="4513"/>
        <w:tab w:val="right" w:pos="9026"/>
      </w:tabs>
      <w:spacing w:before="120" w:line="240" w:lineRule="auto"/>
      <w:jc w:val="right"/>
    </w:pPr>
    <w:rPr>
      <w:sz w:val="18"/>
    </w:rPr>
  </w:style>
  <w:style w:type="character" w:customStyle="1" w:styleId="FooterChar">
    <w:name w:val="Footer Char"/>
    <w:link w:val="Footer"/>
    <w:uiPriority w:val="99"/>
    <w:rsid w:val="0021143E"/>
    <w:rPr>
      <w:rFonts w:asciiTheme="minorHAnsi" w:hAnsiTheme="minorHAnsi"/>
      <w:sz w:val="18"/>
    </w:rPr>
  </w:style>
  <w:style w:type="character" w:styleId="FootnoteReference">
    <w:name w:val="footnote reference"/>
    <w:uiPriority w:val="99"/>
    <w:unhideWhenUsed/>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26"/>
      </w:numPr>
    </w:pPr>
  </w:style>
  <w:style w:type="paragraph" w:styleId="ListParagraph">
    <w:name w:val="List Paragraph"/>
    <w:basedOn w:val="Normal"/>
    <w:link w:val="ListParagraphChar"/>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33"/>
      </w:numPr>
      <w:contextualSpacing w:val="0"/>
    </w:pPr>
  </w:style>
  <w:style w:type="paragraph" w:styleId="ListNumber2">
    <w:name w:val="List Number 2"/>
    <w:basedOn w:val="Normal"/>
    <w:uiPriority w:val="99"/>
    <w:unhideWhenUsed/>
    <w:rsid w:val="0026542C"/>
    <w:pPr>
      <w:numPr>
        <w:numId w:val="20"/>
      </w:numPr>
      <w:contextualSpacing/>
    </w:pPr>
  </w:style>
  <w:style w:type="paragraph" w:styleId="ListNumber3">
    <w:name w:val="List Number 3"/>
    <w:basedOn w:val="Normal"/>
    <w:link w:val="ListNumber3Char"/>
    <w:uiPriority w:val="99"/>
    <w:unhideWhenUsed/>
    <w:rsid w:val="0026542C"/>
    <w:pPr>
      <w:numPr>
        <w:numId w:val="21"/>
      </w:numPr>
      <w:contextualSpacing/>
    </w:pPr>
  </w:style>
  <w:style w:type="paragraph" w:styleId="ListNumber4">
    <w:name w:val="List Number 4"/>
    <w:basedOn w:val="Normal"/>
    <w:uiPriority w:val="99"/>
    <w:semiHidden/>
    <w:unhideWhenUsed/>
    <w:rsid w:val="0026542C"/>
    <w:pPr>
      <w:numPr>
        <w:numId w:val="22"/>
      </w:numPr>
      <w:contextualSpacing/>
    </w:pPr>
  </w:style>
  <w:style w:type="paragraph" w:styleId="ListNumber5">
    <w:name w:val="List Number 5"/>
    <w:basedOn w:val="Normal"/>
    <w:uiPriority w:val="99"/>
    <w:semiHidden/>
    <w:unhideWhenUsed/>
    <w:rsid w:val="0026542C"/>
    <w:pPr>
      <w:numPr>
        <w:numId w:val="23"/>
      </w:numPr>
      <w:contextualSpacing/>
    </w:pPr>
  </w:style>
  <w:style w:type="paragraph" w:styleId="ListNumber">
    <w:name w:val="List Number"/>
    <w:basedOn w:val="Normal"/>
    <w:uiPriority w:val="99"/>
    <w:unhideWhenUsed/>
    <w:rsid w:val="0026542C"/>
    <w:pPr>
      <w:numPr>
        <w:numId w:val="19"/>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24"/>
      </w:numPr>
    </w:pPr>
  </w:style>
  <w:style w:type="character" w:customStyle="1" w:styleId="ListNumber3Char">
    <w:name w:val="List Number 3 Char"/>
    <w:basedOn w:val="DefaultParagraphFont"/>
    <w:link w:val="ListNumber3"/>
    <w:uiPriority w:val="99"/>
    <w:rsid w:val="00373B0D"/>
  </w:style>
  <w:style w:type="character" w:customStyle="1" w:styleId="NumberedListChar">
    <w:name w:val="Numbered List Char"/>
    <w:basedOn w:val="ListNumber3Char"/>
    <w:link w:val="NumberedList"/>
    <w:rsid w:val="00373B0D"/>
  </w:style>
  <w:style w:type="paragraph" w:styleId="BodyText">
    <w:name w:val="Body Text"/>
    <w:basedOn w:val="Normal"/>
    <w:link w:val="BodyTextChar"/>
    <w:uiPriority w:val="99"/>
    <w:semiHidden/>
    <w:unhideWhenUsed/>
    <w:rsid w:val="002F5035"/>
  </w:style>
  <w:style w:type="character" w:customStyle="1" w:styleId="BodyTextChar">
    <w:name w:val="Body Text Char"/>
    <w:basedOn w:val="DefaultParagraphFont"/>
    <w:link w:val="BodyText"/>
    <w:uiPriority w:val="99"/>
    <w:semiHidden/>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line="240" w:lineRule="auto"/>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line="240" w:lineRule="auto"/>
    </w:pPr>
    <w:rPr>
      <w:rFonts w:cstheme="minorBidi"/>
      <w:b/>
      <w:sz w:val="20"/>
    </w:rPr>
  </w:style>
  <w:style w:type="paragraph" w:customStyle="1" w:styleId="TableRowHeading">
    <w:name w:val="Table Row Heading"/>
    <w:basedOn w:val="Normal"/>
    <w:rsid w:val="00677A36"/>
    <w:pPr>
      <w:keepNext/>
      <w:widowControl w:val="0"/>
      <w:spacing w:before="120" w:line="240" w:lineRule="auto"/>
    </w:pPr>
    <w:rPr>
      <w:b/>
      <w:i/>
      <w:sz w:val="20"/>
      <w:lang w:eastAsia="en-AU"/>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uiPriority w:val="10"/>
    <w:qFormat/>
    <w:rsid w:val="00DC7EF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styleId="Revision">
    <w:name w:val="Revision"/>
    <w:hidden/>
    <w:uiPriority w:val="99"/>
    <w:semiHidden/>
    <w:rsid w:val="00F678CF"/>
    <w:pPr>
      <w:spacing w:after="0" w:line="240" w:lineRule="auto"/>
    </w:pPr>
  </w:style>
  <w:style w:type="character" w:styleId="CommentReference">
    <w:name w:val="annotation reference"/>
    <w:basedOn w:val="DefaultParagraphFont"/>
    <w:uiPriority w:val="99"/>
    <w:semiHidden/>
    <w:unhideWhenUsed/>
    <w:rsid w:val="00F327CB"/>
    <w:rPr>
      <w:sz w:val="16"/>
      <w:szCs w:val="16"/>
    </w:rPr>
  </w:style>
  <w:style w:type="paragraph" w:styleId="CommentText">
    <w:name w:val="annotation text"/>
    <w:basedOn w:val="Normal"/>
    <w:link w:val="CommentTextChar"/>
    <w:uiPriority w:val="99"/>
    <w:semiHidden/>
    <w:unhideWhenUsed/>
    <w:rsid w:val="00F327CB"/>
    <w:pPr>
      <w:spacing w:line="240" w:lineRule="auto"/>
    </w:pPr>
    <w:rPr>
      <w:sz w:val="20"/>
      <w:szCs w:val="20"/>
    </w:rPr>
  </w:style>
  <w:style w:type="character" w:customStyle="1" w:styleId="CommentTextChar">
    <w:name w:val="Comment Text Char"/>
    <w:basedOn w:val="DefaultParagraphFont"/>
    <w:link w:val="CommentText"/>
    <w:uiPriority w:val="99"/>
    <w:semiHidden/>
    <w:rsid w:val="00F327CB"/>
    <w:rPr>
      <w:sz w:val="20"/>
      <w:szCs w:val="20"/>
    </w:rPr>
  </w:style>
  <w:style w:type="paragraph" w:styleId="CommentSubject">
    <w:name w:val="annotation subject"/>
    <w:basedOn w:val="CommentText"/>
    <w:next w:val="CommentText"/>
    <w:link w:val="CommentSubjectChar"/>
    <w:uiPriority w:val="99"/>
    <w:semiHidden/>
    <w:unhideWhenUsed/>
    <w:rsid w:val="00F327CB"/>
    <w:rPr>
      <w:b/>
      <w:bCs/>
    </w:rPr>
  </w:style>
  <w:style w:type="character" w:customStyle="1" w:styleId="CommentSubjectChar">
    <w:name w:val="Comment Subject Char"/>
    <w:basedOn w:val="CommentTextChar"/>
    <w:link w:val="CommentSubject"/>
    <w:uiPriority w:val="99"/>
    <w:semiHidden/>
    <w:rsid w:val="00F327CB"/>
    <w:rPr>
      <w:b/>
      <w:bCs/>
      <w:sz w:val="20"/>
      <w:szCs w:val="20"/>
    </w:rPr>
  </w:style>
  <w:style w:type="character" w:customStyle="1" w:styleId="ListParagraphChar">
    <w:name w:val="List Paragraph Char"/>
    <w:basedOn w:val="DefaultParagraphFont"/>
    <w:link w:val="ListParagraph"/>
    <w:uiPriority w:val="34"/>
    <w:rsid w:val="00064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08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APRA (confidentiality) determination No. 1 of 2022</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5JENXJJSCC7A-445999044-11703</_dlc_DocId>
    <_dlc_DocIdUrl xmlns="814d62cb-2db6-4c25-ab62-b9075facbc11">
      <Url>https://im/teams/LEGAL/_layouts/15/DocIdRedir.aspx?ID=5JENXJJSCC7A-445999044-11703</Url>
      <Description>5JENXJJSCC7A-445999044-11703</Description>
    </_dlc_DocIdUrl>
  </documentManagement>
</p:properti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D1B1E-CFB2-4A2C-A6F1-B6D45FBC1836}">
  <ds:schemaRefs>
    <ds:schemaRef ds:uri="http://schemas.microsoft.com/sharepoint/v3/contenttype/forms"/>
  </ds:schemaRefs>
</ds:datastoreItem>
</file>

<file path=customXml/itemProps2.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3.xml><?xml version="1.0" encoding="utf-8"?>
<ds:datastoreItem xmlns:ds="http://schemas.openxmlformats.org/officeDocument/2006/customXml" ds:itemID="{90FF1157-2B85-4603-A50E-2B6DF2603E1C}">
  <ds:schemaRefs>
    <ds:schemaRef ds:uri="http://schemas.microsoft.com/office/2006/documentManagement/types"/>
    <ds:schemaRef ds:uri="http://schemas.microsoft.com/office/infopath/2007/PartnerControls"/>
    <ds:schemaRef ds:uri="814d62cb-2db6-4c25-ab62-b9075facbc11"/>
    <ds:schemaRef ds:uri="http://purl.org/dc/dcmitype/"/>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BAD0D47-EA5B-433E-9F99-F4E4783D370D}">
  <ds:schemaRefs>
    <ds:schemaRef ds:uri="Microsoft.SharePoint.Taxonomy.ContentTypeSync"/>
  </ds:schemaRefs>
</ds:datastoreItem>
</file>

<file path=customXml/itemProps5.xml><?xml version="1.0" encoding="utf-8"?>
<ds:datastoreItem xmlns:ds="http://schemas.openxmlformats.org/officeDocument/2006/customXml" ds:itemID="{0E59910A-16B9-4A75-BD3F-14828599EC94}">
  <ds:schemaRefs>
    <ds:schemaRef ds:uri="http://schemas.microsoft.com/sharepoint/events"/>
  </ds:schemaRefs>
</ds:datastoreItem>
</file>

<file path=customXml/itemProps6.xml><?xml version="1.0" encoding="utf-8"?>
<ds:datastoreItem xmlns:ds="http://schemas.openxmlformats.org/officeDocument/2006/customXml" ds:itemID="{A72A1A5C-4579-4002-A017-8AAF85D6B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2175EDB-EFD0-479D-9C93-0DACBB8D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6460</Characters>
  <Application>Microsoft Office Word</Application>
  <DocSecurity>0</DocSecurity>
  <Lines>124</Lines>
  <Paragraphs>45</Paragraphs>
  <ScaleCrop>false</ScaleCrop>
  <HeadingPairs>
    <vt:vector size="2" baseType="variant">
      <vt:variant>
        <vt:lpstr>Title</vt:lpstr>
      </vt:variant>
      <vt:variant>
        <vt:i4>1</vt:i4>
      </vt:variant>
    </vt:vector>
  </HeadingPairs>
  <TitlesOfParts>
    <vt:vector size="1" baseType="lpstr">
      <vt:lpstr>GI ES - Legal amendments</vt:lpstr>
    </vt:vector>
  </TitlesOfParts>
  <Company>APRA</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APRA (confidentiality) determination No. 1 of 2022</dc:title>
  <dc:creator>Sullivan, David</dc:creator>
  <cp:keywords>[SEC=OFFICIAL]</cp:keywords>
  <cp:lastModifiedBy>Toni Michalis</cp:lastModifiedBy>
  <cp:revision>2</cp:revision>
  <cp:lastPrinted>2015-05-12T05:27:00Z</cp:lastPrinted>
  <dcterms:created xsi:type="dcterms:W3CDTF">2022-01-18T23:16:00Z</dcterms:created>
  <dcterms:modified xsi:type="dcterms:W3CDTF">2022-01-18T23:16:00Z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3DF71E992C534ACA86570BF2A301E0E7</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2022-01-18T23:16:11Z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2018.3</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AC3B8F8AC0B56947D5294B55C987B29A</vt:lpwstr>
  </property>
  <property fmtid="{D5CDD505-2E9C-101B-9397-08002B2CF9AE}" pid="20" name="PM_Hash_Salt">
    <vt:lpwstr>6873E5D34D164BFD4C3675C801174DF9</vt:lpwstr>
  </property>
  <property fmtid="{D5CDD505-2E9C-101B-9397-08002B2CF9AE}" pid="21" name="PM_Hash_SHA1">
    <vt:lpwstr>C75DA84A9E2B0B6C6C06FFE73389E26FB7866A6B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0x0101008CA7A4F8331B45C7B0D3158B4994D0CA0200577EC0F5A1FBFC498F9A8436B963F8A6</vt:lpwstr>
  </property>
  <property fmtid="{D5CDD505-2E9C-101B-9397-08002B2CF9AE}" pid="25" name="_dlc_DocIdItemGuid">
    <vt:lpwstr>d708c4c0-84f7-447a-b3ce-9fc0c2f6f031</vt:lpwstr>
  </property>
  <property fmtid="{D5CDD505-2E9C-101B-9397-08002B2CF9AE}" pid="26" name="IsLocked">
    <vt:lpwstr>False</vt:lpwstr>
  </property>
  <property fmtid="{D5CDD505-2E9C-101B-9397-08002B2CF9AE}" pid="2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8" name="IT system type">
    <vt:lpwstr/>
  </property>
  <property fmtid="{D5CDD505-2E9C-101B-9397-08002B2CF9AE}" pid="29" name="APRACategory">
    <vt:lpwstr/>
  </property>
  <property fmtid="{D5CDD505-2E9C-101B-9397-08002B2CF9AE}" pid="30" name="APRADocumentType">
    <vt:lpwstr>234;#Explanatory statement|b22f2e2f-3f73-411b-9a7c-34264d26fa25</vt:lpwstr>
  </property>
  <property fmtid="{D5CDD505-2E9C-101B-9397-08002B2CF9AE}" pid="31" name="APRAStatus">
    <vt:lpwstr>19;#Final|84d6b2d0-8498-4d62-bf46-bab38babbe9e</vt:lpwstr>
  </property>
  <property fmtid="{D5CDD505-2E9C-101B-9397-08002B2CF9AE}" pid="32" name="APRAPRSG">
    <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Industry">
    <vt:lpwstr/>
  </property>
  <property fmtid="{D5CDD505-2E9C-101B-9397-08002B2CF9AE}" pid="36" name="APRALegislation">
    <vt:lpwstr/>
  </property>
  <property fmtid="{D5CDD505-2E9C-101B-9397-08002B2CF9AE}" pid="37" name="APRAYear">
    <vt:lpwstr/>
  </property>
  <property fmtid="{D5CDD505-2E9C-101B-9397-08002B2CF9AE}" pid="38" name="APRAExternalOrganisation">
    <vt:lpwstr/>
  </property>
  <property fmtid="{D5CDD505-2E9C-101B-9397-08002B2CF9AE}" pid="39" name="APRAIRTR">
    <vt:lpwstr/>
  </property>
  <property fmtid="{D5CDD505-2E9C-101B-9397-08002B2CF9AE}" pid="40" name="APRAPeriod">
    <vt:lpwstr/>
  </property>
  <property fmtid="{D5CDD505-2E9C-101B-9397-08002B2CF9AE}" pid="41" name="RecordPoint_WorkflowType">
    <vt:lpwstr>ActiveSubmitStub</vt:lpwstr>
  </property>
  <property fmtid="{D5CDD505-2E9C-101B-9397-08002B2CF9AE}" pid="42" name="RecordPoint_ActiveItemWebId">
    <vt:lpwstr>{75a71c27-8d66-4282-ae60-1bfc22a83be1}</vt:lpwstr>
  </property>
  <property fmtid="{D5CDD505-2E9C-101B-9397-08002B2CF9AE}" pid="43" name="RecordPoint_ActiveItemSiteId">
    <vt:lpwstr>{88691c01-5bbb-4215-adc0-66cb7065b0af}</vt:lpwstr>
  </property>
  <property fmtid="{D5CDD505-2E9C-101B-9397-08002B2CF9AE}" pid="44" name="RecordPoint_ActiveItemListId">
    <vt:lpwstr>{0e59e171-09d8-4401-800a-327154450cb3}</vt:lpwstr>
  </property>
  <property fmtid="{D5CDD505-2E9C-101B-9397-08002B2CF9AE}" pid="45" name="RecordPoint_ActiveItemUniqueId">
    <vt:lpwstr>{d708c4c0-84f7-447a-b3ce-9fc0c2f6f031}</vt:lpwstr>
  </property>
  <property fmtid="{D5CDD505-2E9C-101B-9397-08002B2CF9AE}" pid="46" name="RecordPoint_RecordNumberSubmitted">
    <vt:lpwstr>R0001502638</vt:lpwstr>
  </property>
  <property fmtid="{D5CDD505-2E9C-101B-9397-08002B2CF9AE}" pid="47" name="RecordPoint_SubmissionCompleted">
    <vt:lpwstr>2022-01-19T10:24:58.6935026+11:00</vt:lpwstr>
  </property>
  <property fmtid="{D5CDD505-2E9C-101B-9397-08002B2CF9AE}" pid="48" name="PM_Display">
    <vt:lpwstr>OFFICIAL</vt:lpwstr>
  </property>
  <property fmtid="{D5CDD505-2E9C-101B-9397-08002B2CF9AE}" pid="49" name="PM_OriginatorUserAccountName_SHA256">
    <vt:lpwstr>6E3018F28A186D2E5FF5207C041E7A82E907C3008E071057026A53705873B72E</vt:lpwstr>
  </property>
  <property fmtid="{D5CDD505-2E9C-101B-9397-08002B2CF9AE}" pid="50" name="PM_OriginatorDomainName_SHA256">
    <vt:lpwstr>ECBDE2B44A971754412B3FB70606937A119CC0D4B6C1B658A40FBD41C30BE3EC</vt:lpwstr>
  </property>
  <property fmtid="{D5CDD505-2E9C-101B-9397-08002B2CF9AE}" pid="51" name="PM_MinimumSecurityClassification">
    <vt:lpwstr/>
  </property>
  <property fmtid="{D5CDD505-2E9C-101B-9397-08002B2CF9AE}" pid="52" name="RecordPoint_SubmissionDate">
    <vt:lpwstr/>
  </property>
  <property fmtid="{D5CDD505-2E9C-101B-9397-08002B2CF9AE}" pid="53" name="RecordPoint_ActiveItemMoved">
    <vt:lpwstr/>
  </property>
  <property fmtid="{D5CDD505-2E9C-101B-9397-08002B2CF9AE}" pid="54" name="RecordPoint_RecordFormat">
    <vt:lpwstr/>
  </property>
</Properties>
</file>