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B4BB" w14:textId="77777777" w:rsidR="001639DA" w:rsidRDefault="00352EA8">
      <w:pPr>
        <w:spacing w:after="0" w:line="240" w:lineRule="auto"/>
        <w:ind w:left="163" w:right="-20"/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 wp14:anchorId="46384C9C" wp14:editId="78DFCBA5">
            <wp:extent cx="1407160" cy="109728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6469F" w14:textId="77777777" w:rsidR="001639DA" w:rsidRDefault="001639DA">
      <w:pPr>
        <w:spacing w:before="8" w:after="0" w:line="180" w:lineRule="exact"/>
        <w:rPr>
          <w:sz w:val="18"/>
          <w:szCs w:val="18"/>
        </w:rPr>
      </w:pPr>
    </w:p>
    <w:p w14:paraId="7AA00FAF" w14:textId="77777777" w:rsidR="001639DA" w:rsidRDefault="00995115" w:rsidP="00D73303">
      <w:pPr>
        <w:spacing w:after="0" w:line="240" w:lineRule="auto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pacing w:val="1"/>
          <w:sz w:val="40"/>
          <w:szCs w:val="40"/>
        </w:rPr>
        <w:t>Australia</w:t>
      </w:r>
      <w:r>
        <w:rPr>
          <w:rFonts w:ascii="Arial" w:eastAsia="Arial" w:hAnsi="Arial" w:cs="Arial"/>
          <w:b/>
          <w:bCs/>
          <w:sz w:val="40"/>
          <w:szCs w:val="40"/>
        </w:rPr>
        <w:t>n</w:t>
      </w:r>
      <w:r>
        <w:rPr>
          <w:rFonts w:ascii="Arial" w:eastAsia="Arial" w:hAnsi="Arial" w:cs="Arial"/>
          <w:b/>
          <w:bCs/>
          <w:spacing w:val="-2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Prudentia</w:t>
      </w:r>
      <w:r>
        <w:rPr>
          <w:rFonts w:ascii="Arial" w:eastAsia="Arial" w:hAnsi="Arial" w:cs="Arial"/>
          <w:b/>
          <w:bCs/>
          <w:sz w:val="40"/>
          <w:szCs w:val="40"/>
        </w:rPr>
        <w:t>l</w:t>
      </w:r>
      <w:r>
        <w:rPr>
          <w:rFonts w:ascii="Arial" w:eastAsia="Arial" w:hAnsi="Arial" w:cs="Arial"/>
          <w:b/>
          <w:bCs/>
          <w:spacing w:val="-2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Regulatio</w:t>
      </w:r>
      <w:r>
        <w:rPr>
          <w:rFonts w:ascii="Arial" w:eastAsia="Arial" w:hAnsi="Arial" w:cs="Arial"/>
          <w:b/>
          <w:bCs/>
          <w:sz w:val="40"/>
          <w:szCs w:val="40"/>
        </w:rPr>
        <w:t>n</w:t>
      </w:r>
      <w:r>
        <w:rPr>
          <w:rFonts w:ascii="Arial" w:eastAsia="Arial" w:hAnsi="Arial" w:cs="Arial"/>
          <w:b/>
          <w:bCs/>
          <w:spacing w:val="-2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Authority</w:t>
      </w:r>
    </w:p>
    <w:p w14:paraId="6986A92E" w14:textId="0B8F29A4" w:rsidR="001639DA" w:rsidRDefault="00995115" w:rsidP="00D73303">
      <w:pPr>
        <w:spacing w:after="0" w:line="446" w:lineRule="exact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pacing w:val="1"/>
          <w:sz w:val="40"/>
          <w:szCs w:val="40"/>
        </w:rPr>
        <w:t>(confidentiality</w:t>
      </w:r>
      <w:r>
        <w:rPr>
          <w:rFonts w:ascii="Arial" w:eastAsia="Arial" w:hAnsi="Arial" w:cs="Arial"/>
          <w:b/>
          <w:bCs/>
          <w:sz w:val="40"/>
          <w:szCs w:val="40"/>
        </w:rPr>
        <w:t>)</w:t>
      </w:r>
      <w:r>
        <w:rPr>
          <w:rFonts w:ascii="Arial" w:eastAsia="Arial" w:hAnsi="Arial" w:cs="Arial"/>
          <w:b/>
          <w:bCs/>
          <w:spacing w:val="-3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determinatio</w:t>
      </w:r>
      <w:r>
        <w:rPr>
          <w:rFonts w:ascii="Arial" w:eastAsia="Arial" w:hAnsi="Arial" w:cs="Arial"/>
          <w:b/>
          <w:bCs/>
          <w:sz w:val="40"/>
          <w:szCs w:val="40"/>
        </w:rPr>
        <w:t>n</w:t>
      </w:r>
      <w:r>
        <w:rPr>
          <w:rFonts w:ascii="Arial" w:eastAsia="Arial" w:hAnsi="Arial" w:cs="Arial"/>
          <w:b/>
          <w:bCs/>
          <w:spacing w:val="-26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No</w:t>
      </w:r>
      <w:r>
        <w:rPr>
          <w:rFonts w:ascii="Arial" w:eastAsia="Arial" w:hAnsi="Arial" w:cs="Arial"/>
          <w:b/>
          <w:bCs/>
          <w:spacing w:val="4"/>
          <w:sz w:val="40"/>
          <w:szCs w:val="40"/>
        </w:rPr>
        <w:t>.</w:t>
      </w:r>
      <w:r w:rsidR="000A6A4E">
        <w:rPr>
          <w:rFonts w:ascii="Arial" w:eastAsia="Arial" w:hAnsi="Arial" w:cs="Arial"/>
          <w:b/>
          <w:bCs/>
          <w:spacing w:val="4"/>
          <w:sz w:val="40"/>
          <w:szCs w:val="40"/>
        </w:rPr>
        <w:t xml:space="preserve"> </w:t>
      </w:r>
      <w:r w:rsidR="00503429">
        <w:rPr>
          <w:rFonts w:ascii="Arial" w:eastAsia="Arial" w:hAnsi="Arial" w:cs="Arial"/>
          <w:b/>
          <w:bCs/>
          <w:spacing w:val="4"/>
          <w:sz w:val="40"/>
          <w:szCs w:val="40"/>
        </w:rPr>
        <w:t>2</w:t>
      </w:r>
      <w:r w:rsidR="00904D5F">
        <w:rPr>
          <w:rFonts w:ascii="Arial" w:eastAsia="Arial" w:hAnsi="Arial" w:cs="Arial"/>
          <w:b/>
          <w:bCs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o</w:t>
      </w:r>
      <w:r>
        <w:rPr>
          <w:rFonts w:ascii="Arial" w:eastAsia="Arial" w:hAnsi="Arial" w:cs="Arial"/>
          <w:b/>
          <w:bCs/>
          <w:sz w:val="40"/>
          <w:szCs w:val="40"/>
        </w:rPr>
        <w:t>f</w:t>
      </w:r>
      <w:r>
        <w:rPr>
          <w:rFonts w:ascii="Arial" w:eastAsia="Arial" w:hAnsi="Arial" w:cs="Arial"/>
          <w:b/>
          <w:bCs/>
          <w:spacing w:val="-4"/>
          <w:sz w:val="40"/>
          <w:szCs w:val="40"/>
        </w:rPr>
        <w:t xml:space="preserve"> </w:t>
      </w:r>
      <w:r w:rsidR="00503429">
        <w:rPr>
          <w:rFonts w:ascii="Arial" w:eastAsia="Arial" w:hAnsi="Arial" w:cs="Arial"/>
          <w:b/>
          <w:bCs/>
          <w:spacing w:val="-4"/>
          <w:sz w:val="40"/>
          <w:szCs w:val="40"/>
        </w:rPr>
        <w:t>2022</w:t>
      </w:r>
    </w:p>
    <w:p w14:paraId="6E15263F" w14:textId="77777777" w:rsidR="001639DA" w:rsidRDefault="001639DA" w:rsidP="00D73303">
      <w:pPr>
        <w:spacing w:after="0" w:line="240" w:lineRule="exact"/>
        <w:rPr>
          <w:sz w:val="24"/>
          <w:szCs w:val="24"/>
        </w:rPr>
      </w:pPr>
    </w:p>
    <w:p w14:paraId="20A9ED61" w14:textId="26EC7E05" w:rsidR="001639DA" w:rsidRPr="00D73303" w:rsidRDefault="00995115" w:rsidP="00D73303">
      <w:pPr>
        <w:spacing w:after="0" w:line="240" w:lineRule="auto"/>
        <w:rPr>
          <w:rFonts w:ascii="Arial" w:eastAsia="Arial" w:hAnsi="Arial" w:cs="Arial"/>
          <w:spacing w:val="1"/>
          <w:sz w:val="28"/>
          <w:szCs w:val="28"/>
        </w:rPr>
      </w:pPr>
      <w:r w:rsidRPr="005B4F6B">
        <w:rPr>
          <w:rFonts w:ascii="Arial" w:eastAsia="Arial" w:hAnsi="Arial" w:cs="Arial"/>
          <w:sz w:val="28"/>
          <w:szCs w:val="28"/>
        </w:rPr>
        <w:t>Information</w:t>
      </w:r>
      <w:r w:rsidRPr="005B4F6B">
        <w:rPr>
          <w:rFonts w:ascii="Arial" w:eastAsia="Arial" w:hAnsi="Arial" w:cs="Arial"/>
          <w:spacing w:val="-13"/>
          <w:sz w:val="28"/>
          <w:szCs w:val="28"/>
        </w:rPr>
        <w:t xml:space="preserve"> </w:t>
      </w:r>
      <w:r w:rsidRPr="005B4F6B">
        <w:rPr>
          <w:rFonts w:ascii="Arial" w:eastAsia="Arial" w:hAnsi="Arial" w:cs="Arial"/>
          <w:sz w:val="28"/>
          <w:szCs w:val="28"/>
        </w:rPr>
        <w:t>provided</w:t>
      </w:r>
      <w:r w:rsidRPr="005B4F6B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 w:rsidRPr="005B4F6B">
        <w:rPr>
          <w:rFonts w:ascii="Arial" w:eastAsia="Arial" w:hAnsi="Arial" w:cs="Arial"/>
          <w:sz w:val="28"/>
          <w:szCs w:val="28"/>
        </w:rPr>
        <w:t>by</w:t>
      </w:r>
      <w:r w:rsidRPr="005B4F6B"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 w:rsidRPr="005B4F6B">
        <w:rPr>
          <w:rFonts w:ascii="Arial" w:eastAsia="Arial" w:hAnsi="Arial" w:cs="Arial"/>
          <w:sz w:val="28"/>
          <w:szCs w:val="28"/>
        </w:rPr>
        <w:t>life</w:t>
      </w:r>
      <w:r w:rsidRPr="005B4F6B"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 w:rsidRPr="005B4F6B">
        <w:rPr>
          <w:rFonts w:ascii="Arial" w:eastAsia="Arial" w:hAnsi="Arial" w:cs="Arial"/>
          <w:sz w:val="28"/>
          <w:szCs w:val="28"/>
        </w:rPr>
        <w:t>insurers</w:t>
      </w:r>
      <w:r w:rsidRPr="005B4F6B"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 w:rsidRPr="005B4F6B">
        <w:rPr>
          <w:rFonts w:ascii="Arial" w:eastAsia="Arial" w:hAnsi="Arial" w:cs="Arial"/>
          <w:sz w:val="28"/>
          <w:szCs w:val="28"/>
        </w:rPr>
        <w:t>and</w:t>
      </w:r>
      <w:r w:rsidRPr="005B4F6B"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 w:rsidRPr="005B4F6B">
        <w:rPr>
          <w:rFonts w:ascii="Arial" w:eastAsia="Arial" w:hAnsi="Arial" w:cs="Arial"/>
          <w:sz w:val="28"/>
          <w:szCs w:val="28"/>
        </w:rPr>
        <w:t>friendly</w:t>
      </w:r>
      <w:r w:rsidRPr="005B4F6B"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 w:rsidRPr="005B4F6B">
        <w:rPr>
          <w:rFonts w:ascii="Arial" w:eastAsia="Arial" w:hAnsi="Arial" w:cs="Arial"/>
          <w:sz w:val="28"/>
          <w:szCs w:val="28"/>
        </w:rPr>
        <w:t>societies</w:t>
      </w:r>
      <w:r w:rsidRPr="005B4F6B"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 w:rsidRPr="005B4F6B">
        <w:rPr>
          <w:rFonts w:ascii="Arial" w:eastAsia="Arial" w:hAnsi="Arial" w:cs="Arial"/>
          <w:spacing w:val="1"/>
          <w:sz w:val="28"/>
          <w:szCs w:val="28"/>
        </w:rPr>
        <w:t>under</w:t>
      </w:r>
      <w:r w:rsidR="008101EF">
        <w:rPr>
          <w:rFonts w:ascii="Arial" w:eastAsia="Arial" w:hAnsi="Arial" w:cs="Arial"/>
          <w:spacing w:val="1"/>
          <w:sz w:val="28"/>
          <w:szCs w:val="28"/>
        </w:rPr>
        <w:t xml:space="preserve"> relevant reporting documents</w:t>
      </w:r>
    </w:p>
    <w:p w14:paraId="320456B0" w14:textId="77777777" w:rsidR="001639DA" w:rsidRPr="00D73303" w:rsidRDefault="00352EA8" w:rsidP="00D73303">
      <w:pPr>
        <w:spacing w:before="360" w:after="240" w:line="240" w:lineRule="auto"/>
        <w:rPr>
          <w:rFonts w:ascii="Arial" w:eastAsia="Arial" w:hAnsi="Arial" w:cs="Arial"/>
          <w:i/>
          <w:sz w:val="28"/>
          <w:szCs w:val="28"/>
        </w:rPr>
      </w:pPr>
      <w:r w:rsidRPr="00D73303">
        <w:rPr>
          <w:i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C946404" wp14:editId="6562746C">
                <wp:simplePos x="0" y="0"/>
                <wp:positionH relativeFrom="margin">
                  <wp:align>left</wp:align>
                </wp:positionH>
                <wp:positionV relativeFrom="paragraph">
                  <wp:posOffset>518795</wp:posOffset>
                </wp:positionV>
                <wp:extent cx="5688965" cy="33020"/>
                <wp:effectExtent l="0" t="0" r="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33020"/>
                          <a:chOff x="1468" y="442"/>
                          <a:chExt cx="8959" cy="5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478" y="453"/>
                            <a:ext cx="8933" cy="21"/>
                            <a:chOff x="1478" y="453"/>
                            <a:chExt cx="8933" cy="21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478" y="453"/>
                              <a:ext cx="8933" cy="21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8933"/>
                                <a:gd name="T2" fmla="+- 0 474 453"/>
                                <a:gd name="T3" fmla="*/ 474 h 21"/>
                                <a:gd name="T4" fmla="+- 0 10411 1478"/>
                                <a:gd name="T5" fmla="*/ T4 w 8933"/>
                                <a:gd name="T6" fmla="+- 0 474 453"/>
                                <a:gd name="T7" fmla="*/ 474 h 21"/>
                                <a:gd name="T8" fmla="+- 0 10411 1478"/>
                                <a:gd name="T9" fmla="*/ T8 w 8933"/>
                                <a:gd name="T10" fmla="+- 0 453 453"/>
                                <a:gd name="T11" fmla="*/ 453 h 21"/>
                                <a:gd name="T12" fmla="+- 0 1478 1478"/>
                                <a:gd name="T13" fmla="*/ T12 w 8933"/>
                                <a:gd name="T14" fmla="+- 0 453 453"/>
                                <a:gd name="T15" fmla="*/ 453 h 21"/>
                                <a:gd name="T16" fmla="+- 0 1478 1478"/>
                                <a:gd name="T17" fmla="*/ T16 w 8933"/>
                                <a:gd name="T18" fmla="+- 0 474 453"/>
                                <a:gd name="T19" fmla="*/ 474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33" h="21">
                                  <a:moveTo>
                                    <a:pt x="0" y="21"/>
                                  </a:moveTo>
                                  <a:lnTo>
                                    <a:pt x="8933" y="21"/>
                                  </a:lnTo>
                                  <a:lnTo>
                                    <a:pt x="89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1483" y="462"/>
                            <a:ext cx="8933" cy="21"/>
                            <a:chOff x="1483" y="462"/>
                            <a:chExt cx="8933" cy="21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1483" y="462"/>
                              <a:ext cx="8933" cy="21"/>
                            </a:xfrm>
                            <a:custGeom>
                              <a:avLst/>
                              <a:gdLst>
                                <a:gd name="T0" fmla="+- 0 1483 1483"/>
                                <a:gd name="T1" fmla="*/ T0 w 8933"/>
                                <a:gd name="T2" fmla="+- 0 483 462"/>
                                <a:gd name="T3" fmla="*/ 483 h 21"/>
                                <a:gd name="T4" fmla="+- 0 10416 1483"/>
                                <a:gd name="T5" fmla="*/ T4 w 8933"/>
                                <a:gd name="T6" fmla="+- 0 483 462"/>
                                <a:gd name="T7" fmla="*/ 483 h 21"/>
                                <a:gd name="T8" fmla="+- 0 10416 1483"/>
                                <a:gd name="T9" fmla="*/ T8 w 8933"/>
                                <a:gd name="T10" fmla="+- 0 462 462"/>
                                <a:gd name="T11" fmla="*/ 462 h 21"/>
                                <a:gd name="T12" fmla="+- 0 1483 1483"/>
                                <a:gd name="T13" fmla="*/ T12 w 8933"/>
                                <a:gd name="T14" fmla="+- 0 462 462"/>
                                <a:gd name="T15" fmla="*/ 462 h 21"/>
                                <a:gd name="T16" fmla="+- 0 1483 1483"/>
                                <a:gd name="T17" fmla="*/ T16 w 8933"/>
                                <a:gd name="T18" fmla="+- 0 483 462"/>
                                <a:gd name="T19" fmla="*/ 483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33" h="21">
                                  <a:moveTo>
                                    <a:pt x="0" y="21"/>
                                  </a:moveTo>
                                  <a:lnTo>
                                    <a:pt x="8933" y="21"/>
                                  </a:lnTo>
                                  <a:lnTo>
                                    <a:pt x="89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D0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DD3C4" id="Group 2" o:spid="_x0000_s1026" style="position:absolute;margin-left:0;margin-top:40.85pt;width:447.95pt;height:2.6pt;z-index:-251658752;mso-position-horizontal:left;mso-position-horizontal-relative:margin" coordorigin="1468,442" coordsize="8959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">
                <v:group id="Group 3" o:spid="_x0000_s1027" style="position:absolute;left:1478;top:453;width:8933;height:21" coordorigin="1478,453" coordsize="893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1478;top:453;width:8933;height:21;visibility:visible;mso-wrap-style:square;v-text-anchor:top" coordsize="893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" path="m,21r8933,l8933,,,,,21xe" fillcolor="#7f7f7f" stroked="f">
                    <v:path arrowok="t" o:connecttype="custom" o:connectlocs="0,474;8933,474;8933,453;0,453;0,474" o:connectangles="0,0,0,0,0"/>
                  </v:shape>
                </v:group>
                <v:group id="Group 5" o:spid="_x0000_s1029" style="position:absolute;left:1483;top:462;width:8933;height:21" coordorigin="1483,462" coordsize="893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30" style="position:absolute;left:1483;top:462;width:8933;height:21;visibility:visible;mso-wrap-style:square;v-text-anchor:top" coordsize="893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" path="m,21r8933,l8933,,,,,21xe" fillcolor="#d4d0c8" stroked="f">
                    <v:path arrowok="t" o:connecttype="custom" o:connectlocs="0,483;8933,483;8933,462;0,462;0,483" o:connectangles="0,0,0,0,0"/>
                  </v:shape>
                </v:group>
                <w10:wrap anchorx="margin"/>
              </v:group>
            </w:pict>
          </mc:Fallback>
        </mc:AlternateContent>
      </w:r>
      <w:r w:rsidR="00995115" w:rsidRPr="00D73303">
        <w:rPr>
          <w:rFonts w:ascii="Arial" w:eastAsia="Arial" w:hAnsi="Arial" w:cs="Arial"/>
          <w:i/>
          <w:spacing w:val="1"/>
          <w:position w:val="-1"/>
          <w:sz w:val="28"/>
          <w:szCs w:val="28"/>
        </w:rPr>
        <w:t>Australia</w:t>
      </w:r>
      <w:r w:rsidR="00995115" w:rsidRPr="00D73303">
        <w:rPr>
          <w:rFonts w:ascii="Arial" w:eastAsia="Arial" w:hAnsi="Arial" w:cs="Arial"/>
          <w:i/>
          <w:position w:val="-1"/>
          <w:sz w:val="28"/>
          <w:szCs w:val="28"/>
        </w:rPr>
        <w:t>n</w:t>
      </w:r>
      <w:r w:rsidR="00995115" w:rsidRPr="00D73303">
        <w:rPr>
          <w:rFonts w:ascii="Arial" w:eastAsia="Arial" w:hAnsi="Arial" w:cs="Arial"/>
          <w:i/>
          <w:spacing w:val="-12"/>
          <w:position w:val="-1"/>
          <w:sz w:val="28"/>
          <w:szCs w:val="28"/>
        </w:rPr>
        <w:t xml:space="preserve"> </w:t>
      </w:r>
      <w:r w:rsidR="00995115" w:rsidRPr="00D73303">
        <w:rPr>
          <w:rFonts w:ascii="Arial" w:eastAsia="Arial" w:hAnsi="Arial" w:cs="Arial"/>
          <w:i/>
          <w:spacing w:val="1"/>
          <w:position w:val="-1"/>
          <w:sz w:val="28"/>
          <w:szCs w:val="28"/>
        </w:rPr>
        <w:t>Prudentia</w:t>
      </w:r>
      <w:r w:rsidR="00995115" w:rsidRPr="00D73303">
        <w:rPr>
          <w:rFonts w:ascii="Arial" w:eastAsia="Arial" w:hAnsi="Arial" w:cs="Arial"/>
          <w:i/>
          <w:position w:val="-1"/>
          <w:sz w:val="28"/>
          <w:szCs w:val="28"/>
        </w:rPr>
        <w:t>l</w:t>
      </w:r>
      <w:r w:rsidR="00995115" w:rsidRPr="00D73303">
        <w:rPr>
          <w:rFonts w:ascii="Arial" w:eastAsia="Arial" w:hAnsi="Arial" w:cs="Arial"/>
          <w:i/>
          <w:spacing w:val="-13"/>
          <w:position w:val="-1"/>
          <w:sz w:val="28"/>
          <w:szCs w:val="28"/>
        </w:rPr>
        <w:t xml:space="preserve"> </w:t>
      </w:r>
      <w:r w:rsidR="00995115" w:rsidRPr="00D73303">
        <w:rPr>
          <w:rFonts w:ascii="Arial" w:eastAsia="Arial" w:hAnsi="Arial" w:cs="Arial"/>
          <w:i/>
          <w:spacing w:val="1"/>
          <w:position w:val="-1"/>
          <w:sz w:val="28"/>
          <w:szCs w:val="28"/>
        </w:rPr>
        <w:t>Regulatio</w:t>
      </w:r>
      <w:r w:rsidR="00995115" w:rsidRPr="00D73303">
        <w:rPr>
          <w:rFonts w:ascii="Arial" w:eastAsia="Arial" w:hAnsi="Arial" w:cs="Arial"/>
          <w:i/>
          <w:position w:val="-1"/>
          <w:sz w:val="28"/>
          <w:szCs w:val="28"/>
        </w:rPr>
        <w:t>n</w:t>
      </w:r>
      <w:r w:rsidR="00995115" w:rsidRPr="00D73303">
        <w:rPr>
          <w:rFonts w:ascii="Arial" w:eastAsia="Arial" w:hAnsi="Arial" w:cs="Arial"/>
          <w:i/>
          <w:spacing w:val="-13"/>
          <w:position w:val="-1"/>
          <w:sz w:val="28"/>
          <w:szCs w:val="28"/>
        </w:rPr>
        <w:t xml:space="preserve"> </w:t>
      </w:r>
      <w:r w:rsidR="00995115" w:rsidRPr="00D73303">
        <w:rPr>
          <w:rFonts w:ascii="Arial" w:eastAsia="Arial" w:hAnsi="Arial" w:cs="Arial"/>
          <w:i/>
          <w:spacing w:val="1"/>
          <w:position w:val="-1"/>
          <w:sz w:val="28"/>
          <w:szCs w:val="28"/>
        </w:rPr>
        <w:t>Authorit</w:t>
      </w:r>
      <w:r w:rsidR="00995115" w:rsidRPr="00D73303">
        <w:rPr>
          <w:rFonts w:ascii="Arial" w:eastAsia="Arial" w:hAnsi="Arial" w:cs="Arial"/>
          <w:i/>
          <w:position w:val="-1"/>
          <w:sz w:val="28"/>
          <w:szCs w:val="28"/>
        </w:rPr>
        <w:t>y</w:t>
      </w:r>
      <w:r w:rsidR="00995115" w:rsidRPr="00D73303">
        <w:rPr>
          <w:rFonts w:ascii="Arial" w:eastAsia="Arial" w:hAnsi="Arial" w:cs="Arial"/>
          <w:i/>
          <w:spacing w:val="-11"/>
          <w:position w:val="-1"/>
          <w:sz w:val="28"/>
          <w:szCs w:val="28"/>
        </w:rPr>
        <w:t xml:space="preserve"> </w:t>
      </w:r>
      <w:r w:rsidR="00995115" w:rsidRPr="00D73303">
        <w:rPr>
          <w:rFonts w:ascii="Arial" w:eastAsia="Arial" w:hAnsi="Arial" w:cs="Arial"/>
          <w:i/>
          <w:spacing w:val="1"/>
          <w:position w:val="-1"/>
          <w:sz w:val="28"/>
          <w:szCs w:val="28"/>
        </w:rPr>
        <w:t>Ac</w:t>
      </w:r>
      <w:r w:rsidR="00995115" w:rsidRPr="00D73303">
        <w:rPr>
          <w:rFonts w:ascii="Arial" w:eastAsia="Arial" w:hAnsi="Arial" w:cs="Arial"/>
          <w:i/>
          <w:position w:val="-1"/>
          <w:sz w:val="28"/>
          <w:szCs w:val="28"/>
        </w:rPr>
        <w:t>t</w:t>
      </w:r>
      <w:r w:rsidR="00995115" w:rsidRPr="00D73303">
        <w:rPr>
          <w:rFonts w:ascii="Arial" w:eastAsia="Arial" w:hAnsi="Arial" w:cs="Arial"/>
          <w:i/>
          <w:spacing w:val="-4"/>
          <w:position w:val="-1"/>
          <w:sz w:val="28"/>
          <w:szCs w:val="28"/>
        </w:rPr>
        <w:t xml:space="preserve"> </w:t>
      </w:r>
      <w:r w:rsidR="00995115" w:rsidRPr="00D73303">
        <w:rPr>
          <w:rFonts w:ascii="Arial" w:eastAsia="Arial" w:hAnsi="Arial" w:cs="Arial"/>
          <w:i/>
          <w:spacing w:val="1"/>
          <w:position w:val="-1"/>
          <w:sz w:val="28"/>
          <w:szCs w:val="28"/>
        </w:rPr>
        <w:t>1998</w:t>
      </w:r>
    </w:p>
    <w:p w14:paraId="6B7E7D78" w14:textId="77777777" w:rsidR="001639DA" w:rsidRDefault="002E2126" w:rsidP="00874F60">
      <w:pPr>
        <w:tabs>
          <w:tab w:val="left" w:pos="7263"/>
        </w:tabs>
        <w:spacing w:before="4" w:after="0" w:line="140" w:lineRule="exact"/>
        <w:rPr>
          <w:sz w:val="14"/>
          <w:szCs w:val="14"/>
        </w:rPr>
      </w:pPr>
      <w:r>
        <w:rPr>
          <w:sz w:val="14"/>
          <w:szCs w:val="14"/>
        </w:rPr>
        <w:tab/>
      </w:r>
    </w:p>
    <w:p w14:paraId="44EB99B7" w14:textId="3E6384B1" w:rsidR="00C606F9" w:rsidRPr="00D73303" w:rsidRDefault="00995115" w:rsidP="002E19B6">
      <w:pPr>
        <w:spacing w:after="0" w:line="240" w:lineRule="auto"/>
        <w:jc w:val="both"/>
        <w:rPr>
          <w:rFonts w:ascii="Arial" w:eastAsia="Times New Roman" w:hAnsi="Arial" w:cs="Arial"/>
        </w:rPr>
      </w:pPr>
      <w:r w:rsidRPr="00D73303">
        <w:rPr>
          <w:rFonts w:ascii="Arial" w:eastAsia="Times New Roman" w:hAnsi="Arial" w:cs="Arial"/>
        </w:rPr>
        <w:t>I,</w:t>
      </w:r>
      <w:r w:rsidRPr="00D73303">
        <w:rPr>
          <w:rFonts w:ascii="Arial" w:eastAsia="Times New Roman" w:hAnsi="Arial" w:cs="Arial"/>
          <w:spacing w:val="2"/>
        </w:rPr>
        <w:t xml:space="preserve"> </w:t>
      </w:r>
      <w:r w:rsidR="003B5524">
        <w:rPr>
          <w:rFonts w:ascii="Arial" w:eastAsia="Times New Roman" w:hAnsi="Arial" w:cs="Arial"/>
        </w:rPr>
        <w:t>Alison Bliss</w:t>
      </w:r>
      <w:r w:rsidRPr="00D73303">
        <w:rPr>
          <w:rFonts w:ascii="Arial" w:eastAsia="Times New Roman" w:hAnsi="Arial" w:cs="Arial"/>
        </w:rPr>
        <w:t>,</w:t>
      </w:r>
      <w:r w:rsidRPr="00D73303">
        <w:rPr>
          <w:rFonts w:ascii="Arial" w:eastAsia="Times New Roman" w:hAnsi="Arial" w:cs="Arial"/>
          <w:spacing w:val="-7"/>
        </w:rPr>
        <w:t xml:space="preserve"> </w:t>
      </w:r>
      <w:r w:rsidRPr="00D73303">
        <w:rPr>
          <w:rFonts w:ascii="Arial" w:eastAsia="Times New Roman" w:hAnsi="Arial" w:cs="Arial"/>
        </w:rPr>
        <w:t>delegate</w:t>
      </w:r>
      <w:r w:rsidRPr="00D73303">
        <w:rPr>
          <w:rFonts w:ascii="Arial" w:eastAsia="Times New Roman" w:hAnsi="Arial" w:cs="Arial"/>
          <w:spacing w:val="-8"/>
        </w:rPr>
        <w:t xml:space="preserve"> </w:t>
      </w:r>
      <w:r w:rsidRPr="00D73303">
        <w:rPr>
          <w:rFonts w:ascii="Arial" w:eastAsia="Times New Roman" w:hAnsi="Arial" w:cs="Arial"/>
        </w:rPr>
        <w:t>of</w:t>
      </w:r>
      <w:r w:rsidRPr="00D73303">
        <w:rPr>
          <w:rFonts w:ascii="Arial" w:eastAsia="Times New Roman" w:hAnsi="Arial" w:cs="Arial"/>
          <w:spacing w:val="-1"/>
        </w:rPr>
        <w:t xml:space="preserve"> </w:t>
      </w:r>
      <w:r w:rsidRPr="00D73303">
        <w:rPr>
          <w:rFonts w:ascii="Arial" w:eastAsia="Times New Roman" w:hAnsi="Arial" w:cs="Arial"/>
        </w:rPr>
        <w:t>APRA</w:t>
      </w:r>
      <w:r w:rsidR="00AB7BB8" w:rsidRPr="00D73303">
        <w:rPr>
          <w:rFonts w:ascii="Arial" w:eastAsia="Times New Roman" w:hAnsi="Arial" w:cs="Arial"/>
        </w:rPr>
        <w:t>:</w:t>
      </w:r>
    </w:p>
    <w:p w14:paraId="1D74CCDC" w14:textId="77777777" w:rsidR="00C606F9" w:rsidRPr="00D73303" w:rsidRDefault="00C606F9" w:rsidP="002E19B6">
      <w:pPr>
        <w:spacing w:before="29" w:after="0" w:line="240" w:lineRule="auto"/>
        <w:ind w:left="120" w:right="-20"/>
        <w:jc w:val="both"/>
        <w:rPr>
          <w:rFonts w:ascii="Arial" w:eastAsia="Times New Roman" w:hAnsi="Arial" w:cs="Arial"/>
        </w:rPr>
      </w:pPr>
    </w:p>
    <w:p w14:paraId="24E3E36C" w14:textId="4FBF3E96" w:rsidR="00C606F9" w:rsidRPr="00D73303" w:rsidRDefault="00C606F9" w:rsidP="002E19B6">
      <w:pPr>
        <w:pStyle w:val="IntroTo"/>
        <w:numPr>
          <w:ilvl w:val="0"/>
          <w:numId w:val="2"/>
        </w:numPr>
        <w:ind w:hanging="578"/>
        <w:jc w:val="both"/>
        <w:rPr>
          <w:rFonts w:ascii="Arial" w:hAnsi="Arial" w:cs="Arial"/>
          <w:sz w:val="22"/>
          <w:szCs w:val="22"/>
        </w:rPr>
      </w:pPr>
      <w:r w:rsidRPr="00D73303">
        <w:rPr>
          <w:rFonts w:ascii="Arial" w:hAnsi="Arial" w:cs="Arial"/>
          <w:sz w:val="22"/>
          <w:szCs w:val="22"/>
        </w:rPr>
        <w:t xml:space="preserve">under section 57 of the </w:t>
      </w:r>
      <w:r w:rsidRPr="00D73303">
        <w:rPr>
          <w:rFonts w:ascii="Arial" w:hAnsi="Arial" w:cs="Arial"/>
          <w:i/>
          <w:sz w:val="22"/>
          <w:szCs w:val="22"/>
        </w:rPr>
        <w:t>Australian Prudential Regulation Authority Act 1998</w:t>
      </w:r>
      <w:r w:rsidR="00AB7BB8" w:rsidRPr="00D73303">
        <w:rPr>
          <w:rFonts w:ascii="Arial" w:hAnsi="Arial" w:cs="Arial"/>
          <w:sz w:val="22"/>
          <w:szCs w:val="22"/>
        </w:rPr>
        <w:t xml:space="preserve"> (the Act)</w:t>
      </w:r>
      <w:r w:rsidRPr="00D73303">
        <w:rPr>
          <w:rFonts w:ascii="Arial" w:hAnsi="Arial" w:cs="Arial"/>
          <w:sz w:val="22"/>
          <w:szCs w:val="22"/>
        </w:rPr>
        <w:t xml:space="preserve"> and subsection 33(3) of the </w:t>
      </w:r>
      <w:r w:rsidRPr="00D73303">
        <w:rPr>
          <w:rFonts w:ascii="Arial" w:hAnsi="Arial" w:cs="Arial"/>
          <w:i/>
          <w:sz w:val="22"/>
          <w:szCs w:val="22"/>
        </w:rPr>
        <w:t>Acts Interpretation Act 1901</w:t>
      </w:r>
      <w:r w:rsidR="00AB7BB8" w:rsidRPr="00D73303">
        <w:rPr>
          <w:rFonts w:ascii="Arial" w:hAnsi="Arial" w:cs="Arial"/>
          <w:sz w:val="22"/>
          <w:szCs w:val="22"/>
        </w:rPr>
        <w:t xml:space="preserve">, </w:t>
      </w:r>
      <w:r w:rsidR="008101EF" w:rsidRPr="00D73303">
        <w:rPr>
          <w:rFonts w:ascii="Arial" w:hAnsi="Arial" w:cs="Arial"/>
          <w:sz w:val="22"/>
          <w:szCs w:val="22"/>
        </w:rPr>
        <w:t xml:space="preserve">revoke </w:t>
      </w:r>
      <w:r w:rsidRPr="00D73303">
        <w:rPr>
          <w:rFonts w:ascii="Arial" w:hAnsi="Arial" w:cs="Arial"/>
          <w:sz w:val="22"/>
          <w:szCs w:val="22"/>
        </w:rPr>
        <w:t xml:space="preserve">the Australian Prudential Regulation Authority (confidentiality) determination </w:t>
      </w:r>
      <w:r w:rsidR="008D4A5B" w:rsidRPr="00D73303">
        <w:rPr>
          <w:rFonts w:ascii="Arial" w:hAnsi="Arial" w:cs="Arial"/>
          <w:sz w:val="22"/>
          <w:szCs w:val="22"/>
        </w:rPr>
        <w:t xml:space="preserve">No. </w:t>
      </w:r>
      <w:r w:rsidR="002D4B9C" w:rsidRPr="00D73303">
        <w:rPr>
          <w:rFonts w:ascii="Arial" w:hAnsi="Arial" w:cs="Arial"/>
          <w:sz w:val="22"/>
          <w:szCs w:val="22"/>
        </w:rPr>
        <w:t xml:space="preserve">12 </w:t>
      </w:r>
      <w:r w:rsidR="00004EB2" w:rsidRPr="00D73303">
        <w:rPr>
          <w:rFonts w:ascii="Arial" w:hAnsi="Arial" w:cs="Arial"/>
          <w:sz w:val="22"/>
          <w:szCs w:val="22"/>
        </w:rPr>
        <w:t>of 201</w:t>
      </w:r>
      <w:r w:rsidR="002D4B9C" w:rsidRPr="00D73303">
        <w:rPr>
          <w:rFonts w:ascii="Arial" w:hAnsi="Arial" w:cs="Arial"/>
          <w:sz w:val="22"/>
          <w:szCs w:val="22"/>
        </w:rPr>
        <w:t>5</w:t>
      </w:r>
      <w:r w:rsidRPr="00D73303">
        <w:rPr>
          <w:rFonts w:ascii="Arial" w:hAnsi="Arial" w:cs="Arial"/>
          <w:sz w:val="22"/>
          <w:szCs w:val="22"/>
        </w:rPr>
        <w:t>;</w:t>
      </w:r>
      <w:r w:rsidR="00D8167A" w:rsidRPr="00D73303">
        <w:rPr>
          <w:rFonts w:ascii="Arial" w:hAnsi="Arial" w:cs="Arial"/>
          <w:sz w:val="22"/>
          <w:szCs w:val="22"/>
        </w:rPr>
        <w:t xml:space="preserve"> and</w:t>
      </w:r>
    </w:p>
    <w:p w14:paraId="5598755C" w14:textId="77777777" w:rsidR="00C606F9" w:rsidRPr="00D73303" w:rsidRDefault="00C606F9" w:rsidP="002E19B6">
      <w:pPr>
        <w:pStyle w:val="IntroTo"/>
        <w:ind w:left="142" w:firstLine="0"/>
        <w:jc w:val="both"/>
        <w:rPr>
          <w:rFonts w:ascii="Arial" w:hAnsi="Arial" w:cs="Arial"/>
          <w:sz w:val="22"/>
          <w:szCs w:val="22"/>
        </w:rPr>
      </w:pPr>
    </w:p>
    <w:p w14:paraId="54DB1D11" w14:textId="1C919021" w:rsidR="00C606F9" w:rsidRPr="00D73303" w:rsidRDefault="00C606F9" w:rsidP="002E19B6">
      <w:pPr>
        <w:pStyle w:val="IntroTo"/>
        <w:numPr>
          <w:ilvl w:val="0"/>
          <w:numId w:val="2"/>
        </w:numPr>
        <w:ind w:hanging="578"/>
        <w:jc w:val="both"/>
        <w:rPr>
          <w:rFonts w:ascii="Arial" w:hAnsi="Arial" w:cs="Arial"/>
          <w:sz w:val="22"/>
          <w:szCs w:val="22"/>
        </w:rPr>
      </w:pPr>
      <w:r w:rsidRPr="00D73303">
        <w:rPr>
          <w:rFonts w:ascii="Arial" w:hAnsi="Arial" w:cs="Arial"/>
          <w:sz w:val="22"/>
          <w:szCs w:val="22"/>
        </w:rPr>
        <w:t xml:space="preserve">under </w:t>
      </w:r>
      <w:r w:rsidR="00E64348" w:rsidRPr="00D73303">
        <w:rPr>
          <w:rFonts w:ascii="Arial" w:hAnsi="Arial" w:cs="Arial"/>
          <w:sz w:val="22"/>
          <w:szCs w:val="22"/>
        </w:rPr>
        <w:t>paragraph</w:t>
      </w:r>
      <w:r w:rsidRPr="00D73303">
        <w:rPr>
          <w:rFonts w:ascii="Arial" w:hAnsi="Arial" w:cs="Arial"/>
          <w:sz w:val="22"/>
          <w:szCs w:val="22"/>
        </w:rPr>
        <w:t xml:space="preserve"> 57</w:t>
      </w:r>
      <w:r w:rsidR="00E64348" w:rsidRPr="00D73303">
        <w:rPr>
          <w:rFonts w:ascii="Arial" w:hAnsi="Arial" w:cs="Arial"/>
          <w:sz w:val="22"/>
          <w:szCs w:val="22"/>
        </w:rPr>
        <w:t>(2)(b)</w:t>
      </w:r>
      <w:r w:rsidRPr="00D73303">
        <w:rPr>
          <w:rFonts w:ascii="Arial" w:hAnsi="Arial" w:cs="Arial"/>
          <w:sz w:val="22"/>
          <w:szCs w:val="22"/>
        </w:rPr>
        <w:t xml:space="preserve"> of the</w:t>
      </w:r>
      <w:r w:rsidR="00E64348" w:rsidRPr="00D73303">
        <w:rPr>
          <w:rFonts w:ascii="Arial" w:hAnsi="Arial" w:cs="Arial"/>
          <w:sz w:val="22"/>
          <w:szCs w:val="22"/>
        </w:rPr>
        <w:t xml:space="preserve"> Act, </w:t>
      </w:r>
      <w:r w:rsidR="008101EF" w:rsidRPr="00D73303">
        <w:rPr>
          <w:rFonts w:ascii="Arial" w:hAnsi="Arial" w:cs="Arial"/>
          <w:sz w:val="22"/>
          <w:szCs w:val="22"/>
        </w:rPr>
        <w:t xml:space="preserve">determine </w:t>
      </w:r>
      <w:r w:rsidR="00065AC2" w:rsidRPr="00D73303">
        <w:rPr>
          <w:rFonts w:ascii="Arial" w:hAnsi="Arial" w:cs="Arial"/>
          <w:sz w:val="22"/>
          <w:szCs w:val="22"/>
        </w:rPr>
        <w:t xml:space="preserve">all or a specified part of the reporting documents of a kind specified </w:t>
      </w:r>
      <w:r w:rsidR="00A71E68" w:rsidRPr="00D73303">
        <w:rPr>
          <w:rFonts w:ascii="Arial" w:hAnsi="Arial" w:cs="Arial"/>
          <w:sz w:val="22"/>
          <w:szCs w:val="22"/>
        </w:rPr>
        <w:t xml:space="preserve">in </w:t>
      </w:r>
      <w:r w:rsidR="00065AC2" w:rsidRPr="00D73303">
        <w:rPr>
          <w:rFonts w:ascii="Arial" w:hAnsi="Arial" w:cs="Arial"/>
          <w:sz w:val="22"/>
          <w:szCs w:val="22"/>
        </w:rPr>
        <w:t xml:space="preserve">Part 1 </w:t>
      </w:r>
      <w:r w:rsidR="002E19B6">
        <w:rPr>
          <w:rFonts w:ascii="Arial" w:hAnsi="Arial" w:cs="Arial"/>
          <w:sz w:val="22"/>
          <w:szCs w:val="22"/>
        </w:rPr>
        <w:t>or</w:t>
      </w:r>
      <w:r w:rsidR="00065AC2" w:rsidRPr="00D73303">
        <w:rPr>
          <w:rFonts w:ascii="Arial" w:hAnsi="Arial" w:cs="Arial"/>
          <w:sz w:val="22"/>
          <w:szCs w:val="22"/>
        </w:rPr>
        <w:t xml:space="preserve"> Part 2 of the Schedule do not contain confidential information</w:t>
      </w:r>
      <w:r w:rsidRPr="00D73303">
        <w:rPr>
          <w:rFonts w:ascii="Arial" w:hAnsi="Arial" w:cs="Arial"/>
          <w:sz w:val="22"/>
          <w:szCs w:val="22"/>
        </w:rPr>
        <w:t>.</w:t>
      </w:r>
    </w:p>
    <w:p w14:paraId="74F6FC6D" w14:textId="77777777" w:rsidR="001639DA" w:rsidRPr="00D73303" w:rsidRDefault="001639DA" w:rsidP="002E19B6">
      <w:pPr>
        <w:spacing w:before="15" w:after="0" w:line="260" w:lineRule="exact"/>
        <w:jc w:val="both"/>
        <w:rPr>
          <w:rFonts w:ascii="Arial" w:hAnsi="Arial" w:cs="Arial"/>
        </w:rPr>
      </w:pPr>
    </w:p>
    <w:p w14:paraId="79657AF2" w14:textId="17530D72" w:rsidR="008101EF" w:rsidRPr="00D73303" w:rsidRDefault="00995115" w:rsidP="00D73303">
      <w:pPr>
        <w:spacing w:after="0" w:line="240" w:lineRule="auto"/>
        <w:rPr>
          <w:rFonts w:ascii="Arial" w:eastAsia="Times New Roman" w:hAnsi="Arial" w:cs="Arial"/>
          <w:spacing w:val="-5"/>
        </w:rPr>
      </w:pPr>
      <w:r w:rsidRPr="00D73303">
        <w:rPr>
          <w:rFonts w:ascii="Arial" w:eastAsia="Times New Roman" w:hAnsi="Arial" w:cs="Arial"/>
        </w:rPr>
        <w:t>This</w:t>
      </w:r>
      <w:r w:rsidRPr="00D73303">
        <w:rPr>
          <w:rFonts w:ascii="Arial" w:eastAsia="Times New Roman" w:hAnsi="Arial" w:cs="Arial"/>
          <w:spacing w:val="-4"/>
        </w:rPr>
        <w:t xml:space="preserve"> </w:t>
      </w:r>
      <w:r w:rsidRPr="00D73303">
        <w:rPr>
          <w:rFonts w:ascii="Arial" w:eastAsia="Times New Roman" w:hAnsi="Arial" w:cs="Arial"/>
        </w:rPr>
        <w:t>determination</w:t>
      </w:r>
      <w:r w:rsidRPr="00D73303">
        <w:rPr>
          <w:rFonts w:ascii="Arial" w:eastAsia="Times New Roman" w:hAnsi="Arial" w:cs="Arial"/>
          <w:spacing w:val="-13"/>
        </w:rPr>
        <w:t xml:space="preserve"> </w:t>
      </w:r>
      <w:r w:rsidR="007519D2" w:rsidRPr="00D73303">
        <w:rPr>
          <w:rFonts w:ascii="Arial" w:eastAsia="Times New Roman" w:hAnsi="Arial" w:cs="Arial"/>
          <w:spacing w:val="-5"/>
        </w:rPr>
        <w:t xml:space="preserve">commences upon registration on the Federal Register of </w:t>
      </w:r>
      <w:r w:rsidR="008101EF" w:rsidRPr="00D73303">
        <w:rPr>
          <w:rFonts w:ascii="Arial" w:eastAsia="Times New Roman" w:hAnsi="Arial" w:cs="Arial"/>
          <w:spacing w:val="-5"/>
        </w:rPr>
        <w:t xml:space="preserve">Legislation. </w:t>
      </w:r>
    </w:p>
    <w:p w14:paraId="29107B0E" w14:textId="673ECBED" w:rsidR="008101EF" w:rsidRPr="00D73303" w:rsidRDefault="008101EF" w:rsidP="008101EF">
      <w:pPr>
        <w:spacing w:before="41" w:after="0" w:line="240" w:lineRule="auto"/>
        <w:ind w:right="-20"/>
        <w:rPr>
          <w:rFonts w:ascii="Arial" w:hAnsi="Arial" w:cs="Arial"/>
        </w:rPr>
      </w:pPr>
    </w:p>
    <w:p w14:paraId="2D5AD2A8" w14:textId="4BD4AB71" w:rsidR="001639DA" w:rsidRPr="002E19B6" w:rsidRDefault="008101EF" w:rsidP="002E19B6">
      <w:pPr>
        <w:spacing w:before="41" w:after="0" w:line="240" w:lineRule="auto"/>
        <w:ind w:right="-20"/>
        <w:rPr>
          <w:rFonts w:ascii="Arial" w:hAnsi="Arial" w:cs="Arial"/>
          <w:sz w:val="20"/>
          <w:szCs w:val="20"/>
        </w:rPr>
      </w:pPr>
      <w:r w:rsidRPr="002E19B6">
        <w:rPr>
          <w:rFonts w:ascii="Arial" w:eastAsia="Times New Roman" w:hAnsi="Arial" w:cs="Arial"/>
          <w:spacing w:val="1"/>
          <w:sz w:val="20"/>
          <w:szCs w:val="20"/>
        </w:rPr>
        <w:t xml:space="preserve">Note: </w:t>
      </w:r>
      <w:r w:rsidR="00995115" w:rsidRPr="002E19B6">
        <w:rPr>
          <w:rFonts w:ascii="Arial" w:eastAsia="Times New Roman" w:hAnsi="Arial" w:cs="Arial"/>
          <w:spacing w:val="1"/>
          <w:sz w:val="20"/>
          <w:szCs w:val="20"/>
        </w:rPr>
        <w:t>Th</w:t>
      </w:r>
      <w:r w:rsidR="00995115" w:rsidRPr="002E19B6">
        <w:rPr>
          <w:rFonts w:ascii="Arial" w:eastAsia="Times New Roman" w:hAnsi="Arial" w:cs="Arial"/>
          <w:sz w:val="20"/>
          <w:szCs w:val="20"/>
        </w:rPr>
        <w:t>e</w:t>
      </w:r>
      <w:r w:rsidR="00995115" w:rsidRPr="002E19B6">
        <w:rPr>
          <w:rFonts w:ascii="Arial" w:eastAsia="Times New Roman" w:hAnsi="Arial" w:cs="Arial"/>
          <w:spacing w:val="14"/>
          <w:sz w:val="20"/>
          <w:szCs w:val="20"/>
        </w:rPr>
        <w:t xml:space="preserve"> </w:t>
      </w:r>
      <w:r w:rsidR="00995115" w:rsidRPr="002E19B6">
        <w:rPr>
          <w:rFonts w:ascii="Arial" w:eastAsia="Times New Roman" w:hAnsi="Arial" w:cs="Arial"/>
          <w:spacing w:val="1"/>
          <w:sz w:val="20"/>
          <w:szCs w:val="20"/>
        </w:rPr>
        <w:t>effec</w:t>
      </w:r>
      <w:r w:rsidR="00995115" w:rsidRPr="002E19B6">
        <w:rPr>
          <w:rFonts w:ascii="Arial" w:eastAsia="Times New Roman" w:hAnsi="Arial" w:cs="Arial"/>
          <w:sz w:val="20"/>
          <w:szCs w:val="20"/>
        </w:rPr>
        <w:t>t</w:t>
      </w:r>
      <w:r w:rsidR="00995115" w:rsidRPr="002E19B6">
        <w:rPr>
          <w:rFonts w:ascii="Arial" w:eastAsia="Times New Roman" w:hAnsi="Arial" w:cs="Arial"/>
          <w:spacing w:val="18"/>
          <w:sz w:val="20"/>
          <w:szCs w:val="20"/>
        </w:rPr>
        <w:t xml:space="preserve"> </w:t>
      </w:r>
      <w:r w:rsidR="00995115" w:rsidRPr="002E19B6">
        <w:rPr>
          <w:rFonts w:ascii="Arial" w:eastAsia="Times New Roman" w:hAnsi="Arial" w:cs="Arial"/>
          <w:spacing w:val="1"/>
          <w:sz w:val="20"/>
          <w:szCs w:val="20"/>
        </w:rPr>
        <w:t>o</w:t>
      </w:r>
      <w:r w:rsidR="00995115" w:rsidRPr="002E19B6">
        <w:rPr>
          <w:rFonts w:ascii="Arial" w:eastAsia="Times New Roman" w:hAnsi="Arial" w:cs="Arial"/>
          <w:sz w:val="20"/>
          <w:szCs w:val="20"/>
        </w:rPr>
        <w:t>f</w:t>
      </w:r>
      <w:r w:rsidR="00995115" w:rsidRPr="002E19B6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="00995115" w:rsidRPr="002E19B6">
        <w:rPr>
          <w:rFonts w:ascii="Arial" w:eastAsia="Times New Roman" w:hAnsi="Arial" w:cs="Arial"/>
          <w:spacing w:val="1"/>
          <w:sz w:val="20"/>
          <w:szCs w:val="20"/>
        </w:rPr>
        <w:t>thi</w:t>
      </w:r>
      <w:r w:rsidR="00995115" w:rsidRPr="002E19B6">
        <w:rPr>
          <w:rFonts w:ascii="Arial" w:eastAsia="Times New Roman" w:hAnsi="Arial" w:cs="Arial"/>
          <w:sz w:val="20"/>
          <w:szCs w:val="20"/>
        </w:rPr>
        <w:t>s</w:t>
      </w:r>
      <w:r w:rsidR="00995115" w:rsidRPr="002E19B6">
        <w:rPr>
          <w:rFonts w:ascii="Arial" w:eastAsia="Times New Roman" w:hAnsi="Arial" w:cs="Arial"/>
          <w:spacing w:val="13"/>
          <w:sz w:val="20"/>
          <w:szCs w:val="20"/>
        </w:rPr>
        <w:t xml:space="preserve"> </w:t>
      </w:r>
      <w:r w:rsidR="00FA2201" w:rsidRPr="002E19B6">
        <w:rPr>
          <w:rFonts w:ascii="Arial" w:eastAsia="Times New Roman" w:hAnsi="Arial" w:cs="Arial"/>
          <w:spacing w:val="1"/>
          <w:sz w:val="20"/>
          <w:szCs w:val="20"/>
        </w:rPr>
        <w:t>instrument</w:t>
      </w:r>
      <w:r w:rsidR="00995115" w:rsidRPr="002E19B6">
        <w:rPr>
          <w:rFonts w:ascii="Arial" w:eastAsia="Times New Roman" w:hAnsi="Arial" w:cs="Arial"/>
          <w:spacing w:val="37"/>
          <w:sz w:val="20"/>
          <w:szCs w:val="20"/>
        </w:rPr>
        <w:t xml:space="preserve"> </w:t>
      </w:r>
      <w:r w:rsidR="00995115" w:rsidRPr="002E19B6">
        <w:rPr>
          <w:rFonts w:ascii="Arial" w:eastAsia="Times New Roman" w:hAnsi="Arial" w:cs="Arial"/>
          <w:spacing w:val="1"/>
          <w:sz w:val="20"/>
          <w:szCs w:val="20"/>
        </w:rPr>
        <w:t>i</w:t>
      </w:r>
      <w:r w:rsidR="00995115" w:rsidRPr="002E19B6">
        <w:rPr>
          <w:rFonts w:ascii="Arial" w:eastAsia="Times New Roman" w:hAnsi="Arial" w:cs="Arial"/>
          <w:sz w:val="20"/>
          <w:szCs w:val="20"/>
        </w:rPr>
        <w:t>s</w:t>
      </w:r>
      <w:r w:rsidR="00995115" w:rsidRPr="002E19B6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r w:rsidR="00995115" w:rsidRPr="002E19B6">
        <w:rPr>
          <w:rFonts w:ascii="Arial" w:eastAsia="Times New Roman" w:hAnsi="Arial" w:cs="Arial"/>
          <w:spacing w:val="1"/>
          <w:sz w:val="20"/>
          <w:szCs w:val="20"/>
        </w:rPr>
        <w:t>tha</w:t>
      </w:r>
      <w:r w:rsidR="00995115" w:rsidRPr="002E19B6">
        <w:rPr>
          <w:rFonts w:ascii="Arial" w:eastAsia="Times New Roman" w:hAnsi="Arial" w:cs="Arial"/>
          <w:sz w:val="20"/>
          <w:szCs w:val="20"/>
        </w:rPr>
        <w:t>t</w:t>
      </w:r>
      <w:r w:rsidR="00995115" w:rsidRPr="002E19B6">
        <w:rPr>
          <w:rFonts w:ascii="Arial" w:eastAsia="Times New Roman" w:hAnsi="Arial" w:cs="Arial"/>
          <w:spacing w:val="14"/>
          <w:sz w:val="20"/>
          <w:szCs w:val="20"/>
        </w:rPr>
        <w:t xml:space="preserve"> </w:t>
      </w:r>
      <w:r w:rsidR="00995115" w:rsidRPr="002E19B6">
        <w:rPr>
          <w:rFonts w:ascii="Arial" w:eastAsia="Times New Roman" w:hAnsi="Arial" w:cs="Arial"/>
          <w:spacing w:val="1"/>
          <w:sz w:val="20"/>
          <w:szCs w:val="20"/>
        </w:rPr>
        <w:t>th</w:t>
      </w:r>
      <w:r w:rsidR="00995115" w:rsidRPr="002E19B6">
        <w:rPr>
          <w:rFonts w:ascii="Arial" w:eastAsia="Times New Roman" w:hAnsi="Arial" w:cs="Arial"/>
          <w:sz w:val="20"/>
          <w:szCs w:val="20"/>
        </w:rPr>
        <w:t>e</w:t>
      </w:r>
      <w:r w:rsidR="00995115" w:rsidRPr="002E19B6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r w:rsidR="00995115" w:rsidRPr="002E19B6">
        <w:rPr>
          <w:rFonts w:ascii="Arial" w:eastAsia="Times New Roman" w:hAnsi="Arial" w:cs="Arial"/>
          <w:spacing w:val="1"/>
          <w:sz w:val="20"/>
          <w:szCs w:val="20"/>
        </w:rPr>
        <w:t>no</w:t>
      </w:r>
      <w:r w:rsidR="00995115" w:rsidRPr="002E19B6">
        <w:rPr>
          <w:rFonts w:ascii="Arial" w:eastAsia="Times New Roman" w:hAnsi="Arial" w:cs="Arial"/>
          <w:spacing w:val="2"/>
          <w:sz w:val="20"/>
          <w:szCs w:val="20"/>
        </w:rPr>
        <w:t>n</w:t>
      </w:r>
      <w:r w:rsidR="00E34284" w:rsidRPr="002E19B6">
        <w:rPr>
          <w:rFonts w:ascii="Arial" w:eastAsia="Times New Roman" w:hAnsi="Arial" w:cs="Arial"/>
          <w:spacing w:val="2"/>
          <w:sz w:val="20"/>
          <w:szCs w:val="20"/>
        </w:rPr>
        <w:t>-</w:t>
      </w:r>
      <w:r w:rsidR="00995115" w:rsidRPr="002E19B6">
        <w:rPr>
          <w:rFonts w:ascii="Arial" w:eastAsia="Times New Roman" w:hAnsi="Arial" w:cs="Arial"/>
          <w:spacing w:val="1"/>
          <w:sz w:val="20"/>
          <w:szCs w:val="20"/>
        </w:rPr>
        <w:t>confidentia</w:t>
      </w:r>
      <w:r w:rsidR="00995115" w:rsidRPr="002E19B6">
        <w:rPr>
          <w:rFonts w:ascii="Arial" w:eastAsia="Times New Roman" w:hAnsi="Arial" w:cs="Arial"/>
          <w:sz w:val="20"/>
          <w:szCs w:val="20"/>
        </w:rPr>
        <w:t>l</w:t>
      </w:r>
      <w:r w:rsidR="00995115" w:rsidRPr="002E19B6">
        <w:rPr>
          <w:rFonts w:ascii="Arial" w:eastAsia="Times New Roman" w:hAnsi="Arial" w:cs="Arial"/>
          <w:spacing w:val="41"/>
          <w:sz w:val="20"/>
          <w:szCs w:val="20"/>
        </w:rPr>
        <w:t xml:space="preserve"> </w:t>
      </w:r>
      <w:r w:rsidR="00995115" w:rsidRPr="002E19B6">
        <w:rPr>
          <w:rFonts w:ascii="Arial" w:eastAsia="Times New Roman" w:hAnsi="Arial" w:cs="Arial"/>
          <w:spacing w:val="1"/>
          <w:sz w:val="20"/>
          <w:szCs w:val="20"/>
        </w:rPr>
        <w:t>informatio</w:t>
      </w:r>
      <w:r w:rsidR="00995115" w:rsidRPr="002E19B6">
        <w:rPr>
          <w:rFonts w:ascii="Arial" w:eastAsia="Times New Roman" w:hAnsi="Arial" w:cs="Arial"/>
          <w:sz w:val="20"/>
          <w:szCs w:val="20"/>
        </w:rPr>
        <w:t>n</w:t>
      </w:r>
      <w:r w:rsidR="007519D2" w:rsidRPr="002E19B6">
        <w:rPr>
          <w:rFonts w:ascii="Arial" w:eastAsia="Times New Roman" w:hAnsi="Arial" w:cs="Arial"/>
          <w:sz w:val="20"/>
          <w:szCs w:val="20"/>
        </w:rPr>
        <w:t xml:space="preserve"> </w:t>
      </w:r>
      <w:r w:rsidR="00995115" w:rsidRPr="002E19B6">
        <w:rPr>
          <w:rFonts w:ascii="Arial" w:eastAsia="Times New Roman" w:hAnsi="Arial" w:cs="Arial"/>
          <w:spacing w:val="1"/>
          <w:sz w:val="20"/>
          <w:szCs w:val="20"/>
        </w:rPr>
        <w:t>ma</w:t>
      </w:r>
      <w:r w:rsidR="00995115" w:rsidRPr="002E19B6">
        <w:rPr>
          <w:rFonts w:ascii="Arial" w:eastAsia="Times New Roman" w:hAnsi="Arial" w:cs="Arial"/>
          <w:sz w:val="20"/>
          <w:szCs w:val="20"/>
        </w:rPr>
        <w:t>y</w:t>
      </w:r>
      <w:r w:rsidR="00995115" w:rsidRPr="002E19B6">
        <w:rPr>
          <w:rFonts w:ascii="Arial" w:eastAsia="Times New Roman" w:hAnsi="Arial" w:cs="Arial"/>
          <w:spacing w:val="13"/>
          <w:sz w:val="20"/>
          <w:szCs w:val="20"/>
        </w:rPr>
        <w:t xml:space="preserve"> </w:t>
      </w:r>
      <w:r w:rsidR="00995115" w:rsidRPr="002E19B6">
        <w:rPr>
          <w:rFonts w:ascii="Arial" w:eastAsia="Times New Roman" w:hAnsi="Arial" w:cs="Arial"/>
          <w:spacing w:val="1"/>
          <w:sz w:val="20"/>
          <w:szCs w:val="20"/>
        </w:rPr>
        <w:t>b</w:t>
      </w:r>
      <w:r w:rsidR="00995115" w:rsidRPr="002E19B6">
        <w:rPr>
          <w:rFonts w:ascii="Arial" w:eastAsia="Times New Roman" w:hAnsi="Arial" w:cs="Arial"/>
          <w:sz w:val="20"/>
          <w:szCs w:val="20"/>
        </w:rPr>
        <w:t>e</w:t>
      </w:r>
      <w:r w:rsidR="00995115" w:rsidRPr="002E19B6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="00995115" w:rsidRPr="002E19B6">
        <w:rPr>
          <w:rFonts w:ascii="Arial" w:eastAsia="Times New Roman" w:hAnsi="Arial" w:cs="Arial"/>
          <w:spacing w:val="1"/>
          <w:sz w:val="20"/>
          <w:szCs w:val="20"/>
        </w:rPr>
        <w:t>publishe</w:t>
      </w:r>
      <w:r w:rsidR="00995115" w:rsidRPr="002E19B6">
        <w:rPr>
          <w:rFonts w:ascii="Arial" w:eastAsia="Times New Roman" w:hAnsi="Arial" w:cs="Arial"/>
          <w:sz w:val="20"/>
          <w:szCs w:val="20"/>
        </w:rPr>
        <w:t>d</w:t>
      </w:r>
      <w:r w:rsidR="00995115" w:rsidRPr="002E19B6">
        <w:rPr>
          <w:rFonts w:ascii="Arial" w:eastAsia="Times New Roman" w:hAnsi="Arial" w:cs="Arial"/>
          <w:spacing w:val="25"/>
          <w:sz w:val="20"/>
          <w:szCs w:val="20"/>
        </w:rPr>
        <w:t xml:space="preserve"> </w:t>
      </w:r>
      <w:r w:rsidR="00995115" w:rsidRPr="002E19B6">
        <w:rPr>
          <w:rFonts w:ascii="Arial" w:eastAsia="Times New Roman" w:hAnsi="Arial" w:cs="Arial"/>
          <w:spacing w:val="1"/>
          <w:w w:val="103"/>
          <w:sz w:val="20"/>
          <w:szCs w:val="20"/>
        </w:rPr>
        <w:t>unde</w:t>
      </w:r>
      <w:r w:rsidR="007519D2" w:rsidRPr="002E19B6">
        <w:rPr>
          <w:rFonts w:ascii="Arial" w:hAnsi="Arial" w:cs="Arial"/>
          <w:sz w:val="20"/>
          <w:szCs w:val="20"/>
        </w:rPr>
        <w:t xml:space="preserve">r subsection 56(5C) of the Act. </w:t>
      </w:r>
    </w:p>
    <w:p w14:paraId="105030E1" w14:textId="77777777" w:rsidR="006D0892" w:rsidRPr="00D73303" w:rsidRDefault="006D0892">
      <w:pPr>
        <w:spacing w:before="29" w:after="0" w:line="271" w:lineRule="exact"/>
        <w:ind w:left="120" w:right="-20"/>
        <w:rPr>
          <w:rFonts w:ascii="Arial" w:eastAsia="Times New Roman" w:hAnsi="Arial" w:cs="Arial"/>
          <w:position w:val="-1"/>
        </w:rPr>
      </w:pPr>
    </w:p>
    <w:p w14:paraId="6F6FE3E7" w14:textId="77777777" w:rsidR="006D0892" w:rsidRPr="00D73303" w:rsidRDefault="006D0892">
      <w:pPr>
        <w:spacing w:before="29" w:after="0" w:line="271" w:lineRule="exact"/>
        <w:ind w:left="120" w:right="-20"/>
        <w:rPr>
          <w:rFonts w:ascii="Arial" w:eastAsia="Times New Roman" w:hAnsi="Arial" w:cs="Arial"/>
          <w:position w:val="-1"/>
        </w:rPr>
      </w:pPr>
    </w:p>
    <w:p w14:paraId="02704187" w14:textId="03F750F4" w:rsidR="002A0C8B" w:rsidRDefault="00995115" w:rsidP="002E19B6">
      <w:pPr>
        <w:spacing w:after="0" w:line="271" w:lineRule="exact"/>
        <w:rPr>
          <w:rFonts w:ascii="Arial" w:eastAsia="Times New Roman" w:hAnsi="Arial" w:cs="Arial"/>
          <w:position w:val="-1"/>
        </w:rPr>
      </w:pPr>
      <w:r w:rsidRPr="00D73303">
        <w:rPr>
          <w:rFonts w:ascii="Arial" w:eastAsia="Times New Roman" w:hAnsi="Arial" w:cs="Arial"/>
          <w:position w:val="-1"/>
        </w:rPr>
        <w:t>Dated</w:t>
      </w:r>
      <w:r w:rsidR="00D52FA8" w:rsidRPr="00D73303">
        <w:rPr>
          <w:rFonts w:ascii="Arial" w:eastAsia="Times New Roman" w:hAnsi="Arial" w:cs="Arial"/>
          <w:position w:val="-1"/>
        </w:rPr>
        <w:t>:</w:t>
      </w:r>
      <w:r w:rsidR="002A0C8B" w:rsidRPr="00D73303">
        <w:rPr>
          <w:rFonts w:ascii="Arial" w:eastAsia="Times New Roman" w:hAnsi="Arial" w:cs="Arial"/>
          <w:position w:val="-1"/>
        </w:rPr>
        <w:t xml:space="preserve">  </w:t>
      </w:r>
      <w:r w:rsidR="00062371">
        <w:rPr>
          <w:rFonts w:ascii="Arial" w:eastAsia="Times New Roman" w:hAnsi="Arial" w:cs="Arial"/>
          <w:position w:val="-1"/>
        </w:rPr>
        <w:t>18</w:t>
      </w:r>
      <w:r w:rsidR="002E19B6">
        <w:rPr>
          <w:rFonts w:ascii="Arial" w:eastAsia="Times New Roman" w:hAnsi="Arial" w:cs="Arial"/>
          <w:position w:val="-1"/>
        </w:rPr>
        <w:t xml:space="preserve"> January</w:t>
      </w:r>
      <w:r w:rsidR="009D5C0A" w:rsidRPr="00D73303">
        <w:rPr>
          <w:rFonts w:ascii="Arial" w:eastAsia="Times New Roman" w:hAnsi="Arial" w:cs="Arial"/>
          <w:position w:val="-1"/>
        </w:rPr>
        <w:t xml:space="preserve"> </w:t>
      </w:r>
      <w:r w:rsidR="002D4B9C" w:rsidRPr="00D73303">
        <w:rPr>
          <w:rFonts w:ascii="Arial" w:eastAsia="Times New Roman" w:hAnsi="Arial" w:cs="Arial"/>
          <w:position w:val="-1"/>
        </w:rPr>
        <w:t>202</w:t>
      </w:r>
      <w:r w:rsidR="002E19B6">
        <w:rPr>
          <w:rFonts w:ascii="Arial" w:eastAsia="Times New Roman" w:hAnsi="Arial" w:cs="Arial"/>
          <w:position w:val="-1"/>
        </w:rPr>
        <w:t>2</w:t>
      </w:r>
    </w:p>
    <w:p w14:paraId="6EAD5296" w14:textId="77777777" w:rsidR="00062371" w:rsidRPr="00D73303" w:rsidRDefault="00062371" w:rsidP="002E19B6">
      <w:pPr>
        <w:spacing w:after="0" w:line="271" w:lineRule="exact"/>
        <w:rPr>
          <w:rFonts w:ascii="Arial" w:eastAsia="Times New Roman" w:hAnsi="Arial" w:cs="Arial"/>
          <w:position w:val="-1"/>
        </w:rPr>
      </w:pPr>
    </w:p>
    <w:p w14:paraId="278E92F0" w14:textId="611ED21E" w:rsidR="00AD5F65" w:rsidRPr="00D73303" w:rsidRDefault="005A52D7" w:rsidP="002E19B6">
      <w:pPr>
        <w:spacing w:after="0" w:line="271" w:lineRule="exac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[Signed]</w:t>
      </w:r>
      <w:bookmarkStart w:id="0" w:name="_GoBack"/>
      <w:bookmarkEnd w:id="0"/>
    </w:p>
    <w:p w14:paraId="7837537A" w14:textId="2C3BC022" w:rsidR="00E316E2" w:rsidRDefault="00E316E2" w:rsidP="002E19B6">
      <w:pPr>
        <w:spacing w:after="0" w:line="200" w:lineRule="exact"/>
        <w:rPr>
          <w:rFonts w:ascii="Arial" w:hAnsi="Arial" w:cs="Arial"/>
        </w:rPr>
      </w:pPr>
    </w:p>
    <w:p w14:paraId="0B46B09F" w14:textId="70F55D4A" w:rsidR="00062371" w:rsidRDefault="00062371" w:rsidP="002E19B6">
      <w:pPr>
        <w:spacing w:after="0" w:line="200" w:lineRule="exact"/>
        <w:rPr>
          <w:rFonts w:ascii="Arial" w:hAnsi="Arial" w:cs="Arial"/>
        </w:rPr>
      </w:pPr>
    </w:p>
    <w:p w14:paraId="3DACF2A5" w14:textId="498F297A" w:rsidR="00062371" w:rsidRPr="00D73303" w:rsidRDefault="00062371" w:rsidP="002E19B6">
      <w:pPr>
        <w:spacing w:after="0" w:line="200" w:lineRule="exact"/>
        <w:rPr>
          <w:rFonts w:ascii="Arial" w:hAnsi="Arial" w:cs="Arial"/>
        </w:rPr>
      </w:pPr>
    </w:p>
    <w:p w14:paraId="7D8A5991" w14:textId="71F01C15" w:rsidR="002D4B9C" w:rsidRPr="00D73303" w:rsidRDefault="00121EAC" w:rsidP="002E19B6">
      <w:pPr>
        <w:spacing w:after="0" w:line="268" w:lineRule="exac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Alison Bliss</w:t>
      </w:r>
    </w:p>
    <w:p w14:paraId="3F9AFF65" w14:textId="54371F52" w:rsidR="002D4B9C" w:rsidRPr="00D73303" w:rsidRDefault="00121EAC" w:rsidP="002E19B6">
      <w:pPr>
        <w:spacing w:after="0" w:line="262" w:lineRule="exac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General Manager</w:t>
      </w:r>
    </w:p>
    <w:p w14:paraId="384498F0" w14:textId="2077C2EF" w:rsidR="002D4B9C" w:rsidRPr="00D73303" w:rsidRDefault="00121EAC" w:rsidP="002E19B6">
      <w:pPr>
        <w:spacing w:after="0" w:line="262" w:lineRule="exac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Data Analytics &amp; Insights</w:t>
      </w:r>
      <w:r w:rsidR="002D4B9C" w:rsidRPr="00D73303">
        <w:rPr>
          <w:rFonts w:ascii="Arial" w:eastAsia="Times New Roman" w:hAnsi="Arial" w:cs="Arial"/>
        </w:rPr>
        <w:t xml:space="preserve"> </w:t>
      </w:r>
    </w:p>
    <w:p w14:paraId="4703076A" w14:textId="77777777" w:rsidR="00FA2201" w:rsidRDefault="00FA2201" w:rsidP="002E19B6">
      <w:pPr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</w:p>
    <w:p w14:paraId="5A403C42" w14:textId="77777777" w:rsidR="009D5C0A" w:rsidRDefault="009D5C0A" w:rsidP="002E19B6">
      <w:pPr>
        <w:spacing w:after="0" w:line="200" w:lineRule="exact"/>
        <w:rPr>
          <w:sz w:val="20"/>
          <w:szCs w:val="20"/>
        </w:rPr>
      </w:pPr>
    </w:p>
    <w:p w14:paraId="5EAB0EEF" w14:textId="77777777" w:rsidR="00F91292" w:rsidRPr="002E5B27" w:rsidRDefault="00995115" w:rsidP="002E19B6">
      <w:pPr>
        <w:tabs>
          <w:tab w:val="left" w:pos="6840"/>
        </w:tabs>
        <w:spacing w:before="120" w:after="0" w:line="240" w:lineRule="auto"/>
        <w:rPr>
          <w:rFonts w:ascii="Arial" w:eastAsia="Times New Roman" w:hAnsi="Arial" w:cs="Arial"/>
        </w:rPr>
      </w:pPr>
      <w:r w:rsidRPr="002E5B27">
        <w:rPr>
          <w:rFonts w:ascii="Arial" w:eastAsia="Arial" w:hAnsi="Arial" w:cs="Arial"/>
          <w:b/>
          <w:bCs/>
          <w:position w:val="-5"/>
        </w:rPr>
        <w:t>Interpretation</w:t>
      </w:r>
      <w:r w:rsidRPr="002E5B27">
        <w:rPr>
          <w:rFonts w:ascii="Arial" w:eastAsia="Arial" w:hAnsi="Arial" w:cs="Arial"/>
          <w:b/>
          <w:bCs/>
          <w:position w:val="-5"/>
        </w:rPr>
        <w:tab/>
      </w:r>
    </w:p>
    <w:p w14:paraId="6368CA67" w14:textId="77777777" w:rsidR="00F91292" w:rsidRPr="002E5B27" w:rsidRDefault="00995115" w:rsidP="002E19B6">
      <w:pPr>
        <w:spacing w:before="120" w:after="0" w:line="240" w:lineRule="auto"/>
        <w:rPr>
          <w:rFonts w:ascii="Arial" w:eastAsia="Times New Roman" w:hAnsi="Arial" w:cs="Arial"/>
        </w:rPr>
      </w:pPr>
      <w:r w:rsidRPr="002E5B27">
        <w:rPr>
          <w:rFonts w:ascii="Arial" w:eastAsia="Times New Roman" w:hAnsi="Arial" w:cs="Arial"/>
        </w:rPr>
        <w:t>In this</w:t>
      </w:r>
      <w:r w:rsidRPr="002E5B27">
        <w:rPr>
          <w:rFonts w:ascii="Arial" w:eastAsia="Times New Roman" w:hAnsi="Arial" w:cs="Arial"/>
          <w:spacing w:val="-3"/>
        </w:rPr>
        <w:t xml:space="preserve"> </w:t>
      </w:r>
      <w:r w:rsidRPr="002E5B27">
        <w:rPr>
          <w:rFonts w:ascii="Arial" w:eastAsia="Times New Roman" w:hAnsi="Arial" w:cs="Arial"/>
        </w:rPr>
        <w:t>determination</w:t>
      </w:r>
      <w:r w:rsidR="00F91292" w:rsidRPr="002E5B27">
        <w:rPr>
          <w:rFonts w:ascii="Arial" w:eastAsia="Times New Roman" w:hAnsi="Arial" w:cs="Arial"/>
        </w:rPr>
        <w:t>:</w:t>
      </w:r>
    </w:p>
    <w:p w14:paraId="49E91A23" w14:textId="77777777" w:rsidR="00F91292" w:rsidRPr="002E5B27" w:rsidRDefault="00995115" w:rsidP="002E19B6">
      <w:pPr>
        <w:spacing w:before="120" w:after="0" w:line="240" w:lineRule="auto"/>
        <w:rPr>
          <w:rFonts w:ascii="Arial" w:eastAsia="Times New Roman" w:hAnsi="Arial" w:cs="Arial"/>
        </w:rPr>
      </w:pPr>
      <w:r w:rsidRPr="002E5B27">
        <w:rPr>
          <w:rFonts w:ascii="Arial" w:eastAsia="Times New Roman" w:hAnsi="Arial" w:cs="Arial"/>
          <w:b/>
          <w:bCs/>
          <w:i/>
        </w:rPr>
        <w:t>APRA</w:t>
      </w:r>
      <w:r w:rsidRPr="002E5B27">
        <w:rPr>
          <w:rFonts w:ascii="Arial" w:eastAsia="Times New Roman" w:hAnsi="Arial" w:cs="Arial"/>
          <w:b/>
          <w:bCs/>
          <w:i/>
          <w:spacing w:val="-5"/>
        </w:rPr>
        <w:t xml:space="preserve"> </w:t>
      </w:r>
      <w:r w:rsidRPr="002E5B27">
        <w:rPr>
          <w:rFonts w:ascii="Arial" w:eastAsia="Times New Roman" w:hAnsi="Arial" w:cs="Arial"/>
        </w:rPr>
        <w:t>means</w:t>
      </w:r>
      <w:r w:rsidRPr="002E5B27">
        <w:rPr>
          <w:rFonts w:ascii="Arial" w:eastAsia="Times New Roman" w:hAnsi="Arial" w:cs="Arial"/>
          <w:spacing w:val="-5"/>
        </w:rPr>
        <w:t xml:space="preserve"> </w:t>
      </w:r>
      <w:r w:rsidRPr="002E5B27">
        <w:rPr>
          <w:rFonts w:ascii="Arial" w:eastAsia="Times New Roman" w:hAnsi="Arial" w:cs="Arial"/>
        </w:rPr>
        <w:t>the</w:t>
      </w:r>
      <w:r w:rsidRPr="002E5B27">
        <w:rPr>
          <w:rFonts w:ascii="Arial" w:eastAsia="Times New Roman" w:hAnsi="Arial" w:cs="Arial"/>
          <w:spacing w:val="-2"/>
        </w:rPr>
        <w:t xml:space="preserve"> </w:t>
      </w:r>
      <w:r w:rsidRPr="002E5B27">
        <w:rPr>
          <w:rFonts w:ascii="Arial" w:eastAsia="Times New Roman" w:hAnsi="Arial" w:cs="Arial"/>
        </w:rPr>
        <w:t>Australian</w:t>
      </w:r>
      <w:r w:rsidRPr="002E5B27">
        <w:rPr>
          <w:rFonts w:ascii="Arial" w:eastAsia="Times New Roman" w:hAnsi="Arial" w:cs="Arial"/>
          <w:spacing w:val="-9"/>
        </w:rPr>
        <w:t xml:space="preserve"> </w:t>
      </w:r>
      <w:r w:rsidRPr="002E5B27">
        <w:rPr>
          <w:rFonts w:ascii="Arial" w:eastAsia="Times New Roman" w:hAnsi="Arial" w:cs="Arial"/>
        </w:rPr>
        <w:t>Prudential</w:t>
      </w:r>
      <w:r w:rsidRPr="002E5B27">
        <w:rPr>
          <w:rFonts w:ascii="Arial" w:eastAsia="Times New Roman" w:hAnsi="Arial" w:cs="Arial"/>
          <w:spacing w:val="-8"/>
        </w:rPr>
        <w:t xml:space="preserve"> </w:t>
      </w:r>
      <w:r w:rsidRPr="002E5B27">
        <w:rPr>
          <w:rFonts w:ascii="Arial" w:eastAsia="Times New Roman" w:hAnsi="Arial" w:cs="Arial"/>
        </w:rPr>
        <w:t>Regulation</w:t>
      </w:r>
      <w:r w:rsidRPr="002E5B27">
        <w:rPr>
          <w:rFonts w:ascii="Arial" w:eastAsia="Times New Roman" w:hAnsi="Arial" w:cs="Arial"/>
          <w:spacing w:val="-9"/>
        </w:rPr>
        <w:t xml:space="preserve"> </w:t>
      </w:r>
      <w:r w:rsidRPr="002E5B27">
        <w:rPr>
          <w:rFonts w:ascii="Arial" w:eastAsia="Times New Roman" w:hAnsi="Arial" w:cs="Arial"/>
        </w:rPr>
        <w:t>Authority.</w:t>
      </w:r>
    </w:p>
    <w:p w14:paraId="344D243A" w14:textId="2E349B70" w:rsidR="001639DA" w:rsidRPr="002E5B27" w:rsidRDefault="00FA2201" w:rsidP="002E19B6">
      <w:pPr>
        <w:spacing w:before="120" w:after="0" w:line="240" w:lineRule="auto"/>
        <w:rPr>
          <w:rFonts w:ascii="Arial" w:eastAsia="Times New Roman" w:hAnsi="Arial" w:cs="Arial"/>
        </w:rPr>
      </w:pPr>
      <w:r w:rsidRPr="002E5B27">
        <w:rPr>
          <w:rFonts w:ascii="Arial" w:eastAsia="Times New Roman" w:hAnsi="Arial" w:cs="Arial"/>
          <w:b/>
          <w:bCs/>
          <w:i/>
        </w:rPr>
        <w:t>r</w:t>
      </w:r>
      <w:r w:rsidR="00995115" w:rsidRPr="002E5B27">
        <w:rPr>
          <w:rFonts w:ascii="Arial" w:eastAsia="Times New Roman" w:hAnsi="Arial" w:cs="Arial"/>
          <w:b/>
          <w:bCs/>
          <w:i/>
        </w:rPr>
        <w:t>eporting</w:t>
      </w:r>
      <w:r w:rsidR="00995115" w:rsidRPr="002E5B27">
        <w:rPr>
          <w:rFonts w:ascii="Arial" w:eastAsia="Times New Roman" w:hAnsi="Arial" w:cs="Arial"/>
          <w:b/>
          <w:bCs/>
          <w:i/>
          <w:spacing w:val="-7"/>
        </w:rPr>
        <w:t xml:space="preserve"> </w:t>
      </w:r>
      <w:r w:rsidR="00995115" w:rsidRPr="002E5B27">
        <w:rPr>
          <w:rFonts w:ascii="Arial" w:eastAsia="Times New Roman" w:hAnsi="Arial" w:cs="Arial"/>
          <w:b/>
          <w:bCs/>
          <w:i/>
        </w:rPr>
        <w:t>document</w:t>
      </w:r>
      <w:r w:rsidR="00B75AEA" w:rsidRPr="002E5B27">
        <w:rPr>
          <w:rFonts w:ascii="Arial" w:eastAsia="Times New Roman" w:hAnsi="Arial" w:cs="Arial"/>
          <w:b/>
          <w:bCs/>
          <w:i/>
        </w:rPr>
        <w:t xml:space="preserve"> </w:t>
      </w:r>
      <w:r w:rsidR="00995115" w:rsidRPr="002E5B27">
        <w:rPr>
          <w:rFonts w:ascii="Arial" w:eastAsia="Times New Roman" w:hAnsi="Arial" w:cs="Arial"/>
        </w:rPr>
        <w:t>means</w:t>
      </w:r>
      <w:r w:rsidR="00995115" w:rsidRPr="002E5B27">
        <w:rPr>
          <w:rFonts w:ascii="Arial" w:eastAsia="Times New Roman" w:hAnsi="Arial" w:cs="Arial"/>
          <w:spacing w:val="-6"/>
        </w:rPr>
        <w:t xml:space="preserve"> </w:t>
      </w:r>
      <w:r w:rsidR="00995115" w:rsidRPr="002E5B27">
        <w:rPr>
          <w:rFonts w:ascii="Arial" w:eastAsia="Times New Roman" w:hAnsi="Arial" w:cs="Arial"/>
        </w:rPr>
        <w:t>a</w:t>
      </w:r>
      <w:r w:rsidR="00995115" w:rsidRPr="002E5B27">
        <w:rPr>
          <w:rFonts w:ascii="Arial" w:eastAsia="Times New Roman" w:hAnsi="Arial" w:cs="Arial"/>
          <w:spacing w:val="-1"/>
        </w:rPr>
        <w:t xml:space="preserve"> </w:t>
      </w:r>
      <w:r w:rsidR="00995115" w:rsidRPr="002E5B27">
        <w:rPr>
          <w:rFonts w:ascii="Arial" w:eastAsia="Times New Roman" w:hAnsi="Arial" w:cs="Arial"/>
        </w:rPr>
        <w:t>reporting</w:t>
      </w:r>
      <w:r w:rsidR="00995115" w:rsidRPr="002E5B27">
        <w:rPr>
          <w:rFonts w:ascii="Arial" w:eastAsia="Times New Roman" w:hAnsi="Arial" w:cs="Arial"/>
          <w:spacing w:val="-9"/>
        </w:rPr>
        <w:t xml:space="preserve"> </w:t>
      </w:r>
      <w:r w:rsidR="00995115" w:rsidRPr="002E5B27">
        <w:rPr>
          <w:rFonts w:ascii="Arial" w:eastAsia="Times New Roman" w:hAnsi="Arial" w:cs="Arial"/>
        </w:rPr>
        <w:t>document</w:t>
      </w:r>
      <w:r w:rsidR="00995115" w:rsidRPr="002E5B27">
        <w:rPr>
          <w:rFonts w:ascii="Arial" w:eastAsia="Times New Roman" w:hAnsi="Arial" w:cs="Arial"/>
          <w:spacing w:val="-9"/>
        </w:rPr>
        <w:t xml:space="preserve"> </w:t>
      </w:r>
      <w:r w:rsidR="00995115" w:rsidRPr="002E5B27">
        <w:rPr>
          <w:rFonts w:ascii="Arial" w:eastAsia="Times New Roman" w:hAnsi="Arial" w:cs="Arial"/>
        </w:rPr>
        <w:t>within</w:t>
      </w:r>
      <w:r w:rsidR="00995115" w:rsidRPr="002E5B27">
        <w:rPr>
          <w:rFonts w:ascii="Arial" w:eastAsia="Times New Roman" w:hAnsi="Arial" w:cs="Arial"/>
          <w:spacing w:val="-6"/>
        </w:rPr>
        <w:t xml:space="preserve"> </w:t>
      </w:r>
      <w:r w:rsidR="00995115" w:rsidRPr="002E5B27">
        <w:rPr>
          <w:rFonts w:ascii="Arial" w:eastAsia="Times New Roman" w:hAnsi="Arial" w:cs="Arial"/>
        </w:rPr>
        <w:t>the</w:t>
      </w:r>
      <w:r w:rsidR="00995115" w:rsidRPr="002E5B27">
        <w:rPr>
          <w:rFonts w:ascii="Arial" w:eastAsia="Times New Roman" w:hAnsi="Arial" w:cs="Arial"/>
          <w:spacing w:val="-3"/>
        </w:rPr>
        <w:t xml:space="preserve"> </w:t>
      </w:r>
      <w:r w:rsidR="00995115" w:rsidRPr="002E5B27">
        <w:rPr>
          <w:rFonts w:ascii="Arial" w:eastAsia="Times New Roman" w:hAnsi="Arial" w:cs="Arial"/>
        </w:rPr>
        <w:t>meaning</w:t>
      </w:r>
      <w:r w:rsidR="00995115" w:rsidRPr="002E5B27">
        <w:rPr>
          <w:rFonts w:ascii="Arial" w:eastAsia="Times New Roman" w:hAnsi="Arial" w:cs="Arial"/>
          <w:spacing w:val="-8"/>
        </w:rPr>
        <w:t xml:space="preserve"> </w:t>
      </w:r>
      <w:r w:rsidR="00995115" w:rsidRPr="002E5B27">
        <w:rPr>
          <w:rFonts w:ascii="Arial" w:eastAsia="Times New Roman" w:hAnsi="Arial" w:cs="Arial"/>
        </w:rPr>
        <w:t>of section</w:t>
      </w:r>
      <w:r w:rsidR="00995115" w:rsidRPr="002E5B27">
        <w:rPr>
          <w:rFonts w:ascii="Arial" w:eastAsia="Times New Roman" w:hAnsi="Arial" w:cs="Arial"/>
          <w:spacing w:val="-7"/>
        </w:rPr>
        <w:t xml:space="preserve"> </w:t>
      </w:r>
      <w:r w:rsidR="00995115" w:rsidRPr="002E5B27">
        <w:rPr>
          <w:rFonts w:ascii="Arial" w:eastAsia="Times New Roman" w:hAnsi="Arial" w:cs="Arial"/>
        </w:rPr>
        <w:t>13 of the</w:t>
      </w:r>
      <w:r w:rsidR="002E5B27" w:rsidRPr="002E5B27">
        <w:rPr>
          <w:rFonts w:ascii="Arial" w:eastAsia="Times New Roman" w:hAnsi="Arial" w:cs="Arial"/>
        </w:rPr>
        <w:t xml:space="preserve"> </w:t>
      </w:r>
      <w:r w:rsidR="00995115" w:rsidRPr="002E5B27">
        <w:rPr>
          <w:rFonts w:ascii="Arial" w:eastAsia="Times New Roman" w:hAnsi="Arial" w:cs="Arial"/>
          <w:i/>
        </w:rPr>
        <w:t>Financial</w:t>
      </w:r>
      <w:r w:rsidR="00995115" w:rsidRPr="002E5B27">
        <w:rPr>
          <w:rFonts w:ascii="Arial" w:eastAsia="Times New Roman" w:hAnsi="Arial" w:cs="Arial"/>
          <w:i/>
          <w:spacing w:val="-9"/>
        </w:rPr>
        <w:t xml:space="preserve"> </w:t>
      </w:r>
      <w:r w:rsidR="00995115" w:rsidRPr="002E5B27">
        <w:rPr>
          <w:rFonts w:ascii="Arial" w:eastAsia="Times New Roman" w:hAnsi="Arial" w:cs="Arial"/>
          <w:i/>
        </w:rPr>
        <w:t>Sector</w:t>
      </w:r>
      <w:r w:rsidR="00995115" w:rsidRPr="002E5B27">
        <w:rPr>
          <w:rFonts w:ascii="Arial" w:eastAsia="Times New Roman" w:hAnsi="Arial" w:cs="Arial"/>
          <w:i/>
          <w:spacing w:val="-6"/>
        </w:rPr>
        <w:t xml:space="preserve"> </w:t>
      </w:r>
      <w:r w:rsidR="00995115" w:rsidRPr="002E5B27">
        <w:rPr>
          <w:rFonts w:ascii="Arial" w:eastAsia="Times New Roman" w:hAnsi="Arial" w:cs="Arial"/>
          <w:i/>
        </w:rPr>
        <w:t>(Collection</w:t>
      </w:r>
      <w:r w:rsidR="00995115" w:rsidRPr="002E5B27">
        <w:rPr>
          <w:rFonts w:ascii="Arial" w:eastAsia="Times New Roman" w:hAnsi="Arial" w:cs="Arial"/>
          <w:i/>
          <w:spacing w:val="-11"/>
        </w:rPr>
        <w:t xml:space="preserve"> </w:t>
      </w:r>
      <w:r w:rsidR="00995115" w:rsidRPr="002E5B27">
        <w:rPr>
          <w:rFonts w:ascii="Arial" w:eastAsia="Times New Roman" w:hAnsi="Arial" w:cs="Arial"/>
          <w:i/>
        </w:rPr>
        <w:t>of</w:t>
      </w:r>
      <w:r w:rsidR="00995115" w:rsidRPr="002E5B27">
        <w:rPr>
          <w:rFonts w:ascii="Arial" w:eastAsia="Times New Roman" w:hAnsi="Arial" w:cs="Arial"/>
          <w:i/>
          <w:spacing w:val="-2"/>
        </w:rPr>
        <w:t xml:space="preserve"> </w:t>
      </w:r>
      <w:r w:rsidR="00995115" w:rsidRPr="002E5B27">
        <w:rPr>
          <w:rFonts w:ascii="Arial" w:eastAsia="Times New Roman" w:hAnsi="Arial" w:cs="Arial"/>
          <w:i/>
        </w:rPr>
        <w:t>Data) Act</w:t>
      </w:r>
      <w:r w:rsidR="00995115" w:rsidRPr="002E5B27">
        <w:rPr>
          <w:rFonts w:ascii="Arial" w:eastAsia="Times New Roman" w:hAnsi="Arial" w:cs="Arial"/>
          <w:i/>
          <w:spacing w:val="-3"/>
        </w:rPr>
        <w:t xml:space="preserve"> </w:t>
      </w:r>
      <w:r w:rsidR="00995115" w:rsidRPr="002E5B27">
        <w:rPr>
          <w:rFonts w:ascii="Arial" w:eastAsia="Times New Roman" w:hAnsi="Arial" w:cs="Arial"/>
          <w:i/>
        </w:rPr>
        <w:t>2001.</w:t>
      </w:r>
    </w:p>
    <w:p w14:paraId="0E738CEE" w14:textId="77777777" w:rsidR="001639DA" w:rsidRDefault="001639DA">
      <w:pPr>
        <w:spacing w:after="0"/>
        <w:sectPr w:rsidR="001639DA" w:rsidSect="006E34F6">
          <w:footerReference w:type="default" r:id="rId14"/>
          <w:type w:val="continuous"/>
          <w:pgSz w:w="11920" w:h="16840"/>
          <w:pgMar w:top="1440" w:right="1440" w:bottom="1440" w:left="1440" w:header="720" w:footer="720" w:gutter="0"/>
          <w:cols w:space="720"/>
          <w:titlePg/>
          <w:docGrid w:linePitch="299"/>
        </w:sectPr>
      </w:pPr>
    </w:p>
    <w:p w14:paraId="45C2110E" w14:textId="77777777" w:rsidR="00A51B07" w:rsidRDefault="00A51B07" w:rsidP="00994386">
      <w:pPr>
        <w:spacing w:before="26" w:after="0" w:line="240" w:lineRule="auto"/>
        <w:ind w:right="-20"/>
        <w:rPr>
          <w:rFonts w:ascii="Arial" w:eastAsia="Arial" w:hAnsi="Arial" w:cs="Arial"/>
          <w:b/>
          <w:bCs/>
          <w:spacing w:val="2"/>
          <w:w w:val="102"/>
          <w:sz w:val="31"/>
          <w:szCs w:val="31"/>
        </w:rPr>
      </w:pPr>
    </w:p>
    <w:p w14:paraId="647EF85D" w14:textId="22074E41" w:rsidR="001639DA" w:rsidRPr="00717C98" w:rsidRDefault="00995115" w:rsidP="00717C98">
      <w:pPr>
        <w:spacing w:after="240" w:line="240" w:lineRule="auto"/>
        <w:rPr>
          <w:rFonts w:ascii="Arial" w:eastAsia="Arial" w:hAnsi="Arial" w:cs="Arial"/>
          <w:b/>
          <w:sz w:val="32"/>
          <w:szCs w:val="32"/>
        </w:rPr>
      </w:pPr>
      <w:r w:rsidRPr="00717C98">
        <w:rPr>
          <w:rFonts w:ascii="Arial" w:eastAsia="Arial" w:hAnsi="Arial" w:cs="Arial"/>
          <w:b/>
          <w:bCs/>
          <w:spacing w:val="2"/>
          <w:w w:val="102"/>
          <w:sz w:val="32"/>
          <w:szCs w:val="32"/>
        </w:rPr>
        <w:t>Schedule</w:t>
      </w:r>
    </w:p>
    <w:p w14:paraId="760AED76" w14:textId="77777777" w:rsidR="001639DA" w:rsidRPr="00717C98" w:rsidRDefault="00995115" w:rsidP="00717C98">
      <w:pPr>
        <w:spacing w:after="240" w:line="240" w:lineRule="auto"/>
        <w:rPr>
          <w:rFonts w:ascii="Arial" w:eastAsia="Arial" w:hAnsi="Arial" w:cs="Arial"/>
          <w:b/>
          <w:sz w:val="32"/>
          <w:szCs w:val="32"/>
        </w:rPr>
      </w:pPr>
      <w:r w:rsidRPr="00717C98">
        <w:rPr>
          <w:rFonts w:ascii="Arial" w:eastAsia="Arial" w:hAnsi="Arial" w:cs="Arial"/>
          <w:b/>
          <w:bCs/>
          <w:spacing w:val="2"/>
          <w:sz w:val="32"/>
          <w:szCs w:val="32"/>
        </w:rPr>
        <w:t>Par</w:t>
      </w:r>
      <w:r w:rsidRPr="00717C98">
        <w:rPr>
          <w:rFonts w:ascii="Arial" w:eastAsia="Arial" w:hAnsi="Arial" w:cs="Arial"/>
          <w:b/>
          <w:bCs/>
          <w:sz w:val="32"/>
          <w:szCs w:val="32"/>
        </w:rPr>
        <w:t>t</w:t>
      </w:r>
      <w:r w:rsidRPr="00717C98">
        <w:rPr>
          <w:rFonts w:ascii="Arial" w:eastAsia="Arial" w:hAnsi="Arial" w:cs="Arial"/>
          <w:b/>
          <w:bCs/>
          <w:spacing w:val="17"/>
          <w:sz w:val="32"/>
          <w:szCs w:val="32"/>
        </w:rPr>
        <w:t xml:space="preserve"> </w:t>
      </w:r>
      <w:r w:rsidRPr="00717C98">
        <w:rPr>
          <w:rFonts w:ascii="Arial" w:eastAsia="Arial" w:hAnsi="Arial" w:cs="Arial"/>
          <w:b/>
          <w:bCs/>
          <w:sz w:val="32"/>
          <w:szCs w:val="32"/>
        </w:rPr>
        <w:t>1</w:t>
      </w:r>
      <w:r w:rsidRPr="00717C98">
        <w:rPr>
          <w:rFonts w:ascii="Arial" w:eastAsia="Arial" w:hAnsi="Arial" w:cs="Arial"/>
          <w:b/>
          <w:bCs/>
          <w:spacing w:val="8"/>
          <w:sz w:val="32"/>
          <w:szCs w:val="32"/>
        </w:rPr>
        <w:t xml:space="preserve"> </w:t>
      </w:r>
      <w:r w:rsidRPr="00717C98">
        <w:rPr>
          <w:rFonts w:ascii="Arial" w:eastAsia="Arial" w:hAnsi="Arial" w:cs="Arial"/>
          <w:b/>
          <w:bCs/>
          <w:spacing w:val="2"/>
          <w:sz w:val="32"/>
          <w:szCs w:val="32"/>
        </w:rPr>
        <w:t>(reportin</w:t>
      </w:r>
      <w:r w:rsidRPr="00717C98">
        <w:rPr>
          <w:rFonts w:ascii="Arial" w:eastAsia="Arial" w:hAnsi="Arial" w:cs="Arial"/>
          <w:b/>
          <w:bCs/>
          <w:sz w:val="32"/>
          <w:szCs w:val="32"/>
        </w:rPr>
        <w:t>g</w:t>
      </w:r>
      <w:r w:rsidRPr="00717C98">
        <w:rPr>
          <w:rFonts w:ascii="Arial" w:eastAsia="Arial" w:hAnsi="Arial" w:cs="Arial"/>
          <w:b/>
          <w:bCs/>
          <w:spacing w:val="34"/>
          <w:sz w:val="32"/>
          <w:szCs w:val="32"/>
        </w:rPr>
        <w:t xml:space="preserve"> </w:t>
      </w:r>
      <w:r w:rsidRPr="00717C98">
        <w:rPr>
          <w:rFonts w:ascii="Arial" w:eastAsia="Arial" w:hAnsi="Arial" w:cs="Arial"/>
          <w:b/>
          <w:bCs/>
          <w:spacing w:val="2"/>
          <w:sz w:val="32"/>
          <w:szCs w:val="32"/>
        </w:rPr>
        <w:t>document</w:t>
      </w:r>
      <w:r w:rsidRPr="00717C98">
        <w:rPr>
          <w:rFonts w:ascii="Arial" w:eastAsia="Arial" w:hAnsi="Arial" w:cs="Arial"/>
          <w:b/>
          <w:bCs/>
          <w:sz w:val="32"/>
          <w:szCs w:val="32"/>
        </w:rPr>
        <w:t>s</w:t>
      </w:r>
      <w:r w:rsidRPr="00717C98">
        <w:rPr>
          <w:rFonts w:ascii="Arial" w:eastAsia="Arial" w:hAnsi="Arial" w:cs="Arial"/>
          <w:b/>
          <w:bCs/>
          <w:spacing w:val="38"/>
          <w:sz w:val="32"/>
          <w:szCs w:val="32"/>
        </w:rPr>
        <w:t xml:space="preserve"> </w:t>
      </w:r>
      <w:r w:rsidRPr="00717C98">
        <w:rPr>
          <w:rFonts w:ascii="Arial" w:eastAsia="Arial" w:hAnsi="Arial" w:cs="Arial"/>
          <w:b/>
          <w:bCs/>
          <w:spacing w:val="2"/>
          <w:sz w:val="32"/>
          <w:szCs w:val="32"/>
        </w:rPr>
        <w:t>covere</w:t>
      </w:r>
      <w:r w:rsidRPr="00717C98">
        <w:rPr>
          <w:rFonts w:ascii="Arial" w:eastAsia="Arial" w:hAnsi="Arial" w:cs="Arial"/>
          <w:b/>
          <w:bCs/>
          <w:sz w:val="32"/>
          <w:szCs w:val="32"/>
        </w:rPr>
        <w:t>d</w:t>
      </w:r>
      <w:r w:rsidRPr="00717C98">
        <w:rPr>
          <w:rFonts w:ascii="Arial" w:eastAsia="Arial" w:hAnsi="Arial" w:cs="Arial"/>
          <w:b/>
          <w:bCs/>
          <w:spacing w:val="29"/>
          <w:sz w:val="32"/>
          <w:szCs w:val="32"/>
        </w:rPr>
        <w:t xml:space="preserve"> </w:t>
      </w:r>
      <w:r w:rsidRPr="00717C98">
        <w:rPr>
          <w:rFonts w:ascii="Arial" w:eastAsia="Arial" w:hAnsi="Arial" w:cs="Arial"/>
          <w:b/>
          <w:bCs/>
          <w:spacing w:val="2"/>
          <w:sz w:val="32"/>
          <w:szCs w:val="32"/>
        </w:rPr>
        <w:t>b</w:t>
      </w:r>
      <w:r w:rsidRPr="00717C98">
        <w:rPr>
          <w:rFonts w:ascii="Arial" w:eastAsia="Arial" w:hAnsi="Arial" w:cs="Arial"/>
          <w:b/>
          <w:bCs/>
          <w:sz w:val="32"/>
          <w:szCs w:val="32"/>
        </w:rPr>
        <w:t>y</w:t>
      </w:r>
      <w:r w:rsidRPr="00717C98">
        <w:rPr>
          <w:rFonts w:ascii="Arial" w:eastAsia="Arial" w:hAnsi="Arial" w:cs="Arial"/>
          <w:b/>
          <w:bCs/>
          <w:spacing w:val="12"/>
          <w:sz w:val="32"/>
          <w:szCs w:val="32"/>
        </w:rPr>
        <w:t xml:space="preserve"> </w:t>
      </w:r>
      <w:r w:rsidRPr="00717C98">
        <w:rPr>
          <w:rFonts w:ascii="Arial" w:eastAsia="Arial" w:hAnsi="Arial" w:cs="Arial"/>
          <w:b/>
          <w:bCs/>
          <w:spacing w:val="2"/>
          <w:w w:val="102"/>
          <w:sz w:val="32"/>
          <w:szCs w:val="32"/>
        </w:rPr>
        <w:t xml:space="preserve">this </w:t>
      </w:r>
      <w:r w:rsidRPr="00717C98">
        <w:rPr>
          <w:rFonts w:ascii="Arial" w:eastAsia="Arial" w:hAnsi="Arial" w:cs="Arial"/>
          <w:b/>
          <w:bCs/>
          <w:spacing w:val="1"/>
          <w:w w:val="102"/>
          <w:sz w:val="32"/>
          <w:szCs w:val="32"/>
        </w:rPr>
        <w:t>determination)</w:t>
      </w:r>
    </w:p>
    <w:p w14:paraId="12C82E3A" w14:textId="13DE5C0A" w:rsidR="0016175D" w:rsidRPr="00717C98" w:rsidRDefault="0009571C" w:rsidP="00717C98">
      <w:pPr>
        <w:spacing w:after="0" w:line="240" w:lineRule="auto"/>
        <w:rPr>
          <w:rFonts w:ascii="Arial" w:eastAsia="Times New Roman" w:hAnsi="Arial" w:cs="Arial"/>
        </w:rPr>
      </w:pPr>
      <w:r w:rsidRPr="00717C98">
        <w:rPr>
          <w:rFonts w:ascii="Arial" w:eastAsia="Times New Roman" w:hAnsi="Arial" w:cs="Arial"/>
        </w:rPr>
        <w:t>Part 1 of the Schedule of this</w:t>
      </w:r>
      <w:r w:rsidR="0016175D" w:rsidRPr="00717C98">
        <w:rPr>
          <w:rFonts w:ascii="Arial" w:eastAsia="Times New Roman" w:hAnsi="Arial" w:cs="Arial"/>
        </w:rPr>
        <w:t xml:space="preserve"> determination applies to</w:t>
      </w:r>
      <w:r w:rsidR="0026459C" w:rsidRPr="00717C98">
        <w:rPr>
          <w:rFonts w:ascii="Arial" w:eastAsia="Times New Roman" w:hAnsi="Arial" w:cs="Arial"/>
        </w:rPr>
        <w:t xml:space="preserve"> </w:t>
      </w:r>
      <w:r w:rsidR="00A83141" w:rsidRPr="00717C98">
        <w:rPr>
          <w:rFonts w:ascii="Arial" w:eastAsia="Times New Roman" w:hAnsi="Arial" w:cs="Arial"/>
        </w:rPr>
        <w:t xml:space="preserve">all of </w:t>
      </w:r>
      <w:r w:rsidR="0026459C" w:rsidRPr="00717C98">
        <w:rPr>
          <w:rFonts w:ascii="Arial" w:eastAsia="Times New Roman" w:hAnsi="Arial" w:cs="Arial"/>
        </w:rPr>
        <w:t>the information in</w:t>
      </w:r>
      <w:r w:rsidR="0016175D" w:rsidRPr="00717C98">
        <w:rPr>
          <w:rFonts w:ascii="Arial" w:eastAsia="Times New Roman" w:hAnsi="Arial" w:cs="Arial"/>
        </w:rPr>
        <w:t xml:space="preserve"> reporting forms given to APRA by a life insurer</w:t>
      </w:r>
      <w:r w:rsidR="00F4540F" w:rsidRPr="00717C98">
        <w:rPr>
          <w:rFonts w:ascii="Arial" w:eastAsia="Times New Roman" w:hAnsi="Arial" w:cs="Arial"/>
        </w:rPr>
        <w:t xml:space="preserve"> </w:t>
      </w:r>
      <w:r w:rsidR="007B5AED" w:rsidRPr="00717C98">
        <w:rPr>
          <w:rFonts w:ascii="Arial" w:eastAsia="Times New Roman" w:hAnsi="Arial" w:cs="Arial"/>
        </w:rPr>
        <w:t>or friendly society</w:t>
      </w:r>
      <w:r w:rsidR="0016175D" w:rsidRPr="00717C98">
        <w:rPr>
          <w:rFonts w:ascii="Arial" w:eastAsia="Times New Roman" w:hAnsi="Arial" w:cs="Arial"/>
        </w:rPr>
        <w:t xml:space="preserve"> under the following reporting standards, where a period of </w:t>
      </w:r>
      <w:r w:rsidR="002E2126" w:rsidRPr="00717C98">
        <w:rPr>
          <w:rFonts w:ascii="Arial" w:eastAsia="Times New Roman" w:hAnsi="Arial" w:cs="Arial"/>
        </w:rPr>
        <w:t xml:space="preserve">at least </w:t>
      </w:r>
      <w:r w:rsidR="0016175D" w:rsidRPr="00717C98">
        <w:rPr>
          <w:rFonts w:ascii="Arial" w:eastAsia="Times New Roman" w:hAnsi="Arial" w:cs="Arial"/>
        </w:rPr>
        <w:t>14 days has elapsed from the date the life insurer</w:t>
      </w:r>
      <w:r w:rsidR="007B5AED" w:rsidRPr="00717C98">
        <w:rPr>
          <w:rFonts w:ascii="Arial" w:eastAsia="Times New Roman" w:hAnsi="Arial" w:cs="Arial"/>
        </w:rPr>
        <w:t xml:space="preserve"> or friendly society</w:t>
      </w:r>
      <w:r w:rsidR="0016175D" w:rsidRPr="00717C98">
        <w:rPr>
          <w:rFonts w:ascii="Arial" w:eastAsia="Times New Roman" w:hAnsi="Arial" w:cs="Arial"/>
        </w:rPr>
        <w:t xml:space="preserve"> was required to provide the information required under the reporting standards in accordance with paragraph 5 of Reporting Standard LRS 001 Reporting Requirements:</w:t>
      </w:r>
    </w:p>
    <w:p w14:paraId="24A223C4" w14:textId="77777777" w:rsidR="0016175D" w:rsidRPr="00717C98" w:rsidRDefault="0016175D" w:rsidP="00717C98">
      <w:pPr>
        <w:spacing w:after="0" w:line="240" w:lineRule="auto"/>
        <w:rPr>
          <w:rFonts w:ascii="Arial" w:eastAsia="Times New Roman" w:hAnsi="Arial" w:cs="Arial"/>
        </w:rPr>
      </w:pPr>
    </w:p>
    <w:p w14:paraId="7B42CE9F" w14:textId="13008B12" w:rsidR="0016175D" w:rsidRPr="00717C98" w:rsidRDefault="001D4481" w:rsidP="00717C98">
      <w:pPr>
        <w:numPr>
          <w:ilvl w:val="0"/>
          <w:numId w:val="3"/>
        </w:numPr>
        <w:spacing w:after="0" w:line="240" w:lineRule="auto"/>
        <w:ind w:left="357" w:hanging="357"/>
        <w:rPr>
          <w:rFonts w:ascii="Arial" w:eastAsia="Times New Roman" w:hAnsi="Arial" w:cs="Arial"/>
          <w:b/>
        </w:rPr>
      </w:pPr>
      <w:r w:rsidRPr="00717C98">
        <w:rPr>
          <w:rFonts w:ascii="Arial" w:eastAsia="Times New Roman" w:hAnsi="Arial" w:cs="Arial"/>
          <w:b/>
        </w:rPr>
        <w:t>Current R</w:t>
      </w:r>
      <w:r w:rsidR="0016175D" w:rsidRPr="00717C98">
        <w:rPr>
          <w:rFonts w:ascii="Arial" w:eastAsia="Times New Roman" w:hAnsi="Arial" w:cs="Arial"/>
          <w:b/>
        </w:rPr>
        <w:t xml:space="preserve">eporting </w:t>
      </w:r>
      <w:r w:rsidRPr="00717C98">
        <w:rPr>
          <w:rFonts w:ascii="Arial" w:eastAsia="Times New Roman" w:hAnsi="Arial" w:cs="Arial"/>
          <w:b/>
        </w:rPr>
        <w:t>S</w:t>
      </w:r>
      <w:r w:rsidR="0016175D" w:rsidRPr="00717C98">
        <w:rPr>
          <w:rFonts w:ascii="Arial" w:eastAsia="Times New Roman" w:hAnsi="Arial" w:cs="Arial"/>
          <w:b/>
        </w:rPr>
        <w:t>tandards</w:t>
      </w:r>
    </w:p>
    <w:p w14:paraId="4CFDA159" w14:textId="77777777" w:rsidR="0016175D" w:rsidRPr="00717C98" w:rsidRDefault="0016175D" w:rsidP="00717C98">
      <w:pPr>
        <w:spacing w:after="0" w:line="240" w:lineRule="auto"/>
        <w:rPr>
          <w:rFonts w:ascii="Arial" w:eastAsia="Times New Roman" w:hAnsi="Arial" w:cs="Arial"/>
        </w:rPr>
      </w:pPr>
    </w:p>
    <w:p w14:paraId="3923A947" w14:textId="16E3DF06" w:rsidR="0016175D" w:rsidRPr="00717C98" w:rsidRDefault="009D5C0A" w:rsidP="00256C6A">
      <w:pPr>
        <w:numPr>
          <w:ilvl w:val="0"/>
          <w:numId w:val="4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717C98">
        <w:rPr>
          <w:rFonts w:ascii="Arial" w:eastAsia="Times New Roman" w:hAnsi="Arial" w:cs="Arial"/>
        </w:rPr>
        <w:t>Reporting Standard LRS 112.0 Determination of Capital Base</w:t>
      </w:r>
      <w:r w:rsidR="009026BF" w:rsidRPr="00717C98">
        <w:rPr>
          <w:rFonts w:ascii="Arial" w:eastAsia="Times New Roman" w:hAnsi="Arial" w:cs="Arial"/>
        </w:rPr>
        <w:t>;</w:t>
      </w:r>
    </w:p>
    <w:p w14:paraId="2821C962" w14:textId="3EEFA679" w:rsidR="00BE2D4C" w:rsidRPr="00717C98" w:rsidRDefault="00BE2D4C" w:rsidP="00256C6A">
      <w:pPr>
        <w:numPr>
          <w:ilvl w:val="0"/>
          <w:numId w:val="4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717C98">
        <w:rPr>
          <w:rFonts w:ascii="Arial" w:eastAsia="Times New Roman" w:hAnsi="Arial" w:cs="Arial"/>
        </w:rPr>
        <w:t>Reporting Standard LRS 114.2 Derivatives Activity</w:t>
      </w:r>
      <w:r w:rsidR="009026BF" w:rsidRPr="00717C98">
        <w:rPr>
          <w:rFonts w:ascii="Arial" w:eastAsia="Times New Roman" w:hAnsi="Arial" w:cs="Arial"/>
        </w:rPr>
        <w:t>;</w:t>
      </w:r>
      <w:r w:rsidRPr="00717C98">
        <w:rPr>
          <w:rFonts w:ascii="Arial" w:eastAsia="Times New Roman" w:hAnsi="Arial" w:cs="Arial"/>
        </w:rPr>
        <w:t xml:space="preserve"> </w:t>
      </w:r>
    </w:p>
    <w:p w14:paraId="33377E1B" w14:textId="0AD239C4" w:rsidR="00A07FF0" w:rsidRPr="00717C98" w:rsidRDefault="00BE2D4C" w:rsidP="00256C6A">
      <w:pPr>
        <w:numPr>
          <w:ilvl w:val="0"/>
          <w:numId w:val="4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717C98">
        <w:rPr>
          <w:rFonts w:ascii="Arial" w:eastAsia="Times New Roman" w:hAnsi="Arial" w:cs="Arial"/>
        </w:rPr>
        <w:t>Reporting Standard LRS 114.3 Off</w:t>
      </w:r>
      <w:r w:rsidR="00D20533" w:rsidRPr="00717C98">
        <w:rPr>
          <w:rFonts w:ascii="Arial" w:eastAsia="Times New Roman" w:hAnsi="Arial" w:cs="Arial"/>
        </w:rPr>
        <w:t>-</w:t>
      </w:r>
      <w:r w:rsidR="00E34284" w:rsidRPr="00717C98">
        <w:rPr>
          <w:rFonts w:ascii="Arial" w:eastAsia="Times New Roman" w:hAnsi="Arial" w:cs="Arial"/>
        </w:rPr>
        <w:t>b</w:t>
      </w:r>
      <w:r w:rsidRPr="00717C98">
        <w:rPr>
          <w:rFonts w:ascii="Arial" w:eastAsia="Times New Roman" w:hAnsi="Arial" w:cs="Arial"/>
        </w:rPr>
        <w:t>alance Sheet Business</w:t>
      </w:r>
      <w:r w:rsidR="009026BF" w:rsidRPr="00717C98">
        <w:rPr>
          <w:rFonts w:ascii="Arial" w:eastAsia="Times New Roman" w:hAnsi="Arial" w:cs="Arial"/>
        </w:rPr>
        <w:t>;</w:t>
      </w:r>
    </w:p>
    <w:p w14:paraId="711DEC97" w14:textId="308CC795" w:rsidR="00E06216" w:rsidRPr="00717C98" w:rsidRDefault="009026BF" w:rsidP="00256C6A">
      <w:pPr>
        <w:numPr>
          <w:ilvl w:val="0"/>
          <w:numId w:val="4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717C98">
        <w:rPr>
          <w:rFonts w:ascii="Arial" w:eastAsia="Times New Roman" w:hAnsi="Arial" w:cs="Arial"/>
        </w:rPr>
        <w:t>Reporting Standard LR</w:t>
      </w:r>
      <w:r w:rsidR="00A243A1" w:rsidRPr="00717C98">
        <w:rPr>
          <w:rFonts w:ascii="Arial" w:eastAsia="Times New Roman" w:hAnsi="Arial" w:cs="Arial"/>
        </w:rPr>
        <w:t>S</w:t>
      </w:r>
      <w:r w:rsidRPr="00717C98">
        <w:rPr>
          <w:rFonts w:ascii="Arial" w:eastAsia="Times New Roman" w:hAnsi="Arial" w:cs="Arial"/>
        </w:rPr>
        <w:t xml:space="preserve"> 200.0 Capital Adequacy Supplementary Information;</w:t>
      </w:r>
    </w:p>
    <w:p w14:paraId="72EDB2EA" w14:textId="3DFEC475" w:rsidR="00BE2D4C" w:rsidRPr="00717C98" w:rsidRDefault="00BE2D4C" w:rsidP="00256C6A">
      <w:pPr>
        <w:numPr>
          <w:ilvl w:val="0"/>
          <w:numId w:val="4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717C98">
        <w:rPr>
          <w:rFonts w:ascii="Arial" w:eastAsia="Times New Roman" w:hAnsi="Arial" w:cs="Arial"/>
        </w:rPr>
        <w:t>Reporting Standard LRS 300.0 Statement of Financial Position</w:t>
      </w:r>
      <w:r w:rsidR="009026BF" w:rsidRPr="00717C98">
        <w:rPr>
          <w:rFonts w:ascii="Arial" w:eastAsia="Times New Roman" w:hAnsi="Arial" w:cs="Arial"/>
        </w:rPr>
        <w:t>;</w:t>
      </w:r>
    </w:p>
    <w:p w14:paraId="23F5A46F" w14:textId="77490131" w:rsidR="00BE2D4C" w:rsidRPr="00717C98" w:rsidRDefault="00BE2D4C" w:rsidP="00256C6A">
      <w:pPr>
        <w:numPr>
          <w:ilvl w:val="0"/>
          <w:numId w:val="4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717C98">
        <w:rPr>
          <w:rFonts w:ascii="Arial" w:eastAsia="Times New Roman" w:hAnsi="Arial" w:cs="Arial"/>
        </w:rPr>
        <w:t>Reporting Standard LRS 310.0 Income Statement</w:t>
      </w:r>
      <w:r w:rsidR="009026BF" w:rsidRPr="00717C98">
        <w:rPr>
          <w:rFonts w:ascii="Arial" w:eastAsia="Times New Roman" w:hAnsi="Arial" w:cs="Arial"/>
        </w:rPr>
        <w:t xml:space="preserve">; </w:t>
      </w:r>
    </w:p>
    <w:p w14:paraId="39CAFFC9" w14:textId="5BF404EF" w:rsidR="00DE07E0" w:rsidRPr="00717C98" w:rsidRDefault="00DE07E0" w:rsidP="00256C6A">
      <w:pPr>
        <w:numPr>
          <w:ilvl w:val="0"/>
          <w:numId w:val="4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717C98">
        <w:rPr>
          <w:rFonts w:ascii="Arial" w:eastAsia="Times New Roman" w:hAnsi="Arial" w:cs="Arial"/>
        </w:rPr>
        <w:t>Reporting</w:t>
      </w:r>
      <w:r w:rsidRPr="00717C98">
        <w:rPr>
          <w:rFonts w:ascii="Arial" w:eastAsia="Times New Roman" w:hAnsi="Arial" w:cs="Arial"/>
          <w:spacing w:val="-9"/>
        </w:rPr>
        <w:t xml:space="preserve"> </w:t>
      </w:r>
      <w:r w:rsidRPr="00717C98">
        <w:rPr>
          <w:rFonts w:ascii="Arial" w:eastAsia="Times New Roman" w:hAnsi="Arial" w:cs="Arial"/>
        </w:rPr>
        <w:t>Standard</w:t>
      </w:r>
      <w:r w:rsidRPr="00717C98">
        <w:rPr>
          <w:rFonts w:ascii="Arial" w:eastAsia="Times New Roman" w:hAnsi="Arial" w:cs="Arial"/>
          <w:spacing w:val="-8"/>
        </w:rPr>
        <w:t xml:space="preserve"> </w:t>
      </w:r>
      <w:r w:rsidRPr="00717C98">
        <w:rPr>
          <w:rFonts w:ascii="Arial" w:eastAsia="Times New Roman" w:hAnsi="Arial" w:cs="Arial"/>
        </w:rPr>
        <w:t>LRS</w:t>
      </w:r>
      <w:r w:rsidRPr="00717C98">
        <w:rPr>
          <w:rFonts w:ascii="Arial" w:eastAsia="Times New Roman" w:hAnsi="Arial" w:cs="Arial"/>
          <w:spacing w:val="-4"/>
        </w:rPr>
        <w:t xml:space="preserve"> </w:t>
      </w:r>
      <w:r w:rsidRPr="00717C98">
        <w:rPr>
          <w:rFonts w:ascii="Arial" w:eastAsia="Times New Roman" w:hAnsi="Arial" w:cs="Arial"/>
        </w:rPr>
        <w:t>330.0 Summary</w:t>
      </w:r>
      <w:r w:rsidRPr="00717C98">
        <w:rPr>
          <w:rFonts w:ascii="Arial" w:eastAsia="Times New Roman" w:hAnsi="Arial" w:cs="Arial"/>
          <w:spacing w:val="-8"/>
        </w:rPr>
        <w:t xml:space="preserve"> </w:t>
      </w:r>
      <w:r w:rsidRPr="00717C98">
        <w:rPr>
          <w:rFonts w:ascii="Arial" w:eastAsia="Times New Roman" w:hAnsi="Arial" w:cs="Arial"/>
        </w:rPr>
        <w:t>of Revenue</w:t>
      </w:r>
      <w:r w:rsidRPr="00717C98">
        <w:rPr>
          <w:rFonts w:ascii="Arial" w:eastAsia="Times New Roman" w:hAnsi="Arial" w:cs="Arial"/>
          <w:spacing w:val="-7"/>
        </w:rPr>
        <w:t xml:space="preserve"> </w:t>
      </w:r>
      <w:r w:rsidRPr="00717C98">
        <w:rPr>
          <w:rFonts w:ascii="Arial" w:eastAsia="Times New Roman" w:hAnsi="Arial" w:cs="Arial"/>
        </w:rPr>
        <w:t>and</w:t>
      </w:r>
      <w:r w:rsidRPr="00717C98">
        <w:rPr>
          <w:rFonts w:ascii="Arial" w:eastAsia="Times New Roman" w:hAnsi="Arial" w:cs="Arial"/>
          <w:spacing w:val="-3"/>
        </w:rPr>
        <w:t xml:space="preserve"> </w:t>
      </w:r>
      <w:r w:rsidRPr="00717C98">
        <w:rPr>
          <w:rFonts w:ascii="Arial" w:eastAsia="Times New Roman" w:hAnsi="Arial" w:cs="Arial"/>
        </w:rPr>
        <w:t>Expenses;</w:t>
      </w:r>
    </w:p>
    <w:p w14:paraId="20288975" w14:textId="46BF996E" w:rsidR="00DE07E0" w:rsidRPr="00717C98" w:rsidRDefault="00200291" w:rsidP="00256C6A">
      <w:pPr>
        <w:numPr>
          <w:ilvl w:val="0"/>
          <w:numId w:val="4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717C98">
        <w:rPr>
          <w:rFonts w:ascii="Arial" w:eastAsia="Times New Roman" w:hAnsi="Arial" w:cs="Arial"/>
        </w:rPr>
        <w:t>Reporting Standard LRS 340.0 Retained Profits</w:t>
      </w:r>
      <w:r w:rsidR="00DE07E0" w:rsidRPr="00717C98">
        <w:rPr>
          <w:rFonts w:ascii="Arial" w:eastAsia="Times New Roman" w:hAnsi="Arial" w:cs="Arial"/>
        </w:rPr>
        <w:t>;</w:t>
      </w:r>
    </w:p>
    <w:p w14:paraId="5A35DB0D" w14:textId="358B54CA" w:rsidR="00DE07E0" w:rsidRPr="00717C98" w:rsidRDefault="00DE07E0" w:rsidP="00256C6A">
      <w:pPr>
        <w:numPr>
          <w:ilvl w:val="0"/>
          <w:numId w:val="4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717C98">
        <w:rPr>
          <w:rFonts w:ascii="Arial" w:eastAsia="Times New Roman" w:hAnsi="Arial" w:cs="Arial"/>
        </w:rPr>
        <w:t>Reporting</w:t>
      </w:r>
      <w:r w:rsidRPr="00717C98">
        <w:rPr>
          <w:rFonts w:ascii="Arial" w:eastAsia="Times New Roman" w:hAnsi="Arial" w:cs="Arial"/>
          <w:spacing w:val="-10"/>
        </w:rPr>
        <w:t xml:space="preserve"> </w:t>
      </w:r>
      <w:r w:rsidRPr="00717C98">
        <w:rPr>
          <w:rFonts w:ascii="Arial" w:eastAsia="Times New Roman" w:hAnsi="Arial" w:cs="Arial"/>
        </w:rPr>
        <w:t>Standard</w:t>
      </w:r>
      <w:r w:rsidRPr="00717C98">
        <w:rPr>
          <w:rFonts w:ascii="Arial" w:eastAsia="Times New Roman" w:hAnsi="Arial" w:cs="Arial"/>
          <w:spacing w:val="-9"/>
        </w:rPr>
        <w:t xml:space="preserve"> </w:t>
      </w:r>
      <w:r w:rsidRPr="00717C98">
        <w:rPr>
          <w:rFonts w:ascii="Arial" w:eastAsia="Times New Roman" w:hAnsi="Arial" w:cs="Arial"/>
        </w:rPr>
        <w:t>LRS</w:t>
      </w:r>
      <w:r w:rsidRPr="00717C98">
        <w:rPr>
          <w:rFonts w:ascii="Arial" w:eastAsia="Times New Roman" w:hAnsi="Arial" w:cs="Arial"/>
          <w:spacing w:val="-4"/>
        </w:rPr>
        <w:t xml:space="preserve"> </w:t>
      </w:r>
      <w:r w:rsidRPr="00717C98">
        <w:rPr>
          <w:rFonts w:ascii="Arial" w:eastAsia="Times New Roman" w:hAnsi="Arial" w:cs="Arial"/>
        </w:rPr>
        <w:t>400.0 Statement</w:t>
      </w:r>
      <w:r w:rsidRPr="00717C98">
        <w:rPr>
          <w:rFonts w:ascii="Arial" w:eastAsia="Times New Roman" w:hAnsi="Arial" w:cs="Arial"/>
          <w:spacing w:val="-10"/>
        </w:rPr>
        <w:t xml:space="preserve"> </w:t>
      </w:r>
      <w:r w:rsidRPr="00717C98">
        <w:rPr>
          <w:rFonts w:ascii="Arial" w:eastAsia="Times New Roman" w:hAnsi="Arial" w:cs="Arial"/>
        </w:rPr>
        <w:t>of Policy</w:t>
      </w:r>
      <w:r w:rsidRPr="00717C98">
        <w:rPr>
          <w:rFonts w:ascii="Arial" w:eastAsia="Times New Roman" w:hAnsi="Arial" w:cs="Arial"/>
          <w:spacing w:val="-6"/>
        </w:rPr>
        <w:t xml:space="preserve"> </w:t>
      </w:r>
      <w:r w:rsidRPr="00717C98">
        <w:rPr>
          <w:rFonts w:ascii="Arial" w:eastAsia="Times New Roman" w:hAnsi="Arial" w:cs="Arial"/>
        </w:rPr>
        <w:t>Liabilities;</w:t>
      </w:r>
      <w:r w:rsidR="00200291" w:rsidRPr="00717C98">
        <w:rPr>
          <w:rFonts w:ascii="Arial" w:eastAsia="Times New Roman" w:hAnsi="Arial" w:cs="Arial"/>
        </w:rPr>
        <w:t xml:space="preserve"> </w:t>
      </w:r>
    </w:p>
    <w:p w14:paraId="21B1FFAE" w14:textId="3F6DE8B4" w:rsidR="00BE2D4C" w:rsidRPr="00717C98" w:rsidRDefault="00DE07E0" w:rsidP="00256C6A">
      <w:pPr>
        <w:numPr>
          <w:ilvl w:val="0"/>
          <w:numId w:val="4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717C98">
        <w:rPr>
          <w:rFonts w:ascii="Arial" w:eastAsia="Times New Roman" w:hAnsi="Arial" w:cs="Arial"/>
        </w:rPr>
        <w:t>Reporting</w:t>
      </w:r>
      <w:r w:rsidRPr="00717C98">
        <w:rPr>
          <w:rFonts w:ascii="Arial" w:eastAsia="Times New Roman" w:hAnsi="Arial" w:cs="Arial"/>
          <w:spacing w:val="-10"/>
        </w:rPr>
        <w:t xml:space="preserve"> </w:t>
      </w:r>
      <w:r w:rsidRPr="00717C98">
        <w:rPr>
          <w:rFonts w:ascii="Arial" w:eastAsia="Times New Roman" w:hAnsi="Arial" w:cs="Arial"/>
        </w:rPr>
        <w:t>Standard</w:t>
      </w:r>
      <w:r w:rsidRPr="00717C98">
        <w:rPr>
          <w:rFonts w:ascii="Arial" w:eastAsia="Times New Roman" w:hAnsi="Arial" w:cs="Arial"/>
          <w:spacing w:val="-9"/>
        </w:rPr>
        <w:t xml:space="preserve"> </w:t>
      </w:r>
      <w:r w:rsidRPr="00717C98">
        <w:rPr>
          <w:rFonts w:ascii="Arial" w:eastAsia="Times New Roman" w:hAnsi="Arial" w:cs="Arial"/>
        </w:rPr>
        <w:t>LRS</w:t>
      </w:r>
      <w:r w:rsidRPr="00717C98">
        <w:rPr>
          <w:rFonts w:ascii="Arial" w:eastAsia="Times New Roman" w:hAnsi="Arial" w:cs="Arial"/>
          <w:spacing w:val="-4"/>
        </w:rPr>
        <w:t xml:space="preserve"> </w:t>
      </w:r>
      <w:r w:rsidRPr="00717C98">
        <w:rPr>
          <w:rFonts w:ascii="Arial" w:eastAsia="Times New Roman" w:hAnsi="Arial" w:cs="Arial"/>
        </w:rPr>
        <w:t>420.0 Assets Backing</w:t>
      </w:r>
      <w:r w:rsidRPr="00717C98">
        <w:rPr>
          <w:rFonts w:ascii="Arial" w:eastAsia="Times New Roman" w:hAnsi="Arial" w:cs="Arial"/>
          <w:spacing w:val="-8"/>
        </w:rPr>
        <w:t xml:space="preserve"> </w:t>
      </w:r>
      <w:r w:rsidRPr="00717C98">
        <w:rPr>
          <w:rFonts w:ascii="Arial" w:eastAsia="Times New Roman" w:hAnsi="Arial" w:cs="Arial"/>
        </w:rPr>
        <w:t>Policy</w:t>
      </w:r>
      <w:r w:rsidRPr="00717C98">
        <w:rPr>
          <w:rFonts w:ascii="Arial" w:eastAsia="Times New Roman" w:hAnsi="Arial" w:cs="Arial"/>
          <w:spacing w:val="-6"/>
        </w:rPr>
        <w:t xml:space="preserve"> </w:t>
      </w:r>
      <w:r w:rsidRPr="00717C98">
        <w:rPr>
          <w:rFonts w:ascii="Arial" w:eastAsia="Times New Roman" w:hAnsi="Arial" w:cs="Arial"/>
        </w:rPr>
        <w:t>Liabilities; and</w:t>
      </w:r>
    </w:p>
    <w:p w14:paraId="415C729D" w14:textId="7AF7E0FA" w:rsidR="00DE07E0" w:rsidRPr="00717C98" w:rsidRDefault="00DE07E0" w:rsidP="00256C6A">
      <w:pPr>
        <w:numPr>
          <w:ilvl w:val="0"/>
          <w:numId w:val="4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717C98">
        <w:rPr>
          <w:rFonts w:ascii="Arial" w:eastAsia="Times New Roman" w:hAnsi="Arial" w:cs="Arial"/>
        </w:rPr>
        <w:t>Reporting</w:t>
      </w:r>
      <w:r w:rsidRPr="00717C98">
        <w:rPr>
          <w:rFonts w:ascii="Arial" w:eastAsia="Times New Roman" w:hAnsi="Arial" w:cs="Arial"/>
          <w:spacing w:val="-10"/>
        </w:rPr>
        <w:t xml:space="preserve"> </w:t>
      </w:r>
      <w:r w:rsidRPr="00717C98">
        <w:rPr>
          <w:rFonts w:ascii="Arial" w:eastAsia="Times New Roman" w:hAnsi="Arial" w:cs="Arial"/>
        </w:rPr>
        <w:t>Standard</w:t>
      </w:r>
      <w:r w:rsidRPr="00717C98">
        <w:rPr>
          <w:rFonts w:ascii="Arial" w:eastAsia="Times New Roman" w:hAnsi="Arial" w:cs="Arial"/>
          <w:spacing w:val="-9"/>
        </w:rPr>
        <w:t xml:space="preserve"> </w:t>
      </w:r>
      <w:r w:rsidRPr="00717C98">
        <w:rPr>
          <w:rFonts w:ascii="Arial" w:eastAsia="Times New Roman" w:hAnsi="Arial" w:cs="Arial"/>
        </w:rPr>
        <w:t>LRS</w:t>
      </w:r>
      <w:r w:rsidRPr="00717C98">
        <w:rPr>
          <w:rFonts w:ascii="Arial" w:eastAsia="Times New Roman" w:hAnsi="Arial" w:cs="Arial"/>
          <w:spacing w:val="-4"/>
        </w:rPr>
        <w:t xml:space="preserve"> </w:t>
      </w:r>
      <w:r w:rsidRPr="00717C98">
        <w:rPr>
          <w:rFonts w:ascii="Arial" w:eastAsia="Times New Roman" w:hAnsi="Arial" w:cs="Arial"/>
        </w:rPr>
        <w:t>430.0 Sources of Profit.</w:t>
      </w:r>
    </w:p>
    <w:p w14:paraId="44AA8962" w14:textId="77777777" w:rsidR="000D3AF9" w:rsidRPr="00717C98" w:rsidRDefault="000D3AF9" w:rsidP="000D3AF9">
      <w:pPr>
        <w:spacing w:before="26" w:after="0" w:line="240" w:lineRule="auto"/>
        <w:ind w:right="-20"/>
        <w:rPr>
          <w:rFonts w:ascii="Arial" w:eastAsia="Times New Roman" w:hAnsi="Arial" w:cs="Arial"/>
        </w:rPr>
      </w:pPr>
    </w:p>
    <w:p w14:paraId="5D653FE7" w14:textId="77777777" w:rsidR="001D4481" w:rsidRPr="00717C98" w:rsidRDefault="001D4481" w:rsidP="001D4481">
      <w:pPr>
        <w:spacing w:after="0" w:line="264" w:lineRule="exact"/>
        <w:ind w:right="211"/>
        <w:rPr>
          <w:rFonts w:ascii="Arial" w:eastAsia="Times New Roman" w:hAnsi="Arial" w:cs="Arial"/>
        </w:rPr>
      </w:pPr>
      <w:r w:rsidRPr="00717C98">
        <w:rPr>
          <w:rFonts w:ascii="Arial" w:eastAsia="Times New Roman" w:hAnsi="Arial" w:cs="Arial"/>
        </w:rPr>
        <w:t>This determination also applies to reporting forms given to APRA by a life insurer or friendly society under the following superseded</w:t>
      </w:r>
      <w:r w:rsidR="006E1E0B" w:rsidRPr="00717C98">
        <w:rPr>
          <w:rFonts w:ascii="Arial" w:eastAsia="Times New Roman" w:hAnsi="Arial" w:cs="Arial"/>
        </w:rPr>
        <w:t xml:space="preserve"> reporting standards:</w:t>
      </w:r>
    </w:p>
    <w:p w14:paraId="10516FD1" w14:textId="77777777" w:rsidR="001D4481" w:rsidRPr="00717C98" w:rsidRDefault="001D4481" w:rsidP="001D4481">
      <w:pPr>
        <w:spacing w:after="0" w:line="200" w:lineRule="exact"/>
        <w:rPr>
          <w:rFonts w:ascii="Arial" w:hAnsi="Arial" w:cs="Arial"/>
        </w:rPr>
      </w:pPr>
    </w:p>
    <w:p w14:paraId="1F3B51CF" w14:textId="77777777" w:rsidR="001D4481" w:rsidRPr="00717C98" w:rsidRDefault="001D4481" w:rsidP="00A732CA">
      <w:pPr>
        <w:pStyle w:val="ListParagraph"/>
        <w:numPr>
          <w:ilvl w:val="0"/>
          <w:numId w:val="3"/>
        </w:numPr>
        <w:tabs>
          <w:tab w:val="left" w:pos="1540"/>
        </w:tabs>
        <w:spacing w:after="0" w:line="240" w:lineRule="auto"/>
        <w:ind w:right="-20"/>
        <w:rPr>
          <w:rFonts w:ascii="Arial" w:eastAsia="Times New Roman" w:hAnsi="Arial" w:cs="Arial"/>
          <w:b/>
        </w:rPr>
      </w:pPr>
      <w:r w:rsidRPr="00717C98">
        <w:rPr>
          <w:rFonts w:ascii="Arial" w:eastAsia="Times New Roman" w:hAnsi="Arial" w:cs="Arial"/>
          <w:b/>
        </w:rPr>
        <w:t>Superseded Reporting Standards effective from 1 January 2008 to 30 September 2009:</w:t>
      </w:r>
    </w:p>
    <w:p w14:paraId="41BE4479" w14:textId="77777777" w:rsidR="001D4481" w:rsidRPr="00717C98" w:rsidRDefault="001D4481" w:rsidP="001D4481">
      <w:pPr>
        <w:pStyle w:val="ListParagraph"/>
        <w:tabs>
          <w:tab w:val="left" w:pos="1540"/>
        </w:tabs>
        <w:spacing w:after="0" w:line="240" w:lineRule="auto"/>
        <w:ind w:right="-20"/>
        <w:rPr>
          <w:rFonts w:ascii="Arial" w:eastAsia="Times New Roman" w:hAnsi="Arial" w:cs="Arial"/>
        </w:rPr>
      </w:pPr>
    </w:p>
    <w:p w14:paraId="3B559A5E" w14:textId="69BAABE4" w:rsidR="001D4481" w:rsidRPr="00717C98" w:rsidRDefault="001D4481" w:rsidP="00717C98">
      <w:pPr>
        <w:numPr>
          <w:ilvl w:val="0"/>
          <w:numId w:val="40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717C98">
        <w:rPr>
          <w:rFonts w:ascii="Arial" w:eastAsia="Times New Roman" w:hAnsi="Arial" w:cs="Arial"/>
        </w:rPr>
        <w:t>Reporting</w:t>
      </w:r>
      <w:r w:rsidRPr="00717C98">
        <w:rPr>
          <w:rFonts w:ascii="Arial" w:eastAsia="Times New Roman" w:hAnsi="Arial" w:cs="Arial"/>
          <w:spacing w:val="-10"/>
        </w:rPr>
        <w:t xml:space="preserve"> </w:t>
      </w:r>
      <w:r w:rsidRPr="00717C98">
        <w:rPr>
          <w:rFonts w:ascii="Arial" w:eastAsia="Times New Roman" w:hAnsi="Arial" w:cs="Arial"/>
        </w:rPr>
        <w:t>Standard</w:t>
      </w:r>
      <w:r w:rsidRPr="00717C98">
        <w:rPr>
          <w:rFonts w:ascii="Arial" w:eastAsia="Times New Roman" w:hAnsi="Arial" w:cs="Arial"/>
          <w:spacing w:val="-9"/>
        </w:rPr>
        <w:t xml:space="preserve"> </w:t>
      </w:r>
      <w:r w:rsidRPr="00717C98">
        <w:rPr>
          <w:rFonts w:ascii="Arial" w:eastAsia="Times New Roman" w:hAnsi="Arial" w:cs="Arial"/>
        </w:rPr>
        <w:t>LRS</w:t>
      </w:r>
      <w:r w:rsidRPr="00717C98">
        <w:rPr>
          <w:rFonts w:ascii="Arial" w:eastAsia="Times New Roman" w:hAnsi="Arial" w:cs="Arial"/>
          <w:spacing w:val="-4"/>
        </w:rPr>
        <w:t xml:space="preserve"> </w:t>
      </w:r>
      <w:r w:rsidRPr="00717C98">
        <w:rPr>
          <w:rFonts w:ascii="Arial" w:eastAsia="Times New Roman" w:hAnsi="Arial" w:cs="Arial"/>
        </w:rPr>
        <w:t>100.0 Solvency;</w:t>
      </w:r>
    </w:p>
    <w:p w14:paraId="5E0FDBC4" w14:textId="39613401" w:rsidR="001D4481" w:rsidRPr="00717C98" w:rsidRDefault="001D4481" w:rsidP="00717C98">
      <w:pPr>
        <w:numPr>
          <w:ilvl w:val="0"/>
          <w:numId w:val="40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717C98">
        <w:rPr>
          <w:rFonts w:ascii="Arial" w:eastAsia="Times New Roman" w:hAnsi="Arial" w:cs="Arial"/>
        </w:rPr>
        <w:t>Reporting Standard LRS 120.0 Management Capital;</w:t>
      </w:r>
    </w:p>
    <w:p w14:paraId="216EE351" w14:textId="6114CC99" w:rsidR="001D4481" w:rsidRPr="00717C98" w:rsidRDefault="001D4481" w:rsidP="00717C98">
      <w:pPr>
        <w:numPr>
          <w:ilvl w:val="0"/>
          <w:numId w:val="40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717C98">
        <w:rPr>
          <w:rFonts w:ascii="Arial" w:eastAsia="Times New Roman" w:hAnsi="Arial" w:cs="Arial"/>
        </w:rPr>
        <w:t>Reporting</w:t>
      </w:r>
      <w:r w:rsidRPr="00717C98">
        <w:rPr>
          <w:rFonts w:ascii="Arial" w:eastAsia="Times New Roman" w:hAnsi="Arial" w:cs="Arial"/>
          <w:spacing w:val="-10"/>
        </w:rPr>
        <w:t xml:space="preserve"> </w:t>
      </w:r>
      <w:r w:rsidRPr="00717C98">
        <w:rPr>
          <w:rFonts w:ascii="Arial" w:eastAsia="Times New Roman" w:hAnsi="Arial" w:cs="Arial"/>
        </w:rPr>
        <w:t>Standard</w:t>
      </w:r>
      <w:r w:rsidRPr="00717C98">
        <w:rPr>
          <w:rFonts w:ascii="Arial" w:eastAsia="Times New Roman" w:hAnsi="Arial" w:cs="Arial"/>
          <w:spacing w:val="-9"/>
        </w:rPr>
        <w:t xml:space="preserve"> </w:t>
      </w:r>
      <w:r w:rsidRPr="00717C98">
        <w:rPr>
          <w:rFonts w:ascii="Arial" w:eastAsia="Times New Roman" w:hAnsi="Arial" w:cs="Arial"/>
        </w:rPr>
        <w:t>LRS</w:t>
      </w:r>
      <w:r w:rsidRPr="00717C98">
        <w:rPr>
          <w:rFonts w:ascii="Arial" w:eastAsia="Times New Roman" w:hAnsi="Arial" w:cs="Arial"/>
          <w:spacing w:val="-4"/>
        </w:rPr>
        <w:t xml:space="preserve"> </w:t>
      </w:r>
      <w:r w:rsidRPr="00717C98">
        <w:rPr>
          <w:rFonts w:ascii="Arial" w:eastAsia="Times New Roman" w:hAnsi="Arial" w:cs="Arial"/>
        </w:rPr>
        <w:t>210.0 Derivatives,</w:t>
      </w:r>
      <w:r w:rsidRPr="00717C98">
        <w:rPr>
          <w:rFonts w:ascii="Arial" w:eastAsia="Times New Roman" w:hAnsi="Arial" w:cs="Arial"/>
          <w:spacing w:val="-12"/>
        </w:rPr>
        <w:t xml:space="preserve"> </w:t>
      </w:r>
      <w:r w:rsidRPr="00717C98">
        <w:rPr>
          <w:rFonts w:ascii="Arial" w:eastAsia="Times New Roman" w:hAnsi="Arial" w:cs="Arial"/>
        </w:rPr>
        <w:t>Commitments</w:t>
      </w:r>
      <w:r w:rsidRPr="00717C98">
        <w:rPr>
          <w:rFonts w:ascii="Arial" w:eastAsia="Times New Roman" w:hAnsi="Arial" w:cs="Arial"/>
          <w:spacing w:val="-14"/>
        </w:rPr>
        <w:t xml:space="preserve"> </w:t>
      </w:r>
      <w:r w:rsidRPr="00717C98">
        <w:rPr>
          <w:rFonts w:ascii="Arial" w:eastAsia="Times New Roman" w:hAnsi="Arial" w:cs="Arial"/>
        </w:rPr>
        <w:t>and</w:t>
      </w:r>
      <w:r w:rsidRPr="00717C98">
        <w:rPr>
          <w:rFonts w:ascii="Arial" w:eastAsia="Times New Roman" w:hAnsi="Arial" w:cs="Arial"/>
          <w:spacing w:val="-3"/>
        </w:rPr>
        <w:t xml:space="preserve"> </w:t>
      </w:r>
      <w:r w:rsidRPr="00717C98">
        <w:rPr>
          <w:rFonts w:ascii="Arial" w:eastAsia="Times New Roman" w:hAnsi="Arial" w:cs="Arial"/>
        </w:rPr>
        <w:t>Of</w:t>
      </w:r>
      <w:r w:rsidR="00E34284" w:rsidRPr="00717C98">
        <w:rPr>
          <w:rFonts w:ascii="Arial" w:eastAsia="Times New Roman" w:hAnsi="Arial" w:cs="Arial"/>
          <w:spacing w:val="2"/>
        </w:rPr>
        <w:t>f-</w:t>
      </w:r>
      <w:r w:rsidR="00E34284" w:rsidRPr="00717C98">
        <w:rPr>
          <w:rFonts w:ascii="Arial" w:eastAsia="Times New Roman" w:hAnsi="Arial" w:cs="Arial"/>
        </w:rPr>
        <w:t>b</w:t>
      </w:r>
      <w:r w:rsidRPr="00717C98">
        <w:rPr>
          <w:rFonts w:ascii="Arial" w:eastAsia="Times New Roman" w:hAnsi="Arial" w:cs="Arial"/>
        </w:rPr>
        <w:t>alance Sheet</w:t>
      </w:r>
      <w:r w:rsidRPr="00717C98">
        <w:rPr>
          <w:rFonts w:ascii="Arial" w:eastAsia="Times New Roman" w:hAnsi="Arial" w:cs="Arial"/>
          <w:spacing w:val="-7"/>
        </w:rPr>
        <w:t xml:space="preserve"> </w:t>
      </w:r>
      <w:r w:rsidRPr="00717C98">
        <w:rPr>
          <w:rFonts w:ascii="Arial" w:eastAsia="Times New Roman" w:hAnsi="Arial" w:cs="Arial"/>
        </w:rPr>
        <w:t>Items;</w:t>
      </w:r>
    </w:p>
    <w:p w14:paraId="36137098" w14:textId="75F9F94C" w:rsidR="001D4481" w:rsidRPr="00717C98" w:rsidRDefault="001D4481" w:rsidP="00717C98">
      <w:pPr>
        <w:numPr>
          <w:ilvl w:val="0"/>
          <w:numId w:val="40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717C98">
        <w:rPr>
          <w:rFonts w:ascii="Arial" w:eastAsia="Times New Roman" w:hAnsi="Arial" w:cs="Arial"/>
        </w:rPr>
        <w:t>Reporting</w:t>
      </w:r>
      <w:r w:rsidRPr="00717C98">
        <w:rPr>
          <w:rFonts w:ascii="Arial" w:eastAsia="Times New Roman" w:hAnsi="Arial" w:cs="Arial"/>
          <w:spacing w:val="-10"/>
        </w:rPr>
        <w:t xml:space="preserve"> </w:t>
      </w:r>
      <w:r w:rsidRPr="00717C98">
        <w:rPr>
          <w:rFonts w:ascii="Arial" w:eastAsia="Times New Roman" w:hAnsi="Arial" w:cs="Arial"/>
        </w:rPr>
        <w:t>Standard</w:t>
      </w:r>
      <w:r w:rsidRPr="00717C98">
        <w:rPr>
          <w:rFonts w:ascii="Arial" w:eastAsia="Times New Roman" w:hAnsi="Arial" w:cs="Arial"/>
          <w:spacing w:val="-9"/>
        </w:rPr>
        <w:t xml:space="preserve"> </w:t>
      </w:r>
      <w:r w:rsidRPr="00717C98">
        <w:rPr>
          <w:rFonts w:ascii="Arial" w:eastAsia="Times New Roman" w:hAnsi="Arial" w:cs="Arial"/>
        </w:rPr>
        <w:t>LRS</w:t>
      </w:r>
      <w:r w:rsidRPr="00717C98">
        <w:rPr>
          <w:rFonts w:ascii="Arial" w:eastAsia="Times New Roman" w:hAnsi="Arial" w:cs="Arial"/>
          <w:spacing w:val="-4"/>
        </w:rPr>
        <w:t xml:space="preserve"> </w:t>
      </w:r>
      <w:r w:rsidRPr="00717C98">
        <w:rPr>
          <w:rFonts w:ascii="Arial" w:eastAsia="Times New Roman" w:hAnsi="Arial" w:cs="Arial"/>
        </w:rPr>
        <w:t>300.0 Statement</w:t>
      </w:r>
      <w:r w:rsidRPr="00717C98">
        <w:rPr>
          <w:rFonts w:ascii="Arial" w:eastAsia="Times New Roman" w:hAnsi="Arial" w:cs="Arial"/>
          <w:spacing w:val="-10"/>
        </w:rPr>
        <w:t xml:space="preserve"> </w:t>
      </w:r>
      <w:r w:rsidRPr="00717C98">
        <w:rPr>
          <w:rFonts w:ascii="Arial" w:eastAsia="Times New Roman" w:hAnsi="Arial" w:cs="Arial"/>
        </w:rPr>
        <w:t>of Financial</w:t>
      </w:r>
      <w:r w:rsidRPr="00717C98">
        <w:rPr>
          <w:rFonts w:ascii="Arial" w:eastAsia="Times New Roman" w:hAnsi="Arial" w:cs="Arial"/>
          <w:spacing w:val="-9"/>
        </w:rPr>
        <w:t xml:space="preserve"> </w:t>
      </w:r>
      <w:r w:rsidRPr="00717C98">
        <w:rPr>
          <w:rFonts w:ascii="Arial" w:eastAsia="Times New Roman" w:hAnsi="Arial" w:cs="Arial"/>
        </w:rPr>
        <w:t>Position;</w:t>
      </w:r>
    </w:p>
    <w:p w14:paraId="22D34CB7" w14:textId="11DDD225" w:rsidR="001D4481" w:rsidRPr="00717C98" w:rsidRDefault="001D4481" w:rsidP="00717C98">
      <w:pPr>
        <w:numPr>
          <w:ilvl w:val="0"/>
          <w:numId w:val="40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717C98">
        <w:rPr>
          <w:rFonts w:ascii="Arial" w:eastAsia="Times New Roman" w:hAnsi="Arial" w:cs="Arial"/>
        </w:rPr>
        <w:t>Reporting</w:t>
      </w:r>
      <w:r w:rsidRPr="00717C98">
        <w:rPr>
          <w:rFonts w:ascii="Arial" w:eastAsia="Times New Roman" w:hAnsi="Arial" w:cs="Arial"/>
          <w:spacing w:val="-10"/>
        </w:rPr>
        <w:t xml:space="preserve"> </w:t>
      </w:r>
      <w:r w:rsidRPr="00717C98">
        <w:rPr>
          <w:rFonts w:ascii="Arial" w:eastAsia="Times New Roman" w:hAnsi="Arial" w:cs="Arial"/>
        </w:rPr>
        <w:t>Standard</w:t>
      </w:r>
      <w:r w:rsidRPr="00717C98">
        <w:rPr>
          <w:rFonts w:ascii="Arial" w:eastAsia="Times New Roman" w:hAnsi="Arial" w:cs="Arial"/>
          <w:spacing w:val="-9"/>
        </w:rPr>
        <w:t xml:space="preserve"> </w:t>
      </w:r>
      <w:r w:rsidRPr="00717C98">
        <w:rPr>
          <w:rFonts w:ascii="Arial" w:eastAsia="Times New Roman" w:hAnsi="Arial" w:cs="Arial"/>
        </w:rPr>
        <w:t>LRS</w:t>
      </w:r>
      <w:r w:rsidRPr="00717C98">
        <w:rPr>
          <w:rFonts w:ascii="Arial" w:eastAsia="Times New Roman" w:hAnsi="Arial" w:cs="Arial"/>
          <w:spacing w:val="-4"/>
        </w:rPr>
        <w:t xml:space="preserve"> </w:t>
      </w:r>
      <w:r w:rsidRPr="00717C98">
        <w:rPr>
          <w:rFonts w:ascii="Arial" w:eastAsia="Times New Roman" w:hAnsi="Arial" w:cs="Arial"/>
        </w:rPr>
        <w:t>310.0 Statement</w:t>
      </w:r>
      <w:r w:rsidRPr="00717C98">
        <w:rPr>
          <w:rFonts w:ascii="Arial" w:eastAsia="Times New Roman" w:hAnsi="Arial" w:cs="Arial"/>
          <w:spacing w:val="-10"/>
        </w:rPr>
        <w:t xml:space="preserve"> </w:t>
      </w:r>
      <w:r w:rsidRPr="00717C98">
        <w:rPr>
          <w:rFonts w:ascii="Arial" w:eastAsia="Times New Roman" w:hAnsi="Arial" w:cs="Arial"/>
        </w:rPr>
        <w:t>of Financial</w:t>
      </w:r>
      <w:r w:rsidRPr="00717C98">
        <w:rPr>
          <w:rFonts w:ascii="Arial" w:eastAsia="Times New Roman" w:hAnsi="Arial" w:cs="Arial"/>
          <w:spacing w:val="-9"/>
        </w:rPr>
        <w:t xml:space="preserve"> </w:t>
      </w:r>
      <w:r w:rsidRPr="00717C98">
        <w:rPr>
          <w:rFonts w:ascii="Arial" w:eastAsia="Times New Roman" w:hAnsi="Arial" w:cs="Arial"/>
        </w:rPr>
        <w:t>Performance;</w:t>
      </w:r>
    </w:p>
    <w:p w14:paraId="1F32C5A0" w14:textId="2B59E966" w:rsidR="001D4481" w:rsidRPr="00717C98" w:rsidRDefault="001D4481" w:rsidP="00717C98">
      <w:pPr>
        <w:numPr>
          <w:ilvl w:val="0"/>
          <w:numId w:val="40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717C98">
        <w:rPr>
          <w:rFonts w:ascii="Arial" w:eastAsia="Times New Roman" w:hAnsi="Arial" w:cs="Arial"/>
        </w:rPr>
        <w:t>Reporting</w:t>
      </w:r>
      <w:r w:rsidRPr="00717C98">
        <w:rPr>
          <w:rFonts w:ascii="Arial" w:eastAsia="Times New Roman" w:hAnsi="Arial" w:cs="Arial"/>
          <w:spacing w:val="-9"/>
        </w:rPr>
        <w:t xml:space="preserve"> </w:t>
      </w:r>
      <w:r w:rsidRPr="00717C98">
        <w:rPr>
          <w:rFonts w:ascii="Arial" w:eastAsia="Times New Roman" w:hAnsi="Arial" w:cs="Arial"/>
        </w:rPr>
        <w:t>Standard</w:t>
      </w:r>
      <w:r w:rsidRPr="00717C98">
        <w:rPr>
          <w:rFonts w:ascii="Arial" w:eastAsia="Times New Roman" w:hAnsi="Arial" w:cs="Arial"/>
          <w:spacing w:val="-8"/>
        </w:rPr>
        <w:t xml:space="preserve"> </w:t>
      </w:r>
      <w:r w:rsidRPr="00717C98">
        <w:rPr>
          <w:rFonts w:ascii="Arial" w:eastAsia="Times New Roman" w:hAnsi="Arial" w:cs="Arial"/>
        </w:rPr>
        <w:t>LRS</w:t>
      </w:r>
      <w:r w:rsidRPr="00717C98">
        <w:rPr>
          <w:rFonts w:ascii="Arial" w:eastAsia="Times New Roman" w:hAnsi="Arial" w:cs="Arial"/>
          <w:spacing w:val="-4"/>
        </w:rPr>
        <w:t xml:space="preserve"> </w:t>
      </w:r>
      <w:r w:rsidRPr="00717C98">
        <w:rPr>
          <w:rFonts w:ascii="Arial" w:eastAsia="Times New Roman" w:hAnsi="Arial" w:cs="Arial"/>
        </w:rPr>
        <w:t>330.0 Summary</w:t>
      </w:r>
      <w:r w:rsidRPr="00717C98">
        <w:rPr>
          <w:rFonts w:ascii="Arial" w:eastAsia="Times New Roman" w:hAnsi="Arial" w:cs="Arial"/>
          <w:spacing w:val="-8"/>
        </w:rPr>
        <w:t xml:space="preserve"> </w:t>
      </w:r>
      <w:r w:rsidRPr="00717C98">
        <w:rPr>
          <w:rFonts w:ascii="Arial" w:eastAsia="Times New Roman" w:hAnsi="Arial" w:cs="Arial"/>
        </w:rPr>
        <w:t>of Revenue</w:t>
      </w:r>
      <w:r w:rsidRPr="00717C98">
        <w:rPr>
          <w:rFonts w:ascii="Arial" w:eastAsia="Times New Roman" w:hAnsi="Arial" w:cs="Arial"/>
          <w:spacing w:val="-7"/>
        </w:rPr>
        <w:t xml:space="preserve"> </w:t>
      </w:r>
      <w:r w:rsidRPr="00717C98">
        <w:rPr>
          <w:rFonts w:ascii="Arial" w:eastAsia="Times New Roman" w:hAnsi="Arial" w:cs="Arial"/>
        </w:rPr>
        <w:t>and</w:t>
      </w:r>
      <w:r w:rsidRPr="00717C98">
        <w:rPr>
          <w:rFonts w:ascii="Arial" w:eastAsia="Times New Roman" w:hAnsi="Arial" w:cs="Arial"/>
          <w:spacing w:val="-3"/>
        </w:rPr>
        <w:t xml:space="preserve"> </w:t>
      </w:r>
      <w:r w:rsidRPr="00717C98">
        <w:rPr>
          <w:rFonts w:ascii="Arial" w:eastAsia="Times New Roman" w:hAnsi="Arial" w:cs="Arial"/>
        </w:rPr>
        <w:t>Expenses;</w:t>
      </w:r>
    </w:p>
    <w:p w14:paraId="79D446FD" w14:textId="620AD9A1" w:rsidR="001D4481" w:rsidRPr="00717C98" w:rsidRDefault="001D4481" w:rsidP="00717C98">
      <w:pPr>
        <w:numPr>
          <w:ilvl w:val="0"/>
          <w:numId w:val="40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717C98">
        <w:rPr>
          <w:rFonts w:ascii="Arial" w:eastAsia="Times New Roman" w:hAnsi="Arial" w:cs="Arial"/>
        </w:rPr>
        <w:t>Reporting</w:t>
      </w:r>
      <w:r w:rsidRPr="00717C98">
        <w:rPr>
          <w:rFonts w:ascii="Arial" w:eastAsia="Times New Roman" w:hAnsi="Arial" w:cs="Arial"/>
          <w:spacing w:val="-10"/>
        </w:rPr>
        <w:t xml:space="preserve"> </w:t>
      </w:r>
      <w:r w:rsidRPr="00717C98">
        <w:rPr>
          <w:rFonts w:ascii="Arial" w:eastAsia="Times New Roman" w:hAnsi="Arial" w:cs="Arial"/>
        </w:rPr>
        <w:t>Standard</w:t>
      </w:r>
      <w:r w:rsidRPr="00717C98">
        <w:rPr>
          <w:rFonts w:ascii="Arial" w:eastAsia="Times New Roman" w:hAnsi="Arial" w:cs="Arial"/>
          <w:spacing w:val="-9"/>
        </w:rPr>
        <w:t xml:space="preserve"> </w:t>
      </w:r>
      <w:r w:rsidRPr="00717C98">
        <w:rPr>
          <w:rFonts w:ascii="Arial" w:eastAsia="Times New Roman" w:hAnsi="Arial" w:cs="Arial"/>
        </w:rPr>
        <w:t>LRS</w:t>
      </w:r>
      <w:r w:rsidRPr="00717C98">
        <w:rPr>
          <w:rFonts w:ascii="Arial" w:eastAsia="Times New Roman" w:hAnsi="Arial" w:cs="Arial"/>
          <w:spacing w:val="-4"/>
        </w:rPr>
        <w:t xml:space="preserve"> </w:t>
      </w:r>
      <w:r w:rsidRPr="00717C98">
        <w:rPr>
          <w:rFonts w:ascii="Arial" w:eastAsia="Times New Roman" w:hAnsi="Arial" w:cs="Arial"/>
        </w:rPr>
        <w:t>340.0 Retained</w:t>
      </w:r>
      <w:r w:rsidRPr="00717C98">
        <w:rPr>
          <w:rFonts w:ascii="Arial" w:eastAsia="Times New Roman" w:hAnsi="Arial" w:cs="Arial"/>
          <w:spacing w:val="-9"/>
        </w:rPr>
        <w:t xml:space="preserve"> </w:t>
      </w:r>
      <w:r w:rsidRPr="00717C98">
        <w:rPr>
          <w:rFonts w:ascii="Arial" w:eastAsia="Times New Roman" w:hAnsi="Arial" w:cs="Arial"/>
        </w:rPr>
        <w:t>Profits;</w:t>
      </w:r>
    </w:p>
    <w:p w14:paraId="5FB45D22" w14:textId="166C6786" w:rsidR="001D4481" w:rsidRPr="00717C98" w:rsidRDefault="001D4481" w:rsidP="00717C98">
      <w:pPr>
        <w:numPr>
          <w:ilvl w:val="0"/>
          <w:numId w:val="40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717C98">
        <w:rPr>
          <w:rFonts w:ascii="Arial" w:eastAsia="Times New Roman" w:hAnsi="Arial" w:cs="Arial"/>
        </w:rPr>
        <w:t>Reporting</w:t>
      </w:r>
      <w:r w:rsidRPr="00717C98">
        <w:rPr>
          <w:rFonts w:ascii="Arial" w:eastAsia="Times New Roman" w:hAnsi="Arial" w:cs="Arial"/>
          <w:spacing w:val="-10"/>
        </w:rPr>
        <w:t xml:space="preserve"> </w:t>
      </w:r>
      <w:r w:rsidRPr="00717C98">
        <w:rPr>
          <w:rFonts w:ascii="Arial" w:eastAsia="Times New Roman" w:hAnsi="Arial" w:cs="Arial"/>
        </w:rPr>
        <w:t>Standard</w:t>
      </w:r>
      <w:r w:rsidRPr="00717C98">
        <w:rPr>
          <w:rFonts w:ascii="Arial" w:eastAsia="Times New Roman" w:hAnsi="Arial" w:cs="Arial"/>
          <w:spacing w:val="-9"/>
        </w:rPr>
        <w:t xml:space="preserve"> </w:t>
      </w:r>
      <w:r w:rsidRPr="00717C98">
        <w:rPr>
          <w:rFonts w:ascii="Arial" w:eastAsia="Times New Roman" w:hAnsi="Arial" w:cs="Arial"/>
        </w:rPr>
        <w:t>LRS</w:t>
      </w:r>
      <w:r w:rsidRPr="00717C98">
        <w:rPr>
          <w:rFonts w:ascii="Arial" w:eastAsia="Times New Roman" w:hAnsi="Arial" w:cs="Arial"/>
          <w:spacing w:val="-4"/>
        </w:rPr>
        <w:t xml:space="preserve"> </w:t>
      </w:r>
      <w:r w:rsidRPr="00717C98">
        <w:rPr>
          <w:rFonts w:ascii="Arial" w:eastAsia="Times New Roman" w:hAnsi="Arial" w:cs="Arial"/>
        </w:rPr>
        <w:t>400.0 Statement</w:t>
      </w:r>
      <w:r w:rsidRPr="00717C98">
        <w:rPr>
          <w:rFonts w:ascii="Arial" w:eastAsia="Times New Roman" w:hAnsi="Arial" w:cs="Arial"/>
          <w:spacing w:val="-10"/>
        </w:rPr>
        <w:t xml:space="preserve"> </w:t>
      </w:r>
      <w:r w:rsidRPr="00717C98">
        <w:rPr>
          <w:rFonts w:ascii="Arial" w:eastAsia="Times New Roman" w:hAnsi="Arial" w:cs="Arial"/>
        </w:rPr>
        <w:t>of Policy</w:t>
      </w:r>
      <w:r w:rsidRPr="00717C98">
        <w:rPr>
          <w:rFonts w:ascii="Arial" w:eastAsia="Times New Roman" w:hAnsi="Arial" w:cs="Arial"/>
          <w:spacing w:val="-6"/>
        </w:rPr>
        <w:t xml:space="preserve"> </w:t>
      </w:r>
      <w:r w:rsidRPr="00717C98">
        <w:rPr>
          <w:rFonts w:ascii="Arial" w:eastAsia="Times New Roman" w:hAnsi="Arial" w:cs="Arial"/>
        </w:rPr>
        <w:t>Liabilities;</w:t>
      </w:r>
    </w:p>
    <w:p w14:paraId="2565B9B2" w14:textId="3C0403D8" w:rsidR="001D4481" w:rsidRPr="00717C98" w:rsidRDefault="001D4481" w:rsidP="00717C98">
      <w:pPr>
        <w:numPr>
          <w:ilvl w:val="0"/>
          <w:numId w:val="40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717C98">
        <w:rPr>
          <w:rFonts w:ascii="Arial" w:eastAsia="Times New Roman" w:hAnsi="Arial" w:cs="Arial"/>
        </w:rPr>
        <w:t>Reporting</w:t>
      </w:r>
      <w:r w:rsidRPr="00717C98">
        <w:rPr>
          <w:rFonts w:ascii="Arial" w:eastAsia="Times New Roman" w:hAnsi="Arial" w:cs="Arial"/>
          <w:spacing w:val="-10"/>
        </w:rPr>
        <w:t xml:space="preserve"> </w:t>
      </w:r>
      <w:r w:rsidRPr="00717C98">
        <w:rPr>
          <w:rFonts w:ascii="Arial" w:eastAsia="Times New Roman" w:hAnsi="Arial" w:cs="Arial"/>
        </w:rPr>
        <w:t>Standard</w:t>
      </w:r>
      <w:r w:rsidRPr="00717C98">
        <w:rPr>
          <w:rFonts w:ascii="Arial" w:eastAsia="Times New Roman" w:hAnsi="Arial" w:cs="Arial"/>
          <w:spacing w:val="-9"/>
        </w:rPr>
        <w:t xml:space="preserve"> </w:t>
      </w:r>
      <w:r w:rsidRPr="00717C98">
        <w:rPr>
          <w:rFonts w:ascii="Arial" w:eastAsia="Times New Roman" w:hAnsi="Arial" w:cs="Arial"/>
        </w:rPr>
        <w:t>LRS</w:t>
      </w:r>
      <w:r w:rsidRPr="00717C98">
        <w:rPr>
          <w:rFonts w:ascii="Arial" w:eastAsia="Times New Roman" w:hAnsi="Arial" w:cs="Arial"/>
          <w:spacing w:val="-4"/>
        </w:rPr>
        <w:t xml:space="preserve"> </w:t>
      </w:r>
      <w:r w:rsidRPr="00717C98">
        <w:rPr>
          <w:rFonts w:ascii="Arial" w:eastAsia="Times New Roman" w:hAnsi="Arial" w:cs="Arial"/>
        </w:rPr>
        <w:t>420.0 Assets Backing</w:t>
      </w:r>
      <w:r w:rsidRPr="00717C98">
        <w:rPr>
          <w:rFonts w:ascii="Arial" w:eastAsia="Times New Roman" w:hAnsi="Arial" w:cs="Arial"/>
          <w:spacing w:val="-8"/>
        </w:rPr>
        <w:t xml:space="preserve"> </w:t>
      </w:r>
      <w:r w:rsidRPr="00717C98">
        <w:rPr>
          <w:rFonts w:ascii="Arial" w:eastAsia="Times New Roman" w:hAnsi="Arial" w:cs="Arial"/>
        </w:rPr>
        <w:t>Policy</w:t>
      </w:r>
      <w:r w:rsidRPr="00717C98">
        <w:rPr>
          <w:rFonts w:ascii="Arial" w:eastAsia="Times New Roman" w:hAnsi="Arial" w:cs="Arial"/>
          <w:spacing w:val="-6"/>
        </w:rPr>
        <w:t xml:space="preserve"> </w:t>
      </w:r>
      <w:r w:rsidRPr="00717C98">
        <w:rPr>
          <w:rFonts w:ascii="Arial" w:eastAsia="Times New Roman" w:hAnsi="Arial" w:cs="Arial"/>
        </w:rPr>
        <w:t>Liabilities;</w:t>
      </w:r>
      <w:r w:rsidRPr="00717C98">
        <w:rPr>
          <w:rFonts w:ascii="Arial" w:eastAsia="Times New Roman" w:hAnsi="Arial" w:cs="Arial"/>
          <w:spacing w:val="-10"/>
        </w:rPr>
        <w:t xml:space="preserve"> and</w:t>
      </w:r>
    </w:p>
    <w:p w14:paraId="4A919B0F" w14:textId="378DBE94" w:rsidR="001D4481" w:rsidRPr="00717C98" w:rsidRDefault="001D4481" w:rsidP="00717C98">
      <w:pPr>
        <w:numPr>
          <w:ilvl w:val="0"/>
          <w:numId w:val="40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717C98">
        <w:rPr>
          <w:rFonts w:ascii="Arial" w:eastAsia="Times New Roman" w:hAnsi="Arial" w:cs="Arial"/>
        </w:rPr>
        <w:t>Reporting</w:t>
      </w:r>
      <w:r w:rsidRPr="00717C98">
        <w:rPr>
          <w:rFonts w:ascii="Arial" w:eastAsia="Times New Roman" w:hAnsi="Arial" w:cs="Arial"/>
          <w:spacing w:val="-10"/>
        </w:rPr>
        <w:t xml:space="preserve"> </w:t>
      </w:r>
      <w:r w:rsidRPr="00717C98">
        <w:rPr>
          <w:rFonts w:ascii="Arial" w:eastAsia="Times New Roman" w:hAnsi="Arial" w:cs="Arial"/>
        </w:rPr>
        <w:t>Standard</w:t>
      </w:r>
      <w:r w:rsidRPr="00717C98">
        <w:rPr>
          <w:rFonts w:ascii="Arial" w:eastAsia="Times New Roman" w:hAnsi="Arial" w:cs="Arial"/>
          <w:spacing w:val="-9"/>
        </w:rPr>
        <w:t xml:space="preserve"> </w:t>
      </w:r>
      <w:r w:rsidRPr="00717C98">
        <w:rPr>
          <w:rFonts w:ascii="Arial" w:eastAsia="Times New Roman" w:hAnsi="Arial" w:cs="Arial"/>
        </w:rPr>
        <w:t>LRS</w:t>
      </w:r>
      <w:r w:rsidRPr="00717C98">
        <w:rPr>
          <w:rFonts w:ascii="Arial" w:eastAsia="Times New Roman" w:hAnsi="Arial" w:cs="Arial"/>
          <w:spacing w:val="-4"/>
        </w:rPr>
        <w:t xml:space="preserve"> </w:t>
      </w:r>
      <w:r w:rsidRPr="00717C98">
        <w:rPr>
          <w:rFonts w:ascii="Arial" w:eastAsia="Times New Roman" w:hAnsi="Arial" w:cs="Arial"/>
        </w:rPr>
        <w:t>430.0 Sources of Profit.</w:t>
      </w:r>
    </w:p>
    <w:p w14:paraId="4EF66D88" w14:textId="77777777" w:rsidR="001D4481" w:rsidRPr="00717C98" w:rsidRDefault="001D4481" w:rsidP="001D4481">
      <w:pPr>
        <w:pStyle w:val="ListParagraph"/>
        <w:tabs>
          <w:tab w:val="left" w:pos="1540"/>
        </w:tabs>
        <w:spacing w:after="0" w:line="259" w:lineRule="exact"/>
        <w:ind w:left="1440" w:right="-20"/>
        <w:rPr>
          <w:rFonts w:ascii="Arial" w:eastAsia="Times New Roman" w:hAnsi="Arial" w:cs="Arial"/>
          <w:b/>
        </w:rPr>
      </w:pPr>
    </w:p>
    <w:p w14:paraId="5ED4E780" w14:textId="77777777" w:rsidR="001D4481" w:rsidRPr="00717C98" w:rsidRDefault="001D4481" w:rsidP="00A732CA">
      <w:pPr>
        <w:pStyle w:val="ListParagraph"/>
        <w:numPr>
          <w:ilvl w:val="0"/>
          <w:numId w:val="3"/>
        </w:numPr>
        <w:tabs>
          <w:tab w:val="left" w:pos="1540"/>
        </w:tabs>
        <w:spacing w:after="0" w:line="240" w:lineRule="auto"/>
        <w:ind w:right="-20"/>
        <w:rPr>
          <w:rFonts w:ascii="Arial" w:eastAsia="Times New Roman" w:hAnsi="Arial" w:cs="Arial"/>
          <w:b/>
        </w:rPr>
      </w:pPr>
      <w:r w:rsidRPr="00717C98">
        <w:rPr>
          <w:rFonts w:ascii="Arial" w:eastAsia="Times New Roman" w:hAnsi="Arial" w:cs="Arial"/>
          <w:b/>
        </w:rPr>
        <w:t>Superseded Reporting Standards effective from 1 October 2009 to 31 December 2012:</w:t>
      </w:r>
    </w:p>
    <w:p w14:paraId="28C20553" w14:textId="77777777" w:rsidR="001D4481" w:rsidRPr="00717C98" w:rsidRDefault="001D4481" w:rsidP="00A732CA">
      <w:pPr>
        <w:tabs>
          <w:tab w:val="left" w:pos="1540"/>
        </w:tabs>
        <w:spacing w:after="0" w:line="240" w:lineRule="auto"/>
        <w:ind w:right="-20"/>
        <w:rPr>
          <w:rFonts w:ascii="Arial" w:eastAsia="Times New Roman" w:hAnsi="Arial" w:cs="Arial"/>
        </w:rPr>
      </w:pPr>
    </w:p>
    <w:p w14:paraId="3653033D" w14:textId="53D50D4E" w:rsidR="001D4481" w:rsidRPr="00717C98" w:rsidRDefault="001D4481" w:rsidP="00717C98">
      <w:pPr>
        <w:numPr>
          <w:ilvl w:val="0"/>
          <w:numId w:val="4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717C98">
        <w:rPr>
          <w:rFonts w:ascii="Arial" w:eastAsia="Times New Roman" w:hAnsi="Arial" w:cs="Arial"/>
        </w:rPr>
        <w:t>Reporting</w:t>
      </w:r>
      <w:r w:rsidRPr="00717C98">
        <w:rPr>
          <w:rFonts w:ascii="Arial" w:eastAsia="Times New Roman" w:hAnsi="Arial" w:cs="Arial"/>
          <w:spacing w:val="-10"/>
        </w:rPr>
        <w:t xml:space="preserve"> </w:t>
      </w:r>
      <w:r w:rsidRPr="00717C98">
        <w:rPr>
          <w:rFonts w:ascii="Arial" w:eastAsia="Times New Roman" w:hAnsi="Arial" w:cs="Arial"/>
        </w:rPr>
        <w:t>Standard</w:t>
      </w:r>
      <w:r w:rsidRPr="00717C98">
        <w:rPr>
          <w:rFonts w:ascii="Arial" w:eastAsia="Times New Roman" w:hAnsi="Arial" w:cs="Arial"/>
          <w:spacing w:val="-9"/>
        </w:rPr>
        <w:t xml:space="preserve"> </w:t>
      </w:r>
      <w:r w:rsidRPr="00717C98">
        <w:rPr>
          <w:rFonts w:ascii="Arial" w:eastAsia="Times New Roman" w:hAnsi="Arial" w:cs="Arial"/>
        </w:rPr>
        <w:t>LRS</w:t>
      </w:r>
      <w:r w:rsidRPr="00717C98">
        <w:rPr>
          <w:rFonts w:ascii="Arial" w:eastAsia="Times New Roman" w:hAnsi="Arial" w:cs="Arial"/>
          <w:spacing w:val="-4"/>
        </w:rPr>
        <w:t xml:space="preserve"> </w:t>
      </w:r>
      <w:r w:rsidRPr="00717C98">
        <w:rPr>
          <w:rFonts w:ascii="Arial" w:eastAsia="Times New Roman" w:hAnsi="Arial" w:cs="Arial"/>
        </w:rPr>
        <w:t>100.0 Solvency;</w:t>
      </w:r>
    </w:p>
    <w:p w14:paraId="29B01CF1" w14:textId="2F6C4580" w:rsidR="001D4481" w:rsidRPr="00717C98" w:rsidRDefault="001D4481" w:rsidP="00717C98">
      <w:pPr>
        <w:numPr>
          <w:ilvl w:val="0"/>
          <w:numId w:val="4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717C98">
        <w:rPr>
          <w:rFonts w:ascii="Arial" w:eastAsia="Times New Roman" w:hAnsi="Arial" w:cs="Arial"/>
        </w:rPr>
        <w:t>Reporting Standard LRS 120.0 Management Capital;</w:t>
      </w:r>
    </w:p>
    <w:p w14:paraId="645324F6" w14:textId="67B30302" w:rsidR="001D4481" w:rsidRPr="00717C98" w:rsidRDefault="001D4481" w:rsidP="00717C98">
      <w:pPr>
        <w:numPr>
          <w:ilvl w:val="0"/>
          <w:numId w:val="4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717C98">
        <w:rPr>
          <w:rFonts w:ascii="Arial" w:eastAsia="Times New Roman" w:hAnsi="Arial" w:cs="Arial"/>
        </w:rPr>
        <w:t>Reporting Standard LRS 210.0 De</w:t>
      </w:r>
      <w:r w:rsidR="00E34284" w:rsidRPr="00717C98">
        <w:rPr>
          <w:rFonts w:ascii="Arial" w:eastAsia="Times New Roman" w:hAnsi="Arial" w:cs="Arial"/>
        </w:rPr>
        <w:t>rivatives, Commitments and Off-b</w:t>
      </w:r>
      <w:r w:rsidRPr="00717C98">
        <w:rPr>
          <w:rFonts w:ascii="Arial" w:eastAsia="Times New Roman" w:hAnsi="Arial" w:cs="Arial"/>
        </w:rPr>
        <w:t>alance Sheet</w:t>
      </w:r>
      <w:r w:rsidRPr="00717C98">
        <w:rPr>
          <w:rFonts w:ascii="Arial" w:eastAsia="Times New Roman" w:hAnsi="Arial" w:cs="Arial"/>
          <w:spacing w:val="-7"/>
        </w:rPr>
        <w:t xml:space="preserve"> </w:t>
      </w:r>
      <w:r w:rsidRPr="00717C98">
        <w:rPr>
          <w:rFonts w:ascii="Arial" w:eastAsia="Times New Roman" w:hAnsi="Arial" w:cs="Arial"/>
        </w:rPr>
        <w:t>Items;</w:t>
      </w:r>
    </w:p>
    <w:p w14:paraId="64BDE248" w14:textId="598756D1" w:rsidR="00EA5220" w:rsidRPr="00717C98" w:rsidRDefault="001D4481" w:rsidP="00717C98">
      <w:pPr>
        <w:numPr>
          <w:ilvl w:val="0"/>
          <w:numId w:val="4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717C98">
        <w:rPr>
          <w:rFonts w:ascii="Arial" w:eastAsia="Times New Roman" w:hAnsi="Arial" w:cs="Arial"/>
        </w:rPr>
        <w:t>Reporting</w:t>
      </w:r>
      <w:r w:rsidRPr="00717C98">
        <w:rPr>
          <w:rFonts w:ascii="Arial" w:eastAsia="Times New Roman" w:hAnsi="Arial" w:cs="Arial"/>
          <w:spacing w:val="-10"/>
        </w:rPr>
        <w:t xml:space="preserve"> </w:t>
      </w:r>
      <w:r w:rsidRPr="00717C98">
        <w:rPr>
          <w:rFonts w:ascii="Arial" w:eastAsia="Times New Roman" w:hAnsi="Arial" w:cs="Arial"/>
        </w:rPr>
        <w:t>Standard</w:t>
      </w:r>
      <w:r w:rsidRPr="00717C98">
        <w:rPr>
          <w:rFonts w:ascii="Arial" w:eastAsia="Times New Roman" w:hAnsi="Arial" w:cs="Arial"/>
          <w:spacing w:val="-9"/>
        </w:rPr>
        <w:t xml:space="preserve"> </w:t>
      </w:r>
      <w:r w:rsidRPr="00717C98">
        <w:rPr>
          <w:rFonts w:ascii="Arial" w:eastAsia="Times New Roman" w:hAnsi="Arial" w:cs="Arial"/>
        </w:rPr>
        <w:t>LRS</w:t>
      </w:r>
      <w:r w:rsidRPr="00717C98">
        <w:rPr>
          <w:rFonts w:ascii="Arial" w:eastAsia="Times New Roman" w:hAnsi="Arial" w:cs="Arial"/>
          <w:spacing w:val="-4"/>
        </w:rPr>
        <w:t xml:space="preserve"> </w:t>
      </w:r>
      <w:r w:rsidRPr="00717C98">
        <w:rPr>
          <w:rFonts w:ascii="Arial" w:eastAsia="Times New Roman" w:hAnsi="Arial" w:cs="Arial"/>
        </w:rPr>
        <w:t>300.0 Statement</w:t>
      </w:r>
      <w:r w:rsidRPr="00717C98">
        <w:rPr>
          <w:rFonts w:ascii="Arial" w:eastAsia="Times New Roman" w:hAnsi="Arial" w:cs="Arial"/>
          <w:spacing w:val="-10"/>
        </w:rPr>
        <w:t xml:space="preserve"> </w:t>
      </w:r>
      <w:r w:rsidRPr="00717C98">
        <w:rPr>
          <w:rFonts w:ascii="Arial" w:eastAsia="Times New Roman" w:hAnsi="Arial" w:cs="Arial"/>
        </w:rPr>
        <w:t>of Financial</w:t>
      </w:r>
      <w:r w:rsidRPr="00717C98">
        <w:rPr>
          <w:rFonts w:ascii="Arial" w:eastAsia="Times New Roman" w:hAnsi="Arial" w:cs="Arial"/>
          <w:spacing w:val="-9"/>
        </w:rPr>
        <w:t xml:space="preserve"> </w:t>
      </w:r>
      <w:r w:rsidRPr="00717C98">
        <w:rPr>
          <w:rFonts w:ascii="Arial" w:eastAsia="Times New Roman" w:hAnsi="Arial" w:cs="Arial"/>
        </w:rPr>
        <w:t>Position;</w:t>
      </w:r>
    </w:p>
    <w:p w14:paraId="639EDA17" w14:textId="381A69C4" w:rsidR="00EA5220" w:rsidRPr="00717C98" w:rsidRDefault="001D4481" w:rsidP="00717C98">
      <w:pPr>
        <w:numPr>
          <w:ilvl w:val="0"/>
          <w:numId w:val="4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717C98">
        <w:rPr>
          <w:rFonts w:ascii="Arial" w:eastAsia="Times New Roman" w:hAnsi="Arial" w:cs="Arial"/>
        </w:rPr>
        <w:t>Reporting</w:t>
      </w:r>
      <w:r w:rsidRPr="00717C98">
        <w:rPr>
          <w:rFonts w:ascii="Arial" w:eastAsia="Times New Roman" w:hAnsi="Arial" w:cs="Arial"/>
          <w:spacing w:val="-10"/>
        </w:rPr>
        <w:t xml:space="preserve"> </w:t>
      </w:r>
      <w:r w:rsidRPr="00717C98">
        <w:rPr>
          <w:rFonts w:ascii="Arial" w:eastAsia="Times New Roman" w:hAnsi="Arial" w:cs="Arial"/>
        </w:rPr>
        <w:t>Standard</w:t>
      </w:r>
      <w:r w:rsidRPr="00717C98">
        <w:rPr>
          <w:rFonts w:ascii="Arial" w:eastAsia="Times New Roman" w:hAnsi="Arial" w:cs="Arial"/>
          <w:spacing w:val="-9"/>
        </w:rPr>
        <w:t xml:space="preserve"> </w:t>
      </w:r>
      <w:r w:rsidRPr="00717C98">
        <w:rPr>
          <w:rFonts w:ascii="Arial" w:eastAsia="Times New Roman" w:hAnsi="Arial" w:cs="Arial"/>
        </w:rPr>
        <w:t>LRS</w:t>
      </w:r>
      <w:r w:rsidRPr="00717C98">
        <w:rPr>
          <w:rFonts w:ascii="Arial" w:eastAsia="Times New Roman" w:hAnsi="Arial" w:cs="Arial"/>
          <w:spacing w:val="-4"/>
        </w:rPr>
        <w:t xml:space="preserve"> </w:t>
      </w:r>
      <w:r w:rsidRPr="00717C98">
        <w:rPr>
          <w:rFonts w:ascii="Arial" w:eastAsia="Times New Roman" w:hAnsi="Arial" w:cs="Arial"/>
        </w:rPr>
        <w:t>310.0 Statement</w:t>
      </w:r>
      <w:r w:rsidRPr="00717C98">
        <w:rPr>
          <w:rFonts w:ascii="Arial" w:eastAsia="Times New Roman" w:hAnsi="Arial" w:cs="Arial"/>
          <w:spacing w:val="-10"/>
        </w:rPr>
        <w:t xml:space="preserve"> </w:t>
      </w:r>
      <w:r w:rsidRPr="00717C98">
        <w:rPr>
          <w:rFonts w:ascii="Arial" w:eastAsia="Times New Roman" w:hAnsi="Arial" w:cs="Arial"/>
        </w:rPr>
        <w:t>of Financial</w:t>
      </w:r>
      <w:r w:rsidRPr="00717C98">
        <w:rPr>
          <w:rFonts w:ascii="Arial" w:eastAsia="Times New Roman" w:hAnsi="Arial" w:cs="Arial"/>
          <w:spacing w:val="-9"/>
        </w:rPr>
        <w:t xml:space="preserve"> </w:t>
      </w:r>
      <w:r w:rsidRPr="00717C98">
        <w:rPr>
          <w:rFonts w:ascii="Arial" w:eastAsia="Times New Roman" w:hAnsi="Arial" w:cs="Arial"/>
        </w:rPr>
        <w:t>Performance;</w:t>
      </w:r>
    </w:p>
    <w:p w14:paraId="6021A0CF" w14:textId="6DDE6C6D" w:rsidR="00EA5220" w:rsidRPr="00717C98" w:rsidRDefault="001D4481" w:rsidP="00717C98">
      <w:pPr>
        <w:numPr>
          <w:ilvl w:val="0"/>
          <w:numId w:val="4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717C98">
        <w:rPr>
          <w:rFonts w:ascii="Arial" w:eastAsia="Times New Roman" w:hAnsi="Arial" w:cs="Arial"/>
        </w:rPr>
        <w:t>Reporting</w:t>
      </w:r>
      <w:r w:rsidRPr="00717C98">
        <w:rPr>
          <w:rFonts w:ascii="Arial" w:eastAsia="Times New Roman" w:hAnsi="Arial" w:cs="Arial"/>
          <w:spacing w:val="-9"/>
        </w:rPr>
        <w:t xml:space="preserve"> </w:t>
      </w:r>
      <w:r w:rsidRPr="00717C98">
        <w:rPr>
          <w:rFonts w:ascii="Arial" w:eastAsia="Times New Roman" w:hAnsi="Arial" w:cs="Arial"/>
        </w:rPr>
        <w:t>Standard</w:t>
      </w:r>
      <w:r w:rsidRPr="00717C98">
        <w:rPr>
          <w:rFonts w:ascii="Arial" w:eastAsia="Times New Roman" w:hAnsi="Arial" w:cs="Arial"/>
          <w:spacing w:val="-8"/>
        </w:rPr>
        <w:t xml:space="preserve"> </w:t>
      </w:r>
      <w:r w:rsidRPr="00717C98">
        <w:rPr>
          <w:rFonts w:ascii="Arial" w:eastAsia="Times New Roman" w:hAnsi="Arial" w:cs="Arial"/>
        </w:rPr>
        <w:t>LRS</w:t>
      </w:r>
      <w:r w:rsidRPr="00717C98">
        <w:rPr>
          <w:rFonts w:ascii="Arial" w:eastAsia="Times New Roman" w:hAnsi="Arial" w:cs="Arial"/>
          <w:spacing w:val="-4"/>
        </w:rPr>
        <w:t xml:space="preserve"> </w:t>
      </w:r>
      <w:r w:rsidRPr="00717C98">
        <w:rPr>
          <w:rFonts w:ascii="Arial" w:eastAsia="Times New Roman" w:hAnsi="Arial" w:cs="Arial"/>
        </w:rPr>
        <w:t>330.0 Summary</w:t>
      </w:r>
      <w:r w:rsidRPr="00717C98">
        <w:rPr>
          <w:rFonts w:ascii="Arial" w:eastAsia="Times New Roman" w:hAnsi="Arial" w:cs="Arial"/>
          <w:spacing w:val="-8"/>
        </w:rPr>
        <w:t xml:space="preserve"> </w:t>
      </w:r>
      <w:r w:rsidRPr="00717C98">
        <w:rPr>
          <w:rFonts w:ascii="Arial" w:eastAsia="Times New Roman" w:hAnsi="Arial" w:cs="Arial"/>
        </w:rPr>
        <w:t>of Revenue</w:t>
      </w:r>
      <w:r w:rsidRPr="00717C98">
        <w:rPr>
          <w:rFonts w:ascii="Arial" w:eastAsia="Times New Roman" w:hAnsi="Arial" w:cs="Arial"/>
          <w:spacing w:val="-7"/>
        </w:rPr>
        <w:t xml:space="preserve"> </w:t>
      </w:r>
      <w:r w:rsidRPr="00717C98">
        <w:rPr>
          <w:rFonts w:ascii="Arial" w:eastAsia="Times New Roman" w:hAnsi="Arial" w:cs="Arial"/>
        </w:rPr>
        <w:t>and</w:t>
      </w:r>
      <w:r w:rsidRPr="00717C98">
        <w:rPr>
          <w:rFonts w:ascii="Arial" w:eastAsia="Times New Roman" w:hAnsi="Arial" w:cs="Arial"/>
          <w:spacing w:val="-3"/>
        </w:rPr>
        <w:t xml:space="preserve"> </w:t>
      </w:r>
      <w:r w:rsidRPr="00717C98">
        <w:rPr>
          <w:rFonts w:ascii="Arial" w:eastAsia="Times New Roman" w:hAnsi="Arial" w:cs="Arial"/>
        </w:rPr>
        <w:t>Expenses;</w:t>
      </w:r>
    </w:p>
    <w:p w14:paraId="05231A17" w14:textId="08F283B8" w:rsidR="00EA5220" w:rsidRPr="00717C98" w:rsidRDefault="001D4481" w:rsidP="00717C98">
      <w:pPr>
        <w:numPr>
          <w:ilvl w:val="0"/>
          <w:numId w:val="4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717C98">
        <w:rPr>
          <w:rFonts w:ascii="Arial" w:eastAsia="Times New Roman" w:hAnsi="Arial" w:cs="Arial"/>
        </w:rPr>
        <w:t>Reporting</w:t>
      </w:r>
      <w:r w:rsidRPr="00717C98">
        <w:rPr>
          <w:rFonts w:ascii="Arial" w:eastAsia="Times New Roman" w:hAnsi="Arial" w:cs="Arial"/>
          <w:spacing w:val="-10"/>
        </w:rPr>
        <w:t xml:space="preserve"> </w:t>
      </w:r>
      <w:r w:rsidRPr="00717C98">
        <w:rPr>
          <w:rFonts w:ascii="Arial" w:eastAsia="Times New Roman" w:hAnsi="Arial" w:cs="Arial"/>
        </w:rPr>
        <w:t>Standard</w:t>
      </w:r>
      <w:r w:rsidRPr="00717C98">
        <w:rPr>
          <w:rFonts w:ascii="Arial" w:eastAsia="Times New Roman" w:hAnsi="Arial" w:cs="Arial"/>
          <w:spacing w:val="-9"/>
        </w:rPr>
        <w:t xml:space="preserve"> </w:t>
      </w:r>
      <w:r w:rsidRPr="00717C98">
        <w:rPr>
          <w:rFonts w:ascii="Arial" w:eastAsia="Times New Roman" w:hAnsi="Arial" w:cs="Arial"/>
        </w:rPr>
        <w:t>LRS</w:t>
      </w:r>
      <w:r w:rsidRPr="00717C98">
        <w:rPr>
          <w:rFonts w:ascii="Arial" w:eastAsia="Times New Roman" w:hAnsi="Arial" w:cs="Arial"/>
          <w:spacing w:val="-4"/>
        </w:rPr>
        <w:t xml:space="preserve"> </w:t>
      </w:r>
      <w:r w:rsidRPr="00717C98">
        <w:rPr>
          <w:rFonts w:ascii="Arial" w:eastAsia="Times New Roman" w:hAnsi="Arial" w:cs="Arial"/>
        </w:rPr>
        <w:t>340.0 Retained</w:t>
      </w:r>
      <w:r w:rsidRPr="00717C98">
        <w:rPr>
          <w:rFonts w:ascii="Arial" w:eastAsia="Times New Roman" w:hAnsi="Arial" w:cs="Arial"/>
          <w:spacing w:val="-9"/>
        </w:rPr>
        <w:t xml:space="preserve"> </w:t>
      </w:r>
      <w:r w:rsidRPr="00717C98">
        <w:rPr>
          <w:rFonts w:ascii="Arial" w:eastAsia="Times New Roman" w:hAnsi="Arial" w:cs="Arial"/>
        </w:rPr>
        <w:t>Profits;</w:t>
      </w:r>
    </w:p>
    <w:p w14:paraId="2EACA59F" w14:textId="4F04C060" w:rsidR="00EA5220" w:rsidRPr="00717C98" w:rsidRDefault="001D4481" w:rsidP="00717C98">
      <w:pPr>
        <w:numPr>
          <w:ilvl w:val="0"/>
          <w:numId w:val="4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717C98">
        <w:rPr>
          <w:rFonts w:ascii="Arial" w:eastAsia="Times New Roman" w:hAnsi="Arial" w:cs="Arial"/>
        </w:rPr>
        <w:lastRenderedPageBreak/>
        <w:t>Reporting</w:t>
      </w:r>
      <w:r w:rsidRPr="00717C98">
        <w:rPr>
          <w:rFonts w:ascii="Arial" w:eastAsia="Times New Roman" w:hAnsi="Arial" w:cs="Arial"/>
          <w:spacing w:val="-10"/>
        </w:rPr>
        <w:t xml:space="preserve"> </w:t>
      </w:r>
      <w:r w:rsidRPr="00717C98">
        <w:rPr>
          <w:rFonts w:ascii="Arial" w:eastAsia="Times New Roman" w:hAnsi="Arial" w:cs="Arial"/>
        </w:rPr>
        <w:t>Standard</w:t>
      </w:r>
      <w:r w:rsidRPr="00717C98">
        <w:rPr>
          <w:rFonts w:ascii="Arial" w:eastAsia="Times New Roman" w:hAnsi="Arial" w:cs="Arial"/>
          <w:spacing w:val="-9"/>
        </w:rPr>
        <w:t xml:space="preserve"> </w:t>
      </w:r>
      <w:r w:rsidRPr="00717C98">
        <w:rPr>
          <w:rFonts w:ascii="Arial" w:eastAsia="Times New Roman" w:hAnsi="Arial" w:cs="Arial"/>
        </w:rPr>
        <w:t>LRS</w:t>
      </w:r>
      <w:r w:rsidRPr="00717C98">
        <w:rPr>
          <w:rFonts w:ascii="Arial" w:eastAsia="Times New Roman" w:hAnsi="Arial" w:cs="Arial"/>
          <w:spacing w:val="-4"/>
        </w:rPr>
        <w:t xml:space="preserve"> </w:t>
      </w:r>
      <w:r w:rsidRPr="00717C98">
        <w:rPr>
          <w:rFonts w:ascii="Arial" w:eastAsia="Times New Roman" w:hAnsi="Arial" w:cs="Arial"/>
        </w:rPr>
        <w:t>400.0 Statement</w:t>
      </w:r>
      <w:r w:rsidRPr="00717C98">
        <w:rPr>
          <w:rFonts w:ascii="Arial" w:eastAsia="Times New Roman" w:hAnsi="Arial" w:cs="Arial"/>
          <w:spacing w:val="-10"/>
        </w:rPr>
        <w:t xml:space="preserve"> </w:t>
      </w:r>
      <w:r w:rsidRPr="00717C98">
        <w:rPr>
          <w:rFonts w:ascii="Arial" w:eastAsia="Times New Roman" w:hAnsi="Arial" w:cs="Arial"/>
        </w:rPr>
        <w:t>of Policy</w:t>
      </w:r>
      <w:r w:rsidRPr="00717C98">
        <w:rPr>
          <w:rFonts w:ascii="Arial" w:eastAsia="Times New Roman" w:hAnsi="Arial" w:cs="Arial"/>
          <w:spacing w:val="-6"/>
        </w:rPr>
        <w:t xml:space="preserve"> </w:t>
      </w:r>
      <w:r w:rsidRPr="00717C98">
        <w:rPr>
          <w:rFonts w:ascii="Arial" w:eastAsia="Times New Roman" w:hAnsi="Arial" w:cs="Arial"/>
        </w:rPr>
        <w:t>Liabilities;</w:t>
      </w:r>
    </w:p>
    <w:p w14:paraId="305A8042" w14:textId="22A3FB23" w:rsidR="00EA5220" w:rsidRPr="00717C98" w:rsidRDefault="001D4481" w:rsidP="00717C98">
      <w:pPr>
        <w:numPr>
          <w:ilvl w:val="0"/>
          <w:numId w:val="4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717C98">
        <w:rPr>
          <w:rFonts w:ascii="Arial" w:eastAsia="Times New Roman" w:hAnsi="Arial" w:cs="Arial"/>
        </w:rPr>
        <w:t>Reporting</w:t>
      </w:r>
      <w:r w:rsidRPr="00717C98">
        <w:rPr>
          <w:rFonts w:ascii="Arial" w:eastAsia="Times New Roman" w:hAnsi="Arial" w:cs="Arial"/>
          <w:spacing w:val="-10"/>
        </w:rPr>
        <w:t xml:space="preserve"> </w:t>
      </w:r>
      <w:r w:rsidRPr="00717C98">
        <w:rPr>
          <w:rFonts w:ascii="Arial" w:eastAsia="Times New Roman" w:hAnsi="Arial" w:cs="Arial"/>
        </w:rPr>
        <w:t>Standard</w:t>
      </w:r>
      <w:r w:rsidRPr="00717C98">
        <w:rPr>
          <w:rFonts w:ascii="Arial" w:eastAsia="Times New Roman" w:hAnsi="Arial" w:cs="Arial"/>
          <w:spacing w:val="-9"/>
        </w:rPr>
        <w:t xml:space="preserve"> </w:t>
      </w:r>
      <w:r w:rsidRPr="00717C98">
        <w:rPr>
          <w:rFonts w:ascii="Arial" w:eastAsia="Times New Roman" w:hAnsi="Arial" w:cs="Arial"/>
        </w:rPr>
        <w:t>LRS</w:t>
      </w:r>
      <w:r w:rsidRPr="00717C98">
        <w:rPr>
          <w:rFonts w:ascii="Arial" w:eastAsia="Times New Roman" w:hAnsi="Arial" w:cs="Arial"/>
          <w:spacing w:val="-4"/>
        </w:rPr>
        <w:t xml:space="preserve"> </w:t>
      </w:r>
      <w:r w:rsidRPr="00717C98">
        <w:rPr>
          <w:rFonts w:ascii="Arial" w:eastAsia="Times New Roman" w:hAnsi="Arial" w:cs="Arial"/>
        </w:rPr>
        <w:t>420.0 Assets Backing</w:t>
      </w:r>
      <w:r w:rsidRPr="00717C98">
        <w:rPr>
          <w:rFonts w:ascii="Arial" w:eastAsia="Times New Roman" w:hAnsi="Arial" w:cs="Arial"/>
          <w:spacing w:val="-8"/>
        </w:rPr>
        <w:t xml:space="preserve"> </w:t>
      </w:r>
      <w:r w:rsidRPr="00717C98">
        <w:rPr>
          <w:rFonts w:ascii="Arial" w:eastAsia="Times New Roman" w:hAnsi="Arial" w:cs="Arial"/>
        </w:rPr>
        <w:t>Policy</w:t>
      </w:r>
      <w:r w:rsidRPr="00717C98">
        <w:rPr>
          <w:rFonts w:ascii="Arial" w:eastAsia="Times New Roman" w:hAnsi="Arial" w:cs="Arial"/>
          <w:spacing w:val="-6"/>
        </w:rPr>
        <w:t xml:space="preserve"> </w:t>
      </w:r>
      <w:r w:rsidRPr="00717C98">
        <w:rPr>
          <w:rFonts w:ascii="Arial" w:eastAsia="Times New Roman" w:hAnsi="Arial" w:cs="Arial"/>
        </w:rPr>
        <w:t>Liabilities;</w:t>
      </w:r>
      <w:r w:rsidRPr="00717C98">
        <w:rPr>
          <w:rFonts w:ascii="Arial" w:eastAsia="Times New Roman" w:hAnsi="Arial" w:cs="Arial"/>
          <w:spacing w:val="-10"/>
        </w:rPr>
        <w:t xml:space="preserve"> </w:t>
      </w:r>
      <w:r w:rsidRPr="00717C98">
        <w:rPr>
          <w:rFonts w:ascii="Arial" w:eastAsia="Times New Roman" w:hAnsi="Arial" w:cs="Arial"/>
        </w:rPr>
        <w:t>and</w:t>
      </w:r>
    </w:p>
    <w:p w14:paraId="1AF71FFF" w14:textId="18A2FA32" w:rsidR="001D4481" w:rsidRPr="00717C98" w:rsidRDefault="001D4481" w:rsidP="00717C98">
      <w:pPr>
        <w:numPr>
          <w:ilvl w:val="0"/>
          <w:numId w:val="4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717C98">
        <w:rPr>
          <w:rFonts w:ascii="Arial" w:eastAsia="Times New Roman" w:hAnsi="Arial" w:cs="Arial"/>
        </w:rPr>
        <w:t>Reporting</w:t>
      </w:r>
      <w:r w:rsidRPr="00717C98">
        <w:rPr>
          <w:rFonts w:ascii="Arial" w:eastAsia="Times New Roman" w:hAnsi="Arial" w:cs="Arial"/>
          <w:spacing w:val="-10"/>
        </w:rPr>
        <w:t xml:space="preserve"> </w:t>
      </w:r>
      <w:r w:rsidRPr="00717C98">
        <w:rPr>
          <w:rFonts w:ascii="Arial" w:eastAsia="Times New Roman" w:hAnsi="Arial" w:cs="Arial"/>
        </w:rPr>
        <w:t>Standard</w:t>
      </w:r>
      <w:r w:rsidRPr="00717C98">
        <w:rPr>
          <w:rFonts w:ascii="Arial" w:eastAsia="Times New Roman" w:hAnsi="Arial" w:cs="Arial"/>
          <w:spacing w:val="-9"/>
        </w:rPr>
        <w:t xml:space="preserve"> </w:t>
      </w:r>
      <w:r w:rsidRPr="00717C98">
        <w:rPr>
          <w:rFonts w:ascii="Arial" w:eastAsia="Times New Roman" w:hAnsi="Arial" w:cs="Arial"/>
        </w:rPr>
        <w:t>LRS</w:t>
      </w:r>
      <w:r w:rsidRPr="00717C98">
        <w:rPr>
          <w:rFonts w:ascii="Arial" w:eastAsia="Times New Roman" w:hAnsi="Arial" w:cs="Arial"/>
          <w:spacing w:val="-4"/>
        </w:rPr>
        <w:t xml:space="preserve"> </w:t>
      </w:r>
      <w:r w:rsidRPr="00717C98">
        <w:rPr>
          <w:rFonts w:ascii="Arial" w:eastAsia="Times New Roman" w:hAnsi="Arial" w:cs="Arial"/>
        </w:rPr>
        <w:t>430.0 Sources of Profit.</w:t>
      </w:r>
    </w:p>
    <w:p w14:paraId="15934012" w14:textId="77777777" w:rsidR="001D4481" w:rsidRDefault="001D4481" w:rsidP="001D4481">
      <w:pPr>
        <w:pStyle w:val="ListParagraph"/>
        <w:tabs>
          <w:tab w:val="left" w:pos="1540"/>
        </w:tabs>
        <w:spacing w:after="0" w:line="259" w:lineRule="exact"/>
        <w:ind w:left="0" w:right="-20"/>
        <w:rPr>
          <w:rFonts w:ascii="Times New Roman" w:eastAsia="Times New Roman" w:hAnsi="Times New Roman"/>
          <w:sz w:val="24"/>
          <w:szCs w:val="24"/>
        </w:rPr>
      </w:pPr>
    </w:p>
    <w:p w14:paraId="4E7C11E0" w14:textId="77777777" w:rsidR="00CA0983" w:rsidRPr="00184B8E" w:rsidRDefault="00765E15" w:rsidP="00184B8E">
      <w:pPr>
        <w:spacing w:after="240" w:line="240" w:lineRule="auto"/>
        <w:rPr>
          <w:rFonts w:ascii="Arial" w:eastAsia="Arial" w:hAnsi="Arial" w:cs="Arial"/>
          <w:b/>
          <w:sz w:val="32"/>
          <w:szCs w:val="32"/>
        </w:rPr>
      </w:pPr>
      <w:r w:rsidRPr="00184B8E">
        <w:rPr>
          <w:rFonts w:ascii="Arial" w:eastAsia="Arial" w:hAnsi="Arial" w:cs="Arial"/>
          <w:b/>
          <w:bCs/>
          <w:spacing w:val="2"/>
          <w:sz w:val="32"/>
          <w:szCs w:val="32"/>
        </w:rPr>
        <w:t>Part 2</w:t>
      </w:r>
      <w:r w:rsidR="00CA0983" w:rsidRPr="00184B8E">
        <w:rPr>
          <w:rFonts w:ascii="Arial" w:eastAsia="Arial" w:hAnsi="Arial" w:cs="Arial"/>
          <w:b/>
          <w:bCs/>
          <w:spacing w:val="2"/>
          <w:sz w:val="32"/>
          <w:szCs w:val="32"/>
        </w:rPr>
        <w:t xml:space="preserve"> (</w:t>
      </w:r>
      <w:r w:rsidR="00E91535" w:rsidRPr="00184B8E">
        <w:rPr>
          <w:rFonts w:ascii="Arial" w:eastAsia="Arial" w:hAnsi="Arial" w:cs="Arial"/>
          <w:b/>
          <w:bCs/>
          <w:spacing w:val="2"/>
          <w:sz w:val="32"/>
          <w:szCs w:val="32"/>
        </w:rPr>
        <w:t>Parts of r</w:t>
      </w:r>
      <w:r w:rsidR="00CA0983" w:rsidRPr="00184B8E">
        <w:rPr>
          <w:rFonts w:ascii="Arial" w:eastAsia="Arial" w:hAnsi="Arial" w:cs="Arial"/>
          <w:b/>
          <w:bCs/>
          <w:spacing w:val="2"/>
          <w:sz w:val="32"/>
          <w:szCs w:val="32"/>
        </w:rPr>
        <w:t>eporting documents covered by this determination)</w:t>
      </w:r>
    </w:p>
    <w:p w14:paraId="46AD5D6F" w14:textId="40FDA5C9" w:rsidR="000D3AF9" w:rsidRPr="00184B8E" w:rsidRDefault="0009571C" w:rsidP="00184B8E">
      <w:pPr>
        <w:spacing w:after="0" w:line="240" w:lineRule="auto"/>
        <w:rPr>
          <w:rFonts w:ascii="Arial" w:eastAsia="Times New Roman" w:hAnsi="Arial" w:cs="Arial"/>
        </w:rPr>
      </w:pPr>
      <w:r w:rsidRPr="00184B8E">
        <w:rPr>
          <w:rFonts w:ascii="Arial" w:eastAsia="Times New Roman" w:hAnsi="Arial" w:cs="Arial"/>
        </w:rPr>
        <w:t>Part 2 of the Schedule of this</w:t>
      </w:r>
      <w:r w:rsidR="000D3AF9" w:rsidRPr="00184B8E">
        <w:rPr>
          <w:rFonts w:ascii="Arial" w:eastAsia="Times New Roman" w:hAnsi="Arial" w:cs="Arial"/>
        </w:rPr>
        <w:t xml:space="preserve"> determination applies to </w:t>
      </w:r>
      <w:r w:rsidR="0026459C" w:rsidRPr="00184B8E">
        <w:rPr>
          <w:rFonts w:ascii="Arial" w:eastAsia="Times New Roman" w:hAnsi="Arial" w:cs="Arial"/>
        </w:rPr>
        <w:t xml:space="preserve">the information in </w:t>
      </w:r>
      <w:r w:rsidR="00792D3C" w:rsidRPr="00184B8E">
        <w:rPr>
          <w:rFonts w:ascii="Arial" w:eastAsia="Times New Roman" w:hAnsi="Arial" w:cs="Arial"/>
        </w:rPr>
        <w:t xml:space="preserve">the following parts of </w:t>
      </w:r>
      <w:r w:rsidR="000D3AF9" w:rsidRPr="00184B8E">
        <w:rPr>
          <w:rFonts w:ascii="Arial" w:eastAsia="Times New Roman" w:hAnsi="Arial" w:cs="Arial"/>
        </w:rPr>
        <w:t>reporting forms given to APRA by a life insurer</w:t>
      </w:r>
      <w:r w:rsidR="007B5AED" w:rsidRPr="00184B8E">
        <w:rPr>
          <w:rFonts w:ascii="Arial" w:eastAsia="Times New Roman" w:hAnsi="Arial" w:cs="Arial"/>
        </w:rPr>
        <w:t xml:space="preserve"> or friendly society</w:t>
      </w:r>
      <w:r w:rsidR="000D3AF9" w:rsidRPr="00184B8E">
        <w:rPr>
          <w:rFonts w:ascii="Arial" w:eastAsia="Times New Roman" w:hAnsi="Arial" w:cs="Arial"/>
        </w:rPr>
        <w:t xml:space="preserve"> under the following reporting standards, where a period of </w:t>
      </w:r>
      <w:r w:rsidR="002E2126" w:rsidRPr="00184B8E">
        <w:rPr>
          <w:rFonts w:ascii="Arial" w:eastAsia="Times New Roman" w:hAnsi="Arial" w:cs="Arial"/>
        </w:rPr>
        <w:t xml:space="preserve">at least </w:t>
      </w:r>
      <w:r w:rsidR="000D3AF9" w:rsidRPr="00184B8E">
        <w:rPr>
          <w:rFonts w:ascii="Arial" w:eastAsia="Times New Roman" w:hAnsi="Arial" w:cs="Arial"/>
        </w:rPr>
        <w:t xml:space="preserve">14 days has elapsed from the date the life insurer </w:t>
      </w:r>
      <w:r w:rsidR="007B5AED" w:rsidRPr="00184B8E">
        <w:rPr>
          <w:rFonts w:ascii="Arial" w:eastAsia="Times New Roman" w:hAnsi="Arial" w:cs="Arial"/>
        </w:rPr>
        <w:t xml:space="preserve">or friendly society </w:t>
      </w:r>
      <w:r w:rsidR="000D3AF9" w:rsidRPr="00184B8E">
        <w:rPr>
          <w:rFonts w:ascii="Arial" w:eastAsia="Times New Roman" w:hAnsi="Arial" w:cs="Arial"/>
        </w:rPr>
        <w:t>was required to provide the information required under the reporting standards in accordance with paragraph 5 of Reporting Standard LRS 001 Reporting Requirements:</w:t>
      </w:r>
    </w:p>
    <w:p w14:paraId="03E6586C" w14:textId="77777777" w:rsidR="005027FE" w:rsidRPr="0044042F" w:rsidRDefault="005027FE" w:rsidP="00E8169F">
      <w:pPr>
        <w:spacing w:before="26" w:after="0" w:line="240" w:lineRule="auto"/>
        <w:ind w:right="-20"/>
        <w:rPr>
          <w:rFonts w:ascii="Arial" w:eastAsia="Arial" w:hAnsi="Arial" w:cs="Arial"/>
          <w:b/>
          <w:bCs/>
          <w:spacing w:val="2"/>
          <w:w w:val="102"/>
          <w:sz w:val="31"/>
          <w:szCs w:val="31"/>
          <w:highlight w:val="yellow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77"/>
      </w:tblGrid>
      <w:tr w:rsidR="008E082D" w:rsidRPr="00184B8E" w14:paraId="18EFE989" w14:textId="77777777" w:rsidTr="00D64AD0">
        <w:trPr>
          <w:tblHeader/>
        </w:trPr>
        <w:tc>
          <w:tcPr>
            <w:tcW w:w="4679" w:type="dxa"/>
            <w:shd w:val="clear" w:color="auto" w:fill="auto"/>
          </w:tcPr>
          <w:p w14:paraId="36DAECB2" w14:textId="77777777" w:rsidR="008E082D" w:rsidRPr="00184B8E" w:rsidRDefault="008E082D" w:rsidP="00B37968">
            <w:pPr>
              <w:spacing w:after="0" w:line="240" w:lineRule="auto"/>
              <w:ind w:left="100" w:right="-20"/>
              <w:rPr>
                <w:rFonts w:ascii="Arial" w:eastAsia="Times New Roman" w:hAnsi="Arial" w:cs="Arial"/>
                <w:b/>
              </w:rPr>
            </w:pPr>
            <w:r w:rsidRPr="00184B8E">
              <w:rPr>
                <w:rFonts w:ascii="Arial" w:eastAsia="Times New Roman" w:hAnsi="Arial" w:cs="Arial"/>
                <w:b/>
              </w:rPr>
              <w:t>Parts of reporting form covered by this determination</w:t>
            </w:r>
          </w:p>
        </w:tc>
        <w:tc>
          <w:tcPr>
            <w:tcW w:w="4677" w:type="dxa"/>
            <w:shd w:val="clear" w:color="auto" w:fill="auto"/>
          </w:tcPr>
          <w:p w14:paraId="07B72AC1" w14:textId="77777777" w:rsidR="008E082D" w:rsidRPr="00184B8E" w:rsidRDefault="008E082D" w:rsidP="00B37968">
            <w:pPr>
              <w:spacing w:after="0" w:line="240" w:lineRule="auto"/>
              <w:ind w:left="100" w:right="-20"/>
              <w:rPr>
                <w:rFonts w:ascii="Arial" w:eastAsia="Times New Roman" w:hAnsi="Arial" w:cs="Arial"/>
                <w:b/>
              </w:rPr>
            </w:pPr>
            <w:r w:rsidRPr="00184B8E">
              <w:rPr>
                <w:rFonts w:ascii="Arial" w:eastAsia="Times New Roman" w:hAnsi="Arial" w:cs="Arial"/>
                <w:b/>
              </w:rPr>
              <w:t>Reporting standards</w:t>
            </w:r>
          </w:p>
        </w:tc>
      </w:tr>
      <w:tr w:rsidR="001A72CC" w:rsidRPr="00184B8E" w14:paraId="2A2495A2" w14:textId="77777777" w:rsidTr="00724FED">
        <w:trPr>
          <w:trHeight w:val="551"/>
        </w:trPr>
        <w:tc>
          <w:tcPr>
            <w:tcW w:w="4679" w:type="dxa"/>
            <w:shd w:val="clear" w:color="auto" w:fill="auto"/>
          </w:tcPr>
          <w:p w14:paraId="46DEE1D2" w14:textId="77777777" w:rsidR="001A72CC" w:rsidRPr="00184B8E" w:rsidRDefault="00580674" w:rsidP="001A72CC">
            <w:p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LRF 110.</w:t>
            </w:r>
            <w:r w:rsidR="001A72CC" w:rsidRPr="00184B8E">
              <w:rPr>
                <w:rFonts w:ascii="Arial" w:eastAsia="Times New Roman" w:hAnsi="Arial" w:cs="Arial"/>
              </w:rPr>
              <w:t>1: Prescribed Capital Amount</w:t>
            </w:r>
            <w:r w:rsidRPr="00184B8E">
              <w:rPr>
                <w:rFonts w:ascii="Arial" w:eastAsia="Times New Roman" w:hAnsi="Arial" w:cs="Arial"/>
              </w:rPr>
              <w:t xml:space="preserve"> (SF, GF)</w:t>
            </w:r>
          </w:p>
          <w:p w14:paraId="6F89FFD7" w14:textId="77777777" w:rsidR="001A72CC" w:rsidRPr="00184B8E" w:rsidRDefault="001A72CC" w:rsidP="001A72CC">
            <w:p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</w:p>
          <w:p w14:paraId="1C28D10C" w14:textId="77777777" w:rsidR="001A72CC" w:rsidRPr="00184B8E" w:rsidRDefault="001A72CC" w:rsidP="001A72CC">
            <w:p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Section 1: Summary of prescribed capital amount</w:t>
            </w:r>
          </w:p>
          <w:p w14:paraId="64E8693D" w14:textId="77777777" w:rsidR="00416BA4" w:rsidRPr="00184B8E" w:rsidRDefault="00416BA4" w:rsidP="001A72CC">
            <w:p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</w:p>
          <w:p w14:paraId="431A259F" w14:textId="77777777" w:rsidR="00416BA4" w:rsidRPr="00184B8E" w:rsidRDefault="00416BA4" w:rsidP="00416BA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1.LRF 114: Asset risk charge</w:t>
            </w:r>
          </w:p>
          <w:p w14:paraId="5D222425" w14:textId="77777777" w:rsidR="00697813" w:rsidRPr="00184B8E" w:rsidRDefault="00697813" w:rsidP="00697813">
            <w:p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</w:p>
          <w:p w14:paraId="01D1820D" w14:textId="77777777" w:rsidR="00416BA4" w:rsidRPr="00184B8E" w:rsidRDefault="00416BA4" w:rsidP="00416BA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2. LRF 115: Insurance risk charge</w:t>
            </w:r>
          </w:p>
          <w:p w14:paraId="5D76E1B2" w14:textId="77777777" w:rsidR="00697813" w:rsidRPr="00184B8E" w:rsidRDefault="00697813" w:rsidP="00697813">
            <w:pPr>
              <w:pStyle w:val="ListParagraph"/>
              <w:rPr>
                <w:rFonts w:ascii="Arial" w:eastAsia="Times New Roman" w:hAnsi="Arial" w:cs="Arial"/>
              </w:rPr>
            </w:pPr>
          </w:p>
          <w:p w14:paraId="34BD539E" w14:textId="77777777" w:rsidR="00416BA4" w:rsidRPr="00184B8E" w:rsidRDefault="00416BA4" w:rsidP="00416BA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3. Less: Aggregation benefit</w:t>
            </w:r>
          </w:p>
          <w:p w14:paraId="5E3D98BB" w14:textId="77777777" w:rsidR="00697813" w:rsidRPr="00184B8E" w:rsidRDefault="00697813" w:rsidP="00697813">
            <w:pPr>
              <w:pStyle w:val="ListParagraph"/>
              <w:rPr>
                <w:rFonts w:ascii="Arial" w:eastAsia="Times New Roman" w:hAnsi="Arial" w:cs="Arial"/>
              </w:rPr>
            </w:pPr>
          </w:p>
          <w:p w14:paraId="7C1930F2" w14:textId="77777777" w:rsidR="00416BA4" w:rsidRPr="00184B8E" w:rsidRDefault="00416BA4" w:rsidP="00416BA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4. LRF 200: Aggregate risk charge for variable annuities</w:t>
            </w:r>
          </w:p>
          <w:p w14:paraId="6D77AD25" w14:textId="77777777" w:rsidR="00697813" w:rsidRPr="00184B8E" w:rsidRDefault="00697813" w:rsidP="00697813">
            <w:pPr>
              <w:pStyle w:val="ListParagraph"/>
              <w:rPr>
                <w:rFonts w:ascii="Arial" w:eastAsia="Times New Roman" w:hAnsi="Arial" w:cs="Arial"/>
              </w:rPr>
            </w:pPr>
          </w:p>
          <w:p w14:paraId="233A60C0" w14:textId="77777777" w:rsidR="00416BA4" w:rsidRPr="00184B8E" w:rsidRDefault="00416BA4" w:rsidP="00416BA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5. LRF 117: Asset concentration risk charge</w:t>
            </w:r>
          </w:p>
          <w:p w14:paraId="119E666B" w14:textId="77777777" w:rsidR="00697813" w:rsidRPr="00184B8E" w:rsidRDefault="00697813" w:rsidP="00697813">
            <w:pPr>
              <w:pStyle w:val="ListParagraph"/>
              <w:rPr>
                <w:rFonts w:ascii="Arial" w:eastAsia="Times New Roman" w:hAnsi="Arial" w:cs="Arial"/>
              </w:rPr>
            </w:pPr>
          </w:p>
          <w:p w14:paraId="04CBC0FC" w14:textId="77777777" w:rsidR="00697813" w:rsidRPr="00184B8E" w:rsidRDefault="00697813" w:rsidP="0069781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6. LRF 118: Operational risk charge</w:t>
            </w:r>
          </w:p>
          <w:p w14:paraId="17B73A2C" w14:textId="77777777" w:rsidR="00697813" w:rsidRPr="00184B8E" w:rsidRDefault="00697813" w:rsidP="00697813">
            <w:pPr>
              <w:pStyle w:val="ListParagraph"/>
              <w:rPr>
                <w:rFonts w:ascii="Arial" w:eastAsia="Times New Roman" w:hAnsi="Arial" w:cs="Arial"/>
              </w:rPr>
            </w:pPr>
          </w:p>
          <w:p w14:paraId="6B3F6D6B" w14:textId="77777777" w:rsidR="00697813" w:rsidRPr="00184B8E" w:rsidRDefault="00697813" w:rsidP="00697813">
            <w:pPr>
              <w:pStyle w:val="ListParagraph"/>
              <w:numPr>
                <w:ilvl w:val="0"/>
                <w:numId w:val="25"/>
              </w:numPr>
              <w:tabs>
                <w:tab w:val="left" w:pos="851"/>
              </w:tabs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7. Combined stress scenario adjustment</w:t>
            </w:r>
          </w:p>
          <w:p w14:paraId="7B558DFD" w14:textId="77777777" w:rsidR="00697813" w:rsidRPr="00184B8E" w:rsidRDefault="00697813" w:rsidP="00697813">
            <w:pPr>
              <w:pStyle w:val="ListParagraph"/>
              <w:rPr>
                <w:rFonts w:ascii="Arial" w:eastAsia="Times New Roman" w:hAnsi="Arial" w:cs="Arial"/>
              </w:rPr>
            </w:pPr>
          </w:p>
          <w:p w14:paraId="1C352750" w14:textId="77777777" w:rsidR="00697813" w:rsidRPr="00184B8E" w:rsidRDefault="00697813" w:rsidP="00697813">
            <w:pPr>
              <w:pStyle w:val="ListParagraph"/>
              <w:numPr>
                <w:ilvl w:val="0"/>
                <w:numId w:val="25"/>
              </w:numPr>
              <w:tabs>
                <w:tab w:val="left" w:pos="851"/>
              </w:tabs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8. Adjustments to prescribed capital amount as approved by APRA – total amount only</w:t>
            </w:r>
          </w:p>
          <w:p w14:paraId="3E31DA0A" w14:textId="77777777" w:rsidR="00697813" w:rsidRPr="00184B8E" w:rsidRDefault="00697813" w:rsidP="00697813">
            <w:pPr>
              <w:pStyle w:val="ListParagraph"/>
              <w:rPr>
                <w:rFonts w:ascii="Arial" w:eastAsia="Times New Roman" w:hAnsi="Arial" w:cs="Arial"/>
              </w:rPr>
            </w:pPr>
          </w:p>
          <w:p w14:paraId="19869165" w14:textId="77777777" w:rsidR="00697813" w:rsidRPr="00184B8E" w:rsidRDefault="00697813" w:rsidP="00697813">
            <w:pPr>
              <w:pStyle w:val="ListParagraph"/>
              <w:numPr>
                <w:ilvl w:val="0"/>
                <w:numId w:val="25"/>
              </w:numPr>
              <w:tabs>
                <w:tab w:val="left" w:pos="851"/>
              </w:tabs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9. Prescribed capital amount</w:t>
            </w:r>
          </w:p>
          <w:p w14:paraId="5A848869" w14:textId="77777777" w:rsidR="00697813" w:rsidRPr="00184B8E" w:rsidRDefault="00697813" w:rsidP="00697813">
            <w:pPr>
              <w:tabs>
                <w:tab w:val="left" w:pos="851"/>
              </w:tabs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</w:p>
          <w:p w14:paraId="2972113E" w14:textId="77777777" w:rsidR="00697813" w:rsidRPr="00184B8E" w:rsidRDefault="00697813" w:rsidP="00697813">
            <w:pPr>
              <w:tabs>
                <w:tab w:val="left" w:pos="851"/>
              </w:tabs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Section 2: Capital adequacy assessment – all data items</w:t>
            </w:r>
          </w:p>
          <w:p w14:paraId="180C3CFC" w14:textId="77777777" w:rsidR="001A72CC" w:rsidRPr="00184B8E" w:rsidRDefault="001A72CC" w:rsidP="001A72CC">
            <w:p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14:paraId="288C51A3" w14:textId="3FD38B9F" w:rsidR="001A72CC" w:rsidRPr="00184B8E" w:rsidRDefault="001A72CC" w:rsidP="001A72CC">
            <w:p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LRS 110.</w:t>
            </w:r>
            <w:r w:rsidR="009C4880" w:rsidRPr="00184B8E">
              <w:rPr>
                <w:rFonts w:ascii="Arial" w:eastAsia="Times New Roman" w:hAnsi="Arial" w:cs="Arial"/>
              </w:rPr>
              <w:t>0</w:t>
            </w:r>
            <w:r w:rsidRPr="00184B8E">
              <w:rPr>
                <w:rFonts w:ascii="Arial" w:eastAsia="Times New Roman" w:hAnsi="Arial" w:cs="Arial"/>
              </w:rPr>
              <w:t xml:space="preserve"> Prescribed Capital Amount </w:t>
            </w:r>
          </w:p>
        </w:tc>
      </w:tr>
      <w:tr w:rsidR="0021739F" w:rsidRPr="00184B8E" w14:paraId="72E6D1F3" w14:textId="77777777" w:rsidTr="00724FED">
        <w:trPr>
          <w:trHeight w:val="551"/>
        </w:trPr>
        <w:tc>
          <w:tcPr>
            <w:tcW w:w="4679" w:type="dxa"/>
            <w:shd w:val="clear" w:color="auto" w:fill="auto"/>
          </w:tcPr>
          <w:p w14:paraId="588D4343" w14:textId="77777777" w:rsidR="0021739F" w:rsidRPr="00184B8E" w:rsidRDefault="00580674" w:rsidP="001A72CC">
            <w:p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LRF 110.</w:t>
            </w:r>
            <w:r w:rsidR="0021739F" w:rsidRPr="00184B8E">
              <w:rPr>
                <w:rFonts w:ascii="Arial" w:eastAsia="Times New Roman" w:hAnsi="Arial" w:cs="Arial"/>
              </w:rPr>
              <w:t>2: Prescribed Capital Amount (Entity) – all data items</w:t>
            </w:r>
          </w:p>
          <w:p w14:paraId="3E5A5242" w14:textId="77777777" w:rsidR="0021739F" w:rsidRPr="00184B8E" w:rsidRDefault="0021739F" w:rsidP="001A72CC">
            <w:p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</w:p>
          <w:p w14:paraId="2A127D8D" w14:textId="77777777" w:rsidR="0021739F" w:rsidRPr="00184B8E" w:rsidRDefault="0021739F" w:rsidP="001A72CC">
            <w:p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14:paraId="22676051" w14:textId="707B18CB" w:rsidR="0021739F" w:rsidRPr="00184B8E" w:rsidRDefault="0021739F" w:rsidP="00DD363B">
            <w:pPr>
              <w:spacing w:after="0" w:line="240" w:lineRule="auto"/>
              <w:ind w:left="100"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LRS 110.</w:t>
            </w:r>
            <w:r w:rsidR="000E6902" w:rsidRPr="00184B8E">
              <w:rPr>
                <w:rFonts w:ascii="Arial" w:eastAsia="Times New Roman" w:hAnsi="Arial" w:cs="Arial"/>
              </w:rPr>
              <w:t>0</w:t>
            </w:r>
            <w:r w:rsidRPr="00184B8E">
              <w:rPr>
                <w:rFonts w:ascii="Arial" w:eastAsia="Times New Roman" w:hAnsi="Arial" w:cs="Arial"/>
              </w:rPr>
              <w:t xml:space="preserve"> Prescribed Capital Amount </w:t>
            </w:r>
          </w:p>
        </w:tc>
      </w:tr>
      <w:tr w:rsidR="004E76D0" w:rsidRPr="00184B8E" w14:paraId="6D17AF24" w14:textId="77777777" w:rsidTr="00724FED">
        <w:trPr>
          <w:trHeight w:val="551"/>
        </w:trPr>
        <w:tc>
          <w:tcPr>
            <w:tcW w:w="4679" w:type="dxa"/>
            <w:shd w:val="clear" w:color="auto" w:fill="auto"/>
          </w:tcPr>
          <w:p w14:paraId="1C113EE8" w14:textId="77777777" w:rsidR="004E76D0" w:rsidRPr="00184B8E" w:rsidRDefault="00580674" w:rsidP="0021739F">
            <w:p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LRF 112.</w:t>
            </w:r>
            <w:r w:rsidR="004E76D0" w:rsidRPr="00184B8E">
              <w:rPr>
                <w:rFonts w:ascii="Arial" w:eastAsia="Times New Roman" w:hAnsi="Arial" w:cs="Arial"/>
              </w:rPr>
              <w:t>3: Related Party Exposures</w:t>
            </w:r>
          </w:p>
          <w:p w14:paraId="5CA705D9" w14:textId="77777777" w:rsidR="004E76D0" w:rsidRPr="00184B8E" w:rsidRDefault="004E76D0" w:rsidP="0021739F">
            <w:p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</w:p>
          <w:p w14:paraId="0E983F2F" w14:textId="77777777" w:rsidR="004E76D0" w:rsidRPr="00184B8E" w:rsidRDefault="004E76D0" w:rsidP="0021739F">
            <w:p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 xml:space="preserve">Section 1: Investments in subsidiaries, joint </w:t>
            </w:r>
            <w:r w:rsidRPr="00184B8E">
              <w:rPr>
                <w:rFonts w:ascii="Arial" w:eastAsia="Times New Roman" w:hAnsi="Arial" w:cs="Arial"/>
              </w:rPr>
              <w:lastRenderedPageBreak/>
              <w:t>ventures and associates and contributions to regulatory adjustments</w:t>
            </w:r>
          </w:p>
          <w:p w14:paraId="01BCB064" w14:textId="77777777" w:rsidR="004E76D0" w:rsidRPr="00184B8E" w:rsidRDefault="004E76D0" w:rsidP="0021739F">
            <w:p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</w:p>
          <w:p w14:paraId="3EC7964A" w14:textId="77777777" w:rsidR="004E76D0" w:rsidRPr="00184B8E" w:rsidRDefault="004E76D0" w:rsidP="0021739F">
            <w:pPr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Total assets – total amount only</w:t>
            </w:r>
          </w:p>
          <w:p w14:paraId="09DD63F0" w14:textId="77777777" w:rsidR="004E76D0" w:rsidRPr="00184B8E" w:rsidRDefault="004E76D0" w:rsidP="0021739F">
            <w:pPr>
              <w:spacing w:after="0" w:line="240" w:lineRule="auto"/>
              <w:ind w:left="360" w:right="-20"/>
              <w:rPr>
                <w:rFonts w:ascii="Arial" w:eastAsia="Times New Roman" w:hAnsi="Arial" w:cs="Arial"/>
              </w:rPr>
            </w:pPr>
          </w:p>
          <w:p w14:paraId="0D4FAA82" w14:textId="77777777" w:rsidR="004E76D0" w:rsidRPr="00184B8E" w:rsidRDefault="004E76D0" w:rsidP="0021739F">
            <w:pPr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Value of investment net of goodwill and other intangibles – total amount only.</w:t>
            </w:r>
          </w:p>
          <w:p w14:paraId="444CF92B" w14:textId="77777777" w:rsidR="004E76D0" w:rsidRPr="00184B8E" w:rsidRDefault="004E76D0" w:rsidP="0021739F">
            <w:pPr>
              <w:spacing w:after="0" w:line="240" w:lineRule="auto"/>
              <w:ind w:left="360" w:right="-20"/>
              <w:rPr>
                <w:rFonts w:ascii="Arial" w:eastAsia="Times New Roman" w:hAnsi="Arial" w:cs="Arial"/>
              </w:rPr>
            </w:pPr>
          </w:p>
          <w:p w14:paraId="57FFCC73" w14:textId="77777777" w:rsidR="004E76D0" w:rsidRPr="00184B8E" w:rsidRDefault="008C6111" w:rsidP="0021739F">
            <w:pPr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 xml:space="preserve"> Goodwill – </w:t>
            </w:r>
            <w:r w:rsidR="004E76D0" w:rsidRPr="00184B8E">
              <w:rPr>
                <w:rFonts w:ascii="Arial" w:eastAsia="Times New Roman" w:hAnsi="Arial" w:cs="Arial"/>
              </w:rPr>
              <w:t>total amount only.</w:t>
            </w:r>
          </w:p>
          <w:p w14:paraId="0B532BDA" w14:textId="77777777" w:rsidR="004E76D0" w:rsidRPr="00184B8E" w:rsidRDefault="004E76D0" w:rsidP="0021739F">
            <w:pPr>
              <w:spacing w:after="0" w:line="240" w:lineRule="auto"/>
              <w:ind w:left="360" w:right="-20"/>
              <w:rPr>
                <w:rFonts w:ascii="Arial" w:eastAsia="Times New Roman" w:hAnsi="Arial" w:cs="Arial"/>
              </w:rPr>
            </w:pPr>
          </w:p>
          <w:p w14:paraId="10C5F608" w14:textId="77777777" w:rsidR="004E76D0" w:rsidRPr="00184B8E" w:rsidRDefault="004E76D0" w:rsidP="0021739F">
            <w:pPr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 xml:space="preserve"> Other intangibles </w:t>
            </w:r>
            <w:r w:rsidR="008C6111" w:rsidRPr="00184B8E">
              <w:rPr>
                <w:rFonts w:ascii="Arial" w:eastAsia="Times New Roman" w:hAnsi="Arial" w:cs="Arial"/>
              </w:rPr>
              <w:t xml:space="preserve">– </w:t>
            </w:r>
            <w:r w:rsidRPr="00184B8E">
              <w:rPr>
                <w:rFonts w:ascii="Arial" w:eastAsia="Times New Roman" w:hAnsi="Arial" w:cs="Arial"/>
              </w:rPr>
              <w:t>total amount only.</w:t>
            </w:r>
          </w:p>
          <w:p w14:paraId="157C4E5A" w14:textId="77777777" w:rsidR="004E76D0" w:rsidRPr="00184B8E" w:rsidRDefault="004E76D0" w:rsidP="0021739F">
            <w:pPr>
              <w:spacing w:after="0" w:line="240" w:lineRule="auto"/>
              <w:ind w:left="360" w:right="-20"/>
              <w:rPr>
                <w:rFonts w:ascii="Arial" w:eastAsia="Times New Roman" w:hAnsi="Arial" w:cs="Arial"/>
              </w:rPr>
            </w:pPr>
          </w:p>
          <w:p w14:paraId="5CD68412" w14:textId="77777777" w:rsidR="004E76D0" w:rsidRPr="00184B8E" w:rsidRDefault="004E76D0" w:rsidP="0021739F">
            <w:pPr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 xml:space="preserve">Adjustment for goodwill / other intangibles </w:t>
            </w:r>
            <w:r w:rsidR="008C6111" w:rsidRPr="00184B8E">
              <w:rPr>
                <w:rFonts w:ascii="Arial" w:eastAsia="Times New Roman" w:hAnsi="Arial" w:cs="Arial"/>
              </w:rPr>
              <w:t xml:space="preserve">– </w:t>
            </w:r>
            <w:r w:rsidRPr="00184B8E">
              <w:rPr>
                <w:rFonts w:ascii="Arial" w:eastAsia="Times New Roman" w:hAnsi="Arial" w:cs="Arial"/>
              </w:rPr>
              <w:t>total amount only.</w:t>
            </w:r>
          </w:p>
          <w:p w14:paraId="2C959B47" w14:textId="77777777" w:rsidR="004E76D0" w:rsidRPr="00184B8E" w:rsidRDefault="004E76D0" w:rsidP="0021739F">
            <w:pPr>
              <w:spacing w:after="0" w:line="240" w:lineRule="auto"/>
              <w:ind w:left="360" w:right="-20"/>
              <w:rPr>
                <w:rFonts w:ascii="Arial" w:eastAsia="Times New Roman" w:hAnsi="Arial" w:cs="Arial"/>
              </w:rPr>
            </w:pPr>
          </w:p>
          <w:p w14:paraId="0272CC7C" w14:textId="77777777" w:rsidR="004E76D0" w:rsidRPr="00184B8E" w:rsidRDefault="004E76D0" w:rsidP="0021739F">
            <w:pPr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 xml:space="preserve">Regulatory capital requirement </w:t>
            </w:r>
            <w:r w:rsidR="008C6111" w:rsidRPr="00184B8E">
              <w:rPr>
                <w:rFonts w:ascii="Arial" w:eastAsia="Times New Roman" w:hAnsi="Arial" w:cs="Arial"/>
              </w:rPr>
              <w:t xml:space="preserve">– </w:t>
            </w:r>
            <w:r w:rsidRPr="00184B8E">
              <w:rPr>
                <w:rFonts w:ascii="Arial" w:eastAsia="Times New Roman" w:hAnsi="Arial" w:cs="Arial"/>
              </w:rPr>
              <w:t>total amount only.</w:t>
            </w:r>
          </w:p>
          <w:p w14:paraId="091B74C9" w14:textId="77777777" w:rsidR="004E76D0" w:rsidRPr="00184B8E" w:rsidRDefault="004E76D0" w:rsidP="0021739F">
            <w:pPr>
              <w:spacing w:after="0" w:line="240" w:lineRule="auto"/>
              <w:ind w:left="360" w:right="-20"/>
              <w:rPr>
                <w:rFonts w:ascii="Arial" w:eastAsia="Times New Roman" w:hAnsi="Arial" w:cs="Arial"/>
              </w:rPr>
            </w:pPr>
          </w:p>
          <w:p w14:paraId="7D5BFE49" w14:textId="77777777" w:rsidR="004E76D0" w:rsidRPr="00184B8E" w:rsidRDefault="004E76D0" w:rsidP="0021739F">
            <w:pPr>
              <w:numPr>
                <w:ilvl w:val="0"/>
                <w:numId w:val="6"/>
              </w:numPr>
              <w:spacing w:after="0" w:line="240" w:lineRule="auto"/>
              <w:ind w:left="284" w:right="-20" w:firstLine="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 xml:space="preserve">Adjustment for regulatory capital requirement </w:t>
            </w:r>
            <w:r w:rsidR="000E1BAC" w:rsidRPr="00184B8E">
              <w:rPr>
                <w:rFonts w:ascii="Arial" w:eastAsia="Times New Roman" w:hAnsi="Arial" w:cs="Arial"/>
              </w:rPr>
              <w:t xml:space="preserve">– </w:t>
            </w:r>
            <w:r w:rsidRPr="00184B8E">
              <w:rPr>
                <w:rFonts w:ascii="Arial" w:eastAsia="Times New Roman" w:hAnsi="Arial" w:cs="Arial"/>
              </w:rPr>
              <w:t>total amount only.</w:t>
            </w:r>
          </w:p>
          <w:p w14:paraId="4D37415A" w14:textId="77777777" w:rsidR="004E76D0" w:rsidRPr="00184B8E" w:rsidRDefault="004E76D0" w:rsidP="0021739F">
            <w:p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</w:p>
          <w:p w14:paraId="5BD2FA94" w14:textId="77777777" w:rsidR="00441416" w:rsidRPr="00184B8E" w:rsidRDefault="00441416" w:rsidP="0021739F">
            <w:p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Section 2: Other related party exposures</w:t>
            </w:r>
          </w:p>
          <w:p w14:paraId="47E3D449" w14:textId="77777777" w:rsidR="00441416" w:rsidRPr="00184B8E" w:rsidRDefault="00441416" w:rsidP="0021739F">
            <w:p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</w:p>
          <w:p w14:paraId="4B7F7856" w14:textId="0568F002" w:rsidR="004E76D0" w:rsidRPr="00184B8E" w:rsidRDefault="00441416" w:rsidP="0021739F">
            <w:pPr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ind w:left="284" w:right="-20" w:firstLine="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Fair value of exposure – total amount only</w:t>
            </w:r>
          </w:p>
          <w:p w14:paraId="7438553A" w14:textId="77777777" w:rsidR="004E76D0" w:rsidRPr="00184B8E" w:rsidRDefault="004E76D0" w:rsidP="0021739F">
            <w:p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14:paraId="302A980B" w14:textId="3D730886" w:rsidR="004E76D0" w:rsidRPr="00184B8E" w:rsidRDefault="005A52D7" w:rsidP="0021739F">
            <w:pPr>
              <w:spacing w:after="0" w:line="240" w:lineRule="auto"/>
              <w:ind w:left="100" w:right="-20"/>
              <w:rPr>
                <w:rFonts w:ascii="Arial" w:eastAsia="Times New Roman" w:hAnsi="Arial" w:cs="Arial"/>
              </w:rPr>
            </w:pPr>
            <w:hyperlink r:id="rId15" w:history="1">
              <w:r w:rsidR="004E76D0" w:rsidRPr="00184B8E">
                <w:rPr>
                  <w:rFonts w:ascii="Arial" w:eastAsia="Times New Roman" w:hAnsi="Arial" w:cs="Arial"/>
                </w:rPr>
                <w:t>LRS 112.3 Related</w:t>
              </w:r>
            </w:hyperlink>
            <w:r w:rsidR="004E76D0" w:rsidRPr="00184B8E">
              <w:rPr>
                <w:rFonts w:ascii="Arial" w:eastAsia="Times New Roman" w:hAnsi="Arial" w:cs="Arial"/>
              </w:rPr>
              <w:t xml:space="preserve"> Party Exposures </w:t>
            </w:r>
          </w:p>
        </w:tc>
      </w:tr>
      <w:tr w:rsidR="004E76D0" w:rsidRPr="00184B8E" w14:paraId="549DC696" w14:textId="77777777" w:rsidTr="00724FED">
        <w:trPr>
          <w:trHeight w:val="551"/>
        </w:trPr>
        <w:tc>
          <w:tcPr>
            <w:tcW w:w="4679" w:type="dxa"/>
            <w:shd w:val="clear" w:color="auto" w:fill="auto"/>
          </w:tcPr>
          <w:p w14:paraId="40A6ED6B" w14:textId="77777777" w:rsidR="004E76D0" w:rsidRPr="00184B8E" w:rsidRDefault="00580674" w:rsidP="00A05391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LRF 114.</w:t>
            </w:r>
            <w:r w:rsidR="004E76D0" w:rsidRPr="00184B8E">
              <w:rPr>
                <w:rFonts w:ascii="Arial" w:eastAsia="Times New Roman" w:hAnsi="Arial" w:cs="Arial"/>
              </w:rPr>
              <w:t>0: Asset Risk Charge</w:t>
            </w:r>
          </w:p>
          <w:p w14:paraId="5EEEE6BB" w14:textId="77777777" w:rsidR="004E76D0" w:rsidRPr="00184B8E" w:rsidRDefault="004E76D0" w:rsidP="00A05391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  <w:p w14:paraId="0E166B01" w14:textId="77777777" w:rsidR="004E76D0" w:rsidRPr="00184B8E" w:rsidRDefault="004E76D0" w:rsidP="00A05391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Section 1: Asset risk charge calculation</w:t>
            </w:r>
          </w:p>
          <w:p w14:paraId="0D13BB64" w14:textId="77777777" w:rsidR="004E76D0" w:rsidRPr="00184B8E" w:rsidRDefault="004E76D0" w:rsidP="00A05391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  <w:p w14:paraId="49089D61" w14:textId="77777777" w:rsidR="004E76D0" w:rsidRPr="00184B8E" w:rsidRDefault="004E76D0" w:rsidP="00A532F3">
            <w:pPr>
              <w:pStyle w:val="ListParagraph"/>
              <w:numPr>
                <w:ilvl w:val="0"/>
                <w:numId w:val="28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1. Total assets – all data items</w:t>
            </w:r>
          </w:p>
          <w:p w14:paraId="6A8A78F6" w14:textId="77777777" w:rsidR="002133F4" w:rsidRPr="00184B8E" w:rsidRDefault="002133F4" w:rsidP="002133F4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  <w:p w14:paraId="5D4F76B1" w14:textId="77777777" w:rsidR="004E76D0" w:rsidRPr="00184B8E" w:rsidRDefault="004E76D0" w:rsidP="00A532F3">
            <w:pPr>
              <w:pStyle w:val="ListParagraph"/>
              <w:numPr>
                <w:ilvl w:val="0"/>
                <w:numId w:val="28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2. Total liabilities – all data items</w:t>
            </w:r>
          </w:p>
          <w:p w14:paraId="4C8951C5" w14:textId="77777777" w:rsidR="002133F4" w:rsidRPr="00184B8E" w:rsidRDefault="002133F4" w:rsidP="002133F4">
            <w:pPr>
              <w:pStyle w:val="ListParagraph"/>
              <w:rPr>
                <w:rFonts w:ascii="Arial" w:eastAsia="Times New Roman" w:hAnsi="Arial" w:cs="Arial"/>
              </w:rPr>
            </w:pPr>
          </w:p>
          <w:p w14:paraId="4B12DADE" w14:textId="77777777" w:rsidR="004E76D0" w:rsidRPr="00184B8E" w:rsidRDefault="00D20533" w:rsidP="00A532F3">
            <w:pPr>
              <w:pStyle w:val="ListParagraph"/>
              <w:numPr>
                <w:ilvl w:val="0"/>
                <w:numId w:val="28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 xml:space="preserve"> </w:t>
            </w:r>
            <w:r w:rsidR="004E76D0" w:rsidRPr="00184B8E">
              <w:rPr>
                <w:rFonts w:ascii="Arial" w:eastAsia="Times New Roman" w:hAnsi="Arial" w:cs="Arial"/>
              </w:rPr>
              <w:t>3. Liability adjustments – all data items</w:t>
            </w:r>
          </w:p>
          <w:p w14:paraId="2D634A7F" w14:textId="77777777" w:rsidR="002133F4" w:rsidRPr="00184B8E" w:rsidRDefault="002133F4" w:rsidP="002133F4">
            <w:pPr>
              <w:pStyle w:val="ListParagraph"/>
              <w:rPr>
                <w:rFonts w:ascii="Arial" w:eastAsia="Times New Roman" w:hAnsi="Arial" w:cs="Arial"/>
              </w:rPr>
            </w:pPr>
          </w:p>
          <w:p w14:paraId="552DA76D" w14:textId="77777777" w:rsidR="004E76D0" w:rsidRPr="00184B8E" w:rsidRDefault="00D20533" w:rsidP="00A532F3">
            <w:pPr>
              <w:pStyle w:val="ListParagraph"/>
              <w:numPr>
                <w:ilvl w:val="0"/>
                <w:numId w:val="28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 xml:space="preserve"> </w:t>
            </w:r>
            <w:r w:rsidR="004E76D0" w:rsidRPr="00184B8E">
              <w:rPr>
                <w:rFonts w:ascii="Arial" w:eastAsia="Times New Roman" w:hAnsi="Arial" w:cs="Arial"/>
              </w:rPr>
              <w:t>4.</w:t>
            </w:r>
            <w:r w:rsidRPr="00184B8E">
              <w:rPr>
                <w:rFonts w:ascii="Arial" w:eastAsia="Times New Roman" w:hAnsi="Arial" w:cs="Arial"/>
              </w:rPr>
              <w:t xml:space="preserve"> </w:t>
            </w:r>
            <w:r w:rsidR="004E76D0" w:rsidRPr="00184B8E">
              <w:rPr>
                <w:rFonts w:ascii="Arial" w:eastAsia="Times New Roman" w:hAnsi="Arial" w:cs="Arial"/>
              </w:rPr>
              <w:t>Off</w:t>
            </w:r>
            <w:r w:rsidR="00E34284" w:rsidRPr="00184B8E">
              <w:rPr>
                <w:rFonts w:ascii="Arial" w:eastAsia="Times New Roman" w:hAnsi="Arial" w:cs="Arial"/>
              </w:rPr>
              <w:t>-</w:t>
            </w:r>
            <w:r w:rsidR="004E76D0" w:rsidRPr="00184B8E">
              <w:rPr>
                <w:rFonts w:ascii="Arial" w:eastAsia="Times New Roman" w:hAnsi="Arial" w:cs="Arial"/>
              </w:rPr>
              <w:t>balance sheet exposures – all data items</w:t>
            </w:r>
          </w:p>
          <w:p w14:paraId="537CF0C4" w14:textId="77777777" w:rsidR="002133F4" w:rsidRPr="00184B8E" w:rsidRDefault="002133F4" w:rsidP="002133F4">
            <w:pPr>
              <w:pStyle w:val="ListParagraph"/>
              <w:rPr>
                <w:rFonts w:ascii="Arial" w:eastAsia="Times New Roman" w:hAnsi="Arial" w:cs="Arial"/>
              </w:rPr>
            </w:pPr>
          </w:p>
          <w:p w14:paraId="7B2D65D1" w14:textId="77777777" w:rsidR="004E76D0" w:rsidRPr="00184B8E" w:rsidRDefault="004E76D0" w:rsidP="00A532F3">
            <w:pPr>
              <w:pStyle w:val="ListParagraph"/>
              <w:numPr>
                <w:ilvl w:val="0"/>
                <w:numId w:val="28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5. Impact on capital base – all data items</w:t>
            </w:r>
          </w:p>
          <w:p w14:paraId="17A8023B" w14:textId="77777777" w:rsidR="002133F4" w:rsidRPr="00184B8E" w:rsidRDefault="002133F4" w:rsidP="002133F4">
            <w:pPr>
              <w:pStyle w:val="ListParagraph"/>
              <w:rPr>
                <w:rFonts w:ascii="Arial" w:eastAsia="Times New Roman" w:hAnsi="Arial" w:cs="Arial"/>
              </w:rPr>
            </w:pPr>
          </w:p>
          <w:p w14:paraId="236A5C4A" w14:textId="77777777" w:rsidR="004E76D0" w:rsidRPr="00184B8E" w:rsidRDefault="00D20533" w:rsidP="00A532F3">
            <w:pPr>
              <w:pStyle w:val="ListParagraph"/>
              <w:numPr>
                <w:ilvl w:val="0"/>
                <w:numId w:val="28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 xml:space="preserve"> </w:t>
            </w:r>
            <w:r w:rsidR="004E76D0" w:rsidRPr="00184B8E">
              <w:rPr>
                <w:rFonts w:ascii="Arial" w:eastAsia="Times New Roman" w:hAnsi="Arial" w:cs="Arial"/>
              </w:rPr>
              <w:t>6. Risk charge components – all data items</w:t>
            </w:r>
          </w:p>
          <w:p w14:paraId="426347F8" w14:textId="77777777" w:rsidR="002133F4" w:rsidRPr="00184B8E" w:rsidRDefault="002133F4" w:rsidP="002133F4">
            <w:pPr>
              <w:pStyle w:val="ListParagraph"/>
              <w:rPr>
                <w:rFonts w:ascii="Arial" w:eastAsia="Times New Roman" w:hAnsi="Arial" w:cs="Arial"/>
              </w:rPr>
            </w:pPr>
          </w:p>
          <w:p w14:paraId="75CCBAB3" w14:textId="77777777" w:rsidR="004E76D0" w:rsidRPr="00184B8E" w:rsidRDefault="004E76D0" w:rsidP="00A532F3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</w:tabs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7. Aggregated risk charge component – all data items</w:t>
            </w:r>
          </w:p>
          <w:p w14:paraId="4A235B6A" w14:textId="77777777" w:rsidR="002133F4" w:rsidRPr="00184B8E" w:rsidRDefault="002133F4" w:rsidP="002133F4">
            <w:pPr>
              <w:pStyle w:val="ListParagraph"/>
              <w:rPr>
                <w:rFonts w:ascii="Arial" w:eastAsia="Times New Roman" w:hAnsi="Arial" w:cs="Arial"/>
              </w:rPr>
            </w:pPr>
          </w:p>
          <w:p w14:paraId="4976CB0C" w14:textId="77777777" w:rsidR="004E76D0" w:rsidRPr="00184B8E" w:rsidRDefault="00D20533" w:rsidP="00A532F3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</w:tabs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 xml:space="preserve"> </w:t>
            </w:r>
            <w:r w:rsidR="004E76D0" w:rsidRPr="00184B8E">
              <w:rPr>
                <w:rFonts w:ascii="Arial" w:eastAsia="Times New Roman" w:hAnsi="Arial" w:cs="Arial"/>
              </w:rPr>
              <w:t>8. Adjustments to asset risk charge as approved by APRA – total amount only</w:t>
            </w:r>
          </w:p>
          <w:p w14:paraId="6D586785" w14:textId="77777777" w:rsidR="002133F4" w:rsidRPr="00184B8E" w:rsidRDefault="002133F4" w:rsidP="002133F4">
            <w:pPr>
              <w:pStyle w:val="ListParagraph"/>
              <w:rPr>
                <w:rFonts w:ascii="Arial" w:eastAsia="Times New Roman" w:hAnsi="Arial" w:cs="Arial"/>
              </w:rPr>
            </w:pPr>
          </w:p>
          <w:p w14:paraId="73884330" w14:textId="77777777" w:rsidR="004E76D0" w:rsidRPr="00184B8E" w:rsidRDefault="00D20533" w:rsidP="00A532F3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</w:tabs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 xml:space="preserve"> </w:t>
            </w:r>
            <w:r w:rsidR="004E76D0" w:rsidRPr="00184B8E">
              <w:rPr>
                <w:rFonts w:ascii="Arial" w:eastAsia="Times New Roman" w:hAnsi="Arial" w:cs="Arial"/>
              </w:rPr>
              <w:t>9. Asset risk charge</w:t>
            </w:r>
          </w:p>
          <w:p w14:paraId="4D867B9A" w14:textId="77777777" w:rsidR="004E76D0" w:rsidRPr="00184B8E" w:rsidRDefault="004E76D0" w:rsidP="00A532F3">
            <w:pPr>
              <w:tabs>
                <w:tab w:val="left" w:pos="851"/>
              </w:tabs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  <w:p w14:paraId="3B40A3D4" w14:textId="77777777" w:rsidR="004E76D0" w:rsidRPr="00184B8E" w:rsidRDefault="004E76D0" w:rsidP="00A532F3">
            <w:pPr>
              <w:tabs>
                <w:tab w:val="left" w:pos="851"/>
              </w:tabs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 xml:space="preserve">Section 2: Additional information </w:t>
            </w:r>
            <w:r w:rsidR="000E1BAC" w:rsidRPr="00184B8E">
              <w:rPr>
                <w:rFonts w:ascii="Arial" w:eastAsia="Times New Roman" w:hAnsi="Arial" w:cs="Arial"/>
              </w:rPr>
              <w:t>–</w:t>
            </w:r>
            <w:r w:rsidR="00E34284" w:rsidRPr="00184B8E">
              <w:rPr>
                <w:rFonts w:ascii="Arial" w:eastAsia="Times New Roman" w:hAnsi="Arial" w:cs="Arial"/>
              </w:rPr>
              <w:t xml:space="preserve"> </w:t>
            </w:r>
            <w:r w:rsidRPr="00184B8E">
              <w:rPr>
                <w:rFonts w:ascii="Arial" w:eastAsia="Times New Roman" w:hAnsi="Arial" w:cs="Arial"/>
              </w:rPr>
              <w:t>Asset risk charge – all data items</w:t>
            </w:r>
          </w:p>
          <w:p w14:paraId="39D9D089" w14:textId="77777777" w:rsidR="004E76D0" w:rsidRPr="00184B8E" w:rsidRDefault="004E76D0" w:rsidP="00A05391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14:paraId="7421ED69" w14:textId="011AE25D" w:rsidR="004E76D0" w:rsidRPr="00184B8E" w:rsidRDefault="004E76D0" w:rsidP="00575390">
            <w:pPr>
              <w:spacing w:after="0" w:line="240" w:lineRule="auto"/>
              <w:ind w:left="100" w:right="-20"/>
              <w:rPr>
                <w:rFonts w:ascii="Arial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lastRenderedPageBreak/>
              <w:t xml:space="preserve">LRS 114.0 Asset Risk Charge </w:t>
            </w:r>
          </w:p>
        </w:tc>
      </w:tr>
      <w:tr w:rsidR="004E76D0" w:rsidRPr="00184B8E" w14:paraId="185C792F" w14:textId="77777777" w:rsidTr="00724FED">
        <w:trPr>
          <w:trHeight w:val="551"/>
        </w:trPr>
        <w:tc>
          <w:tcPr>
            <w:tcW w:w="4679" w:type="dxa"/>
            <w:shd w:val="clear" w:color="auto" w:fill="auto"/>
          </w:tcPr>
          <w:p w14:paraId="43D842A2" w14:textId="77777777" w:rsidR="004E76D0" w:rsidRPr="00184B8E" w:rsidRDefault="00580674" w:rsidP="004E76D0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LRF 115.</w:t>
            </w:r>
            <w:r w:rsidR="004E76D0" w:rsidRPr="00184B8E">
              <w:rPr>
                <w:rFonts w:ascii="Arial" w:eastAsia="Times New Roman" w:hAnsi="Arial" w:cs="Arial"/>
              </w:rPr>
              <w:t>0 Insurance Risk Charge</w:t>
            </w:r>
            <w:r w:rsidR="00CE743D" w:rsidRPr="00184B8E">
              <w:rPr>
                <w:rFonts w:ascii="Arial" w:eastAsia="Times New Roman" w:hAnsi="Arial" w:cs="Arial"/>
              </w:rPr>
              <w:t xml:space="preserve"> (SF)</w:t>
            </w:r>
          </w:p>
          <w:p w14:paraId="5A810808" w14:textId="77777777" w:rsidR="004E76D0" w:rsidRPr="00184B8E" w:rsidRDefault="004E76D0" w:rsidP="004E76D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231E0A2D" w14:textId="77777777" w:rsidR="004E76D0" w:rsidRPr="00184B8E" w:rsidRDefault="004E76D0" w:rsidP="004E76D0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Section 1: Insurance risk charge calculation</w:t>
            </w:r>
          </w:p>
          <w:p w14:paraId="52793012" w14:textId="77777777" w:rsidR="004E76D0" w:rsidRPr="00184B8E" w:rsidRDefault="004E76D0" w:rsidP="004E76D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0E360692" w14:textId="77777777" w:rsidR="004E76D0" w:rsidRPr="00184B8E" w:rsidRDefault="00232EBD" w:rsidP="00232EBD">
            <w:pPr>
              <w:pStyle w:val="ListParagraph"/>
              <w:numPr>
                <w:ilvl w:val="0"/>
                <w:numId w:val="29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 xml:space="preserve">1. </w:t>
            </w:r>
            <w:r w:rsidR="004E76D0" w:rsidRPr="00184B8E">
              <w:rPr>
                <w:rFonts w:ascii="Arial" w:eastAsia="Times New Roman" w:hAnsi="Arial" w:cs="Arial"/>
              </w:rPr>
              <w:t>Fund TOTAL: Stressed policy liabilities</w:t>
            </w:r>
            <w:r w:rsidRPr="00184B8E">
              <w:rPr>
                <w:rFonts w:ascii="Arial" w:eastAsia="Times New Roman" w:hAnsi="Arial" w:cs="Arial"/>
              </w:rPr>
              <w:t xml:space="preserve"> – all </w:t>
            </w:r>
            <w:r w:rsidR="00466BB0" w:rsidRPr="00184B8E">
              <w:rPr>
                <w:rFonts w:ascii="Arial" w:eastAsia="Times New Roman" w:hAnsi="Arial" w:cs="Arial"/>
              </w:rPr>
              <w:t>data items</w:t>
            </w:r>
          </w:p>
          <w:p w14:paraId="49A6D552" w14:textId="77777777" w:rsidR="00466BB0" w:rsidRPr="00184B8E" w:rsidRDefault="00466BB0" w:rsidP="00466BB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2052932B" w14:textId="77777777" w:rsidR="00232EBD" w:rsidRPr="00184B8E" w:rsidRDefault="00232EBD" w:rsidP="00232EBD">
            <w:pPr>
              <w:pStyle w:val="ListParagraph"/>
              <w:numPr>
                <w:ilvl w:val="0"/>
                <w:numId w:val="29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2. Fund TOTAL: Adjusted policy liabilities – all data items</w:t>
            </w:r>
          </w:p>
          <w:p w14:paraId="1AE48D13" w14:textId="77777777" w:rsidR="00466BB0" w:rsidRPr="00184B8E" w:rsidRDefault="00466BB0" w:rsidP="00466BB0">
            <w:pPr>
              <w:pStyle w:val="ListParagraph"/>
              <w:rPr>
                <w:rFonts w:ascii="Arial" w:eastAsia="Times New Roman" w:hAnsi="Arial" w:cs="Arial"/>
              </w:rPr>
            </w:pPr>
          </w:p>
          <w:p w14:paraId="4D04CB12" w14:textId="77777777" w:rsidR="00232EBD" w:rsidRPr="00184B8E" w:rsidRDefault="00232EBD" w:rsidP="00232EBD">
            <w:pPr>
              <w:pStyle w:val="ListParagraph"/>
              <w:numPr>
                <w:ilvl w:val="0"/>
                <w:numId w:val="29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 xml:space="preserve"> 3. Fund TOTAL: Stress impact on adjusted policy liabilities</w:t>
            </w:r>
          </w:p>
          <w:p w14:paraId="4BEF6215" w14:textId="77777777" w:rsidR="00466BB0" w:rsidRPr="00184B8E" w:rsidRDefault="00466BB0" w:rsidP="00466BB0">
            <w:pPr>
              <w:pStyle w:val="ListParagraph"/>
              <w:rPr>
                <w:rFonts w:ascii="Arial" w:eastAsia="Times New Roman" w:hAnsi="Arial" w:cs="Arial"/>
              </w:rPr>
            </w:pPr>
          </w:p>
          <w:p w14:paraId="399292BA" w14:textId="77777777" w:rsidR="00232EBD" w:rsidRPr="00184B8E" w:rsidRDefault="00232EBD" w:rsidP="00232EBD">
            <w:pPr>
              <w:pStyle w:val="ListParagraph"/>
              <w:numPr>
                <w:ilvl w:val="0"/>
                <w:numId w:val="29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 xml:space="preserve"> 4. Less: Tax benefits</w:t>
            </w:r>
          </w:p>
          <w:p w14:paraId="4713ADE8" w14:textId="77777777" w:rsidR="00466BB0" w:rsidRPr="00184B8E" w:rsidRDefault="00466BB0" w:rsidP="00466BB0">
            <w:pPr>
              <w:pStyle w:val="ListParagraph"/>
              <w:rPr>
                <w:rFonts w:ascii="Arial" w:eastAsia="Times New Roman" w:hAnsi="Arial" w:cs="Arial"/>
              </w:rPr>
            </w:pPr>
          </w:p>
          <w:p w14:paraId="590369EF" w14:textId="77777777" w:rsidR="00232EBD" w:rsidRPr="00184B8E" w:rsidRDefault="00232EBD" w:rsidP="00232EBD">
            <w:pPr>
              <w:pStyle w:val="ListParagraph"/>
              <w:numPr>
                <w:ilvl w:val="0"/>
                <w:numId w:val="29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5. Adjustments to insurance risk charge as approved by APRA – total amount only</w:t>
            </w:r>
          </w:p>
          <w:p w14:paraId="7303C8B1" w14:textId="77777777" w:rsidR="00466BB0" w:rsidRPr="00184B8E" w:rsidRDefault="00466BB0" w:rsidP="00466BB0">
            <w:pPr>
              <w:pStyle w:val="ListParagraph"/>
              <w:rPr>
                <w:rFonts w:ascii="Arial" w:eastAsia="Times New Roman" w:hAnsi="Arial" w:cs="Arial"/>
              </w:rPr>
            </w:pPr>
          </w:p>
          <w:p w14:paraId="73372A74" w14:textId="77777777" w:rsidR="00232EBD" w:rsidRPr="00184B8E" w:rsidRDefault="00232EBD" w:rsidP="00232EBD">
            <w:pPr>
              <w:pStyle w:val="ListParagraph"/>
              <w:numPr>
                <w:ilvl w:val="0"/>
                <w:numId w:val="29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 xml:space="preserve"> 6. Insurance risk charge</w:t>
            </w:r>
          </w:p>
          <w:p w14:paraId="7DE4D701" w14:textId="77777777" w:rsidR="004E76D0" w:rsidRPr="00184B8E" w:rsidRDefault="004E76D0" w:rsidP="00184B8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14:paraId="4F194AEE" w14:textId="39F78707" w:rsidR="004E76D0" w:rsidRPr="00184B8E" w:rsidRDefault="004E76D0" w:rsidP="00575390">
            <w:pPr>
              <w:spacing w:after="0" w:line="240" w:lineRule="auto"/>
              <w:ind w:left="100"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LRS 115.0 Insurance Risk Charge</w:t>
            </w:r>
          </w:p>
        </w:tc>
      </w:tr>
      <w:tr w:rsidR="00CE743D" w:rsidRPr="00184B8E" w14:paraId="66380879" w14:textId="77777777" w:rsidTr="00184B8E">
        <w:trPr>
          <w:trHeight w:val="606"/>
        </w:trPr>
        <w:tc>
          <w:tcPr>
            <w:tcW w:w="4679" w:type="dxa"/>
            <w:shd w:val="clear" w:color="auto" w:fill="auto"/>
          </w:tcPr>
          <w:p w14:paraId="2EA1C90E" w14:textId="77777777" w:rsidR="00CE743D" w:rsidRPr="00184B8E" w:rsidRDefault="00580674" w:rsidP="00CE743D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LRF 115.</w:t>
            </w:r>
            <w:r w:rsidR="00CE743D" w:rsidRPr="00184B8E">
              <w:rPr>
                <w:rFonts w:ascii="Arial" w:eastAsia="Times New Roman" w:hAnsi="Arial" w:cs="Arial"/>
              </w:rPr>
              <w:t>1 Insurance Risk Charge (GF)</w:t>
            </w:r>
          </w:p>
          <w:p w14:paraId="0FAAF4C8" w14:textId="77777777" w:rsidR="00CE743D" w:rsidRPr="00184B8E" w:rsidRDefault="00CE743D" w:rsidP="00C174D7">
            <w:p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</w:p>
          <w:p w14:paraId="2C7D5634" w14:textId="77777777" w:rsidR="00CE743D" w:rsidRPr="00184B8E" w:rsidRDefault="00CE743D" w:rsidP="00CE743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1. Expected management fees (net of any assumed reduction shown in 1.1) – all data items</w:t>
            </w:r>
          </w:p>
          <w:p w14:paraId="5F60CF8C" w14:textId="77777777" w:rsidR="00466BB0" w:rsidRPr="00184B8E" w:rsidRDefault="00466BB0" w:rsidP="00466BB0">
            <w:p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</w:p>
          <w:p w14:paraId="200712B7" w14:textId="77777777" w:rsidR="00CE743D" w:rsidRPr="00184B8E" w:rsidRDefault="00CE743D" w:rsidP="00CE743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2. Expected servicing expenses</w:t>
            </w:r>
          </w:p>
          <w:p w14:paraId="4A65BCB0" w14:textId="77777777" w:rsidR="00466BB0" w:rsidRPr="00184B8E" w:rsidRDefault="00466BB0" w:rsidP="00466BB0">
            <w:pPr>
              <w:pStyle w:val="ListParagraph"/>
              <w:rPr>
                <w:rFonts w:ascii="Arial" w:eastAsia="Times New Roman" w:hAnsi="Arial" w:cs="Arial"/>
              </w:rPr>
            </w:pPr>
          </w:p>
          <w:p w14:paraId="3C048D58" w14:textId="77777777" w:rsidR="006154E2" w:rsidRPr="00184B8E" w:rsidRDefault="006154E2" w:rsidP="006154E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 xml:space="preserve"> 3. Expected deficiency (before prescribed multiplier)</w:t>
            </w:r>
          </w:p>
          <w:p w14:paraId="15AF47E8" w14:textId="77777777" w:rsidR="00466BB0" w:rsidRPr="00184B8E" w:rsidRDefault="00466BB0" w:rsidP="00466BB0">
            <w:pPr>
              <w:pStyle w:val="ListParagraph"/>
              <w:rPr>
                <w:rFonts w:ascii="Arial" w:eastAsia="Times New Roman" w:hAnsi="Arial" w:cs="Arial"/>
              </w:rPr>
            </w:pPr>
          </w:p>
          <w:p w14:paraId="00664815" w14:textId="77777777" w:rsidR="006154E2" w:rsidRPr="00184B8E" w:rsidRDefault="006154E2" w:rsidP="006154E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 xml:space="preserve"> 4. Additional deficiency from prescribed servicing expense stress</w:t>
            </w:r>
          </w:p>
          <w:p w14:paraId="6EE7F4F7" w14:textId="77777777" w:rsidR="00466BB0" w:rsidRPr="00184B8E" w:rsidRDefault="00466BB0" w:rsidP="00466BB0">
            <w:pPr>
              <w:pStyle w:val="ListParagraph"/>
              <w:rPr>
                <w:rFonts w:ascii="Arial" w:eastAsia="Times New Roman" w:hAnsi="Arial" w:cs="Arial"/>
              </w:rPr>
            </w:pPr>
          </w:p>
          <w:p w14:paraId="53AD8F6F" w14:textId="77777777" w:rsidR="006154E2" w:rsidRPr="00184B8E" w:rsidRDefault="006154E2" w:rsidP="006154E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5. Expected deficiency (post prescribed multiplier)</w:t>
            </w:r>
          </w:p>
          <w:p w14:paraId="4464662C" w14:textId="77777777" w:rsidR="00466BB0" w:rsidRPr="00184B8E" w:rsidRDefault="00466BB0" w:rsidP="00466BB0">
            <w:pPr>
              <w:pStyle w:val="ListParagraph"/>
              <w:rPr>
                <w:rFonts w:ascii="Arial" w:eastAsia="Times New Roman" w:hAnsi="Arial" w:cs="Arial"/>
              </w:rPr>
            </w:pPr>
          </w:p>
          <w:p w14:paraId="5AB07F73" w14:textId="77777777" w:rsidR="006154E2" w:rsidRPr="00184B8E" w:rsidRDefault="00D20533" w:rsidP="006154E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 xml:space="preserve"> </w:t>
            </w:r>
            <w:r w:rsidR="006154E2" w:rsidRPr="00184B8E">
              <w:rPr>
                <w:rFonts w:ascii="Arial" w:eastAsia="Times New Roman" w:hAnsi="Arial" w:cs="Arial"/>
              </w:rPr>
              <w:t>6. Total servicing expense reserve</w:t>
            </w:r>
          </w:p>
          <w:p w14:paraId="401633F9" w14:textId="77777777" w:rsidR="00466BB0" w:rsidRPr="00184B8E" w:rsidRDefault="00466BB0" w:rsidP="00466BB0">
            <w:pPr>
              <w:pStyle w:val="ListParagraph"/>
              <w:rPr>
                <w:rFonts w:ascii="Arial" w:eastAsia="Times New Roman" w:hAnsi="Arial" w:cs="Arial"/>
              </w:rPr>
            </w:pPr>
          </w:p>
          <w:p w14:paraId="2ED49F17" w14:textId="77777777" w:rsidR="006154E2" w:rsidRPr="00184B8E" w:rsidRDefault="006154E2" w:rsidP="006154E2">
            <w:pPr>
              <w:pStyle w:val="ListParagraph"/>
              <w:numPr>
                <w:ilvl w:val="0"/>
                <w:numId w:val="30"/>
              </w:numPr>
              <w:tabs>
                <w:tab w:val="left" w:pos="851"/>
              </w:tabs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7. Less: Tax benefits</w:t>
            </w:r>
          </w:p>
          <w:p w14:paraId="2DE801B5" w14:textId="77777777" w:rsidR="00466BB0" w:rsidRPr="00184B8E" w:rsidRDefault="00466BB0" w:rsidP="00466BB0">
            <w:pPr>
              <w:pStyle w:val="ListParagraph"/>
              <w:rPr>
                <w:rFonts w:ascii="Arial" w:eastAsia="Times New Roman" w:hAnsi="Arial" w:cs="Arial"/>
              </w:rPr>
            </w:pPr>
          </w:p>
          <w:p w14:paraId="38965A1E" w14:textId="77777777" w:rsidR="006154E2" w:rsidRPr="00184B8E" w:rsidRDefault="00D20533" w:rsidP="006154E2">
            <w:pPr>
              <w:pStyle w:val="ListParagraph"/>
              <w:numPr>
                <w:ilvl w:val="0"/>
                <w:numId w:val="30"/>
              </w:numPr>
              <w:tabs>
                <w:tab w:val="left" w:pos="851"/>
              </w:tabs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 xml:space="preserve"> </w:t>
            </w:r>
            <w:r w:rsidR="006154E2" w:rsidRPr="00184B8E">
              <w:rPr>
                <w:rFonts w:ascii="Arial" w:eastAsia="Times New Roman" w:hAnsi="Arial" w:cs="Arial"/>
              </w:rPr>
              <w:t>8. Adjustments to insurance risk charge as approved by APRA – total amount only</w:t>
            </w:r>
          </w:p>
          <w:p w14:paraId="7B0BF0CF" w14:textId="77777777" w:rsidR="00466BB0" w:rsidRPr="00184B8E" w:rsidRDefault="00466BB0" w:rsidP="00466BB0">
            <w:pPr>
              <w:pStyle w:val="ListParagraph"/>
              <w:rPr>
                <w:rFonts w:ascii="Arial" w:eastAsia="Times New Roman" w:hAnsi="Arial" w:cs="Arial"/>
              </w:rPr>
            </w:pPr>
          </w:p>
          <w:p w14:paraId="7F0E6618" w14:textId="2B924D1B" w:rsidR="00CE743D" w:rsidRPr="00184B8E" w:rsidRDefault="00D20533" w:rsidP="00C174D7">
            <w:pPr>
              <w:pStyle w:val="ListParagraph"/>
              <w:numPr>
                <w:ilvl w:val="0"/>
                <w:numId w:val="30"/>
              </w:numPr>
              <w:tabs>
                <w:tab w:val="left" w:pos="851"/>
              </w:tabs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lastRenderedPageBreak/>
              <w:t xml:space="preserve"> </w:t>
            </w:r>
            <w:r w:rsidR="006154E2" w:rsidRPr="00184B8E">
              <w:rPr>
                <w:rFonts w:ascii="Arial" w:eastAsia="Times New Roman" w:hAnsi="Arial" w:cs="Arial"/>
              </w:rPr>
              <w:t>9. Insurance risk charge</w:t>
            </w:r>
          </w:p>
        </w:tc>
        <w:tc>
          <w:tcPr>
            <w:tcW w:w="4677" w:type="dxa"/>
            <w:shd w:val="clear" w:color="auto" w:fill="auto"/>
          </w:tcPr>
          <w:p w14:paraId="666FB322" w14:textId="6803DFD9" w:rsidR="00CE743D" w:rsidRPr="00184B8E" w:rsidRDefault="00CE743D" w:rsidP="00DE3EF2">
            <w:pPr>
              <w:rPr>
                <w:rFonts w:ascii="Arial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lastRenderedPageBreak/>
              <w:t xml:space="preserve">LRS 115.0 Insurance Risk Charge </w:t>
            </w:r>
          </w:p>
        </w:tc>
      </w:tr>
      <w:tr w:rsidR="004E76D0" w:rsidRPr="00184B8E" w14:paraId="2AA6980F" w14:textId="77777777" w:rsidTr="00D64AD0">
        <w:tc>
          <w:tcPr>
            <w:tcW w:w="4679" w:type="dxa"/>
            <w:shd w:val="clear" w:color="auto" w:fill="auto"/>
          </w:tcPr>
          <w:p w14:paraId="0EAA0418" w14:textId="77777777" w:rsidR="004E76D0" w:rsidRPr="00184B8E" w:rsidRDefault="00580674" w:rsidP="00C174D7">
            <w:p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LRF 117.</w:t>
            </w:r>
            <w:r w:rsidR="004E76D0" w:rsidRPr="00184B8E">
              <w:rPr>
                <w:rFonts w:ascii="Arial" w:eastAsia="Times New Roman" w:hAnsi="Arial" w:cs="Arial"/>
              </w:rPr>
              <w:t>0: Asset Concentration Risk Charge</w:t>
            </w:r>
          </w:p>
          <w:p w14:paraId="2B6BC30B" w14:textId="77777777" w:rsidR="004E76D0" w:rsidRPr="00184B8E" w:rsidRDefault="004E76D0" w:rsidP="00C174D7">
            <w:p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</w:p>
          <w:p w14:paraId="60264AEB" w14:textId="77777777" w:rsidR="004E76D0" w:rsidRPr="00184B8E" w:rsidRDefault="00441416" w:rsidP="0044141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1.V</w:t>
            </w:r>
            <w:r w:rsidR="004E76D0" w:rsidRPr="00184B8E">
              <w:rPr>
                <w:rFonts w:ascii="Arial" w:eastAsia="Times New Roman" w:hAnsi="Arial" w:cs="Arial"/>
              </w:rPr>
              <w:t>alue of assets of the fund (VAF)</w:t>
            </w:r>
            <w:r w:rsidRPr="00184B8E">
              <w:rPr>
                <w:rFonts w:ascii="Arial" w:eastAsia="Times New Roman" w:hAnsi="Arial" w:cs="Arial"/>
              </w:rPr>
              <w:t xml:space="preserve"> – all data items</w:t>
            </w:r>
          </w:p>
          <w:p w14:paraId="381515FA" w14:textId="77777777" w:rsidR="004E76D0" w:rsidRPr="00184B8E" w:rsidRDefault="004E76D0" w:rsidP="00C174D7">
            <w:p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</w:p>
          <w:p w14:paraId="1BF8F449" w14:textId="77777777" w:rsidR="004E76D0" w:rsidRPr="00184B8E" w:rsidRDefault="004E76D0" w:rsidP="0044141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2. Capital base</w:t>
            </w:r>
          </w:p>
          <w:p w14:paraId="38C04D8A" w14:textId="77777777" w:rsidR="004E76D0" w:rsidRPr="00184B8E" w:rsidRDefault="004E76D0" w:rsidP="00AF161C">
            <w:pPr>
              <w:pStyle w:val="ListParagraph"/>
              <w:rPr>
                <w:rFonts w:ascii="Arial" w:eastAsia="Times New Roman" w:hAnsi="Arial" w:cs="Arial"/>
              </w:rPr>
            </w:pPr>
          </w:p>
          <w:p w14:paraId="6C8FF2FF" w14:textId="5B560EC8" w:rsidR="004E76D0" w:rsidRDefault="00130F19" w:rsidP="00184B8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3. Large Exposures and contributions to asset concentration risk charge –</w:t>
            </w:r>
            <w:r w:rsidR="00E34284" w:rsidRPr="00184B8E">
              <w:rPr>
                <w:rFonts w:ascii="Arial" w:eastAsia="Times New Roman" w:hAnsi="Arial" w:cs="Arial"/>
              </w:rPr>
              <w:t>Specialist reinsurer? (Y/N)</w:t>
            </w:r>
          </w:p>
          <w:p w14:paraId="0F81ECB2" w14:textId="77777777" w:rsidR="00184B8E" w:rsidRPr="00184B8E" w:rsidRDefault="00184B8E" w:rsidP="00184B8E">
            <w:p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</w:p>
          <w:p w14:paraId="696A0A95" w14:textId="77777777" w:rsidR="004E76D0" w:rsidRPr="00184B8E" w:rsidRDefault="004E76D0" w:rsidP="002F4FDF">
            <w:pPr>
              <w:spacing w:after="0" w:line="240" w:lineRule="auto"/>
              <w:ind w:left="284"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Section 3: Totals and risk charges</w:t>
            </w:r>
          </w:p>
          <w:p w14:paraId="2424F057" w14:textId="77777777" w:rsidR="004E76D0" w:rsidRPr="00184B8E" w:rsidRDefault="004E76D0" w:rsidP="002F4FDF">
            <w:pPr>
              <w:spacing w:after="0" w:line="240" w:lineRule="auto"/>
              <w:ind w:left="284" w:right="-20"/>
              <w:rPr>
                <w:rFonts w:ascii="Arial" w:eastAsia="Times New Roman" w:hAnsi="Arial" w:cs="Arial"/>
              </w:rPr>
            </w:pPr>
          </w:p>
          <w:p w14:paraId="3824F6E6" w14:textId="77777777" w:rsidR="004E76D0" w:rsidRPr="00184B8E" w:rsidRDefault="00D20533" w:rsidP="0044141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 xml:space="preserve"> </w:t>
            </w:r>
            <w:r w:rsidR="004E76D0" w:rsidRPr="00184B8E">
              <w:rPr>
                <w:rFonts w:ascii="Arial" w:eastAsia="Times New Roman" w:hAnsi="Arial" w:cs="Arial"/>
              </w:rPr>
              <w:t>4. Aggregate of excess exposures subjected to asset concentration risk charge</w:t>
            </w:r>
            <w:r w:rsidR="00441416" w:rsidRPr="00184B8E">
              <w:rPr>
                <w:rFonts w:ascii="Arial" w:eastAsia="Times New Roman" w:hAnsi="Arial" w:cs="Arial"/>
              </w:rPr>
              <w:t xml:space="preserve"> – all data items</w:t>
            </w:r>
          </w:p>
          <w:p w14:paraId="7D209F5B" w14:textId="77777777" w:rsidR="004E76D0" w:rsidRPr="00184B8E" w:rsidRDefault="004E76D0" w:rsidP="00675F33">
            <w:pPr>
              <w:spacing w:after="0" w:line="240" w:lineRule="auto"/>
              <w:ind w:left="284" w:right="-20"/>
              <w:rPr>
                <w:rFonts w:ascii="Arial" w:eastAsia="Times New Roman" w:hAnsi="Arial" w:cs="Arial"/>
              </w:rPr>
            </w:pPr>
          </w:p>
          <w:p w14:paraId="678E6309" w14:textId="77777777" w:rsidR="004E76D0" w:rsidRPr="00184B8E" w:rsidRDefault="004E76D0" w:rsidP="00AE08B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5. Adjustments to asset concentration risk charge as approved by APRA – total amount only.</w:t>
            </w:r>
          </w:p>
          <w:p w14:paraId="5C7A4F92" w14:textId="77777777" w:rsidR="004E76D0" w:rsidRPr="00184B8E" w:rsidRDefault="004E76D0" w:rsidP="00675F33">
            <w:pPr>
              <w:pStyle w:val="ListParagraph"/>
              <w:rPr>
                <w:rFonts w:ascii="Arial" w:eastAsia="Times New Roman" w:hAnsi="Arial" w:cs="Arial"/>
              </w:rPr>
            </w:pPr>
          </w:p>
          <w:p w14:paraId="5B4B852E" w14:textId="77777777" w:rsidR="004E76D0" w:rsidRPr="00184B8E" w:rsidRDefault="00D20533" w:rsidP="00AE08B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 xml:space="preserve"> </w:t>
            </w:r>
            <w:r w:rsidR="004E76D0" w:rsidRPr="00184B8E">
              <w:rPr>
                <w:rFonts w:ascii="Arial" w:eastAsia="Times New Roman" w:hAnsi="Arial" w:cs="Arial"/>
              </w:rPr>
              <w:t>6. Asset concentration risk charge</w:t>
            </w:r>
          </w:p>
          <w:p w14:paraId="7B411A30" w14:textId="77777777" w:rsidR="004E76D0" w:rsidRPr="00184B8E" w:rsidRDefault="004E76D0" w:rsidP="002F4FDF">
            <w:pPr>
              <w:spacing w:after="0" w:line="240" w:lineRule="auto"/>
              <w:ind w:left="284" w:right="-20"/>
              <w:rPr>
                <w:rFonts w:ascii="Arial" w:eastAsia="Times New Roman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14:paraId="0B969389" w14:textId="77AF6C88" w:rsidR="004E76D0" w:rsidRPr="00184B8E" w:rsidRDefault="005A52D7" w:rsidP="00DE3EF2">
            <w:pPr>
              <w:rPr>
                <w:rFonts w:ascii="Arial" w:hAnsi="Arial" w:cs="Arial"/>
              </w:rPr>
            </w:pPr>
            <w:hyperlink r:id="rId16" w:history="1">
              <w:r w:rsidR="004E76D0" w:rsidRPr="00184B8E">
                <w:rPr>
                  <w:rFonts w:ascii="Arial" w:eastAsia="Times New Roman" w:hAnsi="Arial" w:cs="Arial"/>
                </w:rPr>
                <w:t>LRS 117.0 Asset Concentration Risk Charge</w:t>
              </w:r>
            </w:hyperlink>
            <w:r w:rsidR="004E76D0" w:rsidRPr="00184B8E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A245A6" w:rsidRPr="00184B8E" w14:paraId="3DC94F1A" w14:textId="77777777" w:rsidTr="00D64AD0">
        <w:tc>
          <w:tcPr>
            <w:tcW w:w="4679" w:type="dxa"/>
            <w:shd w:val="clear" w:color="auto" w:fill="auto"/>
          </w:tcPr>
          <w:p w14:paraId="54242E25" w14:textId="77777777" w:rsidR="00A245A6" w:rsidRPr="00184B8E" w:rsidRDefault="00580674" w:rsidP="00A245A6">
            <w:p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 xml:space="preserve">LRF </w:t>
            </w:r>
            <w:r w:rsidR="00A245A6" w:rsidRPr="00184B8E">
              <w:rPr>
                <w:rFonts w:ascii="Arial" w:eastAsia="Times New Roman" w:hAnsi="Arial" w:cs="Arial"/>
              </w:rPr>
              <w:t>118</w:t>
            </w:r>
            <w:r w:rsidRPr="00184B8E">
              <w:rPr>
                <w:rFonts w:ascii="Arial" w:eastAsia="Times New Roman" w:hAnsi="Arial" w:cs="Arial"/>
              </w:rPr>
              <w:t>.</w:t>
            </w:r>
            <w:r w:rsidR="00A245A6" w:rsidRPr="00184B8E">
              <w:rPr>
                <w:rFonts w:ascii="Arial" w:eastAsia="Times New Roman" w:hAnsi="Arial" w:cs="Arial"/>
              </w:rPr>
              <w:t>0: Operational Risk Charge</w:t>
            </w:r>
          </w:p>
          <w:p w14:paraId="0B0B3236" w14:textId="77777777" w:rsidR="00A245A6" w:rsidRPr="00184B8E" w:rsidRDefault="00A245A6" w:rsidP="00A245A6">
            <w:p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</w:p>
          <w:p w14:paraId="47920341" w14:textId="77777777" w:rsidR="00A245A6" w:rsidRPr="00184B8E" w:rsidRDefault="00857ECE" w:rsidP="00A245A6">
            <w:p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Section 1: Operational risk charge calculation</w:t>
            </w:r>
          </w:p>
          <w:p w14:paraId="4793B2F3" w14:textId="77777777" w:rsidR="00857ECE" w:rsidRPr="00184B8E" w:rsidRDefault="00857ECE" w:rsidP="00A245A6">
            <w:p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</w:p>
          <w:p w14:paraId="0844E20E" w14:textId="77777777" w:rsidR="00857ECE" w:rsidRPr="00184B8E" w:rsidRDefault="00857ECE" w:rsidP="00D906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Specialist reinsurer? (Y/N)</w:t>
            </w:r>
          </w:p>
          <w:p w14:paraId="55A0FB64" w14:textId="77777777" w:rsidR="00A245A6" w:rsidRPr="00184B8E" w:rsidRDefault="00A245A6" w:rsidP="00A245A6">
            <w:p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</w:p>
          <w:p w14:paraId="1BD91009" w14:textId="77777777" w:rsidR="00A245A6" w:rsidRPr="00184B8E" w:rsidRDefault="00857ECE" w:rsidP="00857EC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1. Operational risk charge for risk business – all data items</w:t>
            </w:r>
          </w:p>
          <w:p w14:paraId="7148E18A" w14:textId="77777777" w:rsidR="00A9026E" w:rsidRPr="00184B8E" w:rsidRDefault="00A9026E" w:rsidP="00A9026E">
            <w:p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</w:p>
          <w:p w14:paraId="140154C9" w14:textId="77777777" w:rsidR="00857ECE" w:rsidRPr="00184B8E" w:rsidRDefault="00D20533" w:rsidP="00857EC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 xml:space="preserve"> </w:t>
            </w:r>
            <w:r w:rsidR="00857ECE" w:rsidRPr="00184B8E">
              <w:rPr>
                <w:rFonts w:ascii="Arial" w:eastAsia="Times New Roman" w:hAnsi="Arial" w:cs="Arial"/>
              </w:rPr>
              <w:t>2. Operational risk charge for investment</w:t>
            </w:r>
            <w:r w:rsidR="00E34284" w:rsidRPr="00184B8E">
              <w:rPr>
                <w:rFonts w:ascii="Arial" w:eastAsia="Times New Roman" w:hAnsi="Arial" w:cs="Arial"/>
              </w:rPr>
              <w:t>-</w:t>
            </w:r>
            <w:r w:rsidR="00857ECE" w:rsidRPr="00184B8E">
              <w:rPr>
                <w:rFonts w:ascii="Arial" w:eastAsia="Times New Roman" w:hAnsi="Arial" w:cs="Arial"/>
              </w:rPr>
              <w:t>linked business</w:t>
            </w:r>
            <w:r w:rsidR="00D9066C" w:rsidRPr="00184B8E">
              <w:rPr>
                <w:rFonts w:ascii="Arial" w:eastAsia="Times New Roman" w:hAnsi="Arial" w:cs="Arial"/>
              </w:rPr>
              <w:t xml:space="preserve"> – all data items</w:t>
            </w:r>
          </w:p>
          <w:p w14:paraId="121E5AFE" w14:textId="77777777" w:rsidR="00A9026E" w:rsidRPr="00184B8E" w:rsidRDefault="00A9026E" w:rsidP="00A9026E">
            <w:pPr>
              <w:pStyle w:val="ListParagraph"/>
              <w:rPr>
                <w:rFonts w:ascii="Arial" w:eastAsia="Times New Roman" w:hAnsi="Arial" w:cs="Arial"/>
              </w:rPr>
            </w:pPr>
          </w:p>
          <w:p w14:paraId="3195900D" w14:textId="77777777" w:rsidR="00857ECE" w:rsidRPr="00184B8E" w:rsidRDefault="00857ECE" w:rsidP="00857EC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 xml:space="preserve"> 3. Operational risk charge for other business</w:t>
            </w:r>
            <w:r w:rsidR="00D9066C" w:rsidRPr="00184B8E">
              <w:rPr>
                <w:rFonts w:ascii="Arial" w:eastAsia="Times New Roman" w:hAnsi="Arial" w:cs="Arial"/>
              </w:rPr>
              <w:t xml:space="preserve"> – all data items</w:t>
            </w:r>
          </w:p>
          <w:p w14:paraId="51C40B07" w14:textId="77777777" w:rsidR="00A9026E" w:rsidRPr="00184B8E" w:rsidRDefault="00A9026E" w:rsidP="00A9026E">
            <w:pPr>
              <w:pStyle w:val="ListParagraph"/>
              <w:rPr>
                <w:rFonts w:ascii="Arial" w:eastAsia="Times New Roman" w:hAnsi="Arial" w:cs="Arial"/>
              </w:rPr>
            </w:pPr>
          </w:p>
          <w:p w14:paraId="68E7F03F" w14:textId="77777777" w:rsidR="00857ECE" w:rsidRPr="00184B8E" w:rsidRDefault="00857ECE" w:rsidP="00857EC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>4. Adjustments to operational risk charge as approved by APRA – total amount only</w:t>
            </w:r>
          </w:p>
          <w:p w14:paraId="24F87F86" w14:textId="77777777" w:rsidR="00A9026E" w:rsidRPr="00184B8E" w:rsidRDefault="00A9026E" w:rsidP="00A9026E">
            <w:pPr>
              <w:pStyle w:val="ListParagraph"/>
              <w:rPr>
                <w:rFonts w:ascii="Arial" w:eastAsia="Times New Roman" w:hAnsi="Arial" w:cs="Arial"/>
              </w:rPr>
            </w:pPr>
          </w:p>
          <w:p w14:paraId="6C40FAF7" w14:textId="77777777" w:rsidR="00857ECE" w:rsidRPr="00184B8E" w:rsidRDefault="00D20533" w:rsidP="00857EC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184B8E">
              <w:rPr>
                <w:rFonts w:ascii="Arial" w:eastAsia="Times New Roman" w:hAnsi="Arial" w:cs="Arial"/>
              </w:rPr>
              <w:t xml:space="preserve"> </w:t>
            </w:r>
            <w:r w:rsidR="00857ECE" w:rsidRPr="00184B8E">
              <w:rPr>
                <w:rFonts w:ascii="Arial" w:eastAsia="Times New Roman" w:hAnsi="Arial" w:cs="Arial"/>
              </w:rPr>
              <w:t>5. Operational risk charge</w:t>
            </w:r>
          </w:p>
          <w:p w14:paraId="13E8B3EB" w14:textId="77777777" w:rsidR="00857ECE" w:rsidRPr="00184B8E" w:rsidRDefault="00857ECE" w:rsidP="00A245A6">
            <w:p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</w:p>
          <w:p w14:paraId="614AFE49" w14:textId="77777777" w:rsidR="00A245A6" w:rsidRPr="00184B8E" w:rsidRDefault="00A245A6" w:rsidP="00C174D7">
            <w:p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14:paraId="150A0E0A" w14:textId="1FE3A268" w:rsidR="00A245A6" w:rsidRPr="00184B8E" w:rsidRDefault="005A52D7" w:rsidP="00A245A6">
            <w:pPr>
              <w:rPr>
                <w:rFonts w:ascii="Arial" w:hAnsi="Arial" w:cs="Arial"/>
              </w:rPr>
            </w:pPr>
            <w:hyperlink r:id="rId17" w:history="1">
              <w:r w:rsidR="00A245A6" w:rsidRPr="00184B8E">
                <w:rPr>
                  <w:rFonts w:ascii="Arial" w:eastAsia="Times New Roman" w:hAnsi="Arial" w:cs="Arial"/>
                </w:rPr>
                <w:t>LRS 118.0 Operational Risk Charge</w:t>
              </w:r>
            </w:hyperlink>
            <w:r w:rsidR="00A245A6" w:rsidRPr="00184B8E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14:paraId="1EE805EE" w14:textId="77777777" w:rsidR="000D3AF9" w:rsidRDefault="000D3AF9" w:rsidP="00E8169F">
      <w:pPr>
        <w:spacing w:before="26" w:after="0" w:line="240" w:lineRule="auto"/>
        <w:ind w:right="-20"/>
        <w:rPr>
          <w:rFonts w:ascii="Arial" w:eastAsia="Arial" w:hAnsi="Arial" w:cs="Arial"/>
          <w:b/>
          <w:bCs/>
          <w:spacing w:val="2"/>
          <w:w w:val="102"/>
          <w:sz w:val="31"/>
          <w:szCs w:val="31"/>
        </w:rPr>
      </w:pPr>
    </w:p>
    <w:sectPr w:rsidR="000D3AF9" w:rsidSect="00F0129B">
      <w:pgSz w:w="11920" w:h="16840"/>
      <w:pgMar w:top="1134" w:right="1340" w:bottom="1276" w:left="1340" w:header="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7F4EF" w14:textId="77777777" w:rsidR="00906F65" w:rsidRDefault="00906F65" w:rsidP="001639DA">
      <w:pPr>
        <w:spacing w:after="0" w:line="240" w:lineRule="auto"/>
      </w:pPr>
      <w:r>
        <w:separator/>
      </w:r>
    </w:p>
  </w:endnote>
  <w:endnote w:type="continuationSeparator" w:id="0">
    <w:p w14:paraId="23C6F670" w14:textId="77777777" w:rsidR="00906F65" w:rsidRDefault="00906F65" w:rsidP="00163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7709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D56512" w14:textId="513E5A9A" w:rsidR="00F71430" w:rsidRDefault="00F7143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1064E3" w14:textId="6BA2C1DE" w:rsidR="008101EF" w:rsidRDefault="00DD363B" w:rsidP="00DD363B">
    <w:pPr>
      <w:pStyle w:val="Footer"/>
      <w:tabs>
        <w:tab w:val="clear" w:pos="4513"/>
        <w:tab w:val="clear" w:pos="9026"/>
        <w:tab w:val="left" w:pos="74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A6C6A" w14:textId="77777777" w:rsidR="00906F65" w:rsidRDefault="00906F65" w:rsidP="001639DA">
      <w:pPr>
        <w:spacing w:after="0" w:line="240" w:lineRule="auto"/>
      </w:pPr>
      <w:r>
        <w:separator/>
      </w:r>
    </w:p>
  </w:footnote>
  <w:footnote w:type="continuationSeparator" w:id="0">
    <w:p w14:paraId="794AB100" w14:textId="77777777" w:rsidR="00906F65" w:rsidRDefault="00906F65" w:rsidP="00163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5B32"/>
    <w:multiLevelType w:val="hybridMultilevel"/>
    <w:tmpl w:val="E456437A"/>
    <w:lvl w:ilvl="0" w:tplc="7BC26682">
      <w:start w:val="1"/>
      <w:numFmt w:val="lowerLetter"/>
      <w:lvlText w:val="%1."/>
      <w:lvlJc w:val="left"/>
      <w:pPr>
        <w:ind w:left="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062604DF"/>
    <w:multiLevelType w:val="hybridMultilevel"/>
    <w:tmpl w:val="53AEA2BC"/>
    <w:lvl w:ilvl="0" w:tplc="028E4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674B8"/>
    <w:multiLevelType w:val="hybridMultilevel"/>
    <w:tmpl w:val="1DB4C79A"/>
    <w:lvl w:ilvl="0" w:tplc="F93E5B1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52B13"/>
    <w:multiLevelType w:val="hybridMultilevel"/>
    <w:tmpl w:val="434E8BB4"/>
    <w:lvl w:ilvl="0" w:tplc="F93E5B1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E3735"/>
    <w:multiLevelType w:val="hybridMultilevel"/>
    <w:tmpl w:val="612A03F2"/>
    <w:lvl w:ilvl="0" w:tplc="0C09001B">
      <w:start w:val="1"/>
      <w:numFmt w:val="lowerRoman"/>
      <w:lvlText w:val="%1."/>
      <w:lvlJc w:val="righ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4EA172E"/>
    <w:multiLevelType w:val="multilevel"/>
    <w:tmpl w:val="292A9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5408AC"/>
    <w:multiLevelType w:val="hybridMultilevel"/>
    <w:tmpl w:val="A08EF03C"/>
    <w:lvl w:ilvl="0" w:tplc="F93E5B1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64C20"/>
    <w:multiLevelType w:val="hybridMultilevel"/>
    <w:tmpl w:val="69EC204C"/>
    <w:lvl w:ilvl="0" w:tplc="F93E5B1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CB52B504">
      <w:start w:val="1"/>
      <w:numFmt w:val="lowerRoman"/>
      <w:lvlText w:val="(%5)"/>
      <w:lvlJc w:val="left"/>
      <w:pPr>
        <w:ind w:left="360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81FCC"/>
    <w:multiLevelType w:val="hybridMultilevel"/>
    <w:tmpl w:val="FCA845E8"/>
    <w:lvl w:ilvl="0" w:tplc="F93E5B1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469CC"/>
    <w:multiLevelType w:val="hybridMultilevel"/>
    <w:tmpl w:val="2B3AC270"/>
    <w:lvl w:ilvl="0" w:tplc="F070962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95A62"/>
    <w:multiLevelType w:val="hybridMultilevel"/>
    <w:tmpl w:val="697AE21C"/>
    <w:lvl w:ilvl="0" w:tplc="F93E5B16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55B33CD"/>
    <w:multiLevelType w:val="hybridMultilevel"/>
    <w:tmpl w:val="ED708C46"/>
    <w:lvl w:ilvl="0" w:tplc="F93E5B1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7337B"/>
    <w:multiLevelType w:val="hybridMultilevel"/>
    <w:tmpl w:val="8B361BAC"/>
    <w:lvl w:ilvl="0" w:tplc="F93E5B1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508D6"/>
    <w:multiLevelType w:val="hybridMultilevel"/>
    <w:tmpl w:val="0A5A7DFA"/>
    <w:lvl w:ilvl="0" w:tplc="CB52B504">
      <w:start w:val="1"/>
      <w:numFmt w:val="lowerRoman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36D53DA2"/>
    <w:multiLevelType w:val="hybridMultilevel"/>
    <w:tmpl w:val="BCF2005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78472C6"/>
    <w:multiLevelType w:val="hybridMultilevel"/>
    <w:tmpl w:val="E2CC665A"/>
    <w:lvl w:ilvl="0" w:tplc="F93E5B16">
      <w:start w:val="1"/>
      <w:numFmt w:val="lowerRoman"/>
      <w:lvlText w:val="(%1)"/>
      <w:lvlJc w:val="left"/>
      <w:pPr>
        <w:ind w:left="8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40" w:hanging="360"/>
      </w:pPr>
    </w:lvl>
    <w:lvl w:ilvl="2" w:tplc="0C09001B" w:tentative="1">
      <w:start w:val="1"/>
      <w:numFmt w:val="lowerRoman"/>
      <w:lvlText w:val="%3."/>
      <w:lvlJc w:val="right"/>
      <w:pPr>
        <w:ind w:left="2260" w:hanging="180"/>
      </w:pPr>
    </w:lvl>
    <w:lvl w:ilvl="3" w:tplc="0C09000F" w:tentative="1">
      <w:start w:val="1"/>
      <w:numFmt w:val="decimal"/>
      <w:lvlText w:val="%4."/>
      <w:lvlJc w:val="left"/>
      <w:pPr>
        <w:ind w:left="2980" w:hanging="360"/>
      </w:pPr>
    </w:lvl>
    <w:lvl w:ilvl="4" w:tplc="0C090019" w:tentative="1">
      <w:start w:val="1"/>
      <w:numFmt w:val="lowerLetter"/>
      <w:lvlText w:val="%5."/>
      <w:lvlJc w:val="left"/>
      <w:pPr>
        <w:ind w:left="3700" w:hanging="360"/>
      </w:pPr>
    </w:lvl>
    <w:lvl w:ilvl="5" w:tplc="0C09001B" w:tentative="1">
      <w:start w:val="1"/>
      <w:numFmt w:val="lowerRoman"/>
      <w:lvlText w:val="%6."/>
      <w:lvlJc w:val="right"/>
      <w:pPr>
        <w:ind w:left="4420" w:hanging="180"/>
      </w:pPr>
    </w:lvl>
    <w:lvl w:ilvl="6" w:tplc="0C09000F" w:tentative="1">
      <w:start w:val="1"/>
      <w:numFmt w:val="decimal"/>
      <w:lvlText w:val="%7."/>
      <w:lvlJc w:val="left"/>
      <w:pPr>
        <w:ind w:left="5140" w:hanging="360"/>
      </w:pPr>
    </w:lvl>
    <w:lvl w:ilvl="7" w:tplc="0C090019" w:tentative="1">
      <w:start w:val="1"/>
      <w:numFmt w:val="lowerLetter"/>
      <w:lvlText w:val="%8."/>
      <w:lvlJc w:val="left"/>
      <w:pPr>
        <w:ind w:left="5860" w:hanging="360"/>
      </w:pPr>
    </w:lvl>
    <w:lvl w:ilvl="8" w:tplc="0C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3B655B8B"/>
    <w:multiLevelType w:val="hybridMultilevel"/>
    <w:tmpl w:val="75F83706"/>
    <w:lvl w:ilvl="0" w:tplc="F93E5B1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9120E"/>
    <w:multiLevelType w:val="hybridMultilevel"/>
    <w:tmpl w:val="AA0869A4"/>
    <w:lvl w:ilvl="0" w:tplc="B6D6B3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97E87"/>
    <w:multiLevelType w:val="multilevel"/>
    <w:tmpl w:val="B5D08584"/>
    <w:lvl w:ilvl="0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0F78CE"/>
    <w:multiLevelType w:val="hybridMultilevel"/>
    <w:tmpl w:val="7026E4C2"/>
    <w:lvl w:ilvl="0" w:tplc="F93E5B1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95CCC"/>
    <w:multiLevelType w:val="hybridMultilevel"/>
    <w:tmpl w:val="BD38B080"/>
    <w:lvl w:ilvl="0" w:tplc="CEA64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44695"/>
    <w:multiLevelType w:val="hybridMultilevel"/>
    <w:tmpl w:val="0F86EDC4"/>
    <w:lvl w:ilvl="0" w:tplc="F93E5B1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F373F2"/>
    <w:multiLevelType w:val="hybridMultilevel"/>
    <w:tmpl w:val="95846FF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F0D7F"/>
    <w:multiLevelType w:val="hybridMultilevel"/>
    <w:tmpl w:val="25CEA8BA"/>
    <w:lvl w:ilvl="0" w:tplc="F93E5B16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CDA1A55"/>
    <w:multiLevelType w:val="multilevel"/>
    <w:tmpl w:val="CC86B7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D21C8D"/>
    <w:multiLevelType w:val="hybridMultilevel"/>
    <w:tmpl w:val="1BBA1730"/>
    <w:lvl w:ilvl="0" w:tplc="F93E5B1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E4192"/>
    <w:multiLevelType w:val="hybridMultilevel"/>
    <w:tmpl w:val="9B3A9758"/>
    <w:lvl w:ilvl="0" w:tplc="CB52B50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A1E76"/>
    <w:multiLevelType w:val="hybridMultilevel"/>
    <w:tmpl w:val="DB1C7C5E"/>
    <w:lvl w:ilvl="0" w:tplc="F93E5B16">
      <w:start w:val="1"/>
      <w:numFmt w:val="lowerRoman"/>
      <w:lvlText w:val="(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59A856EC"/>
    <w:multiLevelType w:val="hybridMultilevel"/>
    <w:tmpl w:val="A3602D2C"/>
    <w:lvl w:ilvl="0" w:tplc="CB52B50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F93E5B16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11C44"/>
    <w:multiLevelType w:val="hybridMultilevel"/>
    <w:tmpl w:val="E456437A"/>
    <w:lvl w:ilvl="0" w:tplc="7BC26682">
      <w:start w:val="1"/>
      <w:numFmt w:val="lowerLetter"/>
      <w:lvlText w:val="%1."/>
      <w:lvlJc w:val="left"/>
      <w:pPr>
        <w:ind w:left="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0" w15:restartNumberingAfterBreak="0">
    <w:nsid w:val="5C4A5F75"/>
    <w:multiLevelType w:val="hybridMultilevel"/>
    <w:tmpl w:val="8F120E2A"/>
    <w:lvl w:ilvl="0" w:tplc="CB52B50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93E5B1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F93E5B16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B7574"/>
    <w:multiLevelType w:val="hybridMultilevel"/>
    <w:tmpl w:val="77601572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681A6A38"/>
    <w:multiLevelType w:val="hybridMultilevel"/>
    <w:tmpl w:val="82D47F24"/>
    <w:lvl w:ilvl="0" w:tplc="CB52B504">
      <w:start w:val="1"/>
      <w:numFmt w:val="lowerRoman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683510E1"/>
    <w:multiLevelType w:val="hybridMultilevel"/>
    <w:tmpl w:val="627471D4"/>
    <w:lvl w:ilvl="0" w:tplc="CB52B504">
      <w:start w:val="1"/>
      <w:numFmt w:val="lowerRoman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4" w15:restartNumberingAfterBreak="0">
    <w:nsid w:val="6C0D788C"/>
    <w:multiLevelType w:val="hybridMultilevel"/>
    <w:tmpl w:val="AF44403C"/>
    <w:lvl w:ilvl="0" w:tplc="F93E5B1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B67E5"/>
    <w:multiLevelType w:val="hybridMultilevel"/>
    <w:tmpl w:val="25CEA8BA"/>
    <w:lvl w:ilvl="0" w:tplc="F93E5B16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DB21705"/>
    <w:multiLevelType w:val="hybridMultilevel"/>
    <w:tmpl w:val="E456437A"/>
    <w:lvl w:ilvl="0" w:tplc="7BC26682">
      <w:start w:val="1"/>
      <w:numFmt w:val="lowerLetter"/>
      <w:lvlText w:val="%1."/>
      <w:lvlJc w:val="left"/>
      <w:pPr>
        <w:ind w:left="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7" w15:restartNumberingAfterBreak="0">
    <w:nsid w:val="741A6918"/>
    <w:multiLevelType w:val="hybridMultilevel"/>
    <w:tmpl w:val="0A5A7DFA"/>
    <w:lvl w:ilvl="0" w:tplc="CB52B504">
      <w:start w:val="1"/>
      <w:numFmt w:val="lowerRoman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8" w15:restartNumberingAfterBreak="0">
    <w:nsid w:val="750478EB"/>
    <w:multiLevelType w:val="hybridMultilevel"/>
    <w:tmpl w:val="E456437A"/>
    <w:lvl w:ilvl="0" w:tplc="7BC26682">
      <w:start w:val="1"/>
      <w:numFmt w:val="lowerLetter"/>
      <w:lvlText w:val="%1."/>
      <w:lvlJc w:val="left"/>
      <w:pPr>
        <w:ind w:left="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9" w15:restartNumberingAfterBreak="0">
    <w:nsid w:val="7AE57460"/>
    <w:multiLevelType w:val="hybridMultilevel"/>
    <w:tmpl w:val="8F08A528"/>
    <w:lvl w:ilvl="0" w:tplc="CB52B504">
      <w:start w:val="1"/>
      <w:numFmt w:val="lowerRoman"/>
      <w:lvlText w:val="(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F638E"/>
    <w:multiLevelType w:val="hybridMultilevel"/>
    <w:tmpl w:val="20BC133C"/>
    <w:lvl w:ilvl="0" w:tplc="F93E5B1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24"/>
  </w:num>
  <w:num w:numId="4">
    <w:abstractNumId w:val="38"/>
  </w:num>
  <w:num w:numId="5">
    <w:abstractNumId w:val="27"/>
  </w:num>
  <w:num w:numId="6">
    <w:abstractNumId w:val="40"/>
  </w:num>
  <w:num w:numId="7">
    <w:abstractNumId w:val="39"/>
  </w:num>
  <w:num w:numId="8">
    <w:abstractNumId w:val="4"/>
  </w:num>
  <w:num w:numId="9">
    <w:abstractNumId w:val="2"/>
  </w:num>
  <w:num w:numId="10">
    <w:abstractNumId w:val="5"/>
  </w:num>
  <w:num w:numId="11">
    <w:abstractNumId w:val="10"/>
  </w:num>
  <w:num w:numId="12">
    <w:abstractNumId w:val="35"/>
  </w:num>
  <w:num w:numId="13">
    <w:abstractNumId w:val="23"/>
  </w:num>
  <w:num w:numId="14">
    <w:abstractNumId w:val="22"/>
  </w:num>
  <w:num w:numId="15">
    <w:abstractNumId w:val="26"/>
  </w:num>
  <w:num w:numId="16">
    <w:abstractNumId w:val="28"/>
  </w:num>
  <w:num w:numId="17">
    <w:abstractNumId w:val="30"/>
  </w:num>
  <w:num w:numId="18">
    <w:abstractNumId w:val="25"/>
  </w:num>
  <w:num w:numId="19">
    <w:abstractNumId w:val="7"/>
  </w:num>
  <w:num w:numId="20">
    <w:abstractNumId w:val="33"/>
  </w:num>
  <w:num w:numId="21">
    <w:abstractNumId w:val="37"/>
  </w:num>
  <w:num w:numId="22">
    <w:abstractNumId w:val="13"/>
  </w:num>
  <w:num w:numId="23">
    <w:abstractNumId w:val="32"/>
  </w:num>
  <w:num w:numId="24">
    <w:abstractNumId w:val="20"/>
  </w:num>
  <w:num w:numId="25">
    <w:abstractNumId w:val="11"/>
  </w:num>
  <w:num w:numId="26">
    <w:abstractNumId w:val="1"/>
  </w:num>
  <w:num w:numId="27">
    <w:abstractNumId w:val="0"/>
  </w:num>
  <w:num w:numId="28">
    <w:abstractNumId w:val="3"/>
  </w:num>
  <w:num w:numId="29">
    <w:abstractNumId w:val="15"/>
  </w:num>
  <w:num w:numId="30">
    <w:abstractNumId w:val="34"/>
  </w:num>
  <w:num w:numId="31">
    <w:abstractNumId w:val="6"/>
  </w:num>
  <w:num w:numId="32">
    <w:abstractNumId w:val="12"/>
  </w:num>
  <w:num w:numId="33">
    <w:abstractNumId w:val="16"/>
  </w:num>
  <w:num w:numId="34">
    <w:abstractNumId w:val="18"/>
  </w:num>
  <w:num w:numId="35">
    <w:abstractNumId w:val="8"/>
  </w:num>
  <w:num w:numId="36">
    <w:abstractNumId w:val="19"/>
  </w:num>
  <w:num w:numId="37">
    <w:abstractNumId w:val="21"/>
  </w:num>
  <w:num w:numId="38">
    <w:abstractNumId w:val="31"/>
  </w:num>
  <w:num w:numId="39">
    <w:abstractNumId w:val="9"/>
  </w:num>
  <w:num w:numId="40">
    <w:abstractNumId w:val="29"/>
  </w:num>
  <w:num w:numId="41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DA"/>
    <w:rsid w:val="00004844"/>
    <w:rsid w:val="00004EB2"/>
    <w:rsid w:val="00007885"/>
    <w:rsid w:val="00012F43"/>
    <w:rsid w:val="00031DF7"/>
    <w:rsid w:val="0003771A"/>
    <w:rsid w:val="000501DE"/>
    <w:rsid w:val="000506BF"/>
    <w:rsid w:val="00062371"/>
    <w:rsid w:val="00065AC2"/>
    <w:rsid w:val="0006750A"/>
    <w:rsid w:val="00075B84"/>
    <w:rsid w:val="000810EC"/>
    <w:rsid w:val="00090236"/>
    <w:rsid w:val="0009187E"/>
    <w:rsid w:val="000921CA"/>
    <w:rsid w:val="00094D50"/>
    <w:rsid w:val="0009571C"/>
    <w:rsid w:val="000979D3"/>
    <w:rsid w:val="000A1BAE"/>
    <w:rsid w:val="000A45F7"/>
    <w:rsid w:val="000A5884"/>
    <w:rsid w:val="000A6A4E"/>
    <w:rsid w:val="000B5495"/>
    <w:rsid w:val="000C436C"/>
    <w:rsid w:val="000C6666"/>
    <w:rsid w:val="000D3AF9"/>
    <w:rsid w:val="000D5650"/>
    <w:rsid w:val="000E1BAC"/>
    <w:rsid w:val="000E6902"/>
    <w:rsid w:val="000F15FF"/>
    <w:rsid w:val="00113E14"/>
    <w:rsid w:val="00121EAC"/>
    <w:rsid w:val="00123397"/>
    <w:rsid w:val="00124E35"/>
    <w:rsid w:val="00126458"/>
    <w:rsid w:val="00130F19"/>
    <w:rsid w:val="00134C74"/>
    <w:rsid w:val="001373FE"/>
    <w:rsid w:val="00147376"/>
    <w:rsid w:val="0016175D"/>
    <w:rsid w:val="00163428"/>
    <w:rsid w:val="001639DA"/>
    <w:rsid w:val="00165765"/>
    <w:rsid w:val="00170F05"/>
    <w:rsid w:val="00176089"/>
    <w:rsid w:val="00184B8E"/>
    <w:rsid w:val="00187A8B"/>
    <w:rsid w:val="00196A8D"/>
    <w:rsid w:val="00196E59"/>
    <w:rsid w:val="001A2570"/>
    <w:rsid w:val="001A5A53"/>
    <w:rsid w:val="001A72CC"/>
    <w:rsid w:val="001B012E"/>
    <w:rsid w:val="001B7C36"/>
    <w:rsid w:val="001C2B0E"/>
    <w:rsid w:val="001C6BCC"/>
    <w:rsid w:val="001D0C9F"/>
    <w:rsid w:val="001D4481"/>
    <w:rsid w:val="001E3065"/>
    <w:rsid w:val="001E67B3"/>
    <w:rsid w:val="001F44E4"/>
    <w:rsid w:val="001F5B2C"/>
    <w:rsid w:val="00200291"/>
    <w:rsid w:val="00200827"/>
    <w:rsid w:val="00211577"/>
    <w:rsid w:val="002133F4"/>
    <w:rsid w:val="0021739F"/>
    <w:rsid w:val="00220DBC"/>
    <w:rsid w:val="00222DAA"/>
    <w:rsid w:val="00231F49"/>
    <w:rsid w:val="00232EBD"/>
    <w:rsid w:val="00244575"/>
    <w:rsid w:val="00253AD1"/>
    <w:rsid w:val="00256C6A"/>
    <w:rsid w:val="002622E3"/>
    <w:rsid w:val="0026459C"/>
    <w:rsid w:val="00281D48"/>
    <w:rsid w:val="00287FD4"/>
    <w:rsid w:val="0029043B"/>
    <w:rsid w:val="00291427"/>
    <w:rsid w:val="002936D2"/>
    <w:rsid w:val="002A0C8B"/>
    <w:rsid w:val="002A254A"/>
    <w:rsid w:val="002A3E8A"/>
    <w:rsid w:val="002B0A47"/>
    <w:rsid w:val="002C1257"/>
    <w:rsid w:val="002C49A9"/>
    <w:rsid w:val="002D2AC4"/>
    <w:rsid w:val="002D3CE7"/>
    <w:rsid w:val="002D4B9C"/>
    <w:rsid w:val="002E19B6"/>
    <w:rsid w:val="002E2126"/>
    <w:rsid w:val="002E2638"/>
    <w:rsid w:val="002E3867"/>
    <w:rsid w:val="002E5B27"/>
    <w:rsid w:val="002F4FDF"/>
    <w:rsid w:val="003062D3"/>
    <w:rsid w:val="00307A83"/>
    <w:rsid w:val="00314D75"/>
    <w:rsid w:val="00316E56"/>
    <w:rsid w:val="003332BA"/>
    <w:rsid w:val="00335C43"/>
    <w:rsid w:val="00340FB5"/>
    <w:rsid w:val="00341D5E"/>
    <w:rsid w:val="00342B04"/>
    <w:rsid w:val="00343009"/>
    <w:rsid w:val="0034449F"/>
    <w:rsid w:val="00351484"/>
    <w:rsid w:val="00352EA8"/>
    <w:rsid w:val="0035433A"/>
    <w:rsid w:val="0037527F"/>
    <w:rsid w:val="003825F2"/>
    <w:rsid w:val="00386B75"/>
    <w:rsid w:val="0039433B"/>
    <w:rsid w:val="003A7363"/>
    <w:rsid w:val="003B47A4"/>
    <w:rsid w:val="003B5524"/>
    <w:rsid w:val="003D7AA4"/>
    <w:rsid w:val="003D7F12"/>
    <w:rsid w:val="003E41A8"/>
    <w:rsid w:val="003F2A77"/>
    <w:rsid w:val="0040058A"/>
    <w:rsid w:val="00404637"/>
    <w:rsid w:val="00411812"/>
    <w:rsid w:val="0041315D"/>
    <w:rsid w:val="00416BA4"/>
    <w:rsid w:val="00422932"/>
    <w:rsid w:val="004232B2"/>
    <w:rsid w:val="0044042F"/>
    <w:rsid w:val="00440BF8"/>
    <w:rsid w:val="00441416"/>
    <w:rsid w:val="0044387D"/>
    <w:rsid w:val="00446610"/>
    <w:rsid w:val="00462E89"/>
    <w:rsid w:val="004633AC"/>
    <w:rsid w:val="00464A0E"/>
    <w:rsid w:val="00466BB0"/>
    <w:rsid w:val="00474A5E"/>
    <w:rsid w:val="004830E5"/>
    <w:rsid w:val="00495A19"/>
    <w:rsid w:val="00495C2B"/>
    <w:rsid w:val="004C1361"/>
    <w:rsid w:val="004C51DC"/>
    <w:rsid w:val="004C6433"/>
    <w:rsid w:val="004D3606"/>
    <w:rsid w:val="004D4233"/>
    <w:rsid w:val="004D6145"/>
    <w:rsid w:val="004E0952"/>
    <w:rsid w:val="004E76D0"/>
    <w:rsid w:val="005027FE"/>
    <w:rsid w:val="005033FD"/>
    <w:rsid w:val="00503429"/>
    <w:rsid w:val="00511926"/>
    <w:rsid w:val="00514561"/>
    <w:rsid w:val="00543B6A"/>
    <w:rsid w:val="00550325"/>
    <w:rsid w:val="0056308A"/>
    <w:rsid w:val="005633B4"/>
    <w:rsid w:val="00563CCC"/>
    <w:rsid w:val="005661C2"/>
    <w:rsid w:val="005669F5"/>
    <w:rsid w:val="005747D3"/>
    <w:rsid w:val="00574C03"/>
    <w:rsid w:val="00575390"/>
    <w:rsid w:val="00576A10"/>
    <w:rsid w:val="00580674"/>
    <w:rsid w:val="005808A7"/>
    <w:rsid w:val="00584A1B"/>
    <w:rsid w:val="005A0012"/>
    <w:rsid w:val="005A52D7"/>
    <w:rsid w:val="005A707D"/>
    <w:rsid w:val="005B3F64"/>
    <w:rsid w:val="005B4F6B"/>
    <w:rsid w:val="005B7E9F"/>
    <w:rsid w:val="005C4CDA"/>
    <w:rsid w:val="005C76E8"/>
    <w:rsid w:val="005E6C68"/>
    <w:rsid w:val="005E6F7E"/>
    <w:rsid w:val="005F1239"/>
    <w:rsid w:val="005F3678"/>
    <w:rsid w:val="00602BD5"/>
    <w:rsid w:val="006074EB"/>
    <w:rsid w:val="006154E2"/>
    <w:rsid w:val="006165A5"/>
    <w:rsid w:val="006173D9"/>
    <w:rsid w:val="00617FA0"/>
    <w:rsid w:val="006254EF"/>
    <w:rsid w:val="006311E6"/>
    <w:rsid w:val="00644A6F"/>
    <w:rsid w:val="00655B4D"/>
    <w:rsid w:val="00665D06"/>
    <w:rsid w:val="0066689A"/>
    <w:rsid w:val="0067042E"/>
    <w:rsid w:val="00674564"/>
    <w:rsid w:val="0067594A"/>
    <w:rsid w:val="00675F33"/>
    <w:rsid w:val="00682578"/>
    <w:rsid w:val="0068632A"/>
    <w:rsid w:val="006958DD"/>
    <w:rsid w:val="00696157"/>
    <w:rsid w:val="00697813"/>
    <w:rsid w:val="00697D3B"/>
    <w:rsid w:val="006A40E2"/>
    <w:rsid w:val="006B7822"/>
    <w:rsid w:val="006C404C"/>
    <w:rsid w:val="006D0824"/>
    <w:rsid w:val="006D0892"/>
    <w:rsid w:val="006D6B64"/>
    <w:rsid w:val="006E1E0B"/>
    <w:rsid w:val="006E34F6"/>
    <w:rsid w:val="00702F31"/>
    <w:rsid w:val="007076AB"/>
    <w:rsid w:val="00711D2E"/>
    <w:rsid w:val="007158AD"/>
    <w:rsid w:val="00717C98"/>
    <w:rsid w:val="00723A41"/>
    <w:rsid w:val="00724FED"/>
    <w:rsid w:val="00746B12"/>
    <w:rsid w:val="007519D2"/>
    <w:rsid w:val="00764328"/>
    <w:rsid w:val="00764BC9"/>
    <w:rsid w:val="00765E15"/>
    <w:rsid w:val="00767D4B"/>
    <w:rsid w:val="007838DC"/>
    <w:rsid w:val="00787F16"/>
    <w:rsid w:val="00792D3C"/>
    <w:rsid w:val="00797379"/>
    <w:rsid w:val="007A6006"/>
    <w:rsid w:val="007B13C2"/>
    <w:rsid w:val="007B5AED"/>
    <w:rsid w:val="007D41A4"/>
    <w:rsid w:val="007E10F5"/>
    <w:rsid w:val="007E254D"/>
    <w:rsid w:val="007F24BD"/>
    <w:rsid w:val="007F5A34"/>
    <w:rsid w:val="008022F3"/>
    <w:rsid w:val="008101EF"/>
    <w:rsid w:val="00824ED2"/>
    <w:rsid w:val="00826B59"/>
    <w:rsid w:val="00833657"/>
    <w:rsid w:val="00843EB8"/>
    <w:rsid w:val="00847F8E"/>
    <w:rsid w:val="0085541E"/>
    <w:rsid w:val="00857ECE"/>
    <w:rsid w:val="00861711"/>
    <w:rsid w:val="00862E28"/>
    <w:rsid w:val="00865F1E"/>
    <w:rsid w:val="00874F60"/>
    <w:rsid w:val="008811A0"/>
    <w:rsid w:val="008951C3"/>
    <w:rsid w:val="008964B0"/>
    <w:rsid w:val="008A06E9"/>
    <w:rsid w:val="008A3C0B"/>
    <w:rsid w:val="008A458C"/>
    <w:rsid w:val="008C05A6"/>
    <w:rsid w:val="008C16EF"/>
    <w:rsid w:val="008C6111"/>
    <w:rsid w:val="008D0A6E"/>
    <w:rsid w:val="008D0E8E"/>
    <w:rsid w:val="008D4A5B"/>
    <w:rsid w:val="008E082D"/>
    <w:rsid w:val="008E4C9F"/>
    <w:rsid w:val="008E6C1C"/>
    <w:rsid w:val="009026BF"/>
    <w:rsid w:val="00904D5F"/>
    <w:rsid w:val="00906F65"/>
    <w:rsid w:val="0091008E"/>
    <w:rsid w:val="00921906"/>
    <w:rsid w:val="00921D79"/>
    <w:rsid w:val="00927DD8"/>
    <w:rsid w:val="00932851"/>
    <w:rsid w:val="00944D8C"/>
    <w:rsid w:val="009460F1"/>
    <w:rsid w:val="00951C3A"/>
    <w:rsid w:val="009712E3"/>
    <w:rsid w:val="00973AF5"/>
    <w:rsid w:val="00991A37"/>
    <w:rsid w:val="00994386"/>
    <w:rsid w:val="00995115"/>
    <w:rsid w:val="009A3716"/>
    <w:rsid w:val="009A5451"/>
    <w:rsid w:val="009B4C8C"/>
    <w:rsid w:val="009C305B"/>
    <w:rsid w:val="009C4880"/>
    <w:rsid w:val="009C6E75"/>
    <w:rsid w:val="009D5C0A"/>
    <w:rsid w:val="009D5E55"/>
    <w:rsid w:val="009E3E5F"/>
    <w:rsid w:val="009E52A1"/>
    <w:rsid w:val="009F7134"/>
    <w:rsid w:val="00A033E9"/>
    <w:rsid w:val="00A05391"/>
    <w:rsid w:val="00A06CF8"/>
    <w:rsid w:val="00A07FF0"/>
    <w:rsid w:val="00A1464F"/>
    <w:rsid w:val="00A218C1"/>
    <w:rsid w:val="00A21BBF"/>
    <w:rsid w:val="00A22C8D"/>
    <w:rsid w:val="00A243A1"/>
    <w:rsid w:val="00A245A6"/>
    <w:rsid w:val="00A26BB3"/>
    <w:rsid w:val="00A343D0"/>
    <w:rsid w:val="00A372FC"/>
    <w:rsid w:val="00A51B07"/>
    <w:rsid w:val="00A532F3"/>
    <w:rsid w:val="00A5513D"/>
    <w:rsid w:val="00A614F5"/>
    <w:rsid w:val="00A63DE1"/>
    <w:rsid w:val="00A64F1A"/>
    <w:rsid w:val="00A71E68"/>
    <w:rsid w:val="00A732CA"/>
    <w:rsid w:val="00A76BFE"/>
    <w:rsid w:val="00A83141"/>
    <w:rsid w:val="00A9026E"/>
    <w:rsid w:val="00A94E4F"/>
    <w:rsid w:val="00AA2689"/>
    <w:rsid w:val="00AA3369"/>
    <w:rsid w:val="00AA3691"/>
    <w:rsid w:val="00AB5515"/>
    <w:rsid w:val="00AB7BB8"/>
    <w:rsid w:val="00AD5F65"/>
    <w:rsid w:val="00AE08BD"/>
    <w:rsid w:val="00AF161C"/>
    <w:rsid w:val="00AF19C2"/>
    <w:rsid w:val="00AF6991"/>
    <w:rsid w:val="00B0069D"/>
    <w:rsid w:val="00B10A6C"/>
    <w:rsid w:val="00B127E8"/>
    <w:rsid w:val="00B13722"/>
    <w:rsid w:val="00B1502A"/>
    <w:rsid w:val="00B15134"/>
    <w:rsid w:val="00B25423"/>
    <w:rsid w:val="00B342BF"/>
    <w:rsid w:val="00B376EB"/>
    <w:rsid w:val="00B37968"/>
    <w:rsid w:val="00B50699"/>
    <w:rsid w:val="00B50A04"/>
    <w:rsid w:val="00B52960"/>
    <w:rsid w:val="00B57441"/>
    <w:rsid w:val="00B61DC1"/>
    <w:rsid w:val="00B65D63"/>
    <w:rsid w:val="00B75803"/>
    <w:rsid w:val="00B75AEA"/>
    <w:rsid w:val="00B77429"/>
    <w:rsid w:val="00B90A8F"/>
    <w:rsid w:val="00B92E68"/>
    <w:rsid w:val="00BC69E9"/>
    <w:rsid w:val="00BD0444"/>
    <w:rsid w:val="00BD079E"/>
    <w:rsid w:val="00BD2827"/>
    <w:rsid w:val="00BD2FF9"/>
    <w:rsid w:val="00BD6299"/>
    <w:rsid w:val="00BE2D4C"/>
    <w:rsid w:val="00BE3324"/>
    <w:rsid w:val="00BE6AA1"/>
    <w:rsid w:val="00BF4205"/>
    <w:rsid w:val="00BF4806"/>
    <w:rsid w:val="00C01D3C"/>
    <w:rsid w:val="00C02AF7"/>
    <w:rsid w:val="00C073B0"/>
    <w:rsid w:val="00C1132B"/>
    <w:rsid w:val="00C174D7"/>
    <w:rsid w:val="00C17751"/>
    <w:rsid w:val="00C20585"/>
    <w:rsid w:val="00C606F9"/>
    <w:rsid w:val="00C61DE0"/>
    <w:rsid w:val="00C726B8"/>
    <w:rsid w:val="00C74631"/>
    <w:rsid w:val="00C77527"/>
    <w:rsid w:val="00C932D6"/>
    <w:rsid w:val="00CA0983"/>
    <w:rsid w:val="00CA6ECD"/>
    <w:rsid w:val="00CE743D"/>
    <w:rsid w:val="00CF6038"/>
    <w:rsid w:val="00CF7995"/>
    <w:rsid w:val="00D051C5"/>
    <w:rsid w:val="00D13B84"/>
    <w:rsid w:val="00D20533"/>
    <w:rsid w:val="00D22AD8"/>
    <w:rsid w:val="00D35ACC"/>
    <w:rsid w:val="00D4600F"/>
    <w:rsid w:val="00D47C5A"/>
    <w:rsid w:val="00D52FA8"/>
    <w:rsid w:val="00D60CB9"/>
    <w:rsid w:val="00D61369"/>
    <w:rsid w:val="00D643AB"/>
    <w:rsid w:val="00D64AD0"/>
    <w:rsid w:val="00D67114"/>
    <w:rsid w:val="00D73303"/>
    <w:rsid w:val="00D73F55"/>
    <w:rsid w:val="00D8167A"/>
    <w:rsid w:val="00D82329"/>
    <w:rsid w:val="00D829FB"/>
    <w:rsid w:val="00D82D73"/>
    <w:rsid w:val="00D87971"/>
    <w:rsid w:val="00D9066C"/>
    <w:rsid w:val="00DB59A3"/>
    <w:rsid w:val="00DC4E15"/>
    <w:rsid w:val="00DD10A9"/>
    <w:rsid w:val="00DD194D"/>
    <w:rsid w:val="00DD363B"/>
    <w:rsid w:val="00DD6F17"/>
    <w:rsid w:val="00DD7917"/>
    <w:rsid w:val="00DE07E0"/>
    <w:rsid w:val="00DE306A"/>
    <w:rsid w:val="00DE3EF2"/>
    <w:rsid w:val="00DF32B0"/>
    <w:rsid w:val="00E06216"/>
    <w:rsid w:val="00E13148"/>
    <w:rsid w:val="00E22F8E"/>
    <w:rsid w:val="00E26A76"/>
    <w:rsid w:val="00E316E2"/>
    <w:rsid w:val="00E34284"/>
    <w:rsid w:val="00E40231"/>
    <w:rsid w:val="00E41577"/>
    <w:rsid w:val="00E64348"/>
    <w:rsid w:val="00E64811"/>
    <w:rsid w:val="00E6742A"/>
    <w:rsid w:val="00E76AA0"/>
    <w:rsid w:val="00E77E08"/>
    <w:rsid w:val="00E8169F"/>
    <w:rsid w:val="00E83161"/>
    <w:rsid w:val="00E90DE6"/>
    <w:rsid w:val="00E91535"/>
    <w:rsid w:val="00E93D31"/>
    <w:rsid w:val="00E93E42"/>
    <w:rsid w:val="00EA4CFB"/>
    <w:rsid w:val="00EA5220"/>
    <w:rsid w:val="00EA57CE"/>
    <w:rsid w:val="00EB15C4"/>
    <w:rsid w:val="00EC0D1F"/>
    <w:rsid w:val="00ED1DCC"/>
    <w:rsid w:val="00ED4DF6"/>
    <w:rsid w:val="00EF14A4"/>
    <w:rsid w:val="00F00C32"/>
    <w:rsid w:val="00F0129B"/>
    <w:rsid w:val="00F06103"/>
    <w:rsid w:val="00F1512A"/>
    <w:rsid w:val="00F17E75"/>
    <w:rsid w:val="00F43AFB"/>
    <w:rsid w:val="00F4540F"/>
    <w:rsid w:val="00F5505F"/>
    <w:rsid w:val="00F67693"/>
    <w:rsid w:val="00F71430"/>
    <w:rsid w:val="00F77DCA"/>
    <w:rsid w:val="00F91292"/>
    <w:rsid w:val="00F95E70"/>
    <w:rsid w:val="00FA056B"/>
    <w:rsid w:val="00FA1DDC"/>
    <w:rsid w:val="00FA2201"/>
    <w:rsid w:val="00FA5A1A"/>
    <w:rsid w:val="00FA742D"/>
    <w:rsid w:val="00FB4AB1"/>
    <w:rsid w:val="00FD0844"/>
    <w:rsid w:val="00FD0C64"/>
    <w:rsid w:val="00FD2FB9"/>
    <w:rsid w:val="00FE1861"/>
    <w:rsid w:val="00FF29F4"/>
    <w:rsid w:val="00FF3AE0"/>
    <w:rsid w:val="00FF5068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1B1147B"/>
  <w15:docId w15:val="{512C97C8-F06F-4559-A135-4EE55B84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C8B"/>
  </w:style>
  <w:style w:type="paragraph" w:styleId="Footer">
    <w:name w:val="footer"/>
    <w:basedOn w:val="Normal"/>
    <w:link w:val="FooterChar"/>
    <w:uiPriority w:val="99"/>
    <w:unhideWhenUsed/>
    <w:rsid w:val="002A0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C8B"/>
  </w:style>
  <w:style w:type="paragraph" w:styleId="ListParagraph">
    <w:name w:val="List Paragraph"/>
    <w:basedOn w:val="Normal"/>
    <w:uiPriority w:val="34"/>
    <w:qFormat/>
    <w:rsid w:val="009951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7134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8A3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To">
    <w:name w:val="IntroTo:"/>
    <w:basedOn w:val="Normal"/>
    <w:rsid w:val="00C606F9"/>
    <w:pPr>
      <w:widowControl/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val="en-AU"/>
    </w:rPr>
  </w:style>
  <w:style w:type="character" w:styleId="CommentReference">
    <w:name w:val="annotation reference"/>
    <w:uiPriority w:val="99"/>
    <w:semiHidden/>
    <w:unhideWhenUsed/>
    <w:rsid w:val="000A4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5F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A45F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5F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A45F7"/>
    <w:rPr>
      <w:b/>
      <w:bCs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0E6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apra.gov.au/lifs/ReportingFramework/Documents/FSCODA-No-54-of-2013-LRS-310-0-Income-Statemen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pra.gov.au/lifs/ReportingFramework/Documents/FSCODA-No-54-of-2013-LRS-310-0-Income-Statement.pdf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apra.gov.au/lifs/ReportingFramework/Documents/FSCODA-No-54-of-2013-LRS-310-0-Income-Statement.pdf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TaxCatchAll xmlns="814d62cb-2db6-4c25-ab62-b9075facbc11">
      <Value>24</Value>
      <Value>83</Value>
      <Value>134</Value>
      <Value>26</Value>
      <Value>10</Value>
      <Value>109</Value>
      <Value>93</Value>
      <Value>58</Value>
      <Value>19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Information provided by life insurers and friendly societies under relevant reporting documents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</Terms>
    </p10c80fc2da942ae8f2ea9b33b6ea0ba>
    <i08e72d8ce2b4ffa9361f9f4e0a63abc xmlns="814d62cb-2db6-4c25-ab62-b9075facbc11">
      <Terms xmlns="http://schemas.microsoft.com/office/infopath/2007/PartnerControls"/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5JENXJJSCC7A-445999044-11704</_dlc_DocId>
    <_dlc_DocIdUrl xmlns="814d62cb-2db6-4c25-ab62-b9075facbc11">
      <Url>https://im/teams/LEGAL/_layouts/15/DocIdRedir.aspx?ID=5JENXJJSCC7A-445999044-11704</Url>
      <Description>5JENXJJSCC7A-445999044-11704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73" ma:contentTypeDescription="Create a new document." ma:contentTypeScope="" ma:versionID="73e2e2cfc32a2691ee31d7af9bd362de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be0268868a1afd65d01f44ca09bb39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868AC-ABE9-4885-8868-E1A80A3BC37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A6012CA-8355-463B-BBD6-F8440CDAF5B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03A15EB-D7DC-430A-9FB5-228480C938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6DD5B7-6696-4C44-BD8D-3E34C15834DE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814d62cb-2db6-4c25-ab62-b9075facbc11"/>
    <ds:schemaRef ds:uri="http://purl.org/dc/terms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75DA0496-5321-4CB7-A860-22141AFB1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2090619-F388-4A11-B06A-201571EF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1318</Words>
  <Characters>7514</Characters>
  <Application>Microsoft Office Word</Application>
  <DocSecurity>0</DocSecurity>
  <Lines>326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SIP0207550.htm</vt:lpstr>
    </vt:vector>
  </TitlesOfParts>
  <Company>APRA</Company>
  <LinksUpToDate>false</LinksUpToDate>
  <CharactersWithSpaces>8669</CharactersWithSpaces>
  <SharedDoc>false</SharedDoc>
  <HLinks>
    <vt:vector size="6" baseType="variant">
      <vt:variant>
        <vt:i4>983055</vt:i4>
      </vt:variant>
      <vt:variant>
        <vt:i4>0</vt:i4>
      </vt:variant>
      <vt:variant>
        <vt:i4>0</vt:i4>
      </vt:variant>
      <vt:variant>
        <vt:i4>5</vt:i4>
      </vt:variant>
      <vt:variant>
        <vt:lpwstr>http://www.apra.gov.au/lifs/ReportingFramework/Documents/FSCODA-No-54-of-2013-LRS-310-0-Income-Statement.pdf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APRA (confidentiality) determination No. 2 of 2022</dc:title>
  <dc:creator>Antonietta Discala</dc:creator>
  <cp:keywords>[SEC=OFFICIAL]</cp:keywords>
  <cp:lastModifiedBy>Toni Michalis</cp:lastModifiedBy>
  <cp:revision>2</cp:revision>
  <cp:lastPrinted>2015-06-12T04:45:00Z</cp:lastPrinted>
  <dcterms:created xsi:type="dcterms:W3CDTF">2022-01-18T23:23:00Z</dcterms:created>
  <dcterms:modified xsi:type="dcterms:W3CDTF">2022-01-18T23:23:00Z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2013-02-04T00:00:00Z</vt:filetime>
  </property>
  <property fmtid="{D5CDD505-2E9C-101B-9397-08002B2CF9AE}" pid="3" name="LastSaved">
    <vt:filetime>2013-02-18T00:00:00Z</vt:filetime>
  </property>
  <property fmtid="{D5CDD505-2E9C-101B-9397-08002B2CF9AE}" pid="4" name="PM_ProtectiveMarkingImage_Header">
    <vt:lpwstr>C:\Program Files\Common Files\janusNET Shared\janusSEAL\Images\DocumentSlashBlue.png</vt:lpwstr>
  </property>
  <property fmtid="{D5CDD505-2E9C-101B-9397-08002B2CF9AE}" pid="5" name="PM_Caveats_Count">
    <vt:lpwstr>0</vt:lpwstr>
  </property>
  <property fmtid="{D5CDD505-2E9C-101B-9397-08002B2CF9AE}" pid="6" name="PM_DisplayValueSecClassificationWithQualifier">
    <vt:lpwstr>OFFICIAL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InsertionValue">
    <vt:lpwstr>OFFICIAL</vt:lpwstr>
  </property>
  <property fmtid="{D5CDD505-2E9C-101B-9397-08002B2CF9AE}" pid="10" name="PM_Originating_FileId">
    <vt:lpwstr>DC33E385315A49A583FFFE6678FEF82A</vt:lpwstr>
  </property>
  <property fmtid="{D5CDD505-2E9C-101B-9397-08002B2CF9AE}" pid="11" name="PM_ProtectiveMarkingValue_Footer">
    <vt:lpwstr>OFFICIAL</vt:lpwstr>
  </property>
  <property fmtid="{D5CDD505-2E9C-101B-9397-08002B2CF9AE}" pid="12" name="PM_Originator_Hash_SHA1">
    <vt:lpwstr>C3AD57350F36D8E1BD75F8F67CB06D435C9C43CA</vt:lpwstr>
  </property>
  <property fmtid="{D5CDD505-2E9C-101B-9397-08002B2CF9AE}" pid="13" name="PM_OriginationTimeStamp">
    <vt:lpwstr>2022-01-18T23:22:57Z</vt:lpwstr>
  </property>
  <property fmtid="{D5CDD505-2E9C-101B-9397-08002B2CF9AE}" pid="14" name="PM_ProtectiveMarkingValue_Header">
    <vt:lpwstr>OFFICIAL</vt:lpwstr>
  </property>
  <property fmtid="{D5CDD505-2E9C-101B-9397-08002B2CF9AE}" pid="15" name="PM_ProtectiveMarkingImage_Footer">
    <vt:lpwstr>C:\Program Files\Common Files\janusNET Shared\janusSEAL\Images\DocumentSlashBlue.png</vt:lpwstr>
  </property>
  <property fmtid="{D5CDD505-2E9C-101B-9397-08002B2CF9AE}" pid="16" name="PM_Namespace">
    <vt:lpwstr>gov.au</vt:lpwstr>
  </property>
  <property fmtid="{D5CDD505-2E9C-101B-9397-08002B2CF9AE}" pid="17" name="PM_Version">
    <vt:lpwstr>2018.3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Hash_Version">
    <vt:lpwstr>2018.0</vt:lpwstr>
  </property>
  <property fmtid="{D5CDD505-2E9C-101B-9397-08002B2CF9AE}" pid="21" name="PM_Hash_Salt_Prev">
    <vt:lpwstr>6166F2A60A4D4E9894AE9D9C19BF0037</vt:lpwstr>
  </property>
  <property fmtid="{D5CDD505-2E9C-101B-9397-08002B2CF9AE}" pid="22" name="PM_Hash_Salt">
    <vt:lpwstr>AEE2AC1E6C8058B300212E0A528480A6</vt:lpwstr>
  </property>
  <property fmtid="{D5CDD505-2E9C-101B-9397-08002B2CF9AE}" pid="23" name="PM_Hash_SHA1">
    <vt:lpwstr>703AF115496C319D4BE06DD100FD9237AEE930A7</vt:lpwstr>
  </property>
  <property fmtid="{D5CDD505-2E9C-101B-9397-08002B2CF9AE}" pid="24" name="PM_SecurityClassification_Prev">
    <vt:lpwstr>OFFICIAL</vt:lpwstr>
  </property>
  <property fmtid="{D5CDD505-2E9C-101B-9397-08002B2CF9AE}" pid="25" name="PM_Qualifier_Prev">
    <vt:lpwstr/>
  </property>
  <property fmtid="{D5CDD505-2E9C-101B-9397-08002B2CF9AE}" pid="26" name="ContentTypeId">
    <vt:lpwstr>0x0101008CA7A4F8331B45C7B0D3158B4994D0CA0200577EC0F5A1FBFC498F9A8436B963F8A6</vt:lpwstr>
  </property>
  <property fmtid="{D5CDD505-2E9C-101B-9397-08002B2CF9AE}" pid="27" name="_dlc_DocIdItemGuid">
    <vt:lpwstr>f8c3a801-ccf1-450b-87e3-3b44735ef08e</vt:lpwstr>
  </property>
  <property fmtid="{D5CDD505-2E9C-101B-9397-08002B2CF9AE}" pid="28" name="IsLocked">
    <vt:lpwstr>False</vt:lpwstr>
  </property>
  <property fmtid="{D5CDD505-2E9C-101B-9397-08002B2CF9AE}" pid="29" name="APRACostCentre">
    <vt:lpwstr>24;#Legal - ADI|652d8d2a-ab45-47b4-ac6e-fe6ac9299b39;#26;#Legal - Insurance: General|8229dc1a-d7f2-47b2-844a-b026fed0c13d;#93;#Legal - Insurance: Health|21611e62-d688-4f0d-8807-02701cc43699;#83;#Legal - Insurance: Life|56f18b50-6605-4f3f-97e3-cad1cb5394e0;#134;#Legal - Superannuation|cce3181d-fd23-4eee-94d3-c66abc2350cf</vt:lpwstr>
  </property>
  <property fmtid="{D5CDD505-2E9C-101B-9397-08002B2CF9AE}" pid="30" name="IT system type">
    <vt:lpwstr/>
  </property>
  <property fmtid="{D5CDD505-2E9C-101B-9397-08002B2CF9AE}" pid="31" name="APRACategory">
    <vt:lpwstr/>
  </property>
  <property fmtid="{D5CDD505-2E9C-101B-9397-08002B2CF9AE}" pid="32" name="APRADocumentType">
    <vt:lpwstr>58;#Legal instrument|71fd6ed3-d6d6-4975-ba99-bfe45802e734</vt:lpwstr>
  </property>
  <property fmtid="{D5CDD505-2E9C-101B-9397-08002B2CF9AE}" pid="33" name="APRAStatus">
    <vt:lpwstr>19;#Final|84d6b2d0-8498-4d62-bf46-bab38babbe9e</vt:lpwstr>
  </property>
  <property fmtid="{D5CDD505-2E9C-101B-9397-08002B2CF9AE}" pid="34" name="APRAPRSG">
    <vt:lpwstr/>
  </property>
  <property fmtid="{D5CDD505-2E9C-101B-9397-08002B2CF9AE}" pid="35" name="APRAActivity">
    <vt:lpwstr>10;#Registration|390476ce-d76d-4e8d-905f-28e32d2df127;#109;#Statutory instrument|fe68928c-5a9c-4caf-bc8c-6c18cedcb17f</vt:lpwstr>
  </property>
  <property fmtid="{D5CDD505-2E9C-101B-9397-08002B2CF9AE}" pid="36" name="APRAEntityAdviceSupport">
    <vt:lpwstr/>
  </property>
  <property fmtid="{D5CDD505-2E9C-101B-9397-08002B2CF9AE}" pid="37" name="APRAIndustry">
    <vt:lpwstr/>
  </property>
  <property fmtid="{D5CDD505-2E9C-101B-9397-08002B2CF9AE}" pid="38" name="APRALegislation">
    <vt:lpwstr/>
  </property>
  <property fmtid="{D5CDD505-2E9C-101B-9397-08002B2CF9AE}" pid="39" name="APRAYear">
    <vt:lpwstr/>
  </property>
  <property fmtid="{D5CDD505-2E9C-101B-9397-08002B2CF9AE}" pid="40" name="APRAExternalOrganisation">
    <vt:lpwstr/>
  </property>
  <property fmtid="{D5CDD505-2E9C-101B-9397-08002B2CF9AE}" pid="41" name="APRAIRTR">
    <vt:lpwstr/>
  </property>
  <property fmtid="{D5CDD505-2E9C-101B-9397-08002B2CF9AE}" pid="42" name="APRAPeriod">
    <vt:lpwstr/>
  </property>
  <property fmtid="{D5CDD505-2E9C-101B-9397-08002B2CF9AE}" pid="43" name="RecordPoint_WorkflowType">
    <vt:lpwstr>ActiveSubmitStub</vt:lpwstr>
  </property>
  <property fmtid="{D5CDD505-2E9C-101B-9397-08002B2CF9AE}" pid="44" name="RecordPoint_ActiveItemSiteId">
    <vt:lpwstr>{88691c01-5bbb-4215-adc0-66cb7065b0af}</vt:lpwstr>
  </property>
  <property fmtid="{D5CDD505-2E9C-101B-9397-08002B2CF9AE}" pid="45" name="RecordPoint_ActiveItemListId">
    <vt:lpwstr>{0e59e171-09d8-4401-800a-327154450cb3}</vt:lpwstr>
  </property>
  <property fmtid="{D5CDD505-2E9C-101B-9397-08002B2CF9AE}" pid="46" name="RecordPoint_ActiveItemUniqueId">
    <vt:lpwstr>{f8c3a801-ccf1-450b-87e3-3b44735ef08e}</vt:lpwstr>
  </property>
  <property fmtid="{D5CDD505-2E9C-101B-9397-08002B2CF9AE}" pid="47" name="RecordPoint_ActiveItemWebId">
    <vt:lpwstr>{75a71c27-8d66-4282-ae60-1bfc22a83be1}</vt:lpwstr>
  </property>
  <property fmtid="{D5CDD505-2E9C-101B-9397-08002B2CF9AE}" pid="48" name="RecordPoint_RecordNumberSubmitted">
    <vt:lpwstr/>
  </property>
  <property fmtid="{D5CDD505-2E9C-101B-9397-08002B2CF9AE}" pid="49" name="RecordPoint_SubmissionCompleted">
    <vt:lpwstr/>
  </property>
  <property fmtid="{D5CDD505-2E9C-101B-9397-08002B2CF9AE}" pid="50" name="PM_Display">
    <vt:lpwstr>OFFICIAL</vt:lpwstr>
  </property>
  <property fmtid="{D5CDD505-2E9C-101B-9397-08002B2CF9AE}" pid="51" name="PM_OriginatorUserAccountName_SHA256">
    <vt:lpwstr>6E3018F28A186D2E5FF5207C041E7A82E907C3008E071057026A53705873B72E</vt:lpwstr>
  </property>
  <property fmtid="{D5CDD505-2E9C-101B-9397-08002B2CF9AE}" pid="52" name="PM_OriginatorDomainName_SHA256">
    <vt:lpwstr>ECBDE2B44A971754412B3FB70606937A119CC0D4B6C1B658A40FBD41C30BE3EC</vt:lpwstr>
  </property>
  <property fmtid="{D5CDD505-2E9C-101B-9397-08002B2CF9AE}" pid="53" name="PM_MinimumSecurityClassification">
    <vt:lpwstr/>
  </property>
  <property fmtid="{D5CDD505-2E9C-101B-9397-08002B2CF9AE}" pid="54" name="RecordPoint_SubmissionDate">
    <vt:lpwstr/>
  </property>
  <property fmtid="{D5CDD505-2E9C-101B-9397-08002B2CF9AE}" pid="55" name="RecordPoint_ActiveItemMoved">
    <vt:lpwstr/>
  </property>
  <property fmtid="{D5CDD505-2E9C-101B-9397-08002B2CF9AE}" pid="56" name="RecordPoint_RecordFormat">
    <vt:lpwstr/>
  </property>
</Properties>
</file>