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20E10" w14:textId="77777777" w:rsidR="002533F0" w:rsidRPr="00F714F9" w:rsidRDefault="002533F0" w:rsidP="00F714F9">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p>
    <w:p w14:paraId="23923463" w14:textId="77777777" w:rsidR="00EC0C59" w:rsidRPr="00BC76EB" w:rsidRDefault="00EC0C59" w:rsidP="002533F0">
      <w:pPr>
        <w:spacing w:before="0"/>
        <w:ind w:right="91"/>
        <w:jc w:val="center"/>
        <w:rPr>
          <w:rFonts w:ascii="Arial" w:hAnsi="Arial" w:cs="Arial"/>
          <w:b/>
          <w:szCs w:val="24"/>
          <w:u w:val="single"/>
        </w:rPr>
      </w:pPr>
    </w:p>
    <w:p w14:paraId="3AF072C3"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F714F9">
        <w:rPr>
          <w:rFonts w:ascii="Arial" w:hAnsi="Arial" w:cs="Arial"/>
          <w:szCs w:val="24"/>
        </w:rPr>
        <w:t>Families and Social Services</w:t>
      </w:r>
      <w:r w:rsidR="00446D6C" w:rsidRPr="00BC76EB">
        <w:rPr>
          <w:rFonts w:ascii="Arial" w:hAnsi="Arial" w:cs="Arial"/>
          <w:szCs w:val="24"/>
        </w:rPr>
        <w:t xml:space="preserve"> </w:t>
      </w:r>
    </w:p>
    <w:p w14:paraId="356F708B" w14:textId="77777777" w:rsidR="002533F0" w:rsidRPr="00BC76EB" w:rsidRDefault="002533F0" w:rsidP="002533F0">
      <w:pPr>
        <w:spacing w:before="0"/>
        <w:ind w:right="91"/>
        <w:jc w:val="center"/>
        <w:rPr>
          <w:rFonts w:ascii="Arial" w:hAnsi="Arial" w:cs="Arial"/>
          <w:i/>
          <w:szCs w:val="24"/>
        </w:rPr>
      </w:pPr>
    </w:p>
    <w:p w14:paraId="0F3D45D6" w14:textId="77777777" w:rsidR="00966756" w:rsidRPr="00F714F9" w:rsidRDefault="00F714F9" w:rsidP="002533F0">
      <w:pPr>
        <w:spacing w:before="0"/>
        <w:ind w:right="91"/>
        <w:jc w:val="center"/>
        <w:rPr>
          <w:rFonts w:ascii="Arial" w:hAnsi="Arial" w:cs="Arial"/>
          <w:i/>
          <w:szCs w:val="24"/>
        </w:rPr>
      </w:pPr>
      <w:r w:rsidRPr="00F714F9">
        <w:rPr>
          <w:rFonts w:ascii="Arial" w:hAnsi="Arial" w:cs="Arial"/>
          <w:i/>
          <w:szCs w:val="24"/>
        </w:rPr>
        <w:t>Social Security Act 1991</w:t>
      </w:r>
    </w:p>
    <w:p w14:paraId="3CACE534" w14:textId="77777777" w:rsidR="00966756" w:rsidRPr="00F714F9" w:rsidRDefault="00966756" w:rsidP="002533F0">
      <w:pPr>
        <w:spacing w:before="0"/>
        <w:ind w:right="91"/>
        <w:jc w:val="center"/>
        <w:rPr>
          <w:rFonts w:ascii="Arial" w:hAnsi="Arial" w:cs="Arial"/>
          <w:i/>
          <w:szCs w:val="24"/>
        </w:rPr>
      </w:pPr>
    </w:p>
    <w:p w14:paraId="4FE1DA26" w14:textId="24BDED91" w:rsidR="002533F0" w:rsidRPr="00752209" w:rsidRDefault="00F714F9" w:rsidP="00887F8D">
      <w:pPr>
        <w:spacing w:before="0"/>
        <w:ind w:right="91"/>
        <w:jc w:val="center"/>
        <w:rPr>
          <w:rFonts w:ascii="Arial" w:hAnsi="Arial" w:cs="Arial"/>
          <w:szCs w:val="24"/>
        </w:rPr>
      </w:pPr>
      <w:r w:rsidRPr="00752209">
        <w:rPr>
          <w:rFonts w:ascii="Arial" w:hAnsi="Arial" w:cs="Arial"/>
          <w:szCs w:val="24"/>
        </w:rPr>
        <w:t xml:space="preserve">Social Security (Essential Medical Equipment Payment – </w:t>
      </w:r>
      <w:r w:rsidR="00887F8D" w:rsidRPr="00752209">
        <w:rPr>
          <w:rFonts w:ascii="Arial" w:hAnsi="Arial" w:cs="Arial"/>
          <w:szCs w:val="24"/>
        </w:rPr>
        <w:t>Essential Medical Equipment</w:t>
      </w:r>
      <w:r w:rsidR="007B2867" w:rsidRPr="00752209">
        <w:rPr>
          <w:rFonts w:ascii="Arial" w:hAnsi="Arial" w:cs="Arial"/>
          <w:szCs w:val="24"/>
        </w:rPr>
        <w:t>) Specification 2022</w:t>
      </w:r>
    </w:p>
    <w:p w14:paraId="267AD0FA" w14:textId="77777777" w:rsidR="002533F0" w:rsidRPr="00BC76EB" w:rsidRDefault="002533F0" w:rsidP="002533F0">
      <w:pPr>
        <w:spacing w:before="0"/>
        <w:ind w:right="91"/>
        <w:jc w:val="center"/>
        <w:rPr>
          <w:rFonts w:ascii="Arial" w:hAnsi="Arial" w:cs="Arial"/>
          <w:i/>
          <w:szCs w:val="24"/>
        </w:rPr>
      </w:pPr>
    </w:p>
    <w:p w14:paraId="50AFD33F"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58A3AC23" w14:textId="732D1FC9" w:rsidR="008A6973" w:rsidRDefault="00A24489"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purpose of the </w:t>
      </w:r>
      <w:r w:rsidRPr="00752209">
        <w:rPr>
          <w:rStyle w:val="BookTitle"/>
          <w:rFonts w:ascii="Arial" w:hAnsi="Arial" w:cs="Arial"/>
          <w:i w:val="0"/>
          <w:iCs w:val="0"/>
          <w:smallCaps w:val="0"/>
          <w:spacing w:val="0"/>
          <w:szCs w:val="24"/>
        </w:rPr>
        <w:t>Social Security (Essential Medical Equipment Payment – E</w:t>
      </w:r>
      <w:r w:rsidR="00887F8D" w:rsidRPr="00752209">
        <w:rPr>
          <w:rStyle w:val="BookTitle"/>
          <w:rFonts w:ascii="Arial" w:hAnsi="Arial" w:cs="Arial"/>
          <w:i w:val="0"/>
          <w:iCs w:val="0"/>
          <w:smallCaps w:val="0"/>
          <w:spacing w:val="0"/>
          <w:szCs w:val="24"/>
        </w:rPr>
        <w:t>ssential Medical Equipment</w:t>
      </w:r>
      <w:r w:rsidR="007B2867" w:rsidRPr="00752209">
        <w:rPr>
          <w:rStyle w:val="BookTitle"/>
          <w:rFonts w:ascii="Arial" w:hAnsi="Arial" w:cs="Arial"/>
          <w:i w:val="0"/>
          <w:iCs w:val="0"/>
          <w:smallCaps w:val="0"/>
          <w:spacing w:val="0"/>
          <w:szCs w:val="24"/>
        </w:rPr>
        <w:t>) Specification 2022</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w:t>
      </w:r>
      <w:r w:rsidR="00D63F8E">
        <w:rPr>
          <w:rStyle w:val="BookTitle"/>
          <w:rFonts w:ascii="Arial" w:hAnsi="Arial" w:cs="Arial"/>
          <w:i w:val="0"/>
          <w:iCs w:val="0"/>
          <w:smallCaps w:val="0"/>
          <w:spacing w:val="0"/>
          <w:szCs w:val="24"/>
        </w:rPr>
        <w:t xml:space="preserve">this </w:t>
      </w:r>
      <w:r w:rsidR="0093244B">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is to replace the </w:t>
      </w:r>
      <w:r w:rsidRPr="00752209">
        <w:rPr>
          <w:rStyle w:val="BookTitle"/>
          <w:rFonts w:ascii="Arial" w:hAnsi="Arial" w:cs="Arial"/>
          <w:i w:val="0"/>
          <w:iCs w:val="0"/>
          <w:smallCaps w:val="0"/>
          <w:spacing w:val="0"/>
          <w:szCs w:val="24"/>
        </w:rPr>
        <w:t>Social Security (Essential Me</w:t>
      </w:r>
      <w:r w:rsidR="00887F8D" w:rsidRPr="00752209">
        <w:rPr>
          <w:rStyle w:val="BookTitle"/>
          <w:rFonts w:ascii="Arial" w:hAnsi="Arial" w:cs="Arial"/>
          <w:i w:val="0"/>
          <w:iCs w:val="0"/>
          <w:smallCaps w:val="0"/>
          <w:spacing w:val="0"/>
          <w:szCs w:val="24"/>
        </w:rPr>
        <w:t>dical Equipment Payment – Essential Medical Equipment</w:t>
      </w:r>
      <w:r w:rsidRPr="00752209">
        <w:rPr>
          <w:rStyle w:val="BookTitle"/>
          <w:rFonts w:ascii="Arial" w:hAnsi="Arial" w:cs="Arial"/>
          <w:i w:val="0"/>
          <w:iCs w:val="0"/>
          <w:smallCaps w:val="0"/>
          <w:spacing w:val="0"/>
          <w:szCs w:val="24"/>
        </w:rPr>
        <w:t>) Specification 2012</w:t>
      </w:r>
      <w:r w:rsidR="0094713B">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which </w:t>
      </w:r>
      <w:r w:rsidR="00052227">
        <w:rPr>
          <w:rStyle w:val="BookTitle"/>
          <w:rFonts w:ascii="Arial" w:hAnsi="Arial" w:cs="Arial"/>
          <w:i w:val="0"/>
          <w:iCs w:val="0"/>
          <w:smallCaps w:val="0"/>
          <w:spacing w:val="0"/>
          <w:szCs w:val="24"/>
        </w:rPr>
        <w:t>will sunset on</w:t>
      </w:r>
      <w:r>
        <w:rPr>
          <w:rStyle w:val="BookTitle"/>
          <w:rFonts w:ascii="Arial" w:hAnsi="Arial" w:cs="Arial"/>
          <w:i w:val="0"/>
          <w:iCs w:val="0"/>
          <w:smallCaps w:val="0"/>
          <w:spacing w:val="0"/>
          <w:szCs w:val="24"/>
        </w:rPr>
        <w:t xml:space="preserve"> 1 April 2022.</w:t>
      </w:r>
    </w:p>
    <w:p w14:paraId="5E3B84AE" w14:textId="25B3ABE0" w:rsidR="00A24489" w:rsidRDefault="00A24489"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0093244B">
        <w:rPr>
          <w:rStyle w:val="BookTitle"/>
          <w:rFonts w:ascii="Arial" w:hAnsi="Arial" w:cs="Arial"/>
          <w:i w:val="0"/>
          <w:iCs w:val="0"/>
          <w:smallCaps w:val="0"/>
          <w:spacing w:val="0"/>
          <w:szCs w:val="24"/>
        </w:rPr>
        <w:t xml:space="preserve"> instrument</w:t>
      </w:r>
      <w:r w:rsidR="00D63F8E">
        <w:rPr>
          <w:rStyle w:val="BookTitle"/>
          <w:rFonts w:ascii="Arial" w:hAnsi="Arial" w:cs="Arial"/>
          <w:i w:val="0"/>
          <w:iCs w:val="0"/>
          <w:smallCaps w:val="0"/>
          <w:spacing w:val="0"/>
          <w:szCs w:val="24"/>
        </w:rPr>
        <w:t xml:space="preserve"> allow</w:t>
      </w:r>
      <w:r w:rsidR="0094713B">
        <w:rPr>
          <w:rStyle w:val="BookTitle"/>
          <w:rFonts w:ascii="Arial" w:hAnsi="Arial" w:cs="Arial"/>
          <w:i w:val="0"/>
          <w:iCs w:val="0"/>
          <w:smallCaps w:val="0"/>
          <w:spacing w:val="0"/>
          <w:szCs w:val="24"/>
        </w:rPr>
        <w:t>s</w:t>
      </w:r>
      <w:r w:rsidR="00D63F8E">
        <w:rPr>
          <w:rStyle w:val="BookTitle"/>
          <w:rFonts w:ascii="Arial" w:hAnsi="Arial" w:cs="Arial"/>
          <w:i w:val="0"/>
          <w:iCs w:val="0"/>
          <w:smallCaps w:val="0"/>
          <w:spacing w:val="0"/>
          <w:szCs w:val="24"/>
        </w:rPr>
        <w:t xml:space="preserve"> a person to qualify for an annual </w:t>
      </w:r>
      <w:r w:rsidR="00436E77">
        <w:rPr>
          <w:rStyle w:val="BookTitle"/>
          <w:rFonts w:ascii="Arial" w:hAnsi="Arial" w:cs="Arial"/>
          <w:i w:val="0"/>
          <w:iCs w:val="0"/>
          <w:smallCaps w:val="0"/>
          <w:spacing w:val="0"/>
          <w:szCs w:val="24"/>
        </w:rPr>
        <w:t>Essential Medical Equipment P</w:t>
      </w:r>
      <w:r w:rsidR="00D63F8E">
        <w:rPr>
          <w:rStyle w:val="BookTitle"/>
          <w:rFonts w:ascii="Arial" w:hAnsi="Arial" w:cs="Arial"/>
          <w:i w:val="0"/>
          <w:iCs w:val="0"/>
          <w:smallCaps w:val="0"/>
          <w:spacing w:val="0"/>
          <w:szCs w:val="24"/>
        </w:rPr>
        <w:t>ayment</w:t>
      </w:r>
      <w:r w:rsidR="00436E77">
        <w:rPr>
          <w:rStyle w:val="BookTitle"/>
          <w:rFonts w:ascii="Arial" w:hAnsi="Arial" w:cs="Arial"/>
          <w:i w:val="0"/>
          <w:iCs w:val="0"/>
          <w:smallCaps w:val="0"/>
          <w:spacing w:val="0"/>
          <w:szCs w:val="24"/>
        </w:rPr>
        <w:t xml:space="preserve"> (EMEP)</w:t>
      </w:r>
      <w:r w:rsidR="00D63F8E">
        <w:rPr>
          <w:rStyle w:val="BookTitle"/>
          <w:rFonts w:ascii="Arial" w:hAnsi="Arial" w:cs="Arial"/>
          <w:i w:val="0"/>
          <w:iCs w:val="0"/>
          <w:smallCaps w:val="0"/>
          <w:spacing w:val="0"/>
          <w:szCs w:val="24"/>
        </w:rPr>
        <w:t xml:space="preserve"> if they or a person for whom they care </w:t>
      </w:r>
      <w:r w:rsidR="00887F8D">
        <w:rPr>
          <w:rStyle w:val="BookTitle"/>
          <w:rFonts w:ascii="Arial" w:hAnsi="Arial" w:cs="Arial"/>
          <w:i w:val="0"/>
          <w:iCs w:val="0"/>
          <w:smallCaps w:val="0"/>
          <w:spacing w:val="0"/>
          <w:szCs w:val="24"/>
        </w:rPr>
        <w:t>uses specified essential medical equipment</w:t>
      </w:r>
      <w:r w:rsidR="00D63F8E">
        <w:rPr>
          <w:rStyle w:val="BookTitle"/>
          <w:rFonts w:ascii="Arial" w:hAnsi="Arial" w:cs="Arial"/>
          <w:i w:val="0"/>
          <w:iCs w:val="0"/>
          <w:smallCaps w:val="0"/>
          <w:spacing w:val="0"/>
          <w:szCs w:val="24"/>
        </w:rPr>
        <w:t>.</w:t>
      </w:r>
    </w:p>
    <w:p w14:paraId="6C060C26" w14:textId="5F18FE3C" w:rsidR="00A24489"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55E5ECA2" w14:textId="59E3E0CB" w:rsidR="00A24489" w:rsidRPr="00A24489" w:rsidRDefault="0094713B" w:rsidP="00A24489">
      <w:pPr>
        <w:shd w:val="clear" w:color="auto" w:fill="FFFFFF"/>
        <w:rPr>
          <w:color w:val="000000"/>
          <w:szCs w:val="24"/>
        </w:rPr>
      </w:pPr>
      <w:r>
        <w:rPr>
          <w:rFonts w:ascii="Arial" w:hAnsi="Arial" w:cs="Arial"/>
          <w:color w:val="000000"/>
          <w:szCs w:val="24"/>
        </w:rPr>
        <w:t>T</w:t>
      </w:r>
      <w:r w:rsidR="00A24489" w:rsidRPr="00A24489">
        <w:rPr>
          <w:rFonts w:ascii="Arial" w:hAnsi="Arial" w:cs="Arial"/>
          <w:color w:val="000000"/>
          <w:szCs w:val="24"/>
        </w:rPr>
        <w:t xml:space="preserve">he </w:t>
      </w:r>
      <w:r w:rsidR="00436E77">
        <w:rPr>
          <w:rFonts w:ascii="Arial" w:hAnsi="Arial" w:cs="Arial"/>
          <w:color w:val="000000"/>
          <w:szCs w:val="24"/>
        </w:rPr>
        <w:t>EMEP</w:t>
      </w:r>
      <w:r w:rsidR="00A24489" w:rsidRPr="00A24489">
        <w:rPr>
          <w:rFonts w:ascii="Arial" w:hAnsi="Arial" w:cs="Arial"/>
          <w:color w:val="000000"/>
          <w:szCs w:val="24"/>
        </w:rPr>
        <w:t xml:space="preserve"> is an annual indexed payment paid to certain households where a person, for medical reasons, must use essential medical equipment or additional heating or cooling, resulting in higher than average energy use.</w:t>
      </w:r>
    </w:p>
    <w:p w14:paraId="66526D4F" w14:textId="0B59B790" w:rsidR="00A24489" w:rsidRDefault="00A24489" w:rsidP="00A24489">
      <w:pPr>
        <w:shd w:val="clear" w:color="auto" w:fill="FFFFFF"/>
        <w:rPr>
          <w:rFonts w:ascii="Arial" w:hAnsi="Arial" w:cs="Arial"/>
          <w:color w:val="000000"/>
          <w:szCs w:val="24"/>
        </w:rPr>
      </w:pPr>
      <w:r w:rsidRPr="00A24489">
        <w:rPr>
          <w:rFonts w:ascii="Arial" w:hAnsi="Arial" w:cs="Arial"/>
          <w:color w:val="000000"/>
          <w:szCs w:val="24"/>
        </w:rPr>
        <w:t xml:space="preserve">The </w:t>
      </w:r>
      <w:r w:rsidR="00436E77">
        <w:rPr>
          <w:rFonts w:ascii="Arial" w:hAnsi="Arial" w:cs="Arial"/>
          <w:color w:val="000000"/>
          <w:szCs w:val="24"/>
        </w:rPr>
        <w:t>EMEP</w:t>
      </w:r>
      <w:r w:rsidRPr="00A24489">
        <w:rPr>
          <w:rFonts w:ascii="Arial" w:hAnsi="Arial" w:cs="Arial"/>
          <w:color w:val="000000"/>
          <w:szCs w:val="24"/>
        </w:rPr>
        <w:t xml:space="preserve"> is provided for by Divis</w:t>
      </w:r>
      <w:r>
        <w:rPr>
          <w:rFonts w:ascii="Arial" w:hAnsi="Arial" w:cs="Arial"/>
          <w:color w:val="000000"/>
          <w:szCs w:val="24"/>
        </w:rPr>
        <w:t xml:space="preserve">ion 4 of Part 2.18A of the </w:t>
      </w:r>
      <w:r w:rsidR="00887F8D" w:rsidRPr="00887F8D">
        <w:rPr>
          <w:rFonts w:ascii="Arial" w:hAnsi="Arial" w:cs="Arial"/>
          <w:i/>
          <w:color w:val="000000"/>
          <w:szCs w:val="24"/>
        </w:rPr>
        <w:t xml:space="preserve">Social Security </w:t>
      </w:r>
      <w:r w:rsidRPr="00887F8D">
        <w:rPr>
          <w:rFonts w:ascii="Arial" w:hAnsi="Arial" w:cs="Arial"/>
          <w:i/>
          <w:color w:val="000000"/>
          <w:szCs w:val="24"/>
        </w:rPr>
        <w:t>Act</w:t>
      </w:r>
      <w:r w:rsidR="00887F8D" w:rsidRPr="00887F8D">
        <w:rPr>
          <w:rFonts w:ascii="Arial" w:hAnsi="Arial" w:cs="Arial"/>
          <w:i/>
          <w:color w:val="000000"/>
          <w:szCs w:val="24"/>
        </w:rPr>
        <w:t xml:space="preserve"> 1991</w:t>
      </w:r>
      <w:r w:rsidR="00887F8D">
        <w:rPr>
          <w:rFonts w:ascii="Arial" w:hAnsi="Arial" w:cs="Arial"/>
          <w:color w:val="000000"/>
          <w:szCs w:val="24"/>
        </w:rPr>
        <w:t xml:space="preserve"> (the Act)</w:t>
      </w:r>
      <w:r>
        <w:rPr>
          <w:rFonts w:ascii="Arial" w:hAnsi="Arial" w:cs="Arial"/>
          <w:color w:val="000000"/>
          <w:szCs w:val="24"/>
        </w:rPr>
        <w:t>.</w:t>
      </w:r>
      <w:r w:rsidRPr="00A24489">
        <w:rPr>
          <w:rFonts w:ascii="Arial" w:hAnsi="Arial" w:cs="Arial"/>
          <w:color w:val="000000"/>
          <w:szCs w:val="24"/>
        </w:rPr>
        <w:t xml:space="preserve"> A person is qualified for an </w:t>
      </w:r>
      <w:r w:rsidR="00436E77">
        <w:rPr>
          <w:rFonts w:ascii="Arial" w:hAnsi="Arial" w:cs="Arial"/>
          <w:color w:val="000000"/>
          <w:szCs w:val="24"/>
        </w:rPr>
        <w:t>EMEP</w:t>
      </w:r>
      <w:r w:rsidRPr="00A24489">
        <w:rPr>
          <w:rFonts w:ascii="Arial" w:hAnsi="Arial" w:cs="Arial"/>
          <w:color w:val="000000"/>
          <w:szCs w:val="24"/>
        </w:rPr>
        <w:t xml:space="preserve"> if they satisfy the medical needs requirement in section 917C, the concession card</w:t>
      </w:r>
      <w:r>
        <w:rPr>
          <w:rFonts w:ascii="Arial" w:hAnsi="Arial" w:cs="Arial"/>
          <w:color w:val="000000"/>
          <w:szCs w:val="24"/>
        </w:rPr>
        <w:t xml:space="preserve"> requirement in section 917D,</w:t>
      </w:r>
      <w:r w:rsidRPr="00A24489">
        <w:rPr>
          <w:rFonts w:ascii="Arial" w:hAnsi="Arial" w:cs="Arial"/>
          <w:color w:val="000000"/>
          <w:szCs w:val="24"/>
        </w:rPr>
        <w:t xml:space="preserve"> the energy account requirement in section 917E, and otherwise meet the requirements of section 917B.  </w:t>
      </w:r>
    </w:p>
    <w:p w14:paraId="70B3E53B" w14:textId="1B63ADFE" w:rsidR="00A24489" w:rsidRPr="00A24489" w:rsidRDefault="00887F8D" w:rsidP="00A24489">
      <w:pPr>
        <w:shd w:val="clear" w:color="auto" w:fill="FFFFFF"/>
        <w:rPr>
          <w:color w:val="000000"/>
          <w:szCs w:val="24"/>
        </w:rPr>
      </w:pPr>
      <w:r>
        <w:rPr>
          <w:rFonts w:ascii="Arial" w:hAnsi="Arial" w:cs="Arial"/>
          <w:color w:val="000000"/>
          <w:szCs w:val="24"/>
        </w:rPr>
        <w:t>Part of the medical needs requirement in section 917C is that the person requires the use of specified essential medical equipment</w:t>
      </w:r>
      <w:r w:rsidR="00BB0ECF">
        <w:rPr>
          <w:rFonts w:ascii="Arial" w:hAnsi="Arial" w:cs="Arial"/>
          <w:color w:val="000000"/>
          <w:szCs w:val="24"/>
        </w:rPr>
        <w:t xml:space="preserve"> in the relevant </w:t>
      </w:r>
      <w:r w:rsidR="00436E77">
        <w:rPr>
          <w:rFonts w:ascii="Arial" w:hAnsi="Arial" w:cs="Arial"/>
          <w:color w:val="000000"/>
          <w:szCs w:val="24"/>
        </w:rPr>
        <w:t>EMEP</w:t>
      </w:r>
      <w:r w:rsidR="00550B86">
        <w:rPr>
          <w:rFonts w:ascii="Arial" w:hAnsi="Arial" w:cs="Arial"/>
          <w:color w:val="000000"/>
          <w:szCs w:val="24"/>
        </w:rPr>
        <w:t xml:space="preserve"> residence</w:t>
      </w:r>
      <w:r w:rsidR="00BB0ECF">
        <w:rPr>
          <w:rFonts w:ascii="Arial" w:hAnsi="Arial" w:cs="Arial"/>
          <w:color w:val="000000"/>
          <w:szCs w:val="24"/>
        </w:rPr>
        <w:t>, and the person uses that equipment in the relevant EMEP residence</w:t>
      </w:r>
      <w:r>
        <w:rPr>
          <w:rFonts w:ascii="Arial" w:hAnsi="Arial" w:cs="Arial"/>
          <w:color w:val="000000"/>
          <w:szCs w:val="24"/>
        </w:rPr>
        <w:t>.</w:t>
      </w:r>
    </w:p>
    <w:p w14:paraId="406DF53B" w14:textId="243ABEDC" w:rsidR="00A24489" w:rsidRPr="00A24489" w:rsidRDefault="00A24489" w:rsidP="00A24489">
      <w:pPr>
        <w:shd w:val="clear" w:color="auto" w:fill="FFFFFF"/>
        <w:rPr>
          <w:color w:val="000000"/>
          <w:szCs w:val="24"/>
        </w:rPr>
      </w:pPr>
      <w:r w:rsidRPr="00A24489">
        <w:rPr>
          <w:rFonts w:ascii="Arial" w:hAnsi="Arial" w:cs="Arial"/>
          <w:color w:val="000000"/>
          <w:szCs w:val="24"/>
        </w:rPr>
        <w:t xml:space="preserve">An </w:t>
      </w:r>
      <w:r w:rsidR="00436E77">
        <w:rPr>
          <w:rFonts w:ascii="Arial" w:hAnsi="Arial" w:cs="Arial"/>
          <w:color w:val="000000"/>
          <w:szCs w:val="24"/>
        </w:rPr>
        <w:t>EMEP</w:t>
      </w:r>
      <w:r w:rsidRPr="00A24489">
        <w:rPr>
          <w:rFonts w:ascii="Arial" w:hAnsi="Arial" w:cs="Arial"/>
          <w:color w:val="000000"/>
          <w:szCs w:val="24"/>
        </w:rPr>
        <w:t xml:space="preserve"> may alternatively be payable in relation to holders of concession cards under the </w:t>
      </w:r>
      <w:r w:rsidRPr="00A24489">
        <w:rPr>
          <w:rFonts w:ascii="Arial" w:hAnsi="Arial" w:cs="Arial"/>
          <w:i/>
          <w:iCs/>
          <w:color w:val="000000"/>
          <w:szCs w:val="24"/>
        </w:rPr>
        <w:t>Veterans’ Entitlements Act 1986</w:t>
      </w:r>
      <w:r w:rsidRPr="00A24489">
        <w:rPr>
          <w:rFonts w:ascii="Arial" w:hAnsi="Arial" w:cs="Arial"/>
          <w:color w:val="000000"/>
          <w:szCs w:val="24"/>
        </w:rPr>
        <w:t> (the Veterans’ Entitlements Act), based upon identical criteria.</w:t>
      </w:r>
    </w:p>
    <w:p w14:paraId="35884536" w14:textId="77777777"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47D3ED1A" w14:textId="4A27D88A" w:rsidR="000B4130" w:rsidRDefault="00D63F8E"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w:t>
      </w:r>
      <w:r w:rsidR="0093244B">
        <w:rPr>
          <w:rStyle w:val="BookTitle"/>
          <w:rFonts w:ascii="Arial" w:hAnsi="Arial" w:cs="Arial"/>
          <w:i w:val="0"/>
          <w:iCs w:val="0"/>
          <w:smallCaps w:val="0"/>
          <w:spacing w:val="0"/>
          <w:szCs w:val="24"/>
        </w:rPr>
        <w:t>instrument</w:t>
      </w:r>
      <w:r w:rsidR="000B4130" w:rsidRPr="00BC76EB">
        <w:rPr>
          <w:rStyle w:val="BookTitle"/>
          <w:rFonts w:ascii="Arial" w:hAnsi="Arial" w:cs="Arial"/>
          <w:i w:val="0"/>
          <w:iCs w:val="0"/>
          <w:smallCaps w:val="0"/>
          <w:spacing w:val="0"/>
          <w:szCs w:val="24"/>
        </w:rPr>
        <w:t xml:space="preserve"> commences </w:t>
      </w:r>
      <w:r>
        <w:rPr>
          <w:rStyle w:val="BookTitle"/>
          <w:rFonts w:ascii="Arial" w:hAnsi="Arial" w:cs="Arial"/>
          <w:i w:val="0"/>
          <w:iCs w:val="0"/>
          <w:smallCaps w:val="0"/>
          <w:spacing w:val="0"/>
          <w:szCs w:val="24"/>
        </w:rPr>
        <w:t xml:space="preserve">on </w:t>
      </w:r>
      <w:r w:rsidR="00B36205">
        <w:rPr>
          <w:rStyle w:val="BookTitle"/>
          <w:rFonts w:ascii="Arial" w:hAnsi="Arial" w:cs="Arial"/>
          <w:i w:val="0"/>
          <w:iCs w:val="0"/>
          <w:smallCaps w:val="0"/>
          <w:spacing w:val="0"/>
          <w:szCs w:val="24"/>
        </w:rPr>
        <w:t>1 April 2022</w:t>
      </w:r>
      <w:r w:rsidR="000B4130" w:rsidRPr="00BC76EB">
        <w:rPr>
          <w:rStyle w:val="BookTitle"/>
          <w:rFonts w:ascii="Arial" w:hAnsi="Arial" w:cs="Arial"/>
          <w:i w:val="0"/>
          <w:iCs w:val="0"/>
          <w:smallCaps w:val="0"/>
          <w:spacing w:val="0"/>
          <w:szCs w:val="24"/>
        </w:rPr>
        <w:t>.</w:t>
      </w:r>
    </w:p>
    <w:p w14:paraId="50ADC27B" w14:textId="27444486" w:rsidR="0093244B" w:rsidRDefault="00887F8D"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 917C(3)(a)</w:t>
      </w:r>
      <w:r w:rsidR="0093244B">
        <w:rPr>
          <w:rStyle w:val="BookTitle"/>
          <w:rFonts w:ascii="Arial" w:hAnsi="Arial" w:cs="Arial"/>
          <w:i w:val="0"/>
          <w:iCs w:val="0"/>
          <w:smallCaps w:val="0"/>
          <w:spacing w:val="0"/>
          <w:szCs w:val="24"/>
        </w:rPr>
        <w:t xml:space="preserve"> of the </w:t>
      </w:r>
      <w:r>
        <w:rPr>
          <w:rStyle w:val="BookTitle"/>
          <w:rFonts w:ascii="Arial" w:hAnsi="Arial" w:cs="Arial"/>
          <w:i w:val="0"/>
          <w:iCs w:val="0"/>
          <w:smallCaps w:val="0"/>
          <w:spacing w:val="0"/>
          <w:szCs w:val="24"/>
        </w:rPr>
        <w:t>Act</w:t>
      </w:r>
      <w:r w:rsidR="0093244B">
        <w:rPr>
          <w:rStyle w:val="BookTitle"/>
          <w:rFonts w:ascii="Arial" w:hAnsi="Arial" w:cs="Arial"/>
          <w:i w:val="0"/>
          <w:iCs w:val="0"/>
          <w:smallCaps w:val="0"/>
          <w:spacing w:val="0"/>
          <w:szCs w:val="24"/>
        </w:rPr>
        <w:t xml:space="preserve"> allows the Minister to specify, by legislative instrument, </w:t>
      </w:r>
      <w:r w:rsidR="007E3B93">
        <w:rPr>
          <w:rStyle w:val="BookTitle"/>
          <w:rFonts w:ascii="Arial" w:hAnsi="Arial" w:cs="Arial"/>
          <w:i w:val="0"/>
          <w:iCs w:val="0"/>
          <w:smallCaps w:val="0"/>
          <w:spacing w:val="0"/>
          <w:szCs w:val="24"/>
        </w:rPr>
        <w:t>essential medical equipment for the purposes of paragraph 917C(1)(a)</w:t>
      </w:r>
      <w:r w:rsidR="0093244B">
        <w:rPr>
          <w:rStyle w:val="BookTitle"/>
          <w:rFonts w:ascii="Arial" w:hAnsi="Arial" w:cs="Arial"/>
          <w:i w:val="0"/>
          <w:iCs w:val="0"/>
          <w:smallCaps w:val="0"/>
          <w:spacing w:val="0"/>
          <w:szCs w:val="24"/>
        </w:rPr>
        <w:t>.</w:t>
      </w:r>
    </w:p>
    <w:p w14:paraId="31779F0E" w14:textId="25541159" w:rsidR="006A6D51" w:rsidRPr="00BC76EB" w:rsidRDefault="006A6D51" w:rsidP="00752209">
      <w:pPr>
        <w:keepNext/>
        <w:keepLines/>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Consultation</w:t>
      </w:r>
    </w:p>
    <w:p w14:paraId="15B08239" w14:textId="77777777" w:rsidR="00A325EF" w:rsidRPr="00A325EF" w:rsidRDefault="00A325EF" w:rsidP="00752209">
      <w:pPr>
        <w:keepNext/>
        <w:keepLines/>
        <w:spacing w:after="240"/>
        <w:jc w:val="both"/>
        <w:rPr>
          <w:rFonts w:ascii="Arial" w:hAnsi="Arial" w:cs="Arial"/>
          <w:szCs w:val="24"/>
        </w:rPr>
      </w:pPr>
      <w:r w:rsidRPr="00A325EF">
        <w:rPr>
          <w:rFonts w:ascii="Arial" w:hAnsi="Arial" w:cs="Arial"/>
          <w:szCs w:val="24"/>
        </w:rPr>
        <w:t>External consultation was conducted with the following organisations:</w:t>
      </w:r>
    </w:p>
    <w:p w14:paraId="2F807855"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Australian Medical Association</w:t>
      </w:r>
    </w:p>
    <w:p w14:paraId="6E95347C"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Royal Australasian College of Physicians</w:t>
      </w:r>
    </w:p>
    <w:p w14:paraId="6D0B708E"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Royal Australian College of General Practitioners</w:t>
      </w:r>
    </w:p>
    <w:p w14:paraId="6AE9ECFF"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Australian Council of Social Services</w:t>
      </w:r>
    </w:p>
    <w:p w14:paraId="2B35E4C1"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 xml:space="preserve">People with Disability Australia </w:t>
      </w:r>
    </w:p>
    <w:p w14:paraId="4D958C2A"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Children and Young People with Disability Australia</w:t>
      </w:r>
    </w:p>
    <w:p w14:paraId="7D2F0F1B"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Australian Federation of Disability Organisations</w:t>
      </w:r>
    </w:p>
    <w:p w14:paraId="11637593"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Inclusion Australia</w:t>
      </w:r>
    </w:p>
    <w:p w14:paraId="2FA23822"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 xml:space="preserve">Carers Australia </w:t>
      </w:r>
    </w:p>
    <w:p w14:paraId="7D503EDF"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 xml:space="preserve">National Seniors Australia </w:t>
      </w:r>
    </w:p>
    <w:p w14:paraId="0A88FF01" w14:textId="77777777"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National Aboriginal Community Controlled Health Organisation</w:t>
      </w:r>
    </w:p>
    <w:p w14:paraId="44AB84EE" w14:textId="2CBB38E1" w:rsidR="00A325EF" w:rsidRPr="00A325EF" w:rsidRDefault="00A325EF" w:rsidP="00752209">
      <w:pPr>
        <w:pStyle w:val="ListParagraph"/>
        <w:keepLines/>
        <w:numPr>
          <w:ilvl w:val="0"/>
          <w:numId w:val="20"/>
        </w:numPr>
        <w:spacing w:after="240"/>
        <w:ind w:left="714" w:hanging="357"/>
        <w:jc w:val="both"/>
        <w:rPr>
          <w:rFonts w:ascii="Arial" w:hAnsi="Arial" w:cs="Arial"/>
          <w:szCs w:val="24"/>
        </w:rPr>
      </w:pPr>
      <w:r w:rsidRPr="00A325EF">
        <w:rPr>
          <w:rFonts w:ascii="Arial" w:hAnsi="Arial" w:cs="Arial"/>
          <w:szCs w:val="24"/>
        </w:rPr>
        <w:t>First Peoples Disability Network</w:t>
      </w:r>
      <w:r w:rsidR="0094713B">
        <w:rPr>
          <w:rFonts w:ascii="Arial" w:hAnsi="Arial" w:cs="Arial"/>
          <w:szCs w:val="24"/>
        </w:rPr>
        <w:t>.</w:t>
      </w:r>
    </w:p>
    <w:p w14:paraId="2743EB4B" w14:textId="77777777" w:rsidR="0094713B" w:rsidRPr="0094713B" w:rsidRDefault="0094713B" w:rsidP="0094713B">
      <w:pPr>
        <w:spacing w:before="120"/>
        <w:rPr>
          <w:rFonts w:ascii="Arial" w:hAnsi="Arial" w:cs="Arial"/>
          <w:szCs w:val="24"/>
        </w:rPr>
      </w:pPr>
      <w:r w:rsidRPr="0094713B">
        <w:rPr>
          <w:rFonts w:ascii="Arial" w:hAnsi="Arial" w:cs="Arial"/>
          <w:szCs w:val="24"/>
        </w:rPr>
        <w:t>The organisations were provided the opportunity to comment on the draft instrument. The Department of Social Services (the department) did not receive feedback from any organisation.</w:t>
      </w:r>
    </w:p>
    <w:p w14:paraId="38C1F8E0" w14:textId="239CDD76" w:rsidR="00A325EF" w:rsidRPr="00A325EF" w:rsidRDefault="00A325EF" w:rsidP="00A325EF">
      <w:pPr>
        <w:spacing w:after="240"/>
        <w:jc w:val="both"/>
        <w:rPr>
          <w:rFonts w:ascii="Arial" w:hAnsi="Arial" w:cs="Arial"/>
          <w:szCs w:val="24"/>
        </w:rPr>
      </w:pPr>
      <w:r w:rsidRPr="00A325EF">
        <w:rPr>
          <w:rFonts w:ascii="Arial" w:hAnsi="Arial" w:cs="Arial"/>
          <w:szCs w:val="24"/>
        </w:rPr>
        <w:t>The department also held discussions</w:t>
      </w:r>
      <w:r w:rsidR="0094713B">
        <w:rPr>
          <w:rFonts w:ascii="Arial" w:hAnsi="Arial" w:cs="Arial"/>
          <w:szCs w:val="24"/>
        </w:rPr>
        <w:t xml:space="preserve"> with the Department of Veteran</w:t>
      </w:r>
      <w:r w:rsidRPr="00A325EF">
        <w:rPr>
          <w:rFonts w:ascii="Arial" w:hAnsi="Arial" w:cs="Arial"/>
          <w:szCs w:val="24"/>
        </w:rPr>
        <w:t>s</w:t>
      </w:r>
      <w:r w:rsidR="0094713B">
        <w:rPr>
          <w:rFonts w:ascii="Arial" w:hAnsi="Arial" w:cs="Arial"/>
          <w:szCs w:val="24"/>
        </w:rPr>
        <w:t>’</w:t>
      </w:r>
      <w:r w:rsidRPr="00A325EF">
        <w:rPr>
          <w:rFonts w:ascii="Arial" w:hAnsi="Arial" w:cs="Arial"/>
          <w:szCs w:val="24"/>
        </w:rPr>
        <w:t xml:space="preserve"> Affairs and Services Australia. State and territory governments were also notified of the in</w:t>
      </w:r>
      <w:r w:rsidR="0094713B">
        <w:rPr>
          <w:rFonts w:ascii="Arial" w:hAnsi="Arial" w:cs="Arial"/>
          <w:szCs w:val="24"/>
        </w:rPr>
        <w:t>tention to renew the instrument</w:t>
      </w:r>
      <w:r w:rsidRPr="00A325EF">
        <w:rPr>
          <w:rFonts w:ascii="Arial" w:hAnsi="Arial" w:cs="Arial"/>
          <w:szCs w:val="24"/>
        </w:rPr>
        <w:t xml:space="preserve"> and given the opportunity to provide comments. </w:t>
      </w:r>
    </w:p>
    <w:p w14:paraId="36303C2F" w14:textId="77777777"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14:paraId="6F9574A9" w14:textId="5EFC118B" w:rsidR="00CD4F0C" w:rsidRDefault="00CD4F0C" w:rsidP="00CD4F0C">
      <w:pPr>
        <w:spacing w:before="120"/>
        <w:rPr>
          <w:rFonts w:ascii="Arial" w:hAnsi="Arial" w:cs="Arial"/>
          <w:szCs w:val="24"/>
        </w:rPr>
      </w:pPr>
      <w:r>
        <w:rPr>
          <w:rFonts w:ascii="Arial" w:hAnsi="Arial" w:cs="Arial"/>
          <w:szCs w:val="24"/>
        </w:rPr>
        <w:t xml:space="preserve">This instrument does not require a Regulatory Impact Statement. This instrument is not regulatory in nature, will not impact on business activity and will have no, or minimal, compliance costs or competition impact (OBPR ID: </w:t>
      </w:r>
      <w:r w:rsidR="006C28FD">
        <w:rPr>
          <w:rFonts w:ascii="Arial" w:hAnsi="Arial" w:cs="Arial"/>
          <w:szCs w:val="24"/>
        </w:rPr>
        <w:t>OBPR21-01046</w:t>
      </w:r>
      <w:r>
        <w:rPr>
          <w:rFonts w:ascii="Arial" w:hAnsi="Arial" w:cs="Arial"/>
          <w:szCs w:val="24"/>
        </w:rPr>
        <w:t>).</w:t>
      </w:r>
    </w:p>
    <w:p w14:paraId="5901CA12" w14:textId="6DA84DE9" w:rsidR="00946E6D" w:rsidRDefault="0006693F" w:rsidP="00A325EF">
      <w:pPr>
        <w:spacing w:after="240"/>
        <w:jc w:val="both"/>
        <w:rPr>
          <w:rFonts w:ascii="Arial" w:hAnsi="Arial" w:cs="Arial"/>
          <w:b/>
          <w:szCs w:val="24"/>
        </w:rPr>
      </w:pPr>
      <w:r w:rsidRPr="00402F94">
        <w:rPr>
          <w:rFonts w:ascii="Arial" w:hAnsi="Arial" w:cs="Arial"/>
          <w:b/>
          <w:szCs w:val="24"/>
        </w:rPr>
        <w:t>Availability of independent review</w:t>
      </w:r>
    </w:p>
    <w:p w14:paraId="0B79AC7C" w14:textId="68FFED19" w:rsidR="00402F94" w:rsidRPr="00B77FC7" w:rsidRDefault="00402F94" w:rsidP="00402F94">
      <w:pPr>
        <w:shd w:val="clear" w:color="auto" w:fill="FFFFFF"/>
        <w:spacing w:before="0"/>
        <w:jc w:val="both"/>
        <w:rPr>
          <w:color w:val="000000"/>
          <w:szCs w:val="24"/>
        </w:rPr>
      </w:pPr>
      <w:r w:rsidRPr="00B77FC7">
        <w:rPr>
          <w:rFonts w:ascii="Arial" w:hAnsi="Arial" w:cs="Arial"/>
          <w:color w:val="000000"/>
          <w:szCs w:val="24"/>
        </w:rPr>
        <w:t xml:space="preserve">A decision made as informed by this instrument under section </w:t>
      </w:r>
      <w:r>
        <w:rPr>
          <w:rFonts w:ascii="Arial" w:hAnsi="Arial" w:cs="Arial"/>
          <w:color w:val="000000"/>
          <w:szCs w:val="24"/>
        </w:rPr>
        <w:t>917</w:t>
      </w:r>
      <w:r w:rsidRPr="00B77FC7">
        <w:rPr>
          <w:rFonts w:ascii="Arial" w:hAnsi="Arial" w:cs="Arial"/>
          <w:color w:val="000000"/>
          <w:szCs w:val="24"/>
        </w:rPr>
        <w:t xml:space="preserve">B as to </w:t>
      </w:r>
      <w:r>
        <w:rPr>
          <w:rFonts w:ascii="Arial" w:hAnsi="Arial" w:cs="Arial"/>
          <w:color w:val="000000"/>
          <w:szCs w:val="24"/>
        </w:rPr>
        <w:t xml:space="preserve">qualification for </w:t>
      </w:r>
      <w:r w:rsidR="004B703A">
        <w:rPr>
          <w:rFonts w:ascii="Arial" w:hAnsi="Arial" w:cs="Arial"/>
          <w:color w:val="000000"/>
          <w:szCs w:val="24"/>
        </w:rPr>
        <w:t>the EMEP</w:t>
      </w:r>
      <w:r w:rsidRPr="00B77FC7">
        <w:rPr>
          <w:rFonts w:ascii="Arial" w:hAnsi="Arial" w:cs="Arial"/>
          <w:color w:val="000000"/>
          <w:szCs w:val="24"/>
        </w:rPr>
        <w:t xml:space="preserve"> is reviewable both internally and externally under the enabling Act and Parts 4 and 4A of the </w:t>
      </w:r>
      <w:r w:rsidRPr="00B77FC7">
        <w:rPr>
          <w:rFonts w:ascii="Arial" w:hAnsi="Arial" w:cs="Arial"/>
          <w:i/>
          <w:iCs/>
          <w:color w:val="000000"/>
          <w:szCs w:val="24"/>
        </w:rPr>
        <w:t>Social Security (Administration) Act 1999</w:t>
      </w:r>
      <w:r w:rsidRPr="00B77FC7">
        <w:rPr>
          <w:rFonts w:ascii="Arial" w:hAnsi="Arial" w:cs="Arial"/>
          <w:color w:val="000000"/>
          <w:szCs w:val="24"/>
        </w:rPr>
        <w:t>.</w:t>
      </w:r>
    </w:p>
    <w:p w14:paraId="426D747A" w14:textId="77777777" w:rsidR="00402F94" w:rsidRDefault="00402F94" w:rsidP="00402F94">
      <w:pPr>
        <w:shd w:val="clear" w:color="auto" w:fill="FFFFFF"/>
        <w:jc w:val="both"/>
        <w:rPr>
          <w:rFonts w:ascii="Arial" w:hAnsi="Arial" w:cs="Arial"/>
          <w:color w:val="000000"/>
          <w:szCs w:val="24"/>
        </w:rPr>
      </w:pPr>
      <w:r w:rsidRPr="00B77FC7">
        <w:rPr>
          <w:rFonts w:ascii="Arial" w:hAnsi="Arial" w:cs="Arial"/>
          <w:color w:val="000000"/>
          <w:szCs w:val="24"/>
        </w:rPr>
        <w:t>This instrument is a legislative instrument for the purposes of the </w:t>
      </w:r>
      <w:r w:rsidRPr="00B77FC7">
        <w:rPr>
          <w:rFonts w:ascii="Arial" w:hAnsi="Arial" w:cs="Arial"/>
          <w:i/>
          <w:iCs/>
          <w:color w:val="000000"/>
          <w:szCs w:val="24"/>
        </w:rPr>
        <w:t>Legislation Act 2003</w:t>
      </w:r>
      <w:r w:rsidRPr="00B77FC7">
        <w:rPr>
          <w:rFonts w:ascii="Arial" w:hAnsi="Arial" w:cs="Arial"/>
          <w:color w:val="000000"/>
          <w:szCs w:val="24"/>
        </w:rPr>
        <w:t> and is subject to disallowance.</w:t>
      </w:r>
    </w:p>
    <w:p w14:paraId="5DCB20D8" w14:textId="77777777" w:rsidR="006A6D51" w:rsidRPr="00BC76EB" w:rsidRDefault="006A6D51" w:rsidP="003A04AD">
      <w:pPr>
        <w:rPr>
          <w:rStyle w:val="BookTitle"/>
          <w:rFonts w:ascii="Arial" w:hAnsi="Arial" w:cs="Arial"/>
          <w:b/>
          <w:i w:val="0"/>
          <w:iCs w:val="0"/>
          <w:smallCaps w:val="0"/>
          <w:spacing w:val="0"/>
          <w:szCs w:val="24"/>
        </w:rPr>
      </w:pPr>
      <w:r w:rsidRPr="0093244B">
        <w:rPr>
          <w:rStyle w:val="BookTitle"/>
          <w:rFonts w:ascii="Arial" w:hAnsi="Arial" w:cs="Arial"/>
          <w:b/>
          <w:i w:val="0"/>
          <w:iCs w:val="0"/>
          <w:smallCaps w:val="0"/>
          <w:spacing w:val="0"/>
          <w:szCs w:val="24"/>
        </w:rPr>
        <w:t>Explanation of the provisions</w:t>
      </w:r>
    </w:p>
    <w:p w14:paraId="35E9D0C7" w14:textId="77777777" w:rsidR="0093244B" w:rsidRPr="00BC76EB" w:rsidRDefault="0093244B" w:rsidP="00752209">
      <w:pPr>
        <w:keepNext/>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 1</w:t>
      </w:r>
      <w:r w:rsidRPr="00BC76EB">
        <w:rPr>
          <w:rStyle w:val="BookTitle"/>
          <w:rFonts w:ascii="Arial" w:hAnsi="Arial" w:cs="Arial"/>
          <w:i w:val="0"/>
          <w:iCs w:val="0"/>
          <w:smallCaps w:val="0"/>
          <w:spacing w:val="0"/>
          <w:szCs w:val="24"/>
        </w:rPr>
        <w:t xml:space="preserve"> </w:t>
      </w:r>
    </w:p>
    <w:p w14:paraId="65FB44E6" w14:textId="001CE1A1" w:rsidR="0093244B" w:rsidRPr="00BC76E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the name of this instrument is the </w:t>
      </w:r>
      <w:r w:rsidRPr="00752209">
        <w:rPr>
          <w:rStyle w:val="BookTitle"/>
          <w:rFonts w:ascii="Arial" w:hAnsi="Arial" w:cs="Arial"/>
          <w:i w:val="0"/>
          <w:iCs w:val="0"/>
          <w:smallCaps w:val="0"/>
          <w:spacing w:val="0"/>
          <w:szCs w:val="24"/>
        </w:rPr>
        <w:t>Social Security (Essential Medical Equipment Payment – E</w:t>
      </w:r>
      <w:r w:rsidR="007E3B93" w:rsidRPr="00752209">
        <w:rPr>
          <w:rStyle w:val="BookTitle"/>
          <w:rFonts w:ascii="Arial" w:hAnsi="Arial" w:cs="Arial"/>
          <w:i w:val="0"/>
          <w:iCs w:val="0"/>
          <w:smallCaps w:val="0"/>
          <w:spacing w:val="0"/>
          <w:szCs w:val="24"/>
        </w:rPr>
        <w:t>ssential Medical Equipment</w:t>
      </w:r>
      <w:r w:rsidR="00402F94" w:rsidRPr="00752209">
        <w:rPr>
          <w:rStyle w:val="BookTitle"/>
          <w:rFonts w:ascii="Arial" w:hAnsi="Arial" w:cs="Arial"/>
          <w:i w:val="0"/>
          <w:iCs w:val="0"/>
          <w:smallCaps w:val="0"/>
          <w:spacing w:val="0"/>
          <w:szCs w:val="24"/>
        </w:rPr>
        <w:t xml:space="preserve">) </w:t>
      </w:r>
      <w:r w:rsidR="007B2867" w:rsidRPr="00752209">
        <w:rPr>
          <w:rStyle w:val="BookTitle"/>
          <w:rFonts w:ascii="Arial" w:hAnsi="Arial" w:cs="Arial"/>
          <w:i w:val="0"/>
          <w:iCs w:val="0"/>
          <w:smallCaps w:val="0"/>
          <w:spacing w:val="0"/>
          <w:szCs w:val="24"/>
        </w:rPr>
        <w:t>Specification 2022</w:t>
      </w:r>
      <w:r>
        <w:rPr>
          <w:rStyle w:val="BookTitle"/>
          <w:rFonts w:ascii="Arial" w:hAnsi="Arial" w:cs="Arial"/>
          <w:i w:val="0"/>
          <w:iCs w:val="0"/>
          <w:smallCaps w:val="0"/>
          <w:spacing w:val="0"/>
          <w:szCs w:val="24"/>
        </w:rPr>
        <w:t xml:space="preserve">. </w:t>
      </w:r>
    </w:p>
    <w:p w14:paraId="738F06E4" w14:textId="22B0666C" w:rsidR="0093244B" w:rsidRDefault="0093244B" w:rsidP="00752209">
      <w:pPr>
        <w:keepNext/>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 xml:space="preserve">Section 2 </w:t>
      </w:r>
      <w:r w:rsidRPr="00BC76EB">
        <w:rPr>
          <w:rStyle w:val="BookTitle"/>
          <w:rFonts w:ascii="Arial" w:hAnsi="Arial" w:cs="Arial"/>
          <w:i w:val="0"/>
          <w:iCs w:val="0"/>
          <w:smallCaps w:val="0"/>
          <w:spacing w:val="0"/>
          <w:szCs w:val="24"/>
        </w:rPr>
        <w:t xml:space="preserve"> </w:t>
      </w:r>
    </w:p>
    <w:p w14:paraId="510842C7" w14:textId="1DABB163" w:rsidR="0093244B" w:rsidRPr="00BC76E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this instrument commences on </w:t>
      </w:r>
      <w:r w:rsidR="00B24392">
        <w:rPr>
          <w:rStyle w:val="BookTitle"/>
          <w:rFonts w:ascii="Arial" w:hAnsi="Arial" w:cs="Arial"/>
          <w:i w:val="0"/>
          <w:iCs w:val="0"/>
          <w:smallCaps w:val="0"/>
          <w:spacing w:val="0"/>
          <w:szCs w:val="24"/>
        </w:rPr>
        <w:t>1 April 2022</w:t>
      </w:r>
      <w:r>
        <w:rPr>
          <w:rStyle w:val="BookTitle"/>
          <w:rFonts w:ascii="Arial" w:hAnsi="Arial" w:cs="Arial"/>
          <w:i w:val="0"/>
          <w:iCs w:val="0"/>
          <w:smallCaps w:val="0"/>
          <w:spacing w:val="0"/>
          <w:szCs w:val="24"/>
        </w:rPr>
        <w:t>.</w:t>
      </w:r>
    </w:p>
    <w:p w14:paraId="44F6A023" w14:textId="77777777" w:rsidR="0093244B" w:rsidRDefault="0093244B" w:rsidP="00752209">
      <w:pPr>
        <w:keepNext/>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lastRenderedPageBreak/>
        <w:t>Section</w:t>
      </w:r>
      <w:r>
        <w:rPr>
          <w:rStyle w:val="BookTitle"/>
          <w:rFonts w:ascii="Arial" w:hAnsi="Arial" w:cs="Arial"/>
          <w:i w:val="0"/>
          <w:iCs w:val="0"/>
          <w:smallCaps w:val="0"/>
          <w:spacing w:val="0"/>
          <w:szCs w:val="24"/>
          <w:u w:val="single"/>
        </w:rPr>
        <w:t xml:space="preserve"> 3</w:t>
      </w:r>
    </w:p>
    <w:p w14:paraId="446A425F" w14:textId="017B03BE" w:rsidR="0093244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the authority for making this instrument is </w:t>
      </w:r>
      <w:r w:rsidR="007E3B93">
        <w:rPr>
          <w:rStyle w:val="BookTitle"/>
          <w:rFonts w:ascii="Arial" w:hAnsi="Arial" w:cs="Arial"/>
          <w:i w:val="0"/>
          <w:iCs w:val="0"/>
          <w:smallCaps w:val="0"/>
          <w:spacing w:val="0"/>
          <w:szCs w:val="24"/>
        </w:rPr>
        <w:t>paragraph 917C(3)(a)</w:t>
      </w:r>
      <w:r>
        <w:rPr>
          <w:rStyle w:val="BookTitle"/>
          <w:rFonts w:ascii="Arial" w:hAnsi="Arial" w:cs="Arial"/>
          <w:i w:val="0"/>
          <w:iCs w:val="0"/>
          <w:smallCaps w:val="0"/>
          <w:spacing w:val="0"/>
          <w:szCs w:val="24"/>
        </w:rPr>
        <w:t xml:space="preserve"> of the Act.</w:t>
      </w:r>
    </w:p>
    <w:p w14:paraId="3B810051" w14:textId="77777777" w:rsidR="0093244B" w:rsidRDefault="0093244B" w:rsidP="0093244B">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4</w:t>
      </w:r>
      <w:r w:rsidRPr="00BC76EB">
        <w:rPr>
          <w:rStyle w:val="BookTitle"/>
          <w:rFonts w:ascii="Arial" w:hAnsi="Arial" w:cs="Arial"/>
          <w:i w:val="0"/>
          <w:iCs w:val="0"/>
          <w:smallCaps w:val="0"/>
          <w:spacing w:val="0"/>
          <w:szCs w:val="24"/>
          <w:u w:val="single"/>
        </w:rPr>
        <w:t xml:space="preserve"> </w:t>
      </w:r>
      <w:r w:rsidRPr="00BC76EB">
        <w:rPr>
          <w:rStyle w:val="BookTitle"/>
          <w:rFonts w:ascii="Arial" w:hAnsi="Arial" w:cs="Arial"/>
          <w:i w:val="0"/>
          <w:iCs w:val="0"/>
          <w:smallCaps w:val="0"/>
          <w:spacing w:val="0"/>
          <w:szCs w:val="24"/>
        </w:rPr>
        <w:t xml:space="preserve"> </w:t>
      </w:r>
    </w:p>
    <w:p w14:paraId="5EF5FA0B" w14:textId="3410144D" w:rsidR="0093244B" w:rsidRPr="00052227"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w:t>
      </w:r>
      <w:r w:rsidR="00052227">
        <w:rPr>
          <w:rStyle w:val="BookTitle"/>
          <w:rFonts w:ascii="Arial" w:hAnsi="Arial" w:cs="Arial"/>
          <w:i w:val="0"/>
          <w:iCs w:val="0"/>
          <w:smallCaps w:val="0"/>
          <w:spacing w:val="0"/>
          <w:szCs w:val="24"/>
        </w:rPr>
        <w:t xml:space="preserve">in this instrument the Act means the </w:t>
      </w:r>
      <w:r w:rsidR="00052227">
        <w:rPr>
          <w:rStyle w:val="BookTitle"/>
          <w:rFonts w:ascii="Arial" w:hAnsi="Arial" w:cs="Arial"/>
          <w:iCs w:val="0"/>
          <w:smallCaps w:val="0"/>
          <w:spacing w:val="0"/>
          <w:szCs w:val="24"/>
        </w:rPr>
        <w:t>Social Security Act 1991</w:t>
      </w:r>
      <w:r w:rsidR="00052227">
        <w:rPr>
          <w:rStyle w:val="BookTitle"/>
          <w:rFonts w:ascii="Arial" w:hAnsi="Arial" w:cs="Arial"/>
          <w:i w:val="0"/>
          <w:iCs w:val="0"/>
          <w:smallCaps w:val="0"/>
          <w:spacing w:val="0"/>
          <w:szCs w:val="24"/>
        </w:rPr>
        <w:t>.</w:t>
      </w:r>
    </w:p>
    <w:p w14:paraId="1D8650F0" w14:textId="31193007" w:rsidR="0093244B" w:rsidRPr="00816A32" w:rsidRDefault="0093244B" w:rsidP="0093244B">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Section 5</w:t>
      </w:r>
      <w:r>
        <w:rPr>
          <w:rStyle w:val="BookTitle"/>
          <w:rFonts w:ascii="Arial" w:hAnsi="Arial" w:cs="Arial"/>
          <w:i w:val="0"/>
          <w:iCs w:val="0"/>
          <w:smallCaps w:val="0"/>
          <w:spacing w:val="0"/>
          <w:szCs w:val="24"/>
          <w:u w:val="single"/>
        </w:rPr>
        <w:br/>
      </w:r>
    </w:p>
    <w:p w14:paraId="02974863" w14:textId="6DDAFDFA" w:rsidR="0095196E" w:rsidRPr="0093244B" w:rsidRDefault="0093244B" w:rsidP="0093244B">
      <w:pPr>
        <w:spacing w:before="0" w:after="200" w:line="276" w:lineRule="auto"/>
        <w:rPr>
          <w:rFonts w:ascii="Arial" w:eastAsiaTheme="majorEastAsia" w:hAnsi="Arial" w:cs="Arial"/>
          <w:b/>
          <w:bCs/>
          <w:color w:val="0070C0"/>
          <w:szCs w:val="24"/>
        </w:rPr>
      </w:pPr>
      <w:r>
        <w:rPr>
          <w:rStyle w:val="BookTitle"/>
          <w:rFonts w:ascii="Arial" w:hAnsi="Arial" w:cs="Arial"/>
          <w:i w:val="0"/>
          <w:iCs w:val="0"/>
          <w:smallCaps w:val="0"/>
          <w:spacing w:val="0"/>
          <w:szCs w:val="24"/>
        </w:rPr>
        <w:t xml:space="preserve">This section specifies </w:t>
      </w:r>
      <w:r w:rsidR="007E3B93">
        <w:rPr>
          <w:rStyle w:val="BookTitle"/>
          <w:rFonts w:ascii="Arial" w:hAnsi="Arial" w:cs="Arial"/>
          <w:i w:val="0"/>
          <w:iCs w:val="0"/>
          <w:smallCaps w:val="0"/>
          <w:spacing w:val="0"/>
          <w:szCs w:val="24"/>
        </w:rPr>
        <w:t>essential medical equipment</w:t>
      </w:r>
      <w:r w:rsidR="00987FF3">
        <w:rPr>
          <w:rStyle w:val="BookTitle"/>
          <w:rFonts w:ascii="Arial" w:hAnsi="Arial" w:cs="Arial"/>
          <w:i w:val="0"/>
          <w:iCs w:val="0"/>
          <w:smallCaps w:val="0"/>
          <w:spacing w:val="0"/>
          <w:szCs w:val="24"/>
        </w:rPr>
        <w:t xml:space="preserve"> for the purposes of paragraph 917C(1)(a) of the Act</w:t>
      </w:r>
      <w:r>
        <w:rPr>
          <w:rStyle w:val="BookTitle"/>
          <w:rFonts w:ascii="Arial" w:hAnsi="Arial" w:cs="Arial"/>
          <w:i w:val="0"/>
          <w:iCs w:val="0"/>
          <w:smallCaps w:val="0"/>
          <w:spacing w:val="0"/>
          <w:szCs w:val="24"/>
        </w:rPr>
        <w:t>.</w:t>
      </w:r>
    </w:p>
    <w:p w14:paraId="00C0B916" w14:textId="77777777" w:rsidR="00C37944" w:rsidRPr="00BC76EB" w:rsidRDefault="00C37944">
      <w:pPr>
        <w:spacing w:before="0" w:after="200" w:line="276" w:lineRule="auto"/>
        <w:rPr>
          <w:rFonts w:ascii="Arial" w:eastAsiaTheme="majorEastAsia" w:hAnsi="Arial" w:cs="Arial"/>
          <w:b/>
          <w:bCs/>
          <w:szCs w:val="24"/>
        </w:rPr>
      </w:pPr>
      <w:bookmarkStart w:id="1" w:name="_Toc290210739"/>
      <w:r w:rsidRPr="00BC76EB">
        <w:rPr>
          <w:rFonts w:ascii="Arial" w:hAnsi="Arial" w:cs="Arial"/>
          <w:szCs w:val="24"/>
        </w:rPr>
        <w:br w:type="page"/>
      </w:r>
    </w:p>
    <w:p w14:paraId="345B5967" w14:textId="77777777" w:rsidR="00D210BC" w:rsidRPr="00752209" w:rsidRDefault="00D210BC" w:rsidP="00D210BC">
      <w:pPr>
        <w:pStyle w:val="Heading1"/>
        <w:jc w:val="center"/>
        <w:rPr>
          <w:rFonts w:ascii="Arial" w:hAnsi="Arial" w:cs="Arial"/>
          <w:szCs w:val="24"/>
        </w:rPr>
      </w:pPr>
      <w:bookmarkStart w:id="2" w:name="_Toc290210738"/>
      <w:r w:rsidRPr="00752209">
        <w:rPr>
          <w:rFonts w:ascii="Arial" w:hAnsi="Arial" w:cs="Arial"/>
          <w:sz w:val="24"/>
          <w:szCs w:val="24"/>
        </w:rPr>
        <w:lastRenderedPageBreak/>
        <w:t>Statement of Compatibility with Human Rights</w:t>
      </w:r>
    </w:p>
    <w:p w14:paraId="2F818D1A" w14:textId="77777777" w:rsidR="00D210BC" w:rsidRPr="00BC76EB" w:rsidRDefault="00D210BC" w:rsidP="00D210BC">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180ED944" w14:textId="77777777" w:rsidR="00D210BC" w:rsidRPr="00BC76EB" w:rsidRDefault="00D210BC" w:rsidP="00D210BC">
      <w:pPr>
        <w:spacing w:before="120" w:after="120"/>
        <w:jc w:val="center"/>
        <w:rPr>
          <w:rFonts w:ascii="Arial" w:hAnsi="Arial" w:cs="Arial"/>
          <w:szCs w:val="24"/>
        </w:rPr>
      </w:pPr>
    </w:p>
    <w:p w14:paraId="0CB1CFBC" w14:textId="77777777" w:rsidR="00D210BC" w:rsidRPr="00752209" w:rsidRDefault="00D210BC" w:rsidP="00D210BC">
      <w:pPr>
        <w:spacing w:before="120" w:after="120"/>
        <w:jc w:val="center"/>
        <w:rPr>
          <w:rFonts w:ascii="Arial" w:hAnsi="Arial" w:cs="Arial"/>
          <w:b/>
          <w:szCs w:val="24"/>
        </w:rPr>
      </w:pPr>
      <w:r w:rsidRPr="00752209">
        <w:rPr>
          <w:rFonts w:ascii="Arial" w:hAnsi="Arial" w:cs="Arial"/>
          <w:b/>
          <w:szCs w:val="24"/>
        </w:rPr>
        <w:t>Social Security (Essential Medical Equipment Payment – Essential Medical Equipment) Specification 2022</w:t>
      </w:r>
    </w:p>
    <w:p w14:paraId="1C7B2475" w14:textId="77777777" w:rsidR="00D210BC" w:rsidRPr="00BC76EB" w:rsidRDefault="00D210BC" w:rsidP="00D210BC">
      <w:pPr>
        <w:spacing w:before="120" w:after="120"/>
        <w:jc w:val="center"/>
        <w:rPr>
          <w:rFonts w:ascii="Arial" w:hAnsi="Arial" w:cs="Arial"/>
          <w:szCs w:val="24"/>
        </w:rPr>
      </w:pPr>
    </w:p>
    <w:p w14:paraId="3B326915" w14:textId="77777777" w:rsidR="00D210BC" w:rsidRPr="00B0472A" w:rsidRDefault="00D210BC" w:rsidP="00D210BC">
      <w:pPr>
        <w:spacing w:before="0" w:after="200" w:line="276" w:lineRule="auto"/>
        <w:rPr>
          <w:rFonts w:ascii="Arial" w:hAnsi="Arial" w:cs="Arial"/>
          <w:color w:val="000000"/>
          <w:shd w:val="clear" w:color="auto" w:fill="FFFFFF"/>
        </w:rPr>
      </w:pPr>
      <w:r w:rsidRPr="00752209">
        <w:rPr>
          <w:rFonts w:ascii="Arial" w:hAnsi="Arial" w:cs="Arial"/>
          <w:color w:val="000000"/>
          <w:shd w:val="clear" w:color="auto" w:fill="FFFFFF"/>
        </w:rPr>
        <w:t>The Social Security (Essential Medical Equipment Payment – Essential Medical Equipment) Specification 2022</w:t>
      </w:r>
      <w:r w:rsidRPr="00B0472A">
        <w:rPr>
          <w:rFonts w:ascii="Arial" w:hAnsi="Arial" w:cs="Arial"/>
          <w:color w:val="000000"/>
          <w:shd w:val="clear" w:color="auto" w:fill="FFFFFF"/>
        </w:rPr>
        <w:t xml:space="preserve"> (this instrument) is compatible with the human rights and freedoms recognised or declared in the international instruments listed in section 3 of the </w:t>
      </w:r>
      <w:r w:rsidRPr="00B0472A">
        <w:rPr>
          <w:rFonts w:ascii="Arial" w:hAnsi="Arial" w:cs="Arial"/>
          <w:i/>
          <w:color w:val="000000"/>
          <w:shd w:val="clear" w:color="auto" w:fill="FFFFFF"/>
        </w:rPr>
        <w:t>Human Rights (Parliamentary Scrutiny) Act 2011.</w:t>
      </w:r>
    </w:p>
    <w:p w14:paraId="17F61689" w14:textId="77777777" w:rsidR="00D210BC" w:rsidRPr="004D6237" w:rsidRDefault="00D210BC" w:rsidP="00D210BC">
      <w:pPr>
        <w:spacing w:after="120"/>
        <w:jc w:val="both"/>
        <w:rPr>
          <w:rFonts w:ascii="Arial" w:hAnsi="Arial" w:cs="Arial"/>
          <w:b/>
          <w:szCs w:val="24"/>
        </w:rPr>
      </w:pPr>
      <w:r w:rsidRPr="00BC76EB">
        <w:rPr>
          <w:rFonts w:ascii="Arial" w:hAnsi="Arial" w:cs="Arial"/>
          <w:b/>
          <w:szCs w:val="24"/>
        </w:rPr>
        <w:t>Overview of the legislative instrument</w:t>
      </w:r>
    </w:p>
    <w:p w14:paraId="56CB3952" w14:textId="3F1A359C" w:rsidR="00D210BC" w:rsidRPr="00415F88" w:rsidRDefault="00D210BC" w:rsidP="00D210BC">
      <w:pPr>
        <w:spacing w:before="0" w:after="200" w:line="276" w:lineRule="auto"/>
        <w:rPr>
          <w:rFonts w:ascii="Arial" w:hAnsi="Arial" w:cs="Arial"/>
          <w:color w:val="000000"/>
          <w:shd w:val="clear" w:color="auto" w:fill="FFFFFF"/>
        </w:rPr>
      </w:pPr>
      <w:r w:rsidRPr="00415F88">
        <w:rPr>
          <w:rFonts w:ascii="Arial" w:hAnsi="Arial" w:cs="Arial"/>
          <w:color w:val="000000"/>
          <w:shd w:val="clear" w:color="auto" w:fill="FFFFFF"/>
        </w:rPr>
        <w:t xml:space="preserve">The purpose of this instrument is to replace the </w:t>
      </w:r>
      <w:r w:rsidRPr="00752209">
        <w:rPr>
          <w:rFonts w:ascii="Arial" w:hAnsi="Arial" w:cs="Arial"/>
          <w:color w:val="000000"/>
          <w:shd w:val="clear" w:color="auto" w:fill="FFFFFF"/>
        </w:rPr>
        <w:t>Social Security (Essential Medical Equipment Payment – Essential Medical Equipment) Specification 2012</w:t>
      </w:r>
      <w:r w:rsidR="0094713B">
        <w:rPr>
          <w:rFonts w:ascii="Arial" w:hAnsi="Arial" w:cs="Arial"/>
          <w:color w:val="000000"/>
          <w:shd w:val="clear" w:color="auto" w:fill="FFFFFF"/>
        </w:rPr>
        <w:t>,</w:t>
      </w:r>
      <w:r w:rsidRPr="00415F88">
        <w:rPr>
          <w:rFonts w:ascii="Arial" w:hAnsi="Arial" w:cs="Arial"/>
          <w:color w:val="000000"/>
          <w:shd w:val="clear" w:color="auto" w:fill="FFFFFF"/>
        </w:rPr>
        <w:t xml:space="preserve"> which will sunset on 1 April 2022.</w:t>
      </w:r>
    </w:p>
    <w:p w14:paraId="4D62D76E" w14:textId="48EC5B72" w:rsidR="00D210BC" w:rsidRPr="00415F88" w:rsidRDefault="00D210BC" w:rsidP="00D210BC">
      <w:pPr>
        <w:spacing w:before="0" w:after="200" w:line="276" w:lineRule="auto"/>
        <w:rPr>
          <w:rFonts w:ascii="Arial" w:hAnsi="Arial" w:cs="Arial"/>
          <w:color w:val="000000"/>
          <w:shd w:val="clear" w:color="auto" w:fill="FFFFFF"/>
        </w:rPr>
      </w:pPr>
      <w:r w:rsidRPr="00415F88">
        <w:rPr>
          <w:rFonts w:ascii="Arial" w:hAnsi="Arial" w:cs="Arial"/>
          <w:color w:val="000000"/>
          <w:shd w:val="clear" w:color="auto" w:fill="FFFFFF"/>
        </w:rPr>
        <w:t xml:space="preserve">This instrument allows a person to qualify for an annual </w:t>
      </w:r>
      <w:r w:rsidR="00436E77">
        <w:rPr>
          <w:rFonts w:ascii="Arial" w:hAnsi="Arial" w:cs="Arial"/>
          <w:color w:val="000000"/>
          <w:shd w:val="clear" w:color="auto" w:fill="FFFFFF"/>
        </w:rPr>
        <w:t>E</w:t>
      </w:r>
      <w:r w:rsidRPr="00415F88">
        <w:rPr>
          <w:rFonts w:ascii="Arial" w:hAnsi="Arial" w:cs="Arial"/>
          <w:color w:val="000000"/>
          <w:shd w:val="clear" w:color="auto" w:fill="FFFFFF"/>
        </w:rPr>
        <w:t xml:space="preserve">ssential </w:t>
      </w:r>
      <w:r w:rsidR="00436E77">
        <w:rPr>
          <w:rFonts w:ascii="Arial" w:hAnsi="Arial" w:cs="Arial"/>
          <w:color w:val="000000"/>
          <w:shd w:val="clear" w:color="auto" w:fill="FFFFFF"/>
        </w:rPr>
        <w:t>Medical Equipment P</w:t>
      </w:r>
      <w:r w:rsidRPr="00415F88">
        <w:rPr>
          <w:rFonts w:ascii="Arial" w:hAnsi="Arial" w:cs="Arial"/>
          <w:color w:val="000000"/>
          <w:shd w:val="clear" w:color="auto" w:fill="FFFFFF"/>
        </w:rPr>
        <w:t>ayment</w:t>
      </w:r>
      <w:r w:rsidR="00436E77">
        <w:rPr>
          <w:rFonts w:ascii="Arial" w:hAnsi="Arial" w:cs="Arial"/>
          <w:color w:val="000000"/>
          <w:shd w:val="clear" w:color="auto" w:fill="FFFFFF"/>
        </w:rPr>
        <w:t xml:space="preserve"> (EMEP), </w:t>
      </w:r>
      <w:r w:rsidRPr="00415F88">
        <w:rPr>
          <w:rFonts w:ascii="Arial" w:hAnsi="Arial" w:cs="Arial"/>
          <w:color w:val="000000"/>
          <w:shd w:val="clear" w:color="auto" w:fill="FFFFFF"/>
        </w:rPr>
        <w:t>subjec</w:t>
      </w:r>
      <w:r w:rsidR="00436E77">
        <w:rPr>
          <w:rFonts w:ascii="Arial" w:hAnsi="Arial" w:cs="Arial"/>
          <w:color w:val="000000"/>
          <w:shd w:val="clear" w:color="auto" w:fill="FFFFFF"/>
        </w:rPr>
        <w:t>t to other eligibility criteria,</w:t>
      </w:r>
      <w:r w:rsidRPr="00415F88">
        <w:rPr>
          <w:rFonts w:ascii="Arial" w:hAnsi="Arial" w:cs="Arial"/>
          <w:color w:val="000000"/>
          <w:shd w:val="clear" w:color="auto" w:fill="FFFFFF"/>
        </w:rPr>
        <w:t xml:space="preserve"> if they or a person for whom they care uses specified essential medical equipment.</w:t>
      </w:r>
    </w:p>
    <w:p w14:paraId="63EF6C3A" w14:textId="77777777" w:rsidR="00D210BC" w:rsidRPr="00BC76EB" w:rsidRDefault="00D210BC" w:rsidP="00D210BC">
      <w:pPr>
        <w:spacing w:after="120"/>
        <w:rPr>
          <w:rFonts w:ascii="Arial" w:hAnsi="Arial" w:cs="Arial"/>
          <w:b/>
          <w:szCs w:val="24"/>
        </w:rPr>
      </w:pPr>
      <w:r w:rsidRPr="00BC76EB">
        <w:rPr>
          <w:rFonts w:ascii="Arial" w:hAnsi="Arial" w:cs="Arial"/>
          <w:b/>
          <w:szCs w:val="24"/>
        </w:rPr>
        <w:t>Human rights implications</w:t>
      </w:r>
    </w:p>
    <w:p w14:paraId="66B7C890" w14:textId="77777777" w:rsidR="00650FAF" w:rsidRDefault="00650FAF" w:rsidP="00650FAF">
      <w:pPr>
        <w:spacing w:after="120"/>
        <w:rPr>
          <w:rFonts w:ascii="Arial" w:hAnsi="Arial" w:cs="Arial"/>
          <w:szCs w:val="24"/>
        </w:rPr>
      </w:pPr>
      <w:r>
        <w:rPr>
          <w:rFonts w:ascii="Arial" w:hAnsi="Arial" w:cs="Arial"/>
          <w:szCs w:val="24"/>
        </w:rPr>
        <w:t>This legislative instrument engages the following rights:</w:t>
      </w:r>
    </w:p>
    <w:p w14:paraId="33962224" w14:textId="77777777" w:rsidR="00650FAF" w:rsidRDefault="00650FAF" w:rsidP="00650FAF">
      <w:pPr>
        <w:pStyle w:val="ListParagraph"/>
        <w:numPr>
          <w:ilvl w:val="0"/>
          <w:numId w:val="21"/>
        </w:numPr>
        <w:spacing w:after="120"/>
        <w:rPr>
          <w:rFonts w:ascii="Arial" w:hAnsi="Arial" w:cs="Arial"/>
          <w:szCs w:val="24"/>
        </w:rPr>
      </w:pPr>
      <w:r>
        <w:rPr>
          <w:rFonts w:ascii="Arial" w:hAnsi="Arial" w:cs="Arial"/>
          <w:szCs w:val="24"/>
        </w:rPr>
        <w:t>Right to social protection and social security</w:t>
      </w:r>
    </w:p>
    <w:p w14:paraId="21A89326" w14:textId="77777777" w:rsidR="00650FAF" w:rsidRPr="00053359" w:rsidRDefault="00650FAF" w:rsidP="00650FAF">
      <w:pPr>
        <w:pStyle w:val="ListParagraph"/>
        <w:numPr>
          <w:ilvl w:val="0"/>
          <w:numId w:val="21"/>
        </w:numPr>
        <w:spacing w:after="120"/>
        <w:rPr>
          <w:rFonts w:ascii="Arial" w:hAnsi="Arial" w:cs="Arial"/>
          <w:szCs w:val="24"/>
        </w:rPr>
      </w:pPr>
      <w:r>
        <w:rPr>
          <w:rFonts w:ascii="Arial" w:hAnsi="Arial" w:cs="Arial"/>
          <w:szCs w:val="24"/>
        </w:rPr>
        <w:t>Right to privacy and reputation.</w:t>
      </w:r>
    </w:p>
    <w:p w14:paraId="5B21EB00" w14:textId="77777777" w:rsidR="00650FAF" w:rsidRPr="007B33D2" w:rsidRDefault="00650FAF" w:rsidP="00650FAF">
      <w:pPr>
        <w:spacing w:after="120"/>
        <w:rPr>
          <w:rFonts w:ascii="Arial" w:hAnsi="Arial" w:cs="Arial"/>
          <w:i/>
          <w:szCs w:val="24"/>
        </w:rPr>
      </w:pPr>
      <w:r w:rsidRPr="007B33D2">
        <w:rPr>
          <w:rFonts w:ascii="Arial" w:hAnsi="Arial" w:cs="Arial"/>
          <w:i/>
          <w:szCs w:val="24"/>
        </w:rPr>
        <w:t xml:space="preserve">Right to </w:t>
      </w:r>
      <w:r>
        <w:rPr>
          <w:rFonts w:ascii="Arial" w:hAnsi="Arial" w:cs="Arial"/>
          <w:i/>
          <w:szCs w:val="24"/>
        </w:rPr>
        <w:t>social protection and s</w:t>
      </w:r>
      <w:r w:rsidRPr="007B33D2">
        <w:rPr>
          <w:rFonts w:ascii="Arial" w:hAnsi="Arial" w:cs="Arial"/>
          <w:i/>
          <w:szCs w:val="24"/>
        </w:rPr>
        <w:t xml:space="preserve">ocial </w:t>
      </w:r>
      <w:r>
        <w:rPr>
          <w:rFonts w:ascii="Arial" w:hAnsi="Arial" w:cs="Arial"/>
          <w:i/>
          <w:szCs w:val="24"/>
        </w:rPr>
        <w:t>s</w:t>
      </w:r>
      <w:r w:rsidRPr="007B33D2">
        <w:rPr>
          <w:rFonts w:ascii="Arial" w:hAnsi="Arial" w:cs="Arial"/>
          <w:i/>
          <w:szCs w:val="24"/>
        </w:rPr>
        <w:t>ecurity</w:t>
      </w:r>
    </w:p>
    <w:p w14:paraId="3F4142CE" w14:textId="77777777" w:rsidR="00650FAF" w:rsidRDefault="00650FAF" w:rsidP="00650FAF">
      <w:pPr>
        <w:spacing w:before="0" w:after="200" w:line="276" w:lineRule="auto"/>
        <w:rPr>
          <w:rFonts w:ascii="Arial" w:hAnsi="Arial" w:cs="Arial"/>
          <w:color w:val="000000"/>
          <w:shd w:val="clear" w:color="auto" w:fill="FFFFFF"/>
        </w:rPr>
      </w:pPr>
      <w:r>
        <w:rPr>
          <w:rFonts w:ascii="Arial" w:hAnsi="Arial" w:cs="Arial"/>
          <w:color w:val="000000"/>
          <w:shd w:val="clear" w:color="auto" w:fill="FFFFFF"/>
        </w:rPr>
        <w:t xml:space="preserve">This instrument engages the right to social protection under article 28(2) of the Convention of the Rights of Persons with Disabilities (the CRPD) and the right to social security under Article 9 of the International Covenant on Economic, Social and Cultural Rights (ICESCR). </w:t>
      </w:r>
    </w:p>
    <w:p w14:paraId="45ACB094" w14:textId="77777777" w:rsidR="00650FAF" w:rsidRDefault="00650FAF" w:rsidP="00650FAF">
      <w:pPr>
        <w:spacing w:before="0" w:after="200" w:line="276" w:lineRule="auto"/>
        <w:rPr>
          <w:rFonts w:ascii="Arial" w:hAnsi="Arial" w:cs="Arial"/>
          <w:color w:val="000000"/>
          <w:shd w:val="clear" w:color="auto" w:fill="FFFFFF"/>
        </w:rPr>
      </w:pPr>
      <w:r>
        <w:rPr>
          <w:rFonts w:ascii="Arial" w:hAnsi="Arial" w:cs="Arial"/>
          <w:color w:val="000000"/>
          <w:shd w:val="clear" w:color="auto" w:fill="FFFFFF"/>
        </w:rPr>
        <w:t>The right to social protection requires that persons with disabilities have access to affordable services, devices and other assistance for disability-related needs.</w:t>
      </w:r>
    </w:p>
    <w:p w14:paraId="6ACC0608" w14:textId="4BA7F103" w:rsidR="00650FAF" w:rsidRDefault="00650FAF" w:rsidP="00D210BC">
      <w:pPr>
        <w:spacing w:before="0" w:after="200" w:line="276" w:lineRule="auto"/>
        <w:rPr>
          <w:rFonts w:ascii="Arial" w:hAnsi="Arial" w:cs="Arial"/>
          <w:i/>
          <w:szCs w:val="24"/>
        </w:rPr>
      </w:pPr>
      <w:r>
        <w:rPr>
          <w:rFonts w:ascii="Arial" w:hAnsi="Arial" w:cs="Arial"/>
          <w:color w:val="000000"/>
          <w:shd w:val="clear" w:color="auto" w:fill="FFFFFF"/>
        </w:rPr>
        <w:t>The right to social 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5DB56FBA" w14:textId="30241A2C" w:rsidR="0094713B" w:rsidRDefault="0094713B" w:rsidP="0094713B">
      <w:pPr>
        <w:spacing w:before="0" w:after="200" w:line="276" w:lineRule="auto"/>
        <w:rPr>
          <w:rFonts w:ascii="Arial" w:hAnsi="Arial" w:cs="Arial"/>
          <w:szCs w:val="24"/>
        </w:rPr>
      </w:pPr>
      <w:r>
        <w:rPr>
          <w:rFonts w:ascii="Arial" w:hAnsi="Arial" w:cs="Arial"/>
          <w:szCs w:val="24"/>
        </w:rPr>
        <w:lastRenderedPageBreak/>
        <w:t>This instrument ena</w:t>
      </w:r>
      <w:r w:rsidR="00436E77">
        <w:rPr>
          <w:rFonts w:ascii="Arial" w:hAnsi="Arial" w:cs="Arial"/>
          <w:szCs w:val="24"/>
        </w:rPr>
        <w:t>bles people to qualify for the EMEP</w:t>
      </w:r>
      <w:r>
        <w:rPr>
          <w:rFonts w:ascii="Arial" w:hAnsi="Arial" w:cs="Arial"/>
          <w:szCs w:val="24"/>
        </w:rPr>
        <w:t xml:space="preserve">, subject to other eligibility requirements. The payment provides financial assistance for people with higher than average energy usage due to equipment required for medical reasons. </w:t>
      </w:r>
      <w:r w:rsidR="00650FAF" w:rsidRPr="007B33D2">
        <w:rPr>
          <w:rFonts w:ascii="Arial" w:hAnsi="Arial" w:cs="Arial"/>
          <w:szCs w:val="24"/>
        </w:rPr>
        <w:t xml:space="preserve">This </w:t>
      </w:r>
      <w:r w:rsidR="00650FAF">
        <w:rPr>
          <w:rFonts w:ascii="Arial" w:hAnsi="Arial" w:cs="Arial"/>
          <w:szCs w:val="24"/>
        </w:rPr>
        <w:t>instrument</w:t>
      </w:r>
      <w:r w:rsidR="00650FAF" w:rsidRPr="007B33D2">
        <w:rPr>
          <w:rFonts w:ascii="Arial" w:hAnsi="Arial" w:cs="Arial"/>
          <w:szCs w:val="24"/>
        </w:rPr>
        <w:t xml:space="preserve"> is therefore compatible with </w:t>
      </w:r>
      <w:r w:rsidR="00650FAF">
        <w:rPr>
          <w:rFonts w:ascii="Arial" w:hAnsi="Arial" w:cs="Arial"/>
          <w:szCs w:val="24"/>
        </w:rPr>
        <w:t>the right to social protection and the right to social security.</w:t>
      </w:r>
    </w:p>
    <w:p w14:paraId="30D8DD5E" w14:textId="77777777" w:rsidR="00D210BC" w:rsidRDefault="00D210BC" w:rsidP="00752209">
      <w:pPr>
        <w:keepNext/>
        <w:spacing w:after="120"/>
        <w:rPr>
          <w:rFonts w:ascii="Arial" w:hAnsi="Arial" w:cs="Arial"/>
          <w:i/>
          <w:szCs w:val="24"/>
        </w:rPr>
      </w:pPr>
      <w:r>
        <w:rPr>
          <w:rFonts w:ascii="Arial" w:hAnsi="Arial" w:cs="Arial"/>
          <w:i/>
          <w:szCs w:val="24"/>
        </w:rPr>
        <w:t>Right to privacy and reputation</w:t>
      </w:r>
    </w:p>
    <w:p w14:paraId="0AB13CBD" w14:textId="6CE47BFA" w:rsidR="00D210BC" w:rsidRDefault="00D210BC" w:rsidP="00D210BC">
      <w:pPr>
        <w:spacing w:before="0" w:after="200" w:line="276" w:lineRule="auto"/>
        <w:rPr>
          <w:rFonts w:ascii="Arial" w:hAnsi="Arial" w:cs="Arial"/>
          <w:szCs w:val="24"/>
        </w:rPr>
      </w:pPr>
      <w:r>
        <w:rPr>
          <w:rFonts w:ascii="Arial" w:hAnsi="Arial" w:cs="Arial"/>
          <w:szCs w:val="24"/>
        </w:rPr>
        <w:t xml:space="preserve">This instrument engages with the right to privacy and reputation under </w:t>
      </w:r>
      <w:r w:rsidR="00DB401E">
        <w:rPr>
          <w:rFonts w:ascii="Arial" w:hAnsi="Arial" w:cs="Arial"/>
          <w:szCs w:val="24"/>
        </w:rPr>
        <w:t>A</w:t>
      </w:r>
      <w:r>
        <w:rPr>
          <w:rFonts w:ascii="Arial" w:hAnsi="Arial" w:cs="Arial"/>
          <w:szCs w:val="24"/>
        </w:rPr>
        <w:t xml:space="preserve">rticle 17 of the </w:t>
      </w:r>
      <w:r w:rsidRPr="00752209">
        <w:rPr>
          <w:rFonts w:ascii="Arial" w:hAnsi="Arial" w:cs="Arial"/>
          <w:szCs w:val="24"/>
        </w:rPr>
        <w:t>International Covenant on Civil and Political Rights</w:t>
      </w:r>
      <w:r>
        <w:rPr>
          <w:rFonts w:ascii="Arial" w:hAnsi="Arial" w:cs="Arial"/>
          <w:i/>
          <w:szCs w:val="24"/>
        </w:rPr>
        <w:t xml:space="preserve"> </w:t>
      </w:r>
      <w:r>
        <w:rPr>
          <w:rFonts w:ascii="Arial" w:hAnsi="Arial" w:cs="Arial"/>
          <w:szCs w:val="24"/>
        </w:rPr>
        <w:t>(ICCPR). The right to privacy and reputation provides that ‘[n]o one shall be subjected to arbitrary or unlawful interference with his privacy, family, home or correspondence, nor to unlawful attacks on his honour and reputation.’</w:t>
      </w:r>
    </w:p>
    <w:p w14:paraId="4C73CD1E" w14:textId="1AE245D9" w:rsidR="00D210BC" w:rsidRPr="00AF148C" w:rsidRDefault="00D210BC" w:rsidP="00D210BC">
      <w:pPr>
        <w:spacing w:before="0" w:after="200" w:line="276" w:lineRule="auto"/>
        <w:rPr>
          <w:rFonts w:ascii="Arial" w:hAnsi="Arial" w:cs="Arial"/>
          <w:szCs w:val="24"/>
        </w:rPr>
      </w:pPr>
      <w:r>
        <w:rPr>
          <w:rStyle w:val="BookTitle"/>
          <w:rFonts w:ascii="Arial" w:hAnsi="Arial" w:cs="Arial"/>
          <w:i w:val="0"/>
          <w:iCs w:val="0"/>
          <w:smallCaps w:val="0"/>
          <w:spacing w:val="0"/>
          <w:szCs w:val="24"/>
        </w:rPr>
        <w:t>This instrument will only authorise the collection</w:t>
      </w:r>
      <w:r w:rsidR="00055AF4">
        <w:rPr>
          <w:rStyle w:val="BookTitle"/>
          <w:rFonts w:ascii="Arial" w:hAnsi="Arial" w:cs="Arial"/>
          <w:i w:val="0"/>
          <w:iCs w:val="0"/>
          <w:smallCaps w:val="0"/>
          <w:spacing w:val="0"/>
          <w:szCs w:val="24"/>
        </w:rPr>
        <w:t xml:space="preserve"> of</w:t>
      </w:r>
      <w:r>
        <w:rPr>
          <w:rStyle w:val="BookTitle"/>
          <w:rFonts w:ascii="Arial" w:hAnsi="Arial" w:cs="Arial"/>
          <w:i w:val="0"/>
          <w:iCs w:val="0"/>
          <w:smallCaps w:val="0"/>
          <w:spacing w:val="0"/>
          <w:szCs w:val="24"/>
        </w:rPr>
        <w:t xml:space="preserve"> information for the purposes of determining the qualification for, and payability of, the </w:t>
      </w:r>
      <w:r w:rsidR="00436E77">
        <w:rPr>
          <w:rStyle w:val="BookTitle"/>
          <w:rFonts w:ascii="Arial" w:hAnsi="Arial" w:cs="Arial"/>
          <w:i w:val="0"/>
          <w:iCs w:val="0"/>
          <w:smallCaps w:val="0"/>
          <w:spacing w:val="0"/>
          <w:szCs w:val="24"/>
        </w:rPr>
        <w:t>EMEP</w:t>
      </w:r>
      <w:r>
        <w:rPr>
          <w:rStyle w:val="BookTitle"/>
          <w:rFonts w:ascii="Arial" w:hAnsi="Arial" w:cs="Arial"/>
          <w:i w:val="0"/>
          <w:iCs w:val="0"/>
          <w:smallCaps w:val="0"/>
          <w:spacing w:val="0"/>
          <w:szCs w:val="24"/>
        </w:rPr>
        <w:t xml:space="preserve"> in accordance with the </w:t>
      </w:r>
      <w:r w:rsidRPr="009466D8">
        <w:rPr>
          <w:rStyle w:val="BookTitle"/>
          <w:rFonts w:ascii="Arial" w:hAnsi="Arial" w:cs="Arial"/>
          <w:iCs w:val="0"/>
          <w:smallCaps w:val="0"/>
          <w:spacing w:val="0"/>
          <w:szCs w:val="24"/>
        </w:rPr>
        <w:t>Social Security Act 1991</w:t>
      </w:r>
      <w:r>
        <w:rPr>
          <w:rStyle w:val="BookTitle"/>
          <w:rFonts w:ascii="Arial" w:hAnsi="Arial" w:cs="Arial"/>
          <w:i w:val="0"/>
          <w:iCs w:val="0"/>
          <w:smallCaps w:val="0"/>
          <w:spacing w:val="0"/>
          <w:szCs w:val="24"/>
        </w:rPr>
        <w:t xml:space="preserve">. This instrument will also operate in conjunction with the privacy requirements of the Division 3 of Part 5 of the </w:t>
      </w:r>
      <w:r>
        <w:rPr>
          <w:rStyle w:val="BookTitle"/>
          <w:rFonts w:ascii="Arial" w:hAnsi="Arial" w:cs="Arial"/>
          <w:iCs w:val="0"/>
          <w:smallCaps w:val="0"/>
          <w:spacing w:val="0"/>
          <w:szCs w:val="24"/>
        </w:rPr>
        <w:t>Social Security (Administration) Act 1999</w:t>
      </w:r>
      <w:r>
        <w:rPr>
          <w:rStyle w:val="BookTitle"/>
          <w:rFonts w:ascii="Arial" w:hAnsi="Arial" w:cs="Arial"/>
          <w:i w:val="0"/>
          <w:iCs w:val="0"/>
          <w:smallCaps w:val="0"/>
          <w:spacing w:val="0"/>
          <w:szCs w:val="24"/>
        </w:rPr>
        <w:t xml:space="preserve"> and the </w:t>
      </w:r>
      <w:r>
        <w:rPr>
          <w:rStyle w:val="BookTitle"/>
          <w:rFonts w:ascii="Arial" w:hAnsi="Arial" w:cs="Arial"/>
          <w:iCs w:val="0"/>
          <w:smallCaps w:val="0"/>
          <w:spacing w:val="0"/>
          <w:szCs w:val="24"/>
        </w:rPr>
        <w:t xml:space="preserve">Privacy Act 1988. </w:t>
      </w:r>
      <w:r>
        <w:rPr>
          <w:rStyle w:val="BookTitle"/>
          <w:rFonts w:ascii="Arial" w:hAnsi="Arial" w:cs="Arial"/>
          <w:i w:val="0"/>
          <w:iCs w:val="0"/>
          <w:smallCaps w:val="0"/>
          <w:spacing w:val="0"/>
          <w:szCs w:val="24"/>
        </w:rPr>
        <w:t>This instrument is therefore compatible with the right to privacy and reputation.</w:t>
      </w:r>
    </w:p>
    <w:p w14:paraId="1190C30E" w14:textId="77777777" w:rsidR="00D210BC" w:rsidRPr="00BC76EB" w:rsidRDefault="00D210BC" w:rsidP="00D210BC">
      <w:pPr>
        <w:keepNext/>
        <w:keepLines/>
        <w:spacing w:after="120"/>
        <w:rPr>
          <w:rFonts w:ascii="Arial" w:hAnsi="Arial" w:cs="Arial"/>
          <w:b/>
          <w:szCs w:val="24"/>
        </w:rPr>
      </w:pPr>
      <w:r w:rsidRPr="00BC76EB">
        <w:rPr>
          <w:rFonts w:ascii="Arial" w:hAnsi="Arial" w:cs="Arial"/>
          <w:b/>
          <w:szCs w:val="24"/>
        </w:rPr>
        <w:t xml:space="preserve">Conclusion </w:t>
      </w:r>
    </w:p>
    <w:p w14:paraId="7997AAAD" w14:textId="6D537F96" w:rsidR="00D210BC" w:rsidRPr="00B0472A" w:rsidRDefault="00D210BC" w:rsidP="00D210BC">
      <w:pPr>
        <w:spacing w:before="0" w:after="200" w:line="276" w:lineRule="auto"/>
        <w:rPr>
          <w:rFonts w:ascii="Arial" w:hAnsi="Arial" w:cs="Arial"/>
          <w:color w:val="000000"/>
          <w:shd w:val="clear" w:color="auto" w:fill="FFFFFF"/>
        </w:rPr>
      </w:pPr>
      <w:r w:rsidRPr="00B0472A">
        <w:rPr>
          <w:rFonts w:ascii="Arial" w:hAnsi="Arial" w:cs="Arial"/>
          <w:color w:val="000000"/>
          <w:shd w:val="clear" w:color="auto" w:fill="FFFFFF"/>
        </w:rPr>
        <w:t xml:space="preserve">This instrument is compatible with human rights as it enables a person to access </w:t>
      </w:r>
      <w:r w:rsidR="00055AF4">
        <w:rPr>
          <w:rFonts w:ascii="Arial" w:hAnsi="Arial" w:cs="Arial"/>
          <w:color w:val="000000"/>
          <w:shd w:val="clear" w:color="auto" w:fill="FFFFFF"/>
        </w:rPr>
        <w:t xml:space="preserve">social protection and </w:t>
      </w:r>
      <w:r w:rsidRPr="00B0472A">
        <w:rPr>
          <w:rFonts w:ascii="Arial" w:hAnsi="Arial" w:cs="Arial"/>
          <w:color w:val="000000"/>
          <w:shd w:val="clear" w:color="auto" w:fill="FFFFFF"/>
        </w:rPr>
        <w:t xml:space="preserve">social security in the form of the </w:t>
      </w:r>
      <w:r w:rsidR="00436E77">
        <w:rPr>
          <w:rFonts w:ascii="Arial" w:hAnsi="Arial" w:cs="Arial"/>
          <w:color w:val="000000"/>
          <w:shd w:val="clear" w:color="auto" w:fill="FFFFFF"/>
        </w:rPr>
        <w:t>EMEP</w:t>
      </w:r>
      <w:r w:rsidRPr="00B0472A">
        <w:rPr>
          <w:rFonts w:ascii="Arial" w:hAnsi="Arial" w:cs="Arial"/>
          <w:color w:val="000000"/>
          <w:shd w:val="clear" w:color="auto" w:fill="FFFFFF"/>
        </w:rPr>
        <w:t xml:space="preserve"> and provides the appropriate protection to a person’s privacy with the collection of information.</w:t>
      </w:r>
    </w:p>
    <w:p w14:paraId="4A7BB0B3" w14:textId="77777777" w:rsidR="00D210BC" w:rsidRPr="00BC76EB" w:rsidRDefault="00D210BC" w:rsidP="00D210BC">
      <w:pPr>
        <w:spacing w:before="120" w:after="120"/>
        <w:rPr>
          <w:rFonts w:ascii="Arial" w:hAnsi="Arial" w:cs="Arial"/>
          <w:szCs w:val="24"/>
        </w:rPr>
      </w:pPr>
    </w:p>
    <w:p w14:paraId="063694A1" w14:textId="77777777" w:rsidR="00D210BC" w:rsidRDefault="00D210BC" w:rsidP="00D210BC">
      <w:pPr>
        <w:shd w:val="clear" w:color="auto" w:fill="FFFFFF"/>
        <w:spacing w:before="0"/>
        <w:jc w:val="both"/>
        <w:textAlignment w:val="top"/>
        <w:rPr>
          <w:rFonts w:ascii="Arial" w:hAnsi="Arial" w:cs="Arial"/>
          <w:szCs w:val="24"/>
        </w:rPr>
      </w:pPr>
    </w:p>
    <w:p w14:paraId="58217F9A" w14:textId="79B81771" w:rsidR="00C37944" w:rsidRPr="00BC76EB" w:rsidRDefault="00D210BC" w:rsidP="00D210BC">
      <w:pPr>
        <w:keepNext/>
        <w:keepLines/>
        <w:spacing w:before="0" w:after="200" w:line="276" w:lineRule="auto"/>
        <w:jc w:val="center"/>
        <w:rPr>
          <w:rFonts w:ascii="Arial" w:eastAsiaTheme="majorEastAsia" w:hAnsi="Arial" w:cs="Arial"/>
          <w:b/>
          <w:bCs/>
          <w:szCs w:val="24"/>
        </w:rPr>
      </w:pPr>
      <w:r w:rsidRPr="00F45812">
        <w:rPr>
          <w:rFonts w:ascii="Arial" w:hAnsi="Arial" w:cs="Arial"/>
          <w:b/>
          <w:szCs w:val="24"/>
        </w:rPr>
        <w:t xml:space="preserve">Anne Ruston, Minister for Families and Social Services </w:t>
      </w:r>
      <w:bookmarkEnd w:id="1"/>
      <w:bookmarkEnd w:id="2"/>
    </w:p>
    <w:sectPr w:rsidR="00C37944"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B4C12" w14:textId="77777777" w:rsidR="006664B6" w:rsidRDefault="006664B6" w:rsidP="00AD1645">
      <w:pPr>
        <w:spacing w:before="0"/>
      </w:pPr>
      <w:r>
        <w:separator/>
      </w:r>
    </w:p>
  </w:endnote>
  <w:endnote w:type="continuationSeparator" w:id="0">
    <w:p w14:paraId="4C472874" w14:textId="77777777" w:rsidR="006664B6" w:rsidRDefault="006664B6"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DA13C" w14:textId="77777777" w:rsidR="006664B6" w:rsidRDefault="006664B6" w:rsidP="00AD1645">
      <w:pPr>
        <w:spacing w:before="0"/>
      </w:pPr>
      <w:r>
        <w:separator/>
      </w:r>
    </w:p>
  </w:footnote>
  <w:footnote w:type="continuationSeparator" w:id="0">
    <w:p w14:paraId="0EF2E1FC" w14:textId="77777777" w:rsidR="006664B6" w:rsidRDefault="006664B6"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F727804"/>
    <w:multiLevelType w:val="hybridMultilevel"/>
    <w:tmpl w:val="F3767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116CD8"/>
    <w:multiLevelType w:val="hybridMultilevel"/>
    <w:tmpl w:val="C0D2D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7A4812"/>
    <w:multiLevelType w:val="hybridMultilevel"/>
    <w:tmpl w:val="38EC3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5"/>
  </w:num>
  <w:num w:numId="5">
    <w:abstractNumId w:val="13"/>
  </w:num>
  <w:num w:numId="6">
    <w:abstractNumId w:val="1"/>
  </w:num>
  <w:num w:numId="7">
    <w:abstractNumId w:val="9"/>
  </w:num>
  <w:num w:numId="8">
    <w:abstractNumId w:val="16"/>
  </w:num>
  <w:num w:numId="9">
    <w:abstractNumId w:val="6"/>
  </w:num>
  <w:num w:numId="10">
    <w:abstractNumId w:val="17"/>
  </w:num>
  <w:num w:numId="11">
    <w:abstractNumId w:val="2"/>
  </w:num>
  <w:num w:numId="12">
    <w:abstractNumId w:val="4"/>
  </w:num>
  <w:num w:numId="13">
    <w:abstractNumId w:val="0"/>
  </w:num>
  <w:num w:numId="14">
    <w:abstractNumId w:val="8"/>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11"/>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10EB4"/>
    <w:rsid w:val="00021ED2"/>
    <w:rsid w:val="00022613"/>
    <w:rsid w:val="00023760"/>
    <w:rsid w:val="00030B79"/>
    <w:rsid w:val="00031D0B"/>
    <w:rsid w:val="00043B6D"/>
    <w:rsid w:val="00045BF2"/>
    <w:rsid w:val="00051C3F"/>
    <w:rsid w:val="00052227"/>
    <w:rsid w:val="00055AF4"/>
    <w:rsid w:val="0006693F"/>
    <w:rsid w:val="00066DAE"/>
    <w:rsid w:val="00074C1A"/>
    <w:rsid w:val="000760DC"/>
    <w:rsid w:val="000844AF"/>
    <w:rsid w:val="00084B46"/>
    <w:rsid w:val="00085730"/>
    <w:rsid w:val="00096B8D"/>
    <w:rsid w:val="000A3595"/>
    <w:rsid w:val="000A772F"/>
    <w:rsid w:val="000B4130"/>
    <w:rsid w:val="000C2DDB"/>
    <w:rsid w:val="000C5204"/>
    <w:rsid w:val="000D365F"/>
    <w:rsid w:val="000E02A0"/>
    <w:rsid w:val="000E3915"/>
    <w:rsid w:val="0011719D"/>
    <w:rsid w:val="0012225C"/>
    <w:rsid w:val="00126429"/>
    <w:rsid w:val="001310C6"/>
    <w:rsid w:val="00140359"/>
    <w:rsid w:val="001502F9"/>
    <w:rsid w:val="0015134A"/>
    <w:rsid w:val="00152472"/>
    <w:rsid w:val="00163809"/>
    <w:rsid w:val="0016653C"/>
    <w:rsid w:val="00175BC6"/>
    <w:rsid w:val="00191AEC"/>
    <w:rsid w:val="001920F3"/>
    <w:rsid w:val="00196758"/>
    <w:rsid w:val="001A737C"/>
    <w:rsid w:val="001B5379"/>
    <w:rsid w:val="001C64F9"/>
    <w:rsid w:val="001D69AF"/>
    <w:rsid w:val="001E5B72"/>
    <w:rsid w:val="001E5D12"/>
    <w:rsid w:val="001E630D"/>
    <w:rsid w:val="001E7422"/>
    <w:rsid w:val="001F21F0"/>
    <w:rsid w:val="001F4805"/>
    <w:rsid w:val="001F4E3C"/>
    <w:rsid w:val="002154EE"/>
    <w:rsid w:val="00224887"/>
    <w:rsid w:val="002329E1"/>
    <w:rsid w:val="002334D9"/>
    <w:rsid w:val="00234F9E"/>
    <w:rsid w:val="0024465E"/>
    <w:rsid w:val="0024760C"/>
    <w:rsid w:val="002533F0"/>
    <w:rsid w:val="002642C7"/>
    <w:rsid w:val="00264C31"/>
    <w:rsid w:val="002741BD"/>
    <w:rsid w:val="00274CAF"/>
    <w:rsid w:val="00276D06"/>
    <w:rsid w:val="00276F09"/>
    <w:rsid w:val="002810A5"/>
    <w:rsid w:val="00283079"/>
    <w:rsid w:val="002926E3"/>
    <w:rsid w:val="002A0E63"/>
    <w:rsid w:val="002A2A71"/>
    <w:rsid w:val="002A523B"/>
    <w:rsid w:val="002A6007"/>
    <w:rsid w:val="002A63EA"/>
    <w:rsid w:val="002A7AA3"/>
    <w:rsid w:val="002B0175"/>
    <w:rsid w:val="002B67BE"/>
    <w:rsid w:val="002C0F57"/>
    <w:rsid w:val="002C1403"/>
    <w:rsid w:val="002C1938"/>
    <w:rsid w:val="002C2252"/>
    <w:rsid w:val="002C6177"/>
    <w:rsid w:val="002D0F1C"/>
    <w:rsid w:val="002D35D8"/>
    <w:rsid w:val="002D4522"/>
    <w:rsid w:val="002E0BB1"/>
    <w:rsid w:val="002E45E2"/>
    <w:rsid w:val="00300D8B"/>
    <w:rsid w:val="003119FD"/>
    <w:rsid w:val="00326EDF"/>
    <w:rsid w:val="00333A9C"/>
    <w:rsid w:val="00334F9D"/>
    <w:rsid w:val="00337065"/>
    <w:rsid w:val="003430FC"/>
    <w:rsid w:val="003434E2"/>
    <w:rsid w:val="00345FFE"/>
    <w:rsid w:val="00351E79"/>
    <w:rsid w:val="0035378F"/>
    <w:rsid w:val="003606C5"/>
    <w:rsid w:val="00365424"/>
    <w:rsid w:val="00374A77"/>
    <w:rsid w:val="00380666"/>
    <w:rsid w:val="00387D89"/>
    <w:rsid w:val="00392EB6"/>
    <w:rsid w:val="00393D4E"/>
    <w:rsid w:val="00394743"/>
    <w:rsid w:val="003A04AD"/>
    <w:rsid w:val="003B2BB8"/>
    <w:rsid w:val="003B44E1"/>
    <w:rsid w:val="003C3368"/>
    <w:rsid w:val="003C4ABC"/>
    <w:rsid w:val="003C54B6"/>
    <w:rsid w:val="003D34FF"/>
    <w:rsid w:val="003D71F6"/>
    <w:rsid w:val="003E1784"/>
    <w:rsid w:val="003F2258"/>
    <w:rsid w:val="00400273"/>
    <w:rsid w:val="00402F94"/>
    <w:rsid w:val="00420387"/>
    <w:rsid w:val="0042132E"/>
    <w:rsid w:val="00431D45"/>
    <w:rsid w:val="00436E77"/>
    <w:rsid w:val="00446D6C"/>
    <w:rsid w:val="0045240C"/>
    <w:rsid w:val="00453FC9"/>
    <w:rsid w:val="00454405"/>
    <w:rsid w:val="00456FBD"/>
    <w:rsid w:val="00457792"/>
    <w:rsid w:val="004646E1"/>
    <w:rsid w:val="00470C3D"/>
    <w:rsid w:val="004726FF"/>
    <w:rsid w:val="004814F1"/>
    <w:rsid w:val="00482411"/>
    <w:rsid w:val="004956ED"/>
    <w:rsid w:val="0049646F"/>
    <w:rsid w:val="00497768"/>
    <w:rsid w:val="004A0C19"/>
    <w:rsid w:val="004A126A"/>
    <w:rsid w:val="004A24AF"/>
    <w:rsid w:val="004B3147"/>
    <w:rsid w:val="004B54CA"/>
    <w:rsid w:val="004B703A"/>
    <w:rsid w:val="004C163F"/>
    <w:rsid w:val="004D336A"/>
    <w:rsid w:val="004E3A61"/>
    <w:rsid w:val="004E5CBF"/>
    <w:rsid w:val="004F1CD0"/>
    <w:rsid w:val="004F264A"/>
    <w:rsid w:val="004F5308"/>
    <w:rsid w:val="004F623C"/>
    <w:rsid w:val="004F69ED"/>
    <w:rsid w:val="00511520"/>
    <w:rsid w:val="00527238"/>
    <w:rsid w:val="005332C8"/>
    <w:rsid w:val="00536060"/>
    <w:rsid w:val="00540BD8"/>
    <w:rsid w:val="00550B86"/>
    <w:rsid w:val="0055503B"/>
    <w:rsid w:val="005576F5"/>
    <w:rsid w:val="00562CBC"/>
    <w:rsid w:val="00566538"/>
    <w:rsid w:val="00566BF6"/>
    <w:rsid w:val="00570884"/>
    <w:rsid w:val="00576330"/>
    <w:rsid w:val="0057641C"/>
    <w:rsid w:val="005766D2"/>
    <w:rsid w:val="00591D1A"/>
    <w:rsid w:val="00594251"/>
    <w:rsid w:val="005C390A"/>
    <w:rsid w:val="005C3AA9"/>
    <w:rsid w:val="005C54B4"/>
    <w:rsid w:val="005C78B2"/>
    <w:rsid w:val="005E4167"/>
    <w:rsid w:val="005E4362"/>
    <w:rsid w:val="005E4607"/>
    <w:rsid w:val="005E7B26"/>
    <w:rsid w:val="005F41C9"/>
    <w:rsid w:val="005F5E17"/>
    <w:rsid w:val="00614C63"/>
    <w:rsid w:val="00620404"/>
    <w:rsid w:val="00622668"/>
    <w:rsid w:val="00622B71"/>
    <w:rsid w:val="00622D63"/>
    <w:rsid w:val="00624E34"/>
    <w:rsid w:val="00632F44"/>
    <w:rsid w:val="006402A6"/>
    <w:rsid w:val="006407D3"/>
    <w:rsid w:val="0064167D"/>
    <w:rsid w:val="00650B9C"/>
    <w:rsid w:val="00650C1C"/>
    <w:rsid w:val="00650FAF"/>
    <w:rsid w:val="006546B7"/>
    <w:rsid w:val="006643AB"/>
    <w:rsid w:val="006664B6"/>
    <w:rsid w:val="0067070B"/>
    <w:rsid w:val="00681C7F"/>
    <w:rsid w:val="00683FF5"/>
    <w:rsid w:val="00687351"/>
    <w:rsid w:val="006A1F70"/>
    <w:rsid w:val="006A4CE7"/>
    <w:rsid w:val="006A5D55"/>
    <w:rsid w:val="006A6D51"/>
    <w:rsid w:val="006C28FD"/>
    <w:rsid w:val="006C5E5E"/>
    <w:rsid w:val="006D7E0F"/>
    <w:rsid w:val="006E1B19"/>
    <w:rsid w:val="006F0769"/>
    <w:rsid w:val="00701486"/>
    <w:rsid w:val="00720E42"/>
    <w:rsid w:val="0073766B"/>
    <w:rsid w:val="00751D92"/>
    <w:rsid w:val="00752209"/>
    <w:rsid w:val="00762A05"/>
    <w:rsid w:val="00771003"/>
    <w:rsid w:val="0077461F"/>
    <w:rsid w:val="0078126B"/>
    <w:rsid w:val="00785261"/>
    <w:rsid w:val="007907A8"/>
    <w:rsid w:val="007938F3"/>
    <w:rsid w:val="0079557B"/>
    <w:rsid w:val="007A53DD"/>
    <w:rsid w:val="007B0256"/>
    <w:rsid w:val="007B2867"/>
    <w:rsid w:val="007B69DD"/>
    <w:rsid w:val="007C104B"/>
    <w:rsid w:val="007C31B0"/>
    <w:rsid w:val="007C4060"/>
    <w:rsid w:val="007C5234"/>
    <w:rsid w:val="007D6273"/>
    <w:rsid w:val="007E3B93"/>
    <w:rsid w:val="007E4FAD"/>
    <w:rsid w:val="007F2271"/>
    <w:rsid w:val="007F2410"/>
    <w:rsid w:val="007F44F6"/>
    <w:rsid w:val="0080237E"/>
    <w:rsid w:val="00807CD7"/>
    <w:rsid w:val="00816CFA"/>
    <w:rsid w:val="0083135C"/>
    <w:rsid w:val="00841C22"/>
    <w:rsid w:val="00860BE9"/>
    <w:rsid w:val="008669B7"/>
    <w:rsid w:val="008707FE"/>
    <w:rsid w:val="00871F28"/>
    <w:rsid w:val="008761FF"/>
    <w:rsid w:val="00880E92"/>
    <w:rsid w:val="00887F8D"/>
    <w:rsid w:val="008954BF"/>
    <w:rsid w:val="00896466"/>
    <w:rsid w:val="008A6973"/>
    <w:rsid w:val="008B026E"/>
    <w:rsid w:val="008B1AA5"/>
    <w:rsid w:val="008B4CF1"/>
    <w:rsid w:val="008B5089"/>
    <w:rsid w:val="008D14F6"/>
    <w:rsid w:val="008D2D41"/>
    <w:rsid w:val="008D2FC2"/>
    <w:rsid w:val="008D59CA"/>
    <w:rsid w:val="008D5B2E"/>
    <w:rsid w:val="008D68B6"/>
    <w:rsid w:val="008D7A97"/>
    <w:rsid w:val="008E1D0E"/>
    <w:rsid w:val="008E320A"/>
    <w:rsid w:val="008F5702"/>
    <w:rsid w:val="0090001F"/>
    <w:rsid w:val="0090702B"/>
    <w:rsid w:val="009140F6"/>
    <w:rsid w:val="00915A96"/>
    <w:rsid w:val="009225F0"/>
    <w:rsid w:val="00925633"/>
    <w:rsid w:val="00930624"/>
    <w:rsid w:val="0093244B"/>
    <w:rsid w:val="00932E80"/>
    <w:rsid w:val="009332B3"/>
    <w:rsid w:val="00934CDC"/>
    <w:rsid w:val="00935A03"/>
    <w:rsid w:val="009426E4"/>
    <w:rsid w:val="00946730"/>
    <w:rsid w:val="00946E6D"/>
    <w:rsid w:val="0094713B"/>
    <w:rsid w:val="009504F1"/>
    <w:rsid w:val="00950ACB"/>
    <w:rsid w:val="0095196E"/>
    <w:rsid w:val="00956519"/>
    <w:rsid w:val="00966756"/>
    <w:rsid w:val="00966F79"/>
    <w:rsid w:val="00970C88"/>
    <w:rsid w:val="00984199"/>
    <w:rsid w:val="00985038"/>
    <w:rsid w:val="00987FF3"/>
    <w:rsid w:val="0099649B"/>
    <w:rsid w:val="009A4EAB"/>
    <w:rsid w:val="009A5D3E"/>
    <w:rsid w:val="009B71A9"/>
    <w:rsid w:val="009C63A9"/>
    <w:rsid w:val="009C63B6"/>
    <w:rsid w:val="009D1BE5"/>
    <w:rsid w:val="009F3C43"/>
    <w:rsid w:val="00A06B72"/>
    <w:rsid w:val="00A24489"/>
    <w:rsid w:val="00A27E85"/>
    <w:rsid w:val="00A325EF"/>
    <w:rsid w:val="00A375D4"/>
    <w:rsid w:val="00A37984"/>
    <w:rsid w:val="00A42690"/>
    <w:rsid w:val="00A4616D"/>
    <w:rsid w:val="00A6045B"/>
    <w:rsid w:val="00A63D74"/>
    <w:rsid w:val="00A66DD0"/>
    <w:rsid w:val="00A719D2"/>
    <w:rsid w:val="00A763EC"/>
    <w:rsid w:val="00A8767B"/>
    <w:rsid w:val="00A94C22"/>
    <w:rsid w:val="00AA0F80"/>
    <w:rsid w:val="00AA37AC"/>
    <w:rsid w:val="00AA45C6"/>
    <w:rsid w:val="00AA51E7"/>
    <w:rsid w:val="00AB7356"/>
    <w:rsid w:val="00AC271F"/>
    <w:rsid w:val="00AC635D"/>
    <w:rsid w:val="00AD1347"/>
    <w:rsid w:val="00AD1645"/>
    <w:rsid w:val="00AD618B"/>
    <w:rsid w:val="00AD69FE"/>
    <w:rsid w:val="00AE11F6"/>
    <w:rsid w:val="00AE3176"/>
    <w:rsid w:val="00AF0E6A"/>
    <w:rsid w:val="00B01538"/>
    <w:rsid w:val="00B04EB0"/>
    <w:rsid w:val="00B24392"/>
    <w:rsid w:val="00B261D9"/>
    <w:rsid w:val="00B33E33"/>
    <w:rsid w:val="00B36205"/>
    <w:rsid w:val="00B376E6"/>
    <w:rsid w:val="00B52B87"/>
    <w:rsid w:val="00B54C30"/>
    <w:rsid w:val="00B57278"/>
    <w:rsid w:val="00B6472A"/>
    <w:rsid w:val="00B73680"/>
    <w:rsid w:val="00B74531"/>
    <w:rsid w:val="00B777D9"/>
    <w:rsid w:val="00B821A0"/>
    <w:rsid w:val="00BA2DB9"/>
    <w:rsid w:val="00BB0D37"/>
    <w:rsid w:val="00BB0ECF"/>
    <w:rsid w:val="00BC35F6"/>
    <w:rsid w:val="00BC76EB"/>
    <w:rsid w:val="00BD25AE"/>
    <w:rsid w:val="00BD7E9D"/>
    <w:rsid w:val="00BE56A0"/>
    <w:rsid w:val="00BE7148"/>
    <w:rsid w:val="00BF2FB3"/>
    <w:rsid w:val="00C06E47"/>
    <w:rsid w:val="00C21C68"/>
    <w:rsid w:val="00C2733D"/>
    <w:rsid w:val="00C3204C"/>
    <w:rsid w:val="00C3470C"/>
    <w:rsid w:val="00C37944"/>
    <w:rsid w:val="00C37BA8"/>
    <w:rsid w:val="00C4511C"/>
    <w:rsid w:val="00C455A2"/>
    <w:rsid w:val="00C559BF"/>
    <w:rsid w:val="00C61735"/>
    <w:rsid w:val="00C66CFA"/>
    <w:rsid w:val="00C7238E"/>
    <w:rsid w:val="00C77B41"/>
    <w:rsid w:val="00CA33B2"/>
    <w:rsid w:val="00CA3D78"/>
    <w:rsid w:val="00CA43C4"/>
    <w:rsid w:val="00CA6F15"/>
    <w:rsid w:val="00CB344C"/>
    <w:rsid w:val="00CB42CE"/>
    <w:rsid w:val="00CC7EC4"/>
    <w:rsid w:val="00CD0DDB"/>
    <w:rsid w:val="00CD4F0C"/>
    <w:rsid w:val="00CE1802"/>
    <w:rsid w:val="00CF0527"/>
    <w:rsid w:val="00CF0764"/>
    <w:rsid w:val="00D1706F"/>
    <w:rsid w:val="00D2075E"/>
    <w:rsid w:val="00D210BC"/>
    <w:rsid w:val="00D21D83"/>
    <w:rsid w:val="00D243C5"/>
    <w:rsid w:val="00D3071D"/>
    <w:rsid w:val="00D31C51"/>
    <w:rsid w:val="00D34CC1"/>
    <w:rsid w:val="00D367AA"/>
    <w:rsid w:val="00D37C2C"/>
    <w:rsid w:val="00D459E0"/>
    <w:rsid w:val="00D520A1"/>
    <w:rsid w:val="00D61C4B"/>
    <w:rsid w:val="00D63F8E"/>
    <w:rsid w:val="00D708CA"/>
    <w:rsid w:val="00D72F4B"/>
    <w:rsid w:val="00D849AE"/>
    <w:rsid w:val="00DB401E"/>
    <w:rsid w:val="00DB6E7A"/>
    <w:rsid w:val="00DC765C"/>
    <w:rsid w:val="00DD3BC1"/>
    <w:rsid w:val="00DE0717"/>
    <w:rsid w:val="00DE3A1F"/>
    <w:rsid w:val="00E01E71"/>
    <w:rsid w:val="00E027AF"/>
    <w:rsid w:val="00E15CFF"/>
    <w:rsid w:val="00E230ED"/>
    <w:rsid w:val="00E23C53"/>
    <w:rsid w:val="00E32139"/>
    <w:rsid w:val="00E44FD4"/>
    <w:rsid w:val="00E708B1"/>
    <w:rsid w:val="00E72DC6"/>
    <w:rsid w:val="00E745BB"/>
    <w:rsid w:val="00E7675B"/>
    <w:rsid w:val="00E87016"/>
    <w:rsid w:val="00E907A4"/>
    <w:rsid w:val="00E96705"/>
    <w:rsid w:val="00E9738E"/>
    <w:rsid w:val="00EA16F9"/>
    <w:rsid w:val="00EA2DDC"/>
    <w:rsid w:val="00EA3666"/>
    <w:rsid w:val="00EA677D"/>
    <w:rsid w:val="00EA6829"/>
    <w:rsid w:val="00EA76C2"/>
    <w:rsid w:val="00EB51BC"/>
    <w:rsid w:val="00EC0C59"/>
    <w:rsid w:val="00EC25F5"/>
    <w:rsid w:val="00EC47F6"/>
    <w:rsid w:val="00ED1D5E"/>
    <w:rsid w:val="00ED2DA0"/>
    <w:rsid w:val="00ED6613"/>
    <w:rsid w:val="00EE2764"/>
    <w:rsid w:val="00EF54F0"/>
    <w:rsid w:val="00F03EFC"/>
    <w:rsid w:val="00F0576D"/>
    <w:rsid w:val="00F108ED"/>
    <w:rsid w:val="00F227A4"/>
    <w:rsid w:val="00F328DA"/>
    <w:rsid w:val="00F35271"/>
    <w:rsid w:val="00F35580"/>
    <w:rsid w:val="00F502A9"/>
    <w:rsid w:val="00F52853"/>
    <w:rsid w:val="00F61A88"/>
    <w:rsid w:val="00F714F9"/>
    <w:rsid w:val="00F754A3"/>
    <w:rsid w:val="00F925B9"/>
    <w:rsid w:val="00FA6F53"/>
    <w:rsid w:val="00FA7196"/>
    <w:rsid w:val="00FB030F"/>
    <w:rsid w:val="00FD2F20"/>
    <w:rsid w:val="00FD368E"/>
    <w:rsid w:val="00FD6BF4"/>
    <w:rsid w:val="00FD7A80"/>
    <w:rsid w:val="00FE2339"/>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55C6A7"/>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74816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15756755">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666D27BE1A3BC47B699B871D6F7F958" ma:contentTypeVersion="" ma:contentTypeDescription="PDMS Document Site Content Type" ma:contentTypeScope="" ma:versionID="201fee7176baa8ce9a33aa1e79e3aa5d">
  <xsd:schema xmlns:xsd="http://www.w3.org/2001/XMLSchema" xmlns:xs="http://www.w3.org/2001/XMLSchema" xmlns:p="http://schemas.microsoft.com/office/2006/metadata/properties" xmlns:ns2="E09EC836-4947-4AF8-A387-7352942D43E5" targetNamespace="http://schemas.microsoft.com/office/2006/metadata/properties" ma:root="true" ma:fieldsID="80415495afae598a3fd0407a7e8a808f" ns2:_="">
    <xsd:import namespace="E09EC836-4947-4AF8-A387-7352942D43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EC836-4947-4AF8-A387-7352942D43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09EC836-4947-4AF8-A387-7352942D43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C63B-253C-462E-93F0-A20B17BB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EC836-4947-4AF8-A387-7352942D4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DCF64-F581-4535-8B77-D744832D0ED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E09EC836-4947-4AF8-A387-7352942D43E5"/>
    <ds:schemaRef ds:uri="http://www.w3.org/XML/1998/namespace"/>
  </ds:schemaRefs>
</ds:datastoreItem>
</file>

<file path=customXml/itemProps3.xml><?xml version="1.0" encoding="utf-8"?>
<ds:datastoreItem xmlns:ds="http://schemas.openxmlformats.org/officeDocument/2006/customXml" ds:itemID="{878850A8-D608-4D2E-97AD-491C946161AC}">
  <ds:schemaRefs>
    <ds:schemaRef ds:uri="http://schemas.microsoft.com/sharepoint/v3/contenttype/forms"/>
  </ds:schemaRefs>
</ds:datastoreItem>
</file>

<file path=customXml/itemProps4.xml><?xml version="1.0" encoding="utf-8"?>
<ds:datastoreItem xmlns:ds="http://schemas.openxmlformats.org/officeDocument/2006/customXml" ds:itemID="{57D0A726-D61C-4DB2-8430-20C87DC5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6672</Characters>
  <Application>Microsoft Office Word</Application>
  <DocSecurity>0</DocSecurity>
  <Lines>145</Lines>
  <Paragraphs>80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SPENCE, Annabelle</cp:lastModifiedBy>
  <cp:revision>2</cp:revision>
  <cp:lastPrinted>2016-04-08T01:41:00Z</cp:lastPrinted>
  <dcterms:created xsi:type="dcterms:W3CDTF">2022-01-21T04:49:00Z</dcterms:created>
  <dcterms:modified xsi:type="dcterms:W3CDTF">2022-01-21T04:49:00Z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 Legal privilege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B77DA87D1A0C46FAB65C2C87EDF36429</vt:lpwstr>
  </property>
  <property fmtid="{D5CDD505-2E9C-101B-9397-08002B2CF9AE}" pid="9" name="PM_ProtectiveMarkingValue_Footer">
    <vt:lpwstr>OFFICIAL: Sensitive Legal privilege</vt:lpwstr>
  </property>
  <property fmtid="{D5CDD505-2E9C-101B-9397-08002B2CF9AE}" pid="10" name="PM_Originator_Hash_SHA1">
    <vt:lpwstr>F2D1039861266E9FE81404763A2764629655B568</vt:lpwstr>
  </property>
  <property fmtid="{D5CDD505-2E9C-101B-9397-08002B2CF9AE}" pid="11" name="PM_OriginationTimeStamp">
    <vt:lpwstr>2022-01-21T04:49:33Z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D08C32482FFCE3F11EBAD58C453727EA</vt:lpwstr>
  </property>
  <property fmtid="{D5CDD505-2E9C-101B-9397-08002B2CF9AE}" pid="20" name="PM_Hash_Salt">
    <vt:lpwstr>3A10134A92F10B474E0354F324CF475A</vt:lpwstr>
  </property>
  <property fmtid="{D5CDD505-2E9C-101B-9397-08002B2CF9AE}" pid="21" name="PM_Hash_SHA1">
    <vt:lpwstr>2DD025792BF84AEC25575BE4E6AEA32D9D69A0EC</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 Sensitive Legal privilege</vt:lpwstr>
  </property>
  <property fmtid="{D5CDD505-2E9C-101B-9397-08002B2CF9AE}" pid="25" name="PM_OriginatorUserAccountName_SHA256">
    <vt:lpwstr>C315C770E2F60C8FE51B3D72AE29D89BA6C66732C2484477019AED7BC9257D91</vt:lpwstr>
  </property>
  <property fmtid="{D5CDD505-2E9C-101B-9397-08002B2CF9AE}" pid="26" name="PM_OriginatorDomainName_SHA256">
    <vt:lpwstr>E83A2A66C4061446A7E3732E8D44762184B6B377D962B96C83DC624302585857</vt:lpwstr>
  </property>
  <property fmtid="{D5CDD505-2E9C-101B-9397-08002B2CF9AE}" pid="27" name="ContentTypeId">
    <vt:lpwstr>0x010100266966F133664895A6EE3632470D45F5005666D27BE1A3BC47B699B871D6F7F958</vt:lpwstr>
  </property>
</Properties>
</file>