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D6379" w14:textId="77777777" w:rsidR="00280050" w:rsidRPr="00D61CE2" w:rsidRDefault="00E40F4A" w:rsidP="00E40F4A">
      <w:pPr>
        <w:jc w:val="center"/>
        <w:rPr>
          <w:b/>
        </w:rPr>
      </w:pPr>
      <w:r w:rsidRPr="00D61CE2">
        <w:rPr>
          <w:b/>
        </w:rPr>
        <w:t>EXPLANATORY STATEMENT</w:t>
      </w:r>
    </w:p>
    <w:p w14:paraId="395E1650" w14:textId="77777777" w:rsidR="00E40F4A" w:rsidRPr="00D61CE2" w:rsidRDefault="00E40F4A" w:rsidP="00E40F4A">
      <w:pPr>
        <w:jc w:val="center"/>
        <w:rPr>
          <w:i/>
        </w:rPr>
      </w:pPr>
      <w:r w:rsidRPr="00D61CE2">
        <w:rPr>
          <w:i/>
        </w:rPr>
        <w:t>National Health Act 1953</w:t>
      </w:r>
    </w:p>
    <w:p w14:paraId="4A412065" w14:textId="77777777" w:rsidR="00564885" w:rsidRPr="00D61CE2" w:rsidRDefault="00564885" w:rsidP="00564885">
      <w:pPr>
        <w:jc w:val="center"/>
        <w:rPr>
          <w:b/>
          <w:i/>
        </w:rPr>
      </w:pPr>
      <w:r w:rsidRPr="00D61CE2">
        <w:rPr>
          <w:b/>
          <w:i/>
        </w:rPr>
        <w:t>National Health</w:t>
      </w:r>
      <w:bookmarkStart w:id="0" w:name="BK_S1P1L3C16"/>
      <w:bookmarkEnd w:id="0"/>
      <w:r w:rsidRPr="00D61CE2">
        <w:rPr>
          <w:b/>
          <w:i/>
        </w:rPr>
        <w:t xml:space="preserve"> (Pharmaceutical Benefits) (Pharmacist Substitution of Medicines without Prescription during Shortages) Amendment (No. 1) Determination 2022</w:t>
      </w:r>
    </w:p>
    <w:p w14:paraId="5D6A5F98" w14:textId="77777777" w:rsidR="00564885" w:rsidRPr="00D61CE2" w:rsidRDefault="00564885" w:rsidP="00564885">
      <w:pPr>
        <w:spacing w:before="120" w:after="0"/>
        <w:jc w:val="center"/>
        <w:rPr>
          <w:b/>
          <w:sz w:val="22"/>
          <w:szCs w:val="22"/>
        </w:rPr>
      </w:pPr>
      <w:r w:rsidRPr="00D61CE2">
        <w:rPr>
          <w:b/>
          <w:sz w:val="22"/>
          <w:szCs w:val="22"/>
        </w:rPr>
        <w:t>PB 10 of 2022</w:t>
      </w:r>
    </w:p>
    <w:p w14:paraId="0C3822F9" w14:textId="77777777" w:rsidR="00E40F4A" w:rsidRPr="00D61CE2" w:rsidRDefault="00E40F4A">
      <w:pPr>
        <w:rPr>
          <w:b/>
        </w:rPr>
      </w:pPr>
      <w:r w:rsidRPr="00D61CE2">
        <w:rPr>
          <w:b/>
        </w:rPr>
        <w:t>Authority</w:t>
      </w:r>
    </w:p>
    <w:p w14:paraId="60A24F2C" w14:textId="77777777" w:rsidR="00471807" w:rsidRPr="00D61CE2" w:rsidRDefault="000178C6" w:rsidP="001F14BD">
      <w:pPr>
        <w:pStyle w:val="subsection"/>
        <w:shd w:val="clear" w:color="auto" w:fill="FFFFFF"/>
        <w:spacing w:before="0" w:beforeAutospacing="0" w:after="160" w:afterAutospacing="0"/>
        <w:rPr>
          <w:color w:val="000000"/>
        </w:rPr>
      </w:pPr>
      <w:r w:rsidRPr="00D61CE2">
        <w:t xml:space="preserve">Subsection 89A(3) of the </w:t>
      </w:r>
      <w:r w:rsidRPr="00D61CE2">
        <w:rPr>
          <w:i/>
        </w:rPr>
        <w:t>National Health Act</w:t>
      </w:r>
      <w:r w:rsidR="00045087" w:rsidRPr="00D61CE2">
        <w:rPr>
          <w:i/>
        </w:rPr>
        <w:t xml:space="preserve"> 1953</w:t>
      </w:r>
      <w:r w:rsidRPr="00D61CE2">
        <w:t xml:space="preserve"> (the Act) provides that </w:t>
      </w:r>
      <w:r w:rsidRPr="00D61CE2">
        <w:rPr>
          <w:color w:val="000000"/>
        </w:rPr>
        <w:t>the Minister may, by legislative instrument, determine the pharmaceutical benefits that may be supplied by an approved pharmacist without a prescription, and the conditions that must be satisfied when making a supply of those pharmaceutical benefits.</w:t>
      </w:r>
      <w:r w:rsidR="00EE2197" w:rsidRPr="00D61CE2">
        <w:rPr>
          <w:color w:val="000000"/>
        </w:rPr>
        <w:t xml:space="preserve"> </w:t>
      </w:r>
    </w:p>
    <w:p w14:paraId="28FF1153" w14:textId="77777777" w:rsidR="00E40F4A" w:rsidRPr="00D61CE2" w:rsidRDefault="00E40F4A">
      <w:pPr>
        <w:rPr>
          <w:b/>
        </w:rPr>
      </w:pPr>
      <w:r w:rsidRPr="00D61CE2">
        <w:rPr>
          <w:b/>
        </w:rPr>
        <w:t>Purpose</w:t>
      </w:r>
    </w:p>
    <w:p w14:paraId="3264E849" w14:textId="4019B08C" w:rsidR="00E57338" w:rsidRPr="00D61CE2" w:rsidRDefault="009361E9" w:rsidP="00E57338">
      <w:r w:rsidRPr="00D61CE2">
        <w:t xml:space="preserve">The purpose of the </w:t>
      </w:r>
      <w:r w:rsidRPr="00D61CE2">
        <w:rPr>
          <w:i/>
        </w:rPr>
        <w:t xml:space="preserve">National Health (Pharmaceutical Benefits) (Pharmacist Substitution of Medicines without Prescription during Shortages) </w:t>
      </w:r>
      <w:r w:rsidR="00E57338" w:rsidRPr="00D61CE2">
        <w:rPr>
          <w:i/>
        </w:rPr>
        <w:t xml:space="preserve">Amendment (No. 1) </w:t>
      </w:r>
      <w:r w:rsidRPr="00D61CE2">
        <w:rPr>
          <w:i/>
        </w:rPr>
        <w:t>Determination 202</w:t>
      </w:r>
      <w:r w:rsidR="00753BBD" w:rsidRPr="00D61CE2">
        <w:rPr>
          <w:i/>
        </w:rPr>
        <w:t>2</w:t>
      </w:r>
      <w:r w:rsidRPr="00D61CE2">
        <w:rPr>
          <w:i/>
        </w:rPr>
        <w:t xml:space="preserve"> </w:t>
      </w:r>
      <w:r w:rsidR="00EE2197" w:rsidRPr="00D61CE2">
        <w:t>(</w:t>
      </w:r>
      <w:r w:rsidR="00E57338" w:rsidRPr="00D61CE2">
        <w:t>Amendment</w:t>
      </w:r>
      <w:r w:rsidR="00EE2197" w:rsidRPr="00D61CE2">
        <w:t xml:space="preserve"> Determination) </w:t>
      </w:r>
      <w:r w:rsidRPr="00D61CE2">
        <w:t>is</w:t>
      </w:r>
      <w:r w:rsidR="00EE2197" w:rsidRPr="00D61CE2">
        <w:t> </w:t>
      </w:r>
      <w:r w:rsidRPr="00D61CE2">
        <w:t>to</w:t>
      </w:r>
      <w:r w:rsidR="00E57338" w:rsidRPr="00D61CE2">
        <w:rPr>
          <w:iCs/>
        </w:rPr>
        <w:t xml:space="preserve"> amend the</w:t>
      </w:r>
      <w:r w:rsidR="00E57338" w:rsidRPr="00D61CE2">
        <w:rPr>
          <w:i/>
        </w:rPr>
        <w:t xml:space="preserve"> National Health (Pharmaceutical Benefits) (Pharmacist Substitution of Medicines without Prescription during Shortages) Determination 2021 </w:t>
      </w:r>
      <w:r w:rsidR="00E57338" w:rsidRPr="00D61CE2">
        <w:t>(</w:t>
      </w:r>
      <w:r w:rsidR="00F66BB9" w:rsidRPr="00D61CE2">
        <w:t xml:space="preserve">Principal </w:t>
      </w:r>
      <w:r w:rsidR="00E57338" w:rsidRPr="00D61CE2">
        <w:t>Determination) to specify new pharmaceutical benefits that may be supplied under the Pharmaceutical Benefits Scheme</w:t>
      </w:r>
      <w:r w:rsidR="008F7542" w:rsidRPr="00D61CE2">
        <w:t xml:space="preserve"> (PBS)</w:t>
      </w:r>
      <w:r w:rsidR="00E57338" w:rsidRPr="00D61CE2">
        <w:t xml:space="preserve"> without a prescription, subject to the conditions specified in the </w:t>
      </w:r>
      <w:r w:rsidR="00F66BB9" w:rsidRPr="00D61CE2">
        <w:t xml:space="preserve">Principal </w:t>
      </w:r>
      <w:r w:rsidR="00E57338" w:rsidRPr="00D61CE2">
        <w:t xml:space="preserve">Determination. </w:t>
      </w:r>
    </w:p>
    <w:p w14:paraId="3BF8B4F2" w14:textId="77777777" w:rsidR="003B545D" w:rsidRPr="00D61CE2" w:rsidRDefault="003510EA" w:rsidP="003B545D">
      <w:r w:rsidRPr="00D61CE2">
        <w:t xml:space="preserve">The </w:t>
      </w:r>
      <w:r w:rsidR="00F66BB9" w:rsidRPr="00D61CE2">
        <w:t xml:space="preserve">Principal </w:t>
      </w:r>
      <w:r w:rsidRPr="00D61CE2">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D61CE2">
        <w:t xml:space="preserve"> </w:t>
      </w:r>
      <w:r w:rsidR="003B545D" w:rsidRPr="00D61CE2">
        <w:t xml:space="preserve">Following ongoing intermittent shortages of abatacept, the TGA has issued the </w:t>
      </w:r>
      <w:r w:rsidR="003B545D" w:rsidRPr="00D61CE2">
        <w:rPr>
          <w:i/>
        </w:rPr>
        <w:t>Therapeutic Goods (Serious Scarcity and Substitutable Medicine) (Abatacept) Instrument 2022</w:t>
      </w:r>
      <w:r w:rsidR="003B545D" w:rsidRPr="00D61CE2">
        <w:t xml:space="preserve">, which allows pharmacists to supply Orencia ClickJect when presented with a valid prescription for Orencia and vice versa for the duration of the shortage provided the conditions specified by the TGA are met. </w:t>
      </w:r>
    </w:p>
    <w:p w14:paraId="2D0A4808" w14:textId="77777777" w:rsidR="003B545D" w:rsidRPr="00D61CE2" w:rsidRDefault="003B545D" w:rsidP="003B545D">
      <w:r w:rsidRPr="00D61CE2">
        <w:t xml:space="preserve">Orencia ClickJect and Orencia are currently PBS subsidised with a Dispensed Price per Maximum Quantity of $958.82 per dispensing. While the </w:t>
      </w:r>
      <w:r w:rsidRPr="00D61CE2">
        <w:rPr>
          <w:i/>
          <w:iCs/>
        </w:rPr>
        <w:t>Therapeutic Goods (Serious Scarcity and Substitutable Medicine) (Abatacept) Instrument 2022</w:t>
      </w:r>
      <w:r w:rsidRPr="00D61CE2">
        <w:t xml:space="preserve"> allows for patients to receive a clinically equivalent substitute without needing a new prescription, it does not allow PBS subsidised supply of the substitute. This means that instead of paying their usual PBS co</w:t>
      </w:r>
      <w:r w:rsidRPr="00D61CE2">
        <w:noBreakHyphen/>
        <w:t>payments ($6.80 for concessional patients and $42.50 for general patients), patients may need to pay up to $958.82 for each supply, which could result in such an arrangement being unaffordable and impractical.</w:t>
      </w:r>
    </w:p>
    <w:p w14:paraId="03177FDB" w14:textId="3F709014" w:rsidR="003510EA" w:rsidRPr="00D61CE2" w:rsidRDefault="003B545D" w:rsidP="003B545D">
      <w:pPr>
        <w:rPr>
          <w:bCs/>
        </w:rPr>
      </w:pPr>
      <w:r w:rsidRPr="00D61CE2">
        <w:rPr>
          <w:bCs/>
        </w:rPr>
        <w:t xml:space="preserve">The purpose of the Amendment Determination is to allow PBS subsidisation of the arrangements specified in the </w:t>
      </w:r>
      <w:r w:rsidRPr="00D61CE2">
        <w:rPr>
          <w:i/>
          <w:iCs/>
        </w:rPr>
        <w:t xml:space="preserve">Therapeutic Goods (Serious Scarcity and Substitutable Medicine) (Abatacept) Instrument 2022. </w:t>
      </w:r>
      <w:r w:rsidRPr="00D61CE2">
        <w:t>The Amendment Determination</w:t>
      </w:r>
      <w:r w:rsidRPr="00D61CE2">
        <w:rPr>
          <w:i/>
          <w:iCs/>
        </w:rPr>
        <w:t xml:space="preserve"> </w:t>
      </w:r>
      <w:r w:rsidRPr="00D61CE2">
        <w:t>provides that Orencia ClickJect or Orencia may be supplied at the PBS co-payment rate to eligible patients when supplied at the discretion of the pharmacist</w:t>
      </w:r>
      <w:r w:rsidRPr="00D61CE2">
        <w:rPr>
          <w:bCs/>
        </w:rPr>
        <w:t xml:space="preserve">. This allows for continuation of treatment in these patient groups for the duration of the expected supply shortages. </w:t>
      </w:r>
    </w:p>
    <w:p w14:paraId="40DBEF7C" w14:textId="01526191" w:rsidR="00C76D6F" w:rsidRPr="00D61CE2" w:rsidRDefault="00C76D6F" w:rsidP="00C76D6F">
      <w:pPr>
        <w:spacing w:after="0"/>
      </w:pPr>
      <w:r w:rsidRPr="00D61CE2">
        <w:t xml:space="preserve">The </w:t>
      </w:r>
      <w:r w:rsidR="00F66BB9" w:rsidRPr="00D61CE2">
        <w:t xml:space="preserve">Principal </w:t>
      </w:r>
      <w:r w:rsidRPr="00D61CE2">
        <w:t xml:space="preserve">Determination permits the supply by an approved pharmacist of a specified substitute pharmaceutical benefit in situations where the substitute benefit may be dispensed in accordance with section 30EL of the </w:t>
      </w:r>
      <w:r w:rsidRPr="00D61CE2">
        <w:rPr>
          <w:i/>
        </w:rPr>
        <w:t>Therapeutic Goods Act 1989</w:t>
      </w:r>
      <w:r w:rsidRPr="00D61CE2">
        <w:t xml:space="preserve"> and the substitute pharmaceutical benefit is supplied:</w:t>
      </w:r>
    </w:p>
    <w:p w14:paraId="507F3A9E" w14:textId="1771ECF7" w:rsidR="00C76D6F" w:rsidRPr="00D61CE2" w:rsidRDefault="00C76D6F" w:rsidP="00C76D6F">
      <w:pPr>
        <w:pStyle w:val="ListParagraph"/>
        <w:numPr>
          <w:ilvl w:val="0"/>
          <w:numId w:val="1"/>
        </w:numPr>
      </w:pPr>
      <w:r w:rsidRPr="00D61CE2">
        <w:t xml:space="preserve">to a person with a </w:t>
      </w:r>
      <w:r w:rsidR="00B90AB3" w:rsidRPr="00D61CE2">
        <w:rPr>
          <w:color w:val="000000"/>
        </w:rPr>
        <w:t>PBS</w:t>
      </w:r>
      <w:r w:rsidR="00253FFC" w:rsidRPr="00D61CE2">
        <w:rPr>
          <w:color w:val="000000"/>
        </w:rPr>
        <w:t xml:space="preserve"> </w:t>
      </w:r>
      <w:r w:rsidRPr="00D61CE2">
        <w:t xml:space="preserve">prescription for a pharmaceutical benefit </w:t>
      </w:r>
      <w:r w:rsidR="00743D39" w:rsidRPr="00D61CE2">
        <w:t xml:space="preserve">subject to the SSSI; </w:t>
      </w:r>
    </w:p>
    <w:p w14:paraId="3BF89FAF" w14:textId="77777777" w:rsidR="00C76D6F" w:rsidRPr="00D61CE2" w:rsidRDefault="00C76D6F" w:rsidP="00C76D6F">
      <w:pPr>
        <w:pStyle w:val="ListParagraph"/>
        <w:numPr>
          <w:ilvl w:val="0"/>
          <w:numId w:val="1"/>
        </w:numPr>
      </w:pPr>
      <w:r w:rsidRPr="00D61CE2">
        <w:lastRenderedPageBreak/>
        <w:t>where it is not practicable to obtain a PBS prescription from a PBS prescriber for a substitute pharmaceutical benefit before the person needs the supply of the prescribed pharmaceutical benefit;</w:t>
      </w:r>
    </w:p>
    <w:p w14:paraId="4C12BFB6" w14:textId="77777777" w:rsidR="00C76D6F" w:rsidRPr="00D61CE2" w:rsidRDefault="00C76D6F" w:rsidP="00C76D6F">
      <w:pPr>
        <w:pStyle w:val="ListParagraph"/>
        <w:numPr>
          <w:ilvl w:val="0"/>
          <w:numId w:val="5"/>
        </w:numPr>
      </w:pPr>
      <w:r w:rsidRPr="00D61CE2">
        <w:t>where the pharmacist has provided cost information to the patient or their agent so that they are able to make an informed decision before proceeding with the substitute supply. This includes the cost to the patient if the substitution is subsidised through the PBS and the cost to the patient if the substitution is a private prescription; and</w:t>
      </w:r>
    </w:p>
    <w:p w14:paraId="0651795F" w14:textId="0EE68C44" w:rsidR="00C76D6F" w:rsidRPr="00D61CE2" w:rsidRDefault="00C76D6F" w:rsidP="00C76D6F">
      <w:pPr>
        <w:pStyle w:val="ListParagraph"/>
        <w:numPr>
          <w:ilvl w:val="0"/>
          <w:numId w:val="5"/>
        </w:numPr>
      </w:pPr>
      <w:r w:rsidRPr="00D61CE2">
        <w:t>the substitute medicine is eligible for dispensing as a pharmaceutical benefit as outlined in this instrument.</w:t>
      </w:r>
    </w:p>
    <w:p w14:paraId="7EA9D33A" w14:textId="77777777" w:rsidR="00C76D6F" w:rsidRPr="00D61CE2" w:rsidRDefault="00C76D6F" w:rsidP="00C76D6F">
      <w:pPr>
        <w:spacing w:after="0"/>
      </w:pPr>
      <w:r w:rsidRPr="00D61CE2">
        <w:t>The approved pharmacist is required to record the information set out above justifying supply of the substitute pharmaceutical benefit under the SSSI, in writing, for example in:</w:t>
      </w:r>
    </w:p>
    <w:p w14:paraId="54194E3B" w14:textId="77777777" w:rsidR="00C76D6F" w:rsidRPr="00D61CE2" w:rsidRDefault="00C76D6F" w:rsidP="00C76D6F">
      <w:pPr>
        <w:pStyle w:val="ListParagraph"/>
        <w:numPr>
          <w:ilvl w:val="0"/>
          <w:numId w:val="6"/>
        </w:numPr>
        <w:spacing w:after="0"/>
      </w:pPr>
      <w:r w:rsidRPr="00D61CE2">
        <w:t>the dispensing system/record</w:t>
      </w:r>
    </w:p>
    <w:p w14:paraId="1F4E9FF8" w14:textId="77777777" w:rsidR="00C76D6F" w:rsidRPr="00D61CE2" w:rsidRDefault="00C76D6F" w:rsidP="00C76D6F">
      <w:pPr>
        <w:pStyle w:val="ListParagraph"/>
        <w:numPr>
          <w:ilvl w:val="0"/>
          <w:numId w:val="6"/>
        </w:numPr>
      </w:pPr>
      <w:r w:rsidRPr="00D61CE2">
        <w:t>on the original prescription; or</w:t>
      </w:r>
    </w:p>
    <w:p w14:paraId="55157E4C" w14:textId="0195C884" w:rsidR="00C76D6F" w:rsidRPr="00D61CE2" w:rsidRDefault="00C76D6F" w:rsidP="00C76D6F">
      <w:pPr>
        <w:pStyle w:val="ListParagraph"/>
        <w:numPr>
          <w:ilvl w:val="0"/>
          <w:numId w:val="6"/>
        </w:numPr>
      </w:pPr>
      <w:r w:rsidRPr="00D61CE2">
        <w:t>on the repeat prescription.</w:t>
      </w:r>
    </w:p>
    <w:p w14:paraId="7F937F01" w14:textId="7F1FE116" w:rsidR="00C76D6F" w:rsidRPr="00D61CE2" w:rsidRDefault="00C76D6F" w:rsidP="00C76D6F">
      <w:r w:rsidRPr="00D61CE2">
        <w:t>The record must also include that the substitute benefit was supplied under paragraph 89A(3)(a) of the Act.</w:t>
      </w:r>
    </w:p>
    <w:p w14:paraId="64E81A59" w14:textId="1DDE9AE5" w:rsidR="00A36BBE" w:rsidRPr="00D61CE2" w:rsidRDefault="00C76D6F" w:rsidP="000D5EC4">
      <w:r w:rsidRPr="00D61CE2">
        <w:t xml:space="preserve">The pharmacist is also required to notify the relevant PBS prescriber of the details of the substitution in the manner specified in the </w:t>
      </w:r>
      <w:r w:rsidR="00F66BB9" w:rsidRPr="00D61CE2">
        <w:t xml:space="preserve">Principal </w:t>
      </w:r>
      <w:r w:rsidRPr="00D61CE2">
        <w:t>Determination in writing, for example via fax, email, or secure messaging. The information must be provided to the PBS prescriber within 72 hours after the supply.</w:t>
      </w:r>
      <w:r w:rsidR="00F66BB9" w:rsidRPr="00D61CE2">
        <w:t xml:space="preserve"> </w:t>
      </w:r>
      <w:r w:rsidR="00A36BBE" w:rsidRPr="00D61CE2">
        <w:t>Pharmacists are required to use the Authority prescription number annotated on the existing prescriptions for abatacept products and disregard PBS Online warnings (reason code 162 and 163) in these circumstances.</w:t>
      </w:r>
    </w:p>
    <w:p w14:paraId="0327E123" w14:textId="089C74A2" w:rsidR="00C76D6F" w:rsidRPr="00D61CE2" w:rsidRDefault="00C76D6F" w:rsidP="00C76D6F">
      <w:r w:rsidRPr="00D61CE2">
        <w:t xml:space="preserve">The </w:t>
      </w:r>
      <w:r w:rsidR="00F66BB9" w:rsidRPr="00D61CE2">
        <w:t xml:space="preserve">Principal </w:t>
      </w:r>
      <w:r w:rsidRPr="00D61CE2">
        <w:t>Determination will be re</w:t>
      </w:r>
      <w:r w:rsidRPr="00D61CE2">
        <w:noBreakHyphen/>
        <w:t xml:space="preserve">made or revoked, as appropriate, each time the </w:t>
      </w:r>
      <w:r w:rsidR="00B90AB3" w:rsidRPr="00D61CE2">
        <w:t>TGA</w:t>
      </w:r>
      <w:r w:rsidR="00A36BBE" w:rsidRPr="00D61CE2">
        <w:t xml:space="preserve"> </w:t>
      </w:r>
      <w:r w:rsidRPr="00D61CE2">
        <w:t>issues or rescinds a SSSI in respect of a PBS listed drug.</w:t>
      </w:r>
    </w:p>
    <w:p w14:paraId="2054753F" w14:textId="65BB91B5" w:rsidR="00C86737" w:rsidRPr="00D61CE2" w:rsidRDefault="009361E9" w:rsidP="00786242">
      <w:r w:rsidRPr="00D61CE2">
        <w:t xml:space="preserve">The </w:t>
      </w:r>
      <w:r w:rsidR="00F66BB9" w:rsidRPr="00D61CE2">
        <w:t>Amend</w:t>
      </w:r>
      <w:r w:rsidR="004B3DDF" w:rsidRPr="00D61CE2">
        <w:t>ment</w:t>
      </w:r>
      <w:r w:rsidR="00F66BB9" w:rsidRPr="00D61CE2">
        <w:t xml:space="preserve"> </w:t>
      </w:r>
      <w:r w:rsidRPr="00D61CE2">
        <w:t>Determination commences on</w:t>
      </w:r>
      <w:r w:rsidR="00C86737" w:rsidRPr="00D61CE2">
        <w:t xml:space="preserve"> </w:t>
      </w:r>
      <w:r w:rsidR="000841DA" w:rsidRPr="00D61CE2">
        <w:rPr>
          <w:rFonts w:eastAsia="Times New Roman"/>
          <w:b/>
          <w:bCs/>
        </w:rPr>
        <w:t>8</w:t>
      </w:r>
      <w:r w:rsidR="008E4E94" w:rsidRPr="00D61CE2">
        <w:rPr>
          <w:rFonts w:eastAsia="Times New Roman"/>
          <w:b/>
          <w:bCs/>
        </w:rPr>
        <w:t xml:space="preserve"> February 2022</w:t>
      </w:r>
      <w:r w:rsidR="00C86737" w:rsidRPr="00D61CE2">
        <w:t>.</w:t>
      </w:r>
    </w:p>
    <w:p w14:paraId="6322B864" w14:textId="7DF15C9A" w:rsidR="009361E9" w:rsidRPr="00D61CE2" w:rsidRDefault="00C86737" w:rsidP="00786242">
      <w:r w:rsidRPr="00D61CE2">
        <w:t>T</w:t>
      </w:r>
      <w:r w:rsidR="009361E9" w:rsidRPr="00D61CE2">
        <w:t xml:space="preserve">he </w:t>
      </w:r>
      <w:r w:rsidR="00F66BB9" w:rsidRPr="00D61CE2">
        <w:t>Amend</w:t>
      </w:r>
      <w:r w:rsidR="004B3DDF" w:rsidRPr="00D61CE2">
        <w:t>ment</w:t>
      </w:r>
      <w:r w:rsidR="00F66BB9" w:rsidRPr="00D61CE2">
        <w:t xml:space="preserve"> </w:t>
      </w:r>
      <w:r w:rsidR="009361E9" w:rsidRPr="00D61CE2">
        <w:t>Determination is a legislative instrument for the purposes of the </w:t>
      </w:r>
      <w:r w:rsidR="009361E9" w:rsidRPr="00D61CE2">
        <w:rPr>
          <w:i/>
        </w:rPr>
        <w:t>Legislation Act 2003</w:t>
      </w:r>
      <w:r w:rsidR="009361E9" w:rsidRPr="00D61CE2">
        <w:t>.</w:t>
      </w:r>
    </w:p>
    <w:p w14:paraId="4608D19C" w14:textId="55152AE0" w:rsidR="009361E9" w:rsidRPr="00D61CE2" w:rsidRDefault="009361E9" w:rsidP="009361E9">
      <w:r w:rsidRPr="00D61CE2">
        <w:t xml:space="preserve">A provision-by-provision description of the </w:t>
      </w:r>
      <w:r w:rsidR="00F66BB9" w:rsidRPr="00D61CE2">
        <w:t>Amend</w:t>
      </w:r>
      <w:r w:rsidR="004B3DDF" w:rsidRPr="00D61CE2">
        <w:t>ment</w:t>
      </w:r>
      <w:r w:rsidR="00F66BB9" w:rsidRPr="00D61CE2">
        <w:t xml:space="preserve"> </w:t>
      </w:r>
      <w:r w:rsidRPr="00D61CE2">
        <w:t xml:space="preserve">Determination is contained in </w:t>
      </w:r>
      <w:r w:rsidR="00917136" w:rsidRPr="00D61CE2">
        <w:t xml:space="preserve">the </w:t>
      </w:r>
      <w:r w:rsidRPr="00D61CE2">
        <w:t>Attachment.</w:t>
      </w:r>
    </w:p>
    <w:p w14:paraId="5B5E1C1F" w14:textId="77777777" w:rsidR="00E40F4A" w:rsidRPr="00D61CE2" w:rsidRDefault="00E40F4A">
      <w:pPr>
        <w:rPr>
          <w:b/>
        </w:rPr>
      </w:pPr>
      <w:r w:rsidRPr="00D61CE2">
        <w:rPr>
          <w:b/>
        </w:rPr>
        <w:t>Consultation</w:t>
      </w:r>
    </w:p>
    <w:p w14:paraId="0476B556" w14:textId="3224DFE7" w:rsidR="00476CDE" w:rsidRPr="00D61CE2" w:rsidRDefault="00476CDE" w:rsidP="00476CDE">
      <w:r w:rsidRPr="00D61CE2">
        <w:t xml:space="preserve">The Amendment Determination reflects the intention of previous consultation. </w:t>
      </w:r>
    </w:p>
    <w:p w14:paraId="693DF45F" w14:textId="37542041" w:rsidR="00253FFC" w:rsidRPr="00D61CE2" w:rsidRDefault="00253FFC" w:rsidP="00253FFC">
      <w:pPr>
        <w:shd w:val="clear" w:color="auto" w:fill="FFFFFF"/>
        <w:rPr>
          <w:color w:val="000000"/>
        </w:rPr>
      </w:pPr>
      <w:r w:rsidRPr="00D61CE2">
        <w:rPr>
          <w:color w:val="000000"/>
        </w:rPr>
        <w:t>Consultation was previously undertaken with stakeholders in the development of the Principal Determination. Consultation focused on PBS subsidisation of medicines substituted</w:t>
      </w:r>
      <w:r w:rsidRPr="00D61CE2">
        <w:rPr>
          <w:color w:val="000000"/>
          <w:shd w:val="clear" w:color="auto" w:fill="FFFFFF"/>
        </w:rPr>
        <w:t> in accordance with section 30EL of the </w:t>
      </w:r>
      <w:r w:rsidRPr="00D61CE2">
        <w:rPr>
          <w:i/>
          <w:iCs/>
          <w:color w:val="000000"/>
          <w:shd w:val="clear" w:color="auto" w:fill="FFFFFF"/>
        </w:rPr>
        <w:t>Therapeutic Goods Act 1989</w:t>
      </w:r>
      <w:r w:rsidRPr="00D61CE2">
        <w:rPr>
          <w:color w:val="000000"/>
          <w:shd w:val="clear" w:color="auto" w:fill="FFFFFF"/>
        </w:rPr>
        <w:t>.</w:t>
      </w:r>
      <w:r w:rsidRPr="00D61CE2">
        <w:rPr>
          <w:color w:val="000000"/>
        </w:rPr>
        <w:t xml:space="preserve"> Stakeholders included, the Pharmacy Guild of Australia, the Pharmaceutical Society of Australia, the Australian Medical Association, the Consumers Health Forum of Australia, the Royal Australian College of General Practitioners, and the Royal Australian College of Nurse Practitioners. Stakeholders were supportive of the Principal Determination. Stakeholders raised no substantive concerns in relation to the Principal Determination, however they requested improved communication strategies</w:t>
      </w:r>
      <w:r w:rsidR="00B90AB3" w:rsidRPr="00D61CE2">
        <w:rPr>
          <w:color w:val="000000"/>
        </w:rPr>
        <w:t>,</w:t>
      </w:r>
      <w:r w:rsidRPr="00D61CE2">
        <w:rPr>
          <w:color w:val="000000"/>
        </w:rPr>
        <w:t xml:space="preserve"> which the Department undertook in response. </w:t>
      </w:r>
    </w:p>
    <w:p w14:paraId="677EB804" w14:textId="75332777" w:rsidR="00253FFC" w:rsidRPr="00D61CE2" w:rsidRDefault="00253FFC" w:rsidP="00253FFC">
      <w:pPr>
        <w:autoSpaceDE w:val="0"/>
        <w:autoSpaceDN w:val="0"/>
        <w:adjustRightInd w:val="0"/>
      </w:pPr>
      <w:r w:rsidRPr="00D61CE2">
        <w:t xml:space="preserve">Consultation with stakeholders on PBS subsidy </w:t>
      </w:r>
      <w:r w:rsidR="00DC08F2" w:rsidRPr="00D61CE2">
        <w:t xml:space="preserve">was </w:t>
      </w:r>
      <w:r w:rsidRPr="00D61CE2">
        <w:t xml:space="preserve">undertaken in the development of the Principal Determination. As the Amendment Determination reflects the intention of that previous consultation, no further industry stakeholder consultation was considered necessary. </w:t>
      </w:r>
    </w:p>
    <w:p w14:paraId="25DB6A5A" w14:textId="0D49B5D3" w:rsidR="004B3DDF" w:rsidRPr="00D61CE2" w:rsidRDefault="00B90AB3">
      <w:pPr>
        <w:rPr>
          <w:b/>
        </w:rPr>
      </w:pPr>
      <w:r w:rsidRPr="00D61CE2">
        <w:lastRenderedPageBreak/>
        <w:t>I</w:t>
      </w:r>
      <w:r w:rsidR="00253FFC" w:rsidRPr="00D61CE2">
        <w:t>n relation to the Amendment Determination</w:t>
      </w:r>
      <w:r w:rsidRPr="00D61CE2">
        <w:t>,</w:t>
      </w:r>
      <w:r w:rsidR="00253FFC" w:rsidRPr="00D61CE2">
        <w:t xml:space="preserve"> </w:t>
      </w:r>
      <w:r w:rsidRPr="00D61CE2">
        <w:t>c</w:t>
      </w:r>
      <w:r w:rsidR="00253FFC" w:rsidRPr="00D61CE2">
        <w:t xml:space="preserve">onsultation </w:t>
      </w:r>
      <w:r w:rsidRPr="00D61CE2">
        <w:t xml:space="preserve">was undertaken </w:t>
      </w:r>
      <w:r w:rsidR="00253FFC" w:rsidRPr="00D61CE2">
        <w:t xml:space="preserve">with the Chair and relevant expert members of the Pharmaceutical Benefits Advisory Committee (PBAC), </w:t>
      </w:r>
      <w:r w:rsidR="00253FFC" w:rsidRPr="00D61CE2">
        <w:rPr>
          <w:rFonts w:eastAsia="Calibri"/>
          <w:iCs/>
        </w:rPr>
        <w:t>an independent, expert advisory body that recommends medicines for listing on the PBS. Consultation with PBAC experts focused on specific</w:t>
      </w:r>
      <w:r w:rsidR="00253FFC" w:rsidRPr="00D61CE2">
        <w:t xml:space="preserve"> advice about the appropriateness of PBS subsidisation for the Amendment </w:t>
      </w:r>
      <w:r w:rsidR="00371767" w:rsidRPr="00D61CE2">
        <w:t>Determination</w:t>
      </w:r>
      <w:r w:rsidR="00253FFC" w:rsidRPr="00D61CE2">
        <w:t>. The PBAC experts endorsed the proposed approach as it was considered that the substitution arrangement is necessary, with limited other options available for patients</w:t>
      </w:r>
      <w:r w:rsidR="004B3DDF" w:rsidRPr="00D61CE2">
        <w:t xml:space="preserve"> during the current shortage</w:t>
      </w:r>
      <w:r w:rsidR="00253FFC" w:rsidRPr="00D61CE2">
        <w:t xml:space="preserve"> needing replacement as quickly as possible.</w:t>
      </w:r>
    </w:p>
    <w:p w14:paraId="22C95941" w14:textId="77777777" w:rsidR="005B1624" w:rsidRPr="00D61CE2" w:rsidRDefault="005B1624">
      <w:pPr>
        <w:rPr>
          <w:b/>
        </w:rPr>
      </w:pPr>
      <w:r w:rsidRPr="00D61CE2">
        <w:rPr>
          <w:b/>
        </w:rPr>
        <w:br w:type="page"/>
      </w:r>
    </w:p>
    <w:p w14:paraId="39DD0394" w14:textId="370A5771" w:rsidR="00E40F4A" w:rsidRPr="00D61CE2" w:rsidRDefault="00E40F4A" w:rsidP="00E25B39">
      <w:pPr>
        <w:jc w:val="center"/>
        <w:rPr>
          <w:b/>
        </w:rPr>
      </w:pPr>
      <w:r w:rsidRPr="00D61CE2">
        <w:rPr>
          <w:b/>
        </w:rPr>
        <w:lastRenderedPageBreak/>
        <w:t>ATTACHMENT</w:t>
      </w:r>
    </w:p>
    <w:p w14:paraId="6EDF1C6E" w14:textId="77777777" w:rsidR="00E40F4A" w:rsidRPr="00D61CE2" w:rsidRDefault="00E40F4A" w:rsidP="00E40F4A">
      <w:pPr>
        <w:jc w:val="right"/>
        <w:rPr>
          <w:b/>
        </w:rPr>
      </w:pPr>
    </w:p>
    <w:p w14:paraId="1E40F2EC" w14:textId="77777777" w:rsidR="008E4E94" w:rsidRPr="00D61CE2" w:rsidRDefault="00372527" w:rsidP="008E4E94">
      <w:pPr>
        <w:rPr>
          <w:b/>
          <w:i/>
        </w:rPr>
      </w:pPr>
      <w:r w:rsidRPr="00D61CE2">
        <w:rPr>
          <w:b/>
        </w:rPr>
        <w:t>Details</w:t>
      </w:r>
      <w:r w:rsidR="00E40F4A" w:rsidRPr="00D61CE2">
        <w:rPr>
          <w:b/>
        </w:rPr>
        <w:t xml:space="preserve"> of the </w:t>
      </w:r>
      <w:r w:rsidR="008E4E94" w:rsidRPr="00D61CE2">
        <w:rPr>
          <w:b/>
          <w:i/>
        </w:rPr>
        <w:t>National Health (Pharmaceutical Benefits) (Pharmacist Substitution of Medicines without Prescription during Shortages) Amendment (No. 1) Determination 2022</w:t>
      </w:r>
    </w:p>
    <w:p w14:paraId="6E90B69E" w14:textId="77777777" w:rsidR="00E40F4A" w:rsidRPr="00D61CE2" w:rsidRDefault="00E40F4A" w:rsidP="00E40F4A">
      <w:pPr>
        <w:rPr>
          <w:b/>
        </w:rPr>
      </w:pPr>
      <w:r w:rsidRPr="00D61CE2">
        <w:rPr>
          <w:b/>
        </w:rPr>
        <w:t>Section 1</w:t>
      </w:r>
      <w:r w:rsidRPr="00D61CE2">
        <w:rPr>
          <w:b/>
        </w:rPr>
        <w:tab/>
        <w:t>Name</w:t>
      </w:r>
    </w:p>
    <w:p w14:paraId="40BABAD1" w14:textId="59D2287C" w:rsidR="00E40F4A" w:rsidRPr="00D61CE2" w:rsidRDefault="009361E9" w:rsidP="00E40F4A">
      <w:pPr>
        <w:rPr>
          <w:b/>
          <w:i/>
        </w:rPr>
      </w:pPr>
      <w:r w:rsidRPr="00D61CE2">
        <w:t xml:space="preserve">This section provides </w:t>
      </w:r>
      <w:r w:rsidR="00372527" w:rsidRPr="00D61CE2">
        <w:t xml:space="preserve">that the name of the </w:t>
      </w:r>
      <w:r w:rsidR="003510EA" w:rsidRPr="00D61CE2">
        <w:t xml:space="preserve">Amendment Determination is the </w:t>
      </w:r>
      <w:r w:rsidR="008E4E94" w:rsidRPr="00D61CE2">
        <w:rPr>
          <w:bCs/>
          <w:i/>
        </w:rPr>
        <w:t>National Health (Pharmaceutical Benefits) (Pharmacist Substitution of Medicines without Prescription during Shortages) Amendment (No. 1) Determination 2022</w:t>
      </w:r>
      <w:r w:rsidR="008E4E94" w:rsidRPr="00D61CE2">
        <w:rPr>
          <w:bCs/>
          <w:iCs/>
        </w:rPr>
        <w:t>.</w:t>
      </w:r>
    </w:p>
    <w:p w14:paraId="569DC1A9" w14:textId="6532CE56" w:rsidR="00E40F4A" w:rsidRPr="00D61CE2" w:rsidRDefault="009361E9" w:rsidP="00E40F4A">
      <w:pPr>
        <w:rPr>
          <w:b/>
        </w:rPr>
      </w:pPr>
      <w:r w:rsidRPr="00D61CE2">
        <w:t xml:space="preserve">This section also provides that the </w:t>
      </w:r>
      <w:r w:rsidR="004B3DDF" w:rsidRPr="00D61CE2">
        <w:t>Amendment Determination</w:t>
      </w:r>
      <w:r w:rsidRPr="00D61CE2">
        <w:t xml:space="preserve"> may be cited as P</w:t>
      </w:r>
      <w:r w:rsidR="00E46E86" w:rsidRPr="00D61CE2">
        <w:t>B</w:t>
      </w:r>
      <w:r w:rsidR="00A01F21" w:rsidRPr="00D61CE2">
        <w:t xml:space="preserve"> </w:t>
      </w:r>
      <w:r w:rsidR="008E4E94" w:rsidRPr="00D61CE2">
        <w:t>10</w:t>
      </w:r>
      <w:r w:rsidR="00A01F21" w:rsidRPr="00D61CE2">
        <w:t xml:space="preserve"> </w:t>
      </w:r>
      <w:r w:rsidRPr="00D61CE2">
        <w:t>of 202</w:t>
      </w:r>
      <w:r w:rsidR="008E4E94" w:rsidRPr="00D61CE2">
        <w:t>2</w:t>
      </w:r>
      <w:r w:rsidRPr="00D61CE2">
        <w:t>.</w:t>
      </w:r>
    </w:p>
    <w:p w14:paraId="7D1B5326" w14:textId="77777777" w:rsidR="00E40F4A" w:rsidRPr="00D61CE2" w:rsidRDefault="00E40F4A" w:rsidP="00E40F4A">
      <w:pPr>
        <w:rPr>
          <w:b/>
        </w:rPr>
      </w:pPr>
      <w:r w:rsidRPr="00D61CE2">
        <w:rPr>
          <w:b/>
        </w:rPr>
        <w:t>Section 2</w:t>
      </w:r>
      <w:r w:rsidRPr="00D61CE2">
        <w:rPr>
          <w:b/>
        </w:rPr>
        <w:tab/>
        <w:t>Commencement</w:t>
      </w:r>
    </w:p>
    <w:p w14:paraId="1C51C215" w14:textId="53CCECD1" w:rsidR="00E40F4A" w:rsidRPr="00D61CE2" w:rsidRDefault="00621B3F" w:rsidP="00E40F4A">
      <w:pPr>
        <w:rPr>
          <w:b/>
        </w:rPr>
      </w:pPr>
      <w:r w:rsidRPr="00D61CE2">
        <w:t xml:space="preserve">This section provides that the </w:t>
      </w:r>
      <w:r w:rsidR="005B1E28" w:rsidRPr="00D61CE2">
        <w:t xml:space="preserve">Amendment </w:t>
      </w:r>
      <w:r w:rsidRPr="00D61CE2">
        <w:t xml:space="preserve">Determination commences </w:t>
      </w:r>
      <w:r w:rsidR="00786242" w:rsidRPr="00D61CE2">
        <w:t xml:space="preserve">on </w:t>
      </w:r>
      <w:r w:rsidR="000841DA" w:rsidRPr="00D61CE2">
        <w:t>8</w:t>
      </w:r>
      <w:r w:rsidR="008E4E94" w:rsidRPr="00D61CE2">
        <w:t xml:space="preserve"> February 2022</w:t>
      </w:r>
      <w:r w:rsidRPr="00D61CE2">
        <w:t>.</w:t>
      </w:r>
    </w:p>
    <w:p w14:paraId="078F5B0D" w14:textId="77777777" w:rsidR="00E40F4A" w:rsidRPr="00D61CE2" w:rsidRDefault="00E40F4A" w:rsidP="00E40F4A">
      <w:pPr>
        <w:rPr>
          <w:b/>
        </w:rPr>
      </w:pPr>
      <w:r w:rsidRPr="00D61CE2">
        <w:rPr>
          <w:b/>
        </w:rPr>
        <w:t>Section 3</w:t>
      </w:r>
      <w:r w:rsidRPr="00D61CE2">
        <w:rPr>
          <w:b/>
        </w:rPr>
        <w:tab/>
        <w:t>Authority</w:t>
      </w:r>
    </w:p>
    <w:p w14:paraId="21A4B6C6" w14:textId="38C1B8C4" w:rsidR="00E40F4A" w:rsidRPr="00D61CE2" w:rsidRDefault="00621B3F" w:rsidP="00E40F4A">
      <w:r w:rsidRPr="00D61CE2">
        <w:t xml:space="preserve">This section provides that the </w:t>
      </w:r>
      <w:r w:rsidR="005B1E28" w:rsidRPr="00D61CE2">
        <w:t xml:space="preserve">Amendment </w:t>
      </w:r>
      <w:r w:rsidRPr="00D61CE2">
        <w:t xml:space="preserve">Determination is made under subsection 89A(3) of the </w:t>
      </w:r>
      <w:r w:rsidRPr="00D61CE2">
        <w:rPr>
          <w:i/>
        </w:rPr>
        <w:t>National</w:t>
      </w:r>
      <w:r w:rsidR="0085161E" w:rsidRPr="00D61CE2">
        <w:rPr>
          <w:i/>
        </w:rPr>
        <w:t> </w:t>
      </w:r>
      <w:r w:rsidRPr="00D61CE2">
        <w:rPr>
          <w:i/>
        </w:rPr>
        <w:t>Health</w:t>
      </w:r>
      <w:r w:rsidR="0085161E" w:rsidRPr="00D61CE2">
        <w:rPr>
          <w:i/>
        </w:rPr>
        <w:t> </w:t>
      </w:r>
      <w:r w:rsidRPr="00D61CE2">
        <w:rPr>
          <w:i/>
        </w:rPr>
        <w:t>Act</w:t>
      </w:r>
      <w:r w:rsidR="0085161E" w:rsidRPr="00D61CE2">
        <w:rPr>
          <w:i/>
        </w:rPr>
        <w:t> </w:t>
      </w:r>
      <w:r w:rsidRPr="00D61CE2">
        <w:rPr>
          <w:i/>
        </w:rPr>
        <w:t>1953</w:t>
      </w:r>
      <w:r w:rsidRPr="00D61CE2">
        <w:t>.</w:t>
      </w:r>
    </w:p>
    <w:p w14:paraId="642658DD" w14:textId="77777777" w:rsidR="00DC08F2" w:rsidRPr="00D61CE2" w:rsidRDefault="00DC08F2" w:rsidP="00DC08F2">
      <w:pPr>
        <w:rPr>
          <w:b/>
        </w:rPr>
      </w:pPr>
      <w:r w:rsidRPr="00D61CE2">
        <w:rPr>
          <w:b/>
        </w:rPr>
        <w:t>Section 4</w:t>
      </w:r>
      <w:r w:rsidRPr="00D61CE2">
        <w:rPr>
          <w:b/>
        </w:rPr>
        <w:tab/>
        <w:t xml:space="preserve"> Schedules </w:t>
      </w:r>
    </w:p>
    <w:p w14:paraId="365CCB36" w14:textId="0F4A517C" w:rsidR="00B8487C" w:rsidRPr="00D61CE2" w:rsidRDefault="00B8487C" w:rsidP="00E40F4A">
      <w:r w:rsidRPr="00D61CE2">
        <w:t>This section sets ou</w:t>
      </w:r>
      <w:r w:rsidR="00D434AF" w:rsidRPr="00D61CE2">
        <w:t>t</w:t>
      </w:r>
      <w:r w:rsidRPr="00D61CE2">
        <w:t xml:space="preserve"> that the amendments to be made to the Principal Determination are in Schedule 1. The amendments include the addition of abatacept injection 125 mg in 1 mL single dose autoinjector (Orencia ClickJect) and abatacept injection 125 mg in 1 mL single dose pre-filled syringe (Orencia) as pharmaceutical benefits in shortage and specifies approved substitute benefits to be supplied at PBS subsidised prices for the duration of the TGA approval.</w:t>
      </w:r>
    </w:p>
    <w:p w14:paraId="768ECAA5" w14:textId="71A98570" w:rsidR="003E1213" w:rsidRPr="00D61CE2" w:rsidRDefault="003E1213" w:rsidP="003E1213">
      <w:pPr>
        <w:ind w:left="1440" w:hanging="1440"/>
        <w:rPr>
          <w:b/>
        </w:rPr>
      </w:pPr>
      <w:r w:rsidRPr="00D61CE2">
        <w:rPr>
          <w:b/>
        </w:rPr>
        <w:t>Schedule 1 - Amendments</w:t>
      </w:r>
    </w:p>
    <w:p w14:paraId="6F2D9B23" w14:textId="2E7ACD19" w:rsidR="001B037F" w:rsidRPr="00D61CE2" w:rsidRDefault="003E1213" w:rsidP="00F91DA2">
      <w:pPr>
        <w:rPr>
          <w:bCs/>
          <w:szCs w:val="22"/>
        </w:rPr>
      </w:pPr>
      <w:r w:rsidRPr="00D61CE2">
        <w:rPr>
          <w:bCs/>
          <w:szCs w:val="22"/>
        </w:rPr>
        <w:t xml:space="preserve">This item adds </w:t>
      </w:r>
      <w:r w:rsidR="000D5EC4" w:rsidRPr="00D61CE2">
        <w:rPr>
          <w:bCs/>
          <w:szCs w:val="22"/>
        </w:rPr>
        <w:t xml:space="preserve">two </w:t>
      </w:r>
      <w:r w:rsidRPr="00D61CE2">
        <w:rPr>
          <w:bCs/>
          <w:szCs w:val="22"/>
        </w:rPr>
        <w:t>new item</w:t>
      </w:r>
      <w:r w:rsidR="00B8487C" w:rsidRPr="00D61CE2">
        <w:rPr>
          <w:bCs/>
          <w:szCs w:val="22"/>
        </w:rPr>
        <w:t>s</w:t>
      </w:r>
      <w:r w:rsidRPr="00D61CE2">
        <w:rPr>
          <w:bCs/>
          <w:szCs w:val="22"/>
        </w:rPr>
        <w:t xml:space="preserve"> to the table at subsection 5(8) of the </w:t>
      </w:r>
      <w:r w:rsidRPr="00D61CE2">
        <w:rPr>
          <w:bCs/>
          <w:i/>
          <w:iCs/>
          <w:szCs w:val="22"/>
        </w:rPr>
        <w:t>National Health (Pharmaceutical Benefits) (Pharmacist Substitution of Medicines without Prescription during Shortages) Determination 2021</w:t>
      </w:r>
      <w:r w:rsidRPr="00D61CE2">
        <w:rPr>
          <w:bCs/>
          <w:szCs w:val="22"/>
        </w:rPr>
        <w:t>:</w:t>
      </w:r>
    </w:p>
    <w:tbl>
      <w:tblPr>
        <w:tblStyle w:val="TableGrid"/>
        <w:tblW w:w="8791" w:type="dxa"/>
        <w:tblLook w:val="04A0" w:firstRow="1" w:lastRow="0" w:firstColumn="1" w:lastColumn="0" w:noHBand="0" w:noVBand="1"/>
      </w:tblPr>
      <w:tblGrid>
        <w:gridCol w:w="696"/>
        <w:gridCol w:w="3935"/>
        <w:gridCol w:w="4160"/>
      </w:tblGrid>
      <w:tr w:rsidR="00DC08F2" w:rsidRPr="00D61CE2" w14:paraId="00AD2B06" w14:textId="77777777" w:rsidTr="00C32118">
        <w:trPr>
          <w:trHeight w:val="752"/>
        </w:trPr>
        <w:tc>
          <w:tcPr>
            <w:tcW w:w="591" w:type="dxa"/>
          </w:tcPr>
          <w:p w14:paraId="32DF807C" w14:textId="2100768B" w:rsidR="00DC08F2" w:rsidRPr="00D61CE2" w:rsidRDefault="00D434AF" w:rsidP="001E07B3">
            <w:pPr>
              <w:tabs>
                <w:tab w:val="left" w:pos="3544"/>
              </w:tabs>
              <w:rPr>
                <w:b/>
                <w:bCs/>
                <w:color w:val="000000" w:themeColor="text1"/>
                <w:sz w:val="24"/>
                <w:szCs w:val="24"/>
              </w:rPr>
            </w:pPr>
            <w:r w:rsidRPr="00D61CE2">
              <w:rPr>
                <w:b/>
                <w:bCs/>
                <w:color w:val="000000" w:themeColor="text1"/>
                <w:sz w:val="24"/>
                <w:szCs w:val="24"/>
              </w:rPr>
              <w:t>Item</w:t>
            </w:r>
          </w:p>
        </w:tc>
        <w:tc>
          <w:tcPr>
            <w:tcW w:w="3985" w:type="dxa"/>
          </w:tcPr>
          <w:p w14:paraId="646DA2CB" w14:textId="2EEAFD23" w:rsidR="00DC08F2" w:rsidRPr="00D61CE2" w:rsidRDefault="00DC08F2" w:rsidP="001E07B3">
            <w:pPr>
              <w:tabs>
                <w:tab w:val="left" w:pos="3544"/>
              </w:tabs>
              <w:rPr>
                <w:rFonts w:eastAsiaTheme="minorHAnsi"/>
                <w:b/>
                <w:bCs/>
                <w:color w:val="000000" w:themeColor="text1"/>
                <w:sz w:val="24"/>
                <w:szCs w:val="24"/>
                <w:lang w:eastAsia="en-US"/>
              </w:rPr>
            </w:pPr>
            <w:r w:rsidRPr="00D61CE2">
              <w:rPr>
                <w:rFonts w:eastAsiaTheme="minorHAnsi"/>
                <w:b/>
                <w:bCs/>
                <w:color w:val="000000" w:themeColor="text1"/>
                <w:sz w:val="24"/>
                <w:szCs w:val="24"/>
                <w:lang w:eastAsia="en-US"/>
              </w:rPr>
              <w:t xml:space="preserve">Column </w:t>
            </w:r>
            <w:r w:rsidR="006F6B64" w:rsidRPr="00D61CE2">
              <w:rPr>
                <w:rFonts w:eastAsiaTheme="minorHAnsi"/>
                <w:b/>
                <w:bCs/>
                <w:color w:val="000000" w:themeColor="text1"/>
                <w:sz w:val="24"/>
                <w:szCs w:val="24"/>
                <w:lang w:eastAsia="en-US"/>
              </w:rPr>
              <w:t>1</w:t>
            </w:r>
          </w:p>
          <w:p w14:paraId="17174E40" w14:textId="77777777" w:rsidR="00257643" w:rsidRPr="00D61CE2" w:rsidRDefault="00257643" w:rsidP="00257643">
            <w:pPr>
              <w:rPr>
                <w:b/>
                <w:bCs/>
                <w:color w:val="000000" w:themeColor="text1"/>
                <w:sz w:val="24"/>
                <w:szCs w:val="24"/>
              </w:rPr>
            </w:pPr>
            <w:r w:rsidRPr="00D61CE2">
              <w:rPr>
                <w:b/>
                <w:bCs/>
                <w:color w:val="000000" w:themeColor="text1"/>
                <w:sz w:val="24"/>
                <w:szCs w:val="24"/>
              </w:rPr>
              <w:t>Prescribed pharmaceutical benefit</w:t>
            </w:r>
          </w:p>
          <w:p w14:paraId="5135EF91" w14:textId="5FD1129A" w:rsidR="00DC08F2" w:rsidRPr="00D61CE2" w:rsidRDefault="00DC08F2" w:rsidP="001E07B3">
            <w:pPr>
              <w:tabs>
                <w:tab w:val="left" w:pos="3544"/>
              </w:tabs>
              <w:rPr>
                <w:b/>
                <w:bCs/>
                <w:sz w:val="24"/>
                <w:szCs w:val="24"/>
              </w:rPr>
            </w:pPr>
          </w:p>
        </w:tc>
        <w:tc>
          <w:tcPr>
            <w:tcW w:w="4215" w:type="dxa"/>
          </w:tcPr>
          <w:p w14:paraId="4D929547" w14:textId="07FDF199" w:rsidR="00DC08F2" w:rsidRPr="00D61CE2" w:rsidRDefault="00DC08F2" w:rsidP="001E07B3">
            <w:pPr>
              <w:tabs>
                <w:tab w:val="left" w:pos="3544"/>
              </w:tabs>
              <w:rPr>
                <w:b/>
                <w:bCs/>
                <w:sz w:val="24"/>
                <w:szCs w:val="24"/>
              </w:rPr>
            </w:pPr>
            <w:r w:rsidRPr="00D61CE2">
              <w:rPr>
                <w:b/>
                <w:bCs/>
                <w:sz w:val="24"/>
                <w:szCs w:val="24"/>
              </w:rPr>
              <w:t xml:space="preserve">Column </w:t>
            </w:r>
            <w:r w:rsidR="006F6B64" w:rsidRPr="00D61CE2">
              <w:rPr>
                <w:b/>
                <w:bCs/>
                <w:sz w:val="24"/>
                <w:szCs w:val="24"/>
              </w:rPr>
              <w:t>2</w:t>
            </w:r>
          </w:p>
          <w:p w14:paraId="1D34765A" w14:textId="72C38B90" w:rsidR="00DC08F2" w:rsidRPr="00D61CE2" w:rsidRDefault="00257643" w:rsidP="001E07B3">
            <w:pPr>
              <w:tabs>
                <w:tab w:val="left" w:pos="3544"/>
              </w:tabs>
              <w:rPr>
                <w:b/>
                <w:bCs/>
                <w:sz w:val="24"/>
                <w:szCs w:val="24"/>
              </w:rPr>
            </w:pPr>
            <w:r w:rsidRPr="00D61CE2">
              <w:rPr>
                <w:b/>
                <w:bCs/>
                <w:sz w:val="24"/>
                <w:szCs w:val="24"/>
              </w:rPr>
              <w:t>Substitute pharmaceutical benefit</w:t>
            </w:r>
          </w:p>
        </w:tc>
      </w:tr>
      <w:tr w:rsidR="00DC08F2" w:rsidRPr="00D61CE2" w14:paraId="79E472FA" w14:textId="77777777" w:rsidTr="00C32118">
        <w:trPr>
          <w:trHeight w:val="1375"/>
        </w:trPr>
        <w:tc>
          <w:tcPr>
            <w:tcW w:w="591" w:type="dxa"/>
          </w:tcPr>
          <w:p w14:paraId="105709C1" w14:textId="68EC617E" w:rsidR="00DC08F2" w:rsidRPr="00D61CE2" w:rsidRDefault="00DC08F2" w:rsidP="003E1213">
            <w:pPr>
              <w:rPr>
                <w:sz w:val="22"/>
                <w:szCs w:val="22"/>
              </w:rPr>
            </w:pPr>
            <w:r w:rsidRPr="00D61CE2">
              <w:rPr>
                <w:sz w:val="22"/>
                <w:szCs w:val="22"/>
              </w:rPr>
              <w:t>6</w:t>
            </w:r>
          </w:p>
        </w:tc>
        <w:tc>
          <w:tcPr>
            <w:tcW w:w="3985" w:type="dxa"/>
          </w:tcPr>
          <w:p w14:paraId="0DDA225D" w14:textId="4350DDBA" w:rsidR="00DC08F2" w:rsidRPr="00D61CE2" w:rsidRDefault="00DC08F2" w:rsidP="003E1213">
            <w:pPr>
              <w:rPr>
                <w:sz w:val="22"/>
                <w:szCs w:val="22"/>
              </w:rPr>
            </w:pPr>
            <w:r w:rsidRPr="00D61CE2">
              <w:rPr>
                <w:sz w:val="22"/>
                <w:szCs w:val="22"/>
              </w:rPr>
              <w:t xml:space="preserve">Listed drug: </w:t>
            </w:r>
            <w:bookmarkStart w:id="1" w:name="_Hlk94795311"/>
            <w:r w:rsidRPr="00D61CE2">
              <w:rPr>
                <w:sz w:val="22"/>
                <w:szCs w:val="22"/>
              </w:rPr>
              <w:t>Abatacept</w:t>
            </w:r>
            <w:bookmarkEnd w:id="1"/>
          </w:p>
          <w:p w14:paraId="7285577F" w14:textId="04E82191" w:rsidR="00DC08F2" w:rsidRPr="00D61CE2" w:rsidRDefault="00DC08F2" w:rsidP="003E1213">
            <w:pPr>
              <w:rPr>
                <w:sz w:val="22"/>
                <w:szCs w:val="22"/>
              </w:rPr>
            </w:pPr>
            <w:r w:rsidRPr="00D61CE2">
              <w:rPr>
                <w:sz w:val="22"/>
                <w:szCs w:val="22"/>
              </w:rPr>
              <w:t>Form: Injection 125 mg in 1 mL single dose autoinjector</w:t>
            </w:r>
          </w:p>
          <w:p w14:paraId="73D743CB" w14:textId="77777777" w:rsidR="00DC08F2" w:rsidRPr="00D61CE2" w:rsidRDefault="00DC08F2" w:rsidP="003E1213">
            <w:pPr>
              <w:tabs>
                <w:tab w:val="left" w:pos="3544"/>
              </w:tabs>
              <w:rPr>
                <w:sz w:val="22"/>
                <w:szCs w:val="22"/>
              </w:rPr>
            </w:pPr>
            <w:r w:rsidRPr="00D61CE2">
              <w:rPr>
                <w:sz w:val="22"/>
                <w:szCs w:val="22"/>
              </w:rPr>
              <w:t>Manner of administration: Injection</w:t>
            </w:r>
          </w:p>
          <w:p w14:paraId="17D5C801" w14:textId="3929145B" w:rsidR="00DC08F2" w:rsidRPr="00D61CE2" w:rsidRDefault="00DC08F2" w:rsidP="003E1213">
            <w:pPr>
              <w:tabs>
                <w:tab w:val="left" w:pos="3544"/>
              </w:tabs>
              <w:rPr>
                <w:sz w:val="22"/>
                <w:szCs w:val="22"/>
              </w:rPr>
            </w:pPr>
            <w:r w:rsidRPr="00D61CE2">
              <w:rPr>
                <w:sz w:val="22"/>
                <w:szCs w:val="22"/>
              </w:rPr>
              <w:t>Brand: Orencia ClickJect</w:t>
            </w:r>
          </w:p>
        </w:tc>
        <w:tc>
          <w:tcPr>
            <w:tcW w:w="4215" w:type="dxa"/>
          </w:tcPr>
          <w:p w14:paraId="36E541C6" w14:textId="77777777" w:rsidR="00DC08F2" w:rsidRPr="00D61CE2" w:rsidRDefault="00DC08F2" w:rsidP="003E1213">
            <w:pPr>
              <w:rPr>
                <w:sz w:val="22"/>
                <w:szCs w:val="22"/>
              </w:rPr>
            </w:pPr>
            <w:r w:rsidRPr="00D61CE2">
              <w:rPr>
                <w:sz w:val="22"/>
                <w:szCs w:val="22"/>
              </w:rPr>
              <w:t xml:space="preserve">Listed drug: Abatacept </w:t>
            </w:r>
          </w:p>
          <w:p w14:paraId="63BB9F39" w14:textId="3DCF11B0" w:rsidR="00DC08F2" w:rsidRPr="00D61CE2" w:rsidRDefault="00DC08F2" w:rsidP="003E1213">
            <w:pPr>
              <w:rPr>
                <w:sz w:val="22"/>
                <w:szCs w:val="22"/>
              </w:rPr>
            </w:pPr>
            <w:r w:rsidRPr="00D61CE2">
              <w:rPr>
                <w:sz w:val="22"/>
                <w:szCs w:val="22"/>
              </w:rPr>
              <w:t xml:space="preserve">Form: Injection 125 mg in 1 mL </w:t>
            </w:r>
            <w:bookmarkStart w:id="2" w:name="_Hlk94695087"/>
            <w:r w:rsidRPr="00D61CE2">
              <w:rPr>
                <w:sz w:val="22"/>
                <w:szCs w:val="22"/>
              </w:rPr>
              <w:t xml:space="preserve">single dose pre-filled syringe </w:t>
            </w:r>
            <w:bookmarkEnd w:id="2"/>
          </w:p>
          <w:p w14:paraId="193C3789" w14:textId="77777777" w:rsidR="00DC08F2" w:rsidRPr="00D61CE2" w:rsidRDefault="00DC08F2" w:rsidP="003E1213">
            <w:pPr>
              <w:rPr>
                <w:sz w:val="22"/>
                <w:szCs w:val="22"/>
              </w:rPr>
            </w:pPr>
            <w:r w:rsidRPr="00D61CE2">
              <w:rPr>
                <w:sz w:val="22"/>
                <w:szCs w:val="22"/>
              </w:rPr>
              <w:t>Manner of administration: Injection</w:t>
            </w:r>
          </w:p>
          <w:p w14:paraId="16E72431" w14:textId="7EB00416" w:rsidR="00DC08F2" w:rsidRPr="00D61CE2" w:rsidRDefault="00DC08F2" w:rsidP="003E1213">
            <w:pPr>
              <w:rPr>
                <w:sz w:val="22"/>
                <w:szCs w:val="22"/>
              </w:rPr>
            </w:pPr>
            <w:r w:rsidRPr="00D61CE2">
              <w:rPr>
                <w:sz w:val="22"/>
                <w:szCs w:val="22"/>
              </w:rPr>
              <w:t xml:space="preserve">Brand: Orencia </w:t>
            </w:r>
          </w:p>
          <w:p w14:paraId="76BADE06" w14:textId="31B0B925" w:rsidR="00DC08F2" w:rsidRPr="00D61CE2" w:rsidRDefault="00DC08F2" w:rsidP="003E1213">
            <w:pPr>
              <w:tabs>
                <w:tab w:val="left" w:pos="3544"/>
              </w:tabs>
              <w:rPr>
                <w:sz w:val="22"/>
                <w:szCs w:val="22"/>
              </w:rPr>
            </w:pPr>
          </w:p>
        </w:tc>
      </w:tr>
      <w:tr w:rsidR="00DC08F2" w:rsidRPr="00D61CE2" w14:paraId="3045792E" w14:textId="77777777" w:rsidTr="00C32118">
        <w:trPr>
          <w:trHeight w:val="63"/>
        </w:trPr>
        <w:tc>
          <w:tcPr>
            <w:tcW w:w="591" w:type="dxa"/>
          </w:tcPr>
          <w:p w14:paraId="77387F99" w14:textId="4F64FBD5" w:rsidR="00DC08F2" w:rsidRPr="00D61CE2" w:rsidRDefault="00DC08F2" w:rsidP="003E1213">
            <w:pPr>
              <w:rPr>
                <w:sz w:val="22"/>
                <w:szCs w:val="22"/>
              </w:rPr>
            </w:pPr>
            <w:r w:rsidRPr="00D61CE2">
              <w:rPr>
                <w:sz w:val="22"/>
                <w:szCs w:val="22"/>
              </w:rPr>
              <w:t>7</w:t>
            </w:r>
          </w:p>
        </w:tc>
        <w:tc>
          <w:tcPr>
            <w:tcW w:w="3985" w:type="dxa"/>
          </w:tcPr>
          <w:p w14:paraId="2F20369F" w14:textId="761DFB24" w:rsidR="00DC08F2" w:rsidRPr="00D61CE2" w:rsidRDefault="00DC08F2" w:rsidP="003E1213">
            <w:pPr>
              <w:rPr>
                <w:sz w:val="22"/>
                <w:szCs w:val="22"/>
              </w:rPr>
            </w:pPr>
            <w:r w:rsidRPr="00D61CE2">
              <w:rPr>
                <w:sz w:val="22"/>
                <w:szCs w:val="22"/>
              </w:rPr>
              <w:t xml:space="preserve">Listed drug: Abatacept </w:t>
            </w:r>
          </w:p>
          <w:p w14:paraId="01DC4AB5" w14:textId="0650B6AF" w:rsidR="00DC08F2" w:rsidRPr="00D61CE2" w:rsidRDefault="00DC08F2" w:rsidP="003E1213">
            <w:pPr>
              <w:rPr>
                <w:sz w:val="22"/>
                <w:szCs w:val="22"/>
              </w:rPr>
            </w:pPr>
            <w:r w:rsidRPr="00D61CE2">
              <w:rPr>
                <w:sz w:val="22"/>
                <w:szCs w:val="22"/>
              </w:rPr>
              <w:t xml:space="preserve">Form: Injection 125 mg in 1 mL single dose pre-filled syringe </w:t>
            </w:r>
          </w:p>
          <w:p w14:paraId="7B2AA62A" w14:textId="77777777" w:rsidR="00DC08F2" w:rsidRPr="00D61CE2" w:rsidRDefault="00DC08F2" w:rsidP="003E1213">
            <w:pPr>
              <w:rPr>
                <w:sz w:val="22"/>
                <w:szCs w:val="22"/>
              </w:rPr>
            </w:pPr>
            <w:r w:rsidRPr="00D61CE2">
              <w:rPr>
                <w:sz w:val="22"/>
                <w:szCs w:val="22"/>
              </w:rPr>
              <w:t>Manner of administration: Injection</w:t>
            </w:r>
          </w:p>
          <w:p w14:paraId="2E35A41B" w14:textId="77777777" w:rsidR="00DC08F2" w:rsidRPr="00D61CE2" w:rsidRDefault="00DC08F2" w:rsidP="003E1213">
            <w:pPr>
              <w:rPr>
                <w:sz w:val="22"/>
                <w:szCs w:val="22"/>
              </w:rPr>
            </w:pPr>
            <w:r w:rsidRPr="00D61CE2">
              <w:rPr>
                <w:sz w:val="22"/>
                <w:szCs w:val="22"/>
              </w:rPr>
              <w:t xml:space="preserve">Brand: Orencia </w:t>
            </w:r>
          </w:p>
          <w:p w14:paraId="1388B3C2" w14:textId="244CBDF5" w:rsidR="00DC08F2" w:rsidRPr="00D61CE2" w:rsidRDefault="00DC08F2" w:rsidP="003E1213">
            <w:pPr>
              <w:tabs>
                <w:tab w:val="left" w:pos="3544"/>
              </w:tabs>
              <w:rPr>
                <w:sz w:val="22"/>
                <w:szCs w:val="22"/>
              </w:rPr>
            </w:pPr>
          </w:p>
        </w:tc>
        <w:tc>
          <w:tcPr>
            <w:tcW w:w="4215" w:type="dxa"/>
          </w:tcPr>
          <w:p w14:paraId="6E9D218F" w14:textId="77777777" w:rsidR="00DC08F2" w:rsidRPr="00D61CE2" w:rsidRDefault="00DC08F2" w:rsidP="003E1213">
            <w:pPr>
              <w:rPr>
                <w:sz w:val="22"/>
                <w:szCs w:val="22"/>
              </w:rPr>
            </w:pPr>
            <w:r w:rsidRPr="00D61CE2">
              <w:rPr>
                <w:sz w:val="22"/>
                <w:szCs w:val="22"/>
              </w:rPr>
              <w:t>Listed drug: Abatacept</w:t>
            </w:r>
          </w:p>
          <w:p w14:paraId="1D1D6B74" w14:textId="77777777" w:rsidR="00DC08F2" w:rsidRPr="00D61CE2" w:rsidRDefault="00DC08F2" w:rsidP="003E1213">
            <w:pPr>
              <w:rPr>
                <w:sz w:val="22"/>
                <w:szCs w:val="22"/>
              </w:rPr>
            </w:pPr>
            <w:r w:rsidRPr="00D61CE2">
              <w:rPr>
                <w:sz w:val="22"/>
                <w:szCs w:val="22"/>
              </w:rPr>
              <w:t>Form: Injection 125 mg in 1 mL single dose autoinjector</w:t>
            </w:r>
          </w:p>
          <w:p w14:paraId="0CB00867" w14:textId="77777777" w:rsidR="00DC08F2" w:rsidRPr="00D61CE2" w:rsidRDefault="00DC08F2" w:rsidP="003E1213">
            <w:pPr>
              <w:tabs>
                <w:tab w:val="left" w:pos="3544"/>
              </w:tabs>
              <w:rPr>
                <w:sz w:val="22"/>
                <w:szCs w:val="22"/>
              </w:rPr>
            </w:pPr>
            <w:r w:rsidRPr="00D61CE2">
              <w:rPr>
                <w:sz w:val="22"/>
                <w:szCs w:val="22"/>
              </w:rPr>
              <w:t>Manner of administration: Injection</w:t>
            </w:r>
          </w:p>
          <w:p w14:paraId="61A92035" w14:textId="583F00ED" w:rsidR="00DC08F2" w:rsidRPr="00D61CE2" w:rsidRDefault="00DC08F2" w:rsidP="003E1213">
            <w:pPr>
              <w:tabs>
                <w:tab w:val="left" w:pos="3544"/>
              </w:tabs>
              <w:rPr>
                <w:rStyle w:val="drug-name"/>
                <w:color w:val="222222"/>
                <w:sz w:val="22"/>
                <w:szCs w:val="22"/>
                <w:bdr w:val="none" w:sz="0" w:space="0" w:color="auto" w:frame="1"/>
                <w:shd w:val="clear" w:color="auto" w:fill="FFFFFF"/>
              </w:rPr>
            </w:pPr>
            <w:r w:rsidRPr="00D61CE2">
              <w:rPr>
                <w:sz w:val="22"/>
                <w:szCs w:val="22"/>
              </w:rPr>
              <w:t>Brand: Orencia ClickJect</w:t>
            </w:r>
          </w:p>
        </w:tc>
      </w:tr>
    </w:tbl>
    <w:p w14:paraId="6635398D" w14:textId="77777777" w:rsidR="00D36DC7" w:rsidRPr="00D61CE2" w:rsidRDefault="00D36DC7" w:rsidP="007C74DE">
      <w:pPr>
        <w:spacing w:after="0"/>
        <w:rPr>
          <w:bCs/>
          <w:sz w:val="22"/>
          <w:szCs w:val="22"/>
        </w:rPr>
      </w:pPr>
    </w:p>
    <w:p w14:paraId="3146B839" w14:textId="2D9AA222" w:rsidR="005B1E28" w:rsidRPr="00D61CE2" w:rsidRDefault="005B1E28">
      <w:pPr>
        <w:rPr>
          <w:rFonts w:eastAsia="Times New Roman"/>
          <w:b/>
          <w:bCs/>
          <w:color w:val="000000"/>
          <w:sz w:val="28"/>
          <w:szCs w:val="28"/>
          <w:lang w:eastAsia="en-AU"/>
        </w:rPr>
      </w:pPr>
      <w:r w:rsidRPr="00D61CE2">
        <w:rPr>
          <w:bCs/>
          <w:szCs w:val="22"/>
        </w:rPr>
        <w:t xml:space="preserve">Column 1 of this table sets out </w:t>
      </w:r>
      <w:r w:rsidR="003E1213" w:rsidRPr="00D61CE2">
        <w:rPr>
          <w:bCs/>
          <w:szCs w:val="22"/>
        </w:rPr>
        <w:t xml:space="preserve">the pharmaceutical benefits that may be supplied without a prescription </w:t>
      </w:r>
      <w:r w:rsidRPr="00D61CE2">
        <w:rPr>
          <w:bCs/>
          <w:szCs w:val="22"/>
        </w:rPr>
        <w:t xml:space="preserve">under subsection 89A(3) of the </w:t>
      </w:r>
      <w:r w:rsidRPr="00D61CE2">
        <w:rPr>
          <w:bCs/>
          <w:i/>
          <w:iCs/>
          <w:szCs w:val="22"/>
        </w:rPr>
        <w:t>National Health Act 1953</w:t>
      </w:r>
      <w:r w:rsidRPr="00D61CE2">
        <w:rPr>
          <w:bCs/>
          <w:szCs w:val="22"/>
        </w:rPr>
        <w:t xml:space="preserve">, </w:t>
      </w:r>
      <w:r w:rsidR="003E1213" w:rsidRPr="00D61CE2">
        <w:rPr>
          <w:bCs/>
          <w:szCs w:val="22"/>
        </w:rPr>
        <w:t xml:space="preserve">where the conditions in the </w:t>
      </w:r>
      <w:r w:rsidRPr="00D61CE2">
        <w:rPr>
          <w:bCs/>
          <w:szCs w:val="22"/>
        </w:rPr>
        <w:t xml:space="preserve">Principal </w:t>
      </w:r>
      <w:r w:rsidR="003E1213" w:rsidRPr="00D61CE2">
        <w:rPr>
          <w:bCs/>
          <w:szCs w:val="22"/>
        </w:rPr>
        <w:t>Determination are met.</w:t>
      </w:r>
      <w:r w:rsidRPr="00D61CE2">
        <w:rPr>
          <w:rFonts w:eastAsia="Times New Roman"/>
          <w:b/>
          <w:bCs/>
          <w:color w:val="000000"/>
          <w:sz w:val="28"/>
          <w:szCs w:val="28"/>
          <w:lang w:eastAsia="en-AU"/>
        </w:rPr>
        <w:br w:type="page"/>
      </w:r>
    </w:p>
    <w:p w14:paraId="313EBDD9" w14:textId="706D6EF6" w:rsidR="00E40F4A" w:rsidRPr="00D61CE2" w:rsidRDefault="00E40F4A" w:rsidP="006F6B64">
      <w:pPr>
        <w:shd w:val="clear" w:color="auto" w:fill="FFFFFF"/>
        <w:spacing w:before="120" w:after="120" w:line="240" w:lineRule="auto"/>
        <w:jc w:val="center"/>
        <w:rPr>
          <w:rFonts w:eastAsia="Times New Roman"/>
          <w:b/>
          <w:bCs/>
          <w:color w:val="000000"/>
          <w:sz w:val="28"/>
          <w:szCs w:val="28"/>
          <w:lang w:eastAsia="en-AU"/>
        </w:rPr>
      </w:pPr>
      <w:r w:rsidRPr="00D61CE2">
        <w:rPr>
          <w:rFonts w:eastAsia="Times New Roman"/>
          <w:b/>
          <w:bCs/>
          <w:color w:val="000000"/>
          <w:sz w:val="28"/>
          <w:szCs w:val="28"/>
          <w:lang w:eastAsia="en-AU"/>
        </w:rPr>
        <w:lastRenderedPageBreak/>
        <w:t>Statement of Compatibility with Human Rights</w:t>
      </w:r>
    </w:p>
    <w:p w14:paraId="4F05FE3B" w14:textId="77777777" w:rsidR="00E40F4A" w:rsidRPr="00D61CE2" w:rsidRDefault="00E40F4A" w:rsidP="001467A9">
      <w:pPr>
        <w:shd w:val="clear" w:color="auto" w:fill="FFFFFF"/>
        <w:spacing w:before="120" w:after="120" w:line="240" w:lineRule="auto"/>
        <w:rPr>
          <w:rFonts w:eastAsia="Times New Roman"/>
          <w:color w:val="000000"/>
          <w:lang w:eastAsia="en-AU"/>
        </w:rPr>
      </w:pPr>
      <w:r w:rsidRPr="00D61CE2">
        <w:rPr>
          <w:rFonts w:eastAsia="Times New Roman"/>
          <w:i/>
          <w:iCs/>
          <w:color w:val="000000"/>
          <w:lang w:eastAsia="en-AU"/>
        </w:rPr>
        <w:t xml:space="preserve">Prepared in accordance with </w:t>
      </w:r>
      <w:r w:rsidR="005E3B12" w:rsidRPr="00D61CE2">
        <w:rPr>
          <w:rFonts w:eastAsia="Times New Roman"/>
          <w:i/>
          <w:iCs/>
          <w:color w:val="000000"/>
          <w:lang w:eastAsia="en-AU"/>
        </w:rPr>
        <w:t>Part 3</w:t>
      </w:r>
      <w:r w:rsidRPr="00D61CE2">
        <w:rPr>
          <w:rFonts w:eastAsia="Times New Roman"/>
          <w:i/>
          <w:iCs/>
          <w:color w:val="000000"/>
          <w:lang w:eastAsia="en-AU"/>
        </w:rPr>
        <w:t xml:space="preserve"> of the Human Rights (Parliamentary Scrutiny) Act 2011</w:t>
      </w:r>
    </w:p>
    <w:p w14:paraId="33F6F374" w14:textId="09EA1FA4" w:rsidR="001467A9" w:rsidRPr="00D61CE2" w:rsidRDefault="00E40F4A" w:rsidP="000D5EC4">
      <w:pPr>
        <w:jc w:val="center"/>
        <w:rPr>
          <w:b/>
          <w:i/>
        </w:rPr>
      </w:pPr>
      <w:r w:rsidRPr="00D61CE2">
        <w:rPr>
          <w:b/>
          <w:i/>
        </w:rPr>
        <w:t>National Health (Pharmaceutical Benefits) (Pharmacist Substitution of Medicines without Prescription during Shortages)</w:t>
      </w:r>
      <w:r w:rsidR="003E1213" w:rsidRPr="00D61CE2">
        <w:rPr>
          <w:b/>
          <w:i/>
        </w:rPr>
        <w:t xml:space="preserve"> Amendment (No. 1)</w:t>
      </w:r>
      <w:r w:rsidRPr="00D61CE2">
        <w:rPr>
          <w:b/>
          <w:i/>
        </w:rPr>
        <w:t xml:space="preserve"> Determination 202</w:t>
      </w:r>
      <w:r w:rsidR="000C5058" w:rsidRPr="00D61CE2">
        <w:rPr>
          <w:b/>
          <w:i/>
        </w:rPr>
        <w:t>2</w:t>
      </w:r>
    </w:p>
    <w:p w14:paraId="23E670B3" w14:textId="77777777" w:rsidR="001467A9" w:rsidRPr="00D61CE2" w:rsidRDefault="001467A9" w:rsidP="001467A9">
      <w:pPr>
        <w:shd w:val="clear" w:color="auto" w:fill="FFFFFF"/>
        <w:spacing w:after="120" w:line="240" w:lineRule="auto"/>
        <w:rPr>
          <w:rFonts w:eastAsia="Times New Roman"/>
          <w:color w:val="000000"/>
          <w:lang w:eastAsia="en-AU"/>
        </w:rPr>
      </w:pPr>
      <w:r w:rsidRPr="00D61CE2">
        <w:rPr>
          <w:rFonts w:eastAsia="Times New Roman"/>
          <w:color w:val="000000"/>
          <w:lang w:eastAsia="en-AU"/>
        </w:rPr>
        <w:t xml:space="preserve">This </w:t>
      </w:r>
      <w:r w:rsidR="005E3B12" w:rsidRPr="00D61CE2">
        <w:rPr>
          <w:rFonts w:eastAsia="Times New Roman"/>
          <w:color w:val="000000"/>
          <w:lang w:eastAsia="en-AU"/>
        </w:rPr>
        <w:t xml:space="preserve">Disallowable </w:t>
      </w:r>
      <w:r w:rsidRPr="00D61CE2">
        <w:rPr>
          <w:rFonts w:eastAsia="Times New Roman"/>
          <w:color w:val="000000"/>
          <w:lang w:eastAsia="en-AU"/>
        </w:rPr>
        <w:t>legislative instrument is compatible with the human rights and freedoms recognised or declared in the international instruments listed in section 3 of the </w:t>
      </w:r>
      <w:r w:rsidRPr="00D61CE2">
        <w:rPr>
          <w:rFonts w:eastAsia="Times New Roman"/>
          <w:i/>
          <w:iCs/>
          <w:color w:val="000000"/>
          <w:lang w:eastAsia="en-AU"/>
        </w:rPr>
        <w:t>Human Rights (Parliamentary Scrutiny) Act 2011</w:t>
      </w:r>
      <w:r w:rsidRPr="00D61CE2">
        <w:rPr>
          <w:rFonts w:eastAsia="Times New Roman"/>
          <w:color w:val="000000"/>
          <w:lang w:eastAsia="en-AU"/>
        </w:rPr>
        <w:t>.</w:t>
      </w:r>
    </w:p>
    <w:p w14:paraId="5A7E4869" w14:textId="77777777" w:rsidR="001467A9" w:rsidRPr="00D61CE2" w:rsidRDefault="001467A9" w:rsidP="001467A9">
      <w:pPr>
        <w:shd w:val="clear" w:color="auto" w:fill="FFFFFF"/>
        <w:spacing w:before="120" w:after="0" w:line="240" w:lineRule="auto"/>
        <w:jc w:val="center"/>
        <w:rPr>
          <w:rFonts w:eastAsia="Times New Roman"/>
          <w:color w:val="000000"/>
          <w:lang w:eastAsia="en-AU"/>
        </w:rPr>
      </w:pPr>
      <w:r w:rsidRPr="00D61CE2">
        <w:rPr>
          <w:rFonts w:eastAsia="Times New Roman"/>
          <w:color w:val="000000"/>
          <w:sz w:val="20"/>
          <w:szCs w:val="20"/>
          <w:lang w:eastAsia="en-AU"/>
        </w:rPr>
        <w:t> </w:t>
      </w:r>
    </w:p>
    <w:p w14:paraId="39ACC5A0" w14:textId="32380506" w:rsidR="001467A9" w:rsidRPr="00D61CE2" w:rsidRDefault="001467A9" w:rsidP="001467A9">
      <w:pPr>
        <w:shd w:val="clear" w:color="auto" w:fill="FFFFFF"/>
        <w:spacing w:after="120" w:line="240" w:lineRule="auto"/>
        <w:jc w:val="both"/>
        <w:rPr>
          <w:rFonts w:eastAsia="Times New Roman"/>
          <w:b/>
          <w:bCs/>
          <w:color w:val="000000"/>
          <w:lang w:eastAsia="en-AU"/>
        </w:rPr>
      </w:pPr>
      <w:r w:rsidRPr="00D61CE2">
        <w:rPr>
          <w:rFonts w:eastAsia="Times New Roman"/>
          <w:b/>
          <w:bCs/>
          <w:color w:val="000000"/>
          <w:lang w:eastAsia="en-AU"/>
        </w:rPr>
        <w:t xml:space="preserve">Overview of the </w:t>
      </w:r>
      <w:r w:rsidR="005E3B12" w:rsidRPr="00D61CE2">
        <w:rPr>
          <w:rFonts w:eastAsia="Times New Roman"/>
          <w:b/>
          <w:bCs/>
          <w:color w:val="000000"/>
          <w:lang w:eastAsia="en-AU"/>
        </w:rPr>
        <w:t xml:space="preserve">Disallowable </w:t>
      </w:r>
      <w:r w:rsidRPr="00D61CE2">
        <w:rPr>
          <w:rFonts w:eastAsia="Times New Roman"/>
          <w:b/>
          <w:bCs/>
          <w:color w:val="000000"/>
          <w:lang w:eastAsia="en-AU"/>
        </w:rPr>
        <w:t>Legislative Instrument</w:t>
      </w:r>
    </w:p>
    <w:p w14:paraId="11C274C7" w14:textId="7D00C043" w:rsidR="00A36BBE" w:rsidRPr="00D61CE2" w:rsidRDefault="003E1213" w:rsidP="007C74DE">
      <w:pPr>
        <w:spacing w:after="0"/>
      </w:pPr>
      <w:r w:rsidRPr="00D61CE2">
        <w:t xml:space="preserve">The purpose of the </w:t>
      </w:r>
      <w:r w:rsidRPr="00D61CE2">
        <w:rPr>
          <w:i/>
        </w:rPr>
        <w:t xml:space="preserve">National Health (Pharmaceutical Benefits) (Pharmacist Substitution of Medicines without Prescription during Shortages) Amendment (No. </w:t>
      </w:r>
      <w:r w:rsidR="000C6E0C" w:rsidRPr="00D61CE2">
        <w:rPr>
          <w:i/>
        </w:rPr>
        <w:t>1</w:t>
      </w:r>
      <w:r w:rsidRPr="00D61CE2">
        <w:rPr>
          <w:i/>
        </w:rPr>
        <w:t>) Determination 202</w:t>
      </w:r>
      <w:r w:rsidR="000C6E0C" w:rsidRPr="00D61CE2">
        <w:rPr>
          <w:i/>
        </w:rPr>
        <w:t>2</w:t>
      </w:r>
      <w:r w:rsidRPr="00D61CE2">
        <w:rPr>
          <w:i/>
        </w:rPr>
        <w:t xml:space="preserve"> </w:t>
      </w:r>
      <w:r w:rsidRPr="00D61CE2">
        <w:rPr>
          <w:iCs/>
        </w:rPr>
        <w:t>(Amendment Determination) is to amend the</w:t>
      </w:r>
      <w:r w:rsidRPr="00D61CE2">
        <w:rPr>
          <w:i/>
        </w:rPr>
        <w:t xml:space="preserve"> National Health (Pharmaceutical Benefits) (Pharmacist Substitution of Medicines without Prescription during Shortages) Determination 2021 </w:t>
      </w:r>
      <w:r w:rsidRPr="00D61CE2">
        <w:t>(</w:t>
      </w:r>
      <w:r w:rsidR="005B1E28" w:rsidRPr="00D61CE2">
        <w:t xml:space="preserve">Principal </w:t>
      </w:r>
      <w:r w:rsidRPr="00D61CE2">
        <w:t xml:space="preserve">Determination) to specify new pharmaceutical benefits that may be supplied under the Pharmaceutical Benefits Scheme without a prescription, subject to the conditions specified in the </w:t>
      </w:r>
      <w:r w:rsidR="005B1E28" w:rsidRPr="00D61CE2">
        <w:t xml:space="preserve">Principal </w:t>
      </w:r>
      <w:r w:rsidRPr="00D61CE2">
        <w:t xml:space="preserve">Determination. </w:t>
      </w:r>
    </w:p>
    <w:p w14:paraId="735AB0FC" w14:textId="6D2D082F" w:rsidR="0095679E" w:rsidRPr="00D61CE2" w:rsidRDefault="0095679E" w:rsidP="0095679E">
      <w:pPr>
        <w:spacing w:after="0"/>
      </w:pPr>
    </w:p>
    <w:p w14:paraId="43A53A91" w14:textId="64ADD37A" w:rsidR="00DC08F2" w:rsidRPr="00D61CE2" w:rsidRDefault="00DC08F2" w:rsidP="00C32118">
      <w:pPr>
        <w:spacing w:after="0"/>
      </w:pPr>
      <w:r w:rsidRPr="00D61CE2">
        <w:t xml:space="preserve">The Amendment </w:t>
      </w:r>
      <w:r w:rsidR="00344B45" w:rsidRPr="00D61CE2">
        <w:t>Determination</w:t>
      </w:r>
      <w:r w:rsidRPr="00D61CE2">
        <w:t xml:space="preserve"> specifies that abatacept 125 mg in 1 mL single dose autoinjector and single dose pre-filled syringe can be supplied interchangeably </w:t>
      </w:r>
      <w:r w:rsidR="00CC64C9" w:rsidRPr="00D61CE2">
        <w:t>at the PBS</w:t>
      </w:r>
      <w:r w:rsidR="005B1E28" w:rsidRPr="00D61CE2">
        <w:t xml:space="preserve"> subsidised price, </w:t>
      </w:r>
      <w:r w:rsidRPr="00D61CE2">
        <w:t xml:space="preserve">where conditions in the </w:t>
      </w:r>
      <w:r w:rsidR="005B1E28" w:rsidRPr="00D61CE2">
        <w:t xml:space="preserve">Principal </w:t>
      </w:r>
      <w:r w:rsidRPr="00D61CE2">
        <w:t xml:space="preserve">Determination are met. </w:t>
      </w:r>
      <w:r w:rsidR="005B1E28" w:rsidRPr="00D61CE2">
        <w:t xml:space="preserve">This means </w:t>
      </w:r>
      <w:r w:rsidR="00CC64C9" w:rsidRPr="00D61CE2">
        <w:t>that eligible patients access</w:t>
      </w:r>
      <w:r w:rsidR="003417C4" w:rsidRPr="00D61CE2">
        <w:t>ing</w:t>
      </w:r>
      <w:r w:rsidR="00CC64C9" w:rsidRPr="00D61CE2">
        <w:t xml:space="preserve"> the substitute product under the</w:t>
      </w:r>
      <w:r w:rsidR="003417C4" w:rsidRPr="00D61CE2">
        <w:t xml:space="preserve">se </w:t>
      </w:r>
      <w:r w:rsidR="00CC64C9" w:rsidRPr="00D61CE2">
        <w:t>arrangements will be paying PBS co-payment rate</w:t>
      </w:r>
      <w:r w:rsidR="003417C4" w:rsidRPr="00D61CE2">
        <w:t>s</w:t>
      </w:r>
      <w:r w:rsidR="00CC64C9" w:rsidRPr="00D61CE2">
        <w:t xml:space="preserve"> for the supply and will not be out of pocket. This further </w:t>
      </w:r>
      <w:r w:rsidR="003417C4" w:rsidRPr="00D61CE2">
        <w:t>bolsters</w:t>
      </w:r>
      <w:r w:rsidR="00CC64C9" w:rsidRPr="00D61CE2">
        <w:t xml:space="preserve"> the </w:t>
      </w:r>
      <w:r w:rsidR="003417C4" w:rsidRPr="00D61CE2">
        <w:t xml:space="preserve">intended </w:t>
      </w:r>
      <w:r w:rsidR="00CC64C9" w:rsidRPr="00D61CE2">
        <w:t xml:space="preserve">public health outcome </w:t>
      </w:r>
      <w:r w:rsidR="003417C4" w:rsidRPr="00D61CE2">
        <w:t xml:space="preserve">of the serious shortage intervention by ensuring the substitution remains an affordable and practical alternative for patients. </w:t>
      </w:r>
    </w:p>
    <w:p w14:paraId="6BD84354" w14:textId="03D37FD4" w:rsidR="0083142B" w:rsidRPr="00D61CE2" w:rsidRDefault="0083142B" w:rsidP="00C32118">
      <w:pPr>
        <w:shd w:val="clear" w:color="auto" w:fill="FFFFFF"/>
        <w:spacing w:after="0" w:line="240" w:lineRule="auto"/>
        <w:rPr>
          <w:rFonts w:eastAsia="Times New Roman"/>
          <w:b/>
          <w:bCs/>
          <w:color w:val="000000"/>
          <w:lang w:eastAsia="en-AU"/>
        </w:rPr>
      </w:pPr>
    </w:p>
    <w:p w14:paraId="049B6479" w14:textId="3C7EE9B3" w:rsidR="003E1213" w:rsidRPr="00D61CE2" w:rsidRDefault="003E1213" w:rsidP="00C32118">
      <w:pPr>
        <w:shd w:val="clear" w:color="auto" w:fill="FFFFFF"/>
        <w:spacing w:after="0" w:line="240" w:lineRule="auto"/>
        <w:rPr>
          <w:rFonts w:eastAsia="Times New Roman"/>
          <w:color w:val="000000"/>
          <w:lang w:eastAsia="en-AU"/>
        </w:rPr>
      </w:pPr>
      <w:r w:rsidRPr="00D61CE2">
        <w:rPr>
          <w:rFonts w:eastAsia="Times New Roman"/>
          <w:b/>
          <w:bCs/>
          <w:color w:val="000000"/>
          <w:lang w:eastAsia="en-AU"/>
        </w:rPr>
        <w:t>Human rights implications</w:t>
      </w:r>
    </w:p>
    <w:p w14:paraId="586A289B" w14:textId="77777777" w:rsidR="003E1213" w:rsidRPr="00D61CE2" w:rsidRDefault="003E1213" w:rsidP="00C32118">
      <w:pPr>
        <w:shd w:val="clear" w:color="auto" w:fill="FFFFFF"/>
        <w:spacing w:before="120" w:after="180" w:line="240" w:lineRule="auto"/>
        <w:rPr>
          <w:rFonts w:eastAsia="Times New Roman"/>
          <w:color w:val="000000"/>
          <w:lang w:eastAsia="en-AU"/>
        </w:rPr>
      </w:pPr>
      <w:r w:rsidRPr="00D61CE2">
        <w:rPr>
          <w:rFonts w:eastAsia="Times New Roman"/>
          <w:color w:val="000000"/>
          <w:lang w:val="en-GB" w:eastAsia="en-AU"/>
        </w:rPr>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7BA4BA6A" w14:textId="69E1EC29" w:rsidR="003E1213" w:rsidRPr="00D61CE2" w:rsidRDefault="003E1213" w:rsidP="00C32118">
      <w:pPr>
        <w:shd w:val="clear" w:color="auto" w:fill="FFFFFF"/>
        <w:spacing w:before="180" w:after="180" w:line="240" w:lineRule="auto"/>
        <w:rPr>
          <w:rFonts w:eastAsia="Times New Roman"/>
          <w:color w:val="000000"/>
          <w:lang w:eastAsia="en-AU"/>
        </w:rPr>
      </w:pPr>
      <w:r w:rsidRPr="00D61CE2">
        <w:rPr>
          <w:rFonts w:eastAsia="Times New Roman"/>
          <w:color w:val="000000"/>
          <w:lang w:val="en-GB" w:eastAsia="en-AU"/>
        </w:rPr>
        <w:t xml:space="preserve">The Pharmaceutical Benefits Scheme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D61CE2">
        <w:rPr>
          <w:rFonts w:eastAsia="Times New Roman"/>
          <w:color w:val="000000"/>
          <w:lang w:val="en-GB" w:eastAsia="en-AU"/>
        </w:rPr>
        <w:t>their medicines while their supply is disrupted</w:t>
      </w:r>
      <w:r w:rsidRPr="00D61CE2">
        <w:rPr>
          <w:rFonts w:eastAsia="Times New Roman"/>
          <w:color w:val="000000"/>
          <w:lang w:val="en-GB" w:eastAsia="en-AU"/>
        </w:rPr>
        <w:t>.</w:t>
      </w:r>
    </w:p>
    <w:p w14:paraId="79907B3A" w14:textId="77777777" w:rsidR="003E1213" w:rsidRPr="00D61CE2" w:rsidRDefault="003E1213" w:rsidP="00C32118">
      <w:pPr>
        <w:shd w:val="clear" w:color="auto" w:fill="FFFFFF"/>
        <w:spacing w:before="180" w:after="180" w:line="240" w:lineRule="auto"/>
        <w:rPr>
          <w:rFonts w:eastAsia="Times New Roman"/>
          <w:color w:val="000000"/>
          <w:lang w:eastAsia="en-AU"/>
        </w:rPr>
      </w:pPr>
      <w:r w:rsidRPr="00D61CE2">
        <w:rPr>
          <w:rFonts w:eastAsia="Times New Roman"/>
          <w:b/>
          <w:bCs/>
          <w:color w:val="000000"/>
          <w:lang w:eastAsia="en-AU"/>
        </w:rPr>
        <w:t>Conclusion</w:t>
      </w:r>
    </w:p>
    <w:p w14:paraId="2F4AA8BA" w14:textId="29BBE265" w:rsidR="00385450" w:rsidRPr="00D61CE2" w:rsidRDefault="003E1213" w:rsidP="00C32118">
      <w:pPr>
        <w:shd w:val="clear" w:color="auto" w:fill="FFFFFF"/>
        <w:spacing w:before="120" w:after="240" w:line="240" w:lineRule="auto"/>
        <w:rPr>
          <w:rFonts w:eastAsia="Times New Roman"/>
          <w:color w:val="000000"/>
          <w:lang w:eastAsia="en-AU"/>
        </w:rPr>
      </w:pPr>
      <w:r w:rsidRPr="00D61CE2">
        <w:rPr>
          <w:rFonts w:eastAsia="Times New Roman"/>
          <w:color w:val="000000"/>
          <w:lang w:eastAsia="en-AU"/>
        </w:rPr>
        <w:t>The Amendment Determination is compatible with human rights, as it promotes the protection of human rights.</w:t>
      </w:r>
    </w:p>
    <w:p w14:paraId="6CDB5D93" w14:textId="77777777" w:rsidR="0083142B" w:rsidRPr="00D61CE2"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D61CE2" w:rsidRDefault="002B0FE2" w:rsidP="00C32118">
      <w:pPr>
        <w:shd w:val="clear" w:color="auto" w:fill="FFFFFF"/>
        <w:spacing w:after="0" w:line="240" w:lineRule="auto"/>
        <w:jc w:val="center"/>
        <w:rPr>
          <w:rFonts w:eastAsia="Times New Roman"/>
          <w:b/>
          <w:bCs/>
          <w:color w:val="000000"/>
          <w:lang w:eastAsia="en-AU"/>
        </w:rPr>
      </w:pPr>
      <w:r w:rsidRPr="00D61CE2">
        <w:rPr>
          <w:rFonts w:eastAsia="Times New Roman"/>
          <w:b/>
          <w:bCs/>
          <w:color w:val="000000"/>
          <w:lang w:eastAsia="en-AU"/>
        </w:rPr>
        <w:t>Nikolai Tsyganov</w:t>
      </w:r>
    </w:p>
    <w:p w14:paraId="686471FE" w14:textId="7EC76EB3" w:rsidR="001467A9" w:rsidRPr="00D61CE2" w:rsidRDefault="00152A81" w:rsidP="00C32118">
      <w:pPr>
        <w:shd w:val="clear" w:color="auto" w:fill="FFFFFF"/>
        <w:spacing w:after="0" w:line="240" w:lineRule="auto"/>
        <w:jc w:val="center"/>
        <w:rPr>
          <w:rFonts w:eastAsia="Times New Roman"/>
          <w:b/>
          <w:bCs/>
          <w:color w:val="000000"/>
          <w:lang w:eastAsia="en-AU"/>
        </w:rPr>
      </w:pPr>
      <w:r w:rsidRPr="00D61CE2">
        <w:rPr>
          <w:rFonts w:eastAsia="Times New Roman"/>
          <w:b/>
          <w:bCs/>
          <w:color w:val="000000"/>
          <w:lang w:eastAsia="en-AU"/>
        </w:rPr>
        <w:t xml:space="preserve">Acting </w:t>
      </w:r>
      <w:r w:rsidR="001467A9" w:rsidRPr="00D61CE2">
        <w:rPr>
          <w:rFonts w:eastAsia="Times New Roman"/>
          <w:b/>
          <w:bCs/>
          <w:color w:val="000000"/>
          <w:lang w:eastAsia="en-AU"/>
        </w:rPr>
        <w:t>Assistant Secretary</w:t>
      </w:r>
    </w:p>
    <w:p w14:paraId="707609B1" w14:textId="77777777" w:rsidR="00301412" w:rsidRPr="00D61CE2" w:rsidRDefault="00301412" w:rsidP="00C32118">
      <w:pPr>
        <w:shd w:val="clear" w:color="auto" w:fill="FFFFFF"/>
        <w:spacing w:after="0" w:line="240" w:lineRule="auto"/>
        <w:jc w:val="center"/>
        <w:rPr>
          <w:rFonts w:eastAsia="Times New Roman"/>
          <w:b/>
          <w:color w:val="000000"/>
          <w:lang w:eastAsia="en-AU"/>
        </w:rPr>
      </w:pPr>
      <w:r w:rsidRPr="00D61CE2">
        <w:rPr>
          <w:b/>
          <w:szCs w:val="22"/>
        </w:rPr>
        <w:t>Pricing and PBS Policy Branch</w:t>
      </w:r>
    </w:p>
    <w:p w14:paraId="7B5EC522" w14:textId="77777777" w:rsidR="001467A9" w:rsidRPr="00D61CE2" w:rsidRDefault="001467A9" w:rsidP="00C32118">
      <w:pPr>
        <w:shd w:val="clear" w:color="auto" w:fill="FFFFFF"/>
        <w:spacing w:after="0" w:line="240" w:lineRule="auto"/>
        <w:jc w:val="center"/>
        <w:rPr>
          <w:rFonts w:eastAsia="Times New Roman"/>
          <w:color w:val="000000"/>
          <w:lang w:eastAsia="en-AU"/>
        </w:rPr>
      </w:pPr>
      <w:r w:rsidRPr="00D61CE2">
        <w:rPr>
          <w:rFonts w:eastAsia="Times New Roman"/>
          <w:b/>
          <w:bCs/>
          <w:color w:val="000000"/>
          <w:lang w:eastAsia="en-AU"/>
        </w:rPr>
        <w:t>Technology Assessment and Access Division</w:t>
      </w:r>
    </w:p>
    <w:p w14:paraId="7DBD90AD" w14:textId="77777777" w:rsidR="00E40F4A" w:rsidRPr="00E40F4A" w:rsidRDefault="001467A9" w:rsidP="00C32118">
      <w:pPr>
        <w:jc w:val="center"/>
        <w:rPr>
          <w:b/>
        </w:rPr>
      </w:pPr>
      <w:r w:rsidRPr="00D61CE2">
        <w:rPr>
          <w:rFonts w:eastAsia="Times New Roman"/>
          <w:b/>
          <w:bCs/>
          <w:color w:val="000000"/>
          <w:lang w:eastAsia="en-AU"/>
        </w:rPr>
        <w:t>Department of Health</w:t>
      </w:r>
    </w:p>
    <w:sectPr w:rsidR="00E40F4A" w:rsidRPr="00E40F4A" w:rsidSect="003B545D">
      <w:pgSz w:w="11906" w:h="16838"/>
      <w:pgMar w:top="567"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D00"/>
    <w:multiLevelType w:val="hybridMultilevel"/>
    <w:tmpl w:val="F57E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24E51"/>
    <w:multiLevelType w:val="multilevel"/>
    <w:tmpl w:val="9746F7EA"/>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 w15:restartNumberingAfterBreak="0">
    <w:nsid w:val="131252D1"/>
    <w:multiLevelType w:val="hybridMultilevel"/>
    <w:tmpl w:val="AAE6B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645BD"/>
    <w:multiLevelType w:val="multilevel"/>
    <w:tmpl w:val="9746F7EA"/>
    <w:lvl w:ilvl="0">
      <w:start w:val="1"/>
      <w:numFmt w:val="bullet"/>
      <w:lvlText w:val=""/>
      <w:lvlJc w:val="left"/>
      <w:pPr>
        <w:tabs>
          <w:tab w:val="num" w:pos="785"/>
        </w:tabs>
        <w:ind w:left="785" w:hanging="425"/>
      </w:pPr>
      <w:rPr>
        <w:rFonts w:ascii="Symbol" w:hAnsi="Symbol" w:hint="default"/>
        <w:b/>
        <w:i w:val="0"/>
      </w:rPr>
    </w:lvl>
    <w:lvl w:ilvl="1">
      <w:start w:val="1"/>
      <w:numFmt w:val="bullet"/>
      <w:lvlText w:val=""/>
      <w:lvlJc w:val="left"/>
      <w:pPr>
        <w:tabs>
          <w:tab w:val="num" w:pos="785"/>
        </w:tabs>
        <w:ind w:left="785" w:hanging="425"/>
      </w:pPr>
      <w:rPr>
        <w:rFonts w:ascii="Symbol" w:hAnsi="Symbol" w:hint="default"/>
        <w:b/>
        <w:i w:val="0"/>
      </w:rPr>
    </w:lvl>
    <w:lvl w:ilvl="2">
      <w:start w:val="1"/>
      <w:numFmt w:val="bullet"/>
      <w:lvlText w:val=""/>
      <w:lvlJc w:val="left"/>
      <w:pPr>
        <w:tabs>
          <w:tab w:val="num" w:pos="1210"/>
        </w:tabs>
        <w:ind w:left="1210" w:hanging="425"/>
      </w:pPr>
      <w:rPr>
        <w:rFonts w:ascii="Symbol" w:hAnsi="Symbol" w:hint="default"/>
        <w:b w:val="0"/>
        <w:i w:val="0"/>
      </w:rPr>
    </w:lvl>
    <w:lvl w:ilvl="3">
      <w:start w:val="1"/>
      <w:numFmt w:val="bullet"/>
      <w:lvlText w:val="–"/>
      <w:lvlJc w:val="left"/>
      <w:pPr>
        <w:tabs>
          <w:tab w:val="num" w:pos="1636"/>
        </w:tabs>
        <w:ind w:left="1636" w:hanging="426"/>
      </w:pPr>
      <w:rPr>
        <w:rFonts w:hint="default"/>
        <w:b w:val="0"/>
        <w:i w:val="0"/>
      </w:rPr>
    </w:lvl>
    <w:lvl w:ilvl="4">
      <w:start w:val="1"/>
      <w:numFmt w:val="bullet"/>
      <w:lvlText w:val="–"/>
      <w:lvlJc w:val="left"/>
      <w:pPr>
        <w:tabs>
          <w:tab w:val="num" w:pos="2061"/>
        </w:tabs>
        <w:ind w:left="2061" w:hanging="425"/>
      </w:pPr>
      <w:rPr>
        <w:rFonts w:hint="default"/>
        <w:b w:val="0"/>
        <w:i w:val="0"/>
      </w:rPr>
    </w:lvl>
    <w:lvl w:ilvl="5">
      <w:start w:val="1"/>
      <w:numFmt w:val="bullet"/>
      <w:lvlText w:val="–"/>
      <w:lvlJc w:val="left"/>
      <w:pPr>
        <w:tabs>
          <w:tab w:val="num" w:pos="2486"/>
        </w:tabs>
        <w:ind w:left="2486" w:hanging="425"/>
      </w:pPr>
      <w:rPr>
        <w:rFonts w:hint="default"/>
        <w:b w:val="0"/>
        <w:i w:val="0"/>
      </w:rPr>
    </w:lvl>
    <w:lvl w:ilvl="6">
      <w:start w:val="1"/>
      <w:numFmt w:val="bullet"/>
      <w:lvlText w:val="–"/>
      <w:lvlJc w:val="left"/>
      <w:pPr>
        <w:tabs>
          <w:tab w:val="num" w:pos="2911"/>
        </w:tabs>
        <w:ind w:left="2911" w:hanging="425"/>
      </w:pPr>
      <w:rPr>
        <w:rFonts w:hint="default"/>
        <w:b w:val="0"/>
        <w:i w:val="0"/>
      </w:rPr>
    </w:lvl>
    <w:lvl w:ilvl="7">
      <w:start w:val="1"/>
      <w:numFmt w:val="bullet"/>
      <w:lvlText w:val="–"/>
      <w:lvlJc w:val="left"/>
      <w:pPr>
        <w:tabs>
          <w:tab w:val="num" w:pos="3336"/>
        </w:tabs>
        <w:ind w:left="3336" w:hanging="425"/>
      </w:pPr>
      <w:rPr>
        <w:rFonts w:hint="default"/>
        <w:b w:val="0"/>
        <w:i w:val="0"/>
      </w:rPr>
    </w:lvl>
    <w:lvl w:ilvl="8">
      <w:start w:val="1"/>
      <w:numFmt w:val="bullet"/>
      <w:lvlText w:val="–"/>
      <w:lvlJc w:val="left"/>
      <w:pPr>
        <w:tabs>
          <w:tab w:val="num" w:pos="3762"/>
        </w:tabs>
        <w:ind w:left="3762" w:hanging="426"/>
      </w:pPr>
      <w:rPr>
        <w:rFonts w:hint="default"/>
        <w:b w:val="0"/>
        <w:i w:val="0"/>
      </w:rPr>
    </w:lvl>
  </w:abstractNum>
  <w:abstractNum w:abstractNumId="4"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5" w15:restartNumberingAfterBreak="0">
    <w:nsid w:val="3AF802B4"/>
    <w:multiLevelType w:val="hybridMultilevel"/>
    <w:tmpl w:val="C4162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9B7B53"/>
    <w:multiLevelType w:val="hybridMultilevel"/>
    <w:tmpl w:val="C8482628"/>
    <w:lvl w:ilvl="0" w:tplc="0C090001">
      <w:start w:val="1"/>
      <w:numFmt w:val="bullet"/>
      <w:lvlText w:val=""/>
      <w:lvlJc w:val="left"/>
      <w:pPr>
        <w:ind w:left="1080" w:hanging="360"/>
      </w:pPr>
      <w:rPr>
        <w:rFonts w:ascii="Symbol" w:hAnsi="Symbol" w:hint="default"/>
        <w:color w:val="00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0926B9B"/>
    <w:multiLevelType w:val="hybridMultilevel"/>
    <w:tmpl w:val="4218114A"/>
    <w:lvl w:ilvl="0" w:tplc="276A5D6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4A"/>
    <w:rsid w:val="000178C6"/>
    <w:rsid w:val="00035DB3"/>
    <w:rsid w:val="00045087"/>
    <w:rsid w:val="0008113A"/>
    <w:rsid w:val="000841DA"/>
    <w:rsid w:val="000A6927"/>
    <w:rsid w:val="000B6444"/>
    <w:rsid w:val="000C5058"/>
    <w:rsid w:val="000C6E0C"/>
    <w:rsid w:val="000D5EC4"/>
    <w:rsid w:val="001467A9"/>
    <w:rsid w:val="00152A81"/>
    <w:rsid w:val="00160276"/>
    <w:rsid w:val="001A749C"/>
    <w:rsid w:val="001B037F"/>
    <w:rsid w:val="001C33BD"/>
    <w:rsid w:val="001C7FED"/>
    <w:rsid w:val="001E3AC6"/>
    <w:rsid w:val="001F14BD"/>
    <w:rsid w:val="001F3A90"/>
    <w:rsid w:val="00211037"/>
    <w:rsid w:val="00243F7D"/>
    <w:rsid w:val="00253FFC"/>
    <w:rsid w:val="00257643"/>
    <w:rsid w:val="002578C6"/>
    <w:rsid w:val="00274EED"/>
    <w:rsid w:val="00280050"/>
    <w:rsid w:val="002806EA"/>
    <w:rsid w:val="002B0FE2"/>
    <w:rsid w:val="002D3B39"/>
    <w:rsid w:val="002D6A9B"/>
    <w:rsid w:val="00300DC2"/>
    <w:rsid w:val="00301412"/>
    <w:rsid w:val="0030249B"/>
    <w:rsid w:val="00310F09"/>
    <w:rsid w:val="003417C4"/>
    <w:rsid w:val="003432BC"/>
    <w:rsid w:val="00343BFB"/>
    <w:rsid w:val="00344B45"/>
    <w:rsid w:val="003510EA"/>
    <w:rsid w:val="00371767"/>
    <w:rsid w:val="00372527"/>
    <w:rsid w:val="00384616"/>
    <w:rsid w:val="00385450"/>
    <w:rsid w:val="003A6AC5"/>
    <w:rsid w:val="003B2A6B"/>
    <w:rsid w:val="003B545D"/>
    <w:rsid w:val="003C6AB2"/>
    <w:rsid w:val="003E1213"/>
    <w:rsid w:val="003F7B97"/>
    <w:rsid w:val="004014A5"/>
    <w:rsid w:val="00443C53"/>
    <w:rsid w:val="00445B25"/>
    <w:rsid w:val="00471807"/>
    <w:rsid w:val="00476CDE"/>
    <w:rsid w:val="004839D9"/>
    <w:rsid w:val="004B3DDF"/>
    <w:rsid w:val="004F3F3C"/>
    <w:rsid w:val="00543EAF"/>
    <w:rsid w:val="00564885"/>
    <w:rsid w:val="005A12A9"/>
    <w:rsid w:val="005B1624"/>
    <w:rsid w:val="005B1E28"/>
    <w:rsid w:val="005B3B3C"/>
    <w:rsid w:val="005D54C9"/>
    <w:rsid w:val="005E3B12"/>
    <w:rsid w:val="005F4FBD"/>
    <w:rsid w:val="006002BC"/>
    <w:rsid w:val="0060108B"/>
    <w:rsid w:val="0061061D"/>
    <w:rsid w:val="00616766"/>
    <w:rsid w:val="006173D7"/>
    <w:rsid w:val="00621B3F"/>
    <w:rsid w:val="0063175E"/>
    <w:rsid w:val="006403D3"/>
    <w:rsid w:val="00646D07"/>
    <w:rsid w:val="006758BD"/>
    <w:rsid w:val="006D45BE"/>
    <w:rsid w:val="006E35FD"/>
    <w:rsid w:val="006F214C"/>
    <w:rsid w:val="006F66B9"/>
    <w:rsid w:val="006F6B64"/>
    <w:rsid w:val="007028A4"/>
    <w:rsid w:val="00711112"/>
    <w:rsid w:val="00714197"/>
    <w:rsid w:val="00720CAC"/>
    <w:rsid w:val="00743D39"/>
    <w:rsid w:val="00753BBD"/>
    <w:rsid w:val="00762CEF"/>
    <w:rsid w:val="007744A6"/>
    <w:rsid w:val="00786242"/>
    <w:rsid w:val="007B1D3C"/>
    <w:rsid w:val="007C74DE"/>
    <w:rsid w:val="007D32C3"/>
    <w:rsid w:val="0083142B"/>
    <w:rsid w:val="00840737"/>
    <w:rsid w:val="0085161E"/>
    <w:rsid w:val="0086024F"/>
    <w:rsid w:val="008632B4"/>
    <w:rsid w:val="00884F80"/>
    <w:rsid w:val="00892E09"/>
    <w:rsid w:val="008B012C"/>
    <w:rsid w:val="008E4E94"/>
    <w:rsid w:val="008F2077"/>
    <w:rsid w:val="008F2874"/>
    <w:rsid w:val="008F7542"/>
    <w:rsid w:val="0090018B"/>
    <w:rsid w:val="009014E4"/>
    <w:rsid w:val="00917136"/>
    <w:rsid w:val="00921C80"/>
    <w:rsid w:val="00931BC1"/>
    <w:rsid w:val="009361E9"/>
    <w:rsid w:val="0095679E"/>
    <w:rsid w:val="00983DB8"/>
    <w:rsid w:val="009B6894"/>
    <w:rsid w:val="009D0D1D"/>
    <w:rsid w:val="009D4A36"/>
    <w:rsid w:val="009E1C28"/>
    <w:rsid w:val="00A01F21"/>
    <w:rsid w:val="00A36BBE"/>
    <w:rsid w:val="00A42977"/>
    <w:rsid w:val="00A633CC"/>
    <w:rsid w:val="00A63CFA"/>
    <w:rsid w:val="00A83AA2"/>
    <w:rsid w:val="00AB20CA"/>
    <w:rsid w:val="00AC35BB"/>
    <w:rsid w:val="00AC6788"/>
    <w:rsid w:val="00AC6855"/>
    <w:rsid w:val="00AC708D"/>
    <w:rsid w:val="00AD1BF7"/>
    <w:rsid w:val="00AD5670"/>
    <w:rsid w:val="00AE36A6"/>
    <w:rsid w:val="00AF0C66"/>
    <w:rsid w:val="00B02800"/>
    <w:rsid w:val="00B0771A"/>
    <w:rsid w:val="00B4213E"/>
    <w:rsid w:val="00B8487C"/>
    <w:rsid w:val="00B90AB3"/>
    <w:rsid w:val="00BC605C"/>
    <w:rsid w:val="00BD60E4"/>
    <w:rsid w:val="00C32118"/>
    <w:rsid w:val="00C40B0B"/>
    <w:rsid w:val="00C57245"/>
    <w:rsid w:val="00C6233E"/>
    <w:rsid w:val="00C76D6F"/>
    <w:rsid w:val="00C86737"/>
    <w:rsid w:val="00CA2A22"/>
    <w:rsid w:val="00CA4C1F"/>
    <w:rsid w:val="00CC37D0"/>
    <w:rsid w:val="00CC64C9"/>
    <w:rsid w:val="00CC7BCF"/>
    <w:rsid w:val="00CE6A67"/>
    <w:rsid w:val="00CF2D35"/>
    <w:rsid w:val="00CF5C54"/>
    <w:rsid w:val="00D36DC7"/>
    <w:rsid w:val="00D434AF"/>
    <w:rsid w:val="00D61CE2"/>
    <w:rsid w:val="00D928F7"/>
    <w:rsid w:val="00DC08F2"/>
    <w:rsid w:val="00DC295C"/>
    <w:rsid w:val="00DC6B96"/>
    <w:rsid w:val="00DE3134"/>
    <w:rsid w:val="00E24F4D"/>
    <w:rsid w:val="00E25B39"/>
    <w:rsid w:val="00E40F4A"/>
    <w:rsid w:val="00E46E86"/>
    <w:rsid w:val="00E57338"/>
    <w:rsid w:val="00E60D4B"/>
    <w:rsid w:val="00E75245"/>
    <w:rsid w:val="00EE2197"/>
    <w:rsid w:val="00F01CCF"/>
    <w:rsid w:val="00F14D6C"/>
    <w:rsid w:val="00F555FF"/>
    <w:rsid w:val="00F66BB9"/>
    <w:rsid w:val="00F77461"/>
    <w:rsid w:val="00F81011"/>
    <w:rsid w:val="00F91DA2"/>
    <w:rsid w:val="00FF7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2"/>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04B8-94B0-4D16-9293-96DE8EA4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1857</Words>
  <Characters>10590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 Christine</dc:creator>
  <cp:lastModifiedBy>GOLKOWSKI, Izabel</cp:lastModifiedBy>
  <cp:revision>2</cp:revision>
  <cp:lastPrinted>2021-08-11T04:20:00Z</cp:lastPrinted>
  <dcterms:created xsi:type="dcterms:W3CDTF">2022-02-07T00:55:00Z</dcterms:created>
  <dcterms:modified xsi:type="dcterms:W3CDTF">2022-02-07T00:55:00Z</dcterms:modified>
</cp:coreProperties>
</file>