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E3F5" w14:textId="5013D4DF" w:rsidR="0069295C" w:rsidRDefault="0069295C" w:rsidP="00FD16D2">
      <w:pPr>
        <w:pStyle w:val="Heading5"/>
        <w:ind w:left="0" w:firstLine="0"/>
      </w:pPr>
      <w:r>
        <w:t>EXPLANATORY STATEMENT</w:t>
      </w:r>
    </w:p>
    <w:p w14:paraId="3147E36E" w14:textId="77777777" w:rsidR="0069295C" w:rsidRDefault="0069295C" w:rsidP="0069295C">
      <w:pPr>
        <w:rPr>
          <w:sz w:val="24"/>
          <w:szCs w:val="24"/>
        </w:rPr>
      </w:pPr>
    </w:p>
    <w:p w14:paraId="6929AFE4" w14:textId="77777777" w:rsidR="00AF3256" w:rsidRDefault="00AF3256" w:rsidP="00AF3256">
      <w:r>
        <w:rPr>
          <w:b/>
          <w:sz w:val="36"/>
        </w:rPr>
        <w:t>Military Rehabilitation and Compensation (Special Assistance) Instrument 2022</w:t>
      </w:r>
    </w:p>
    <w:p w14:paraId="7BC69026" w14:textId="77777777" w:rsidR="00875F95" w:rsidRDefault="00875F95" w:rsidP="0069295C">
      <w:pPr>
        <w:rPr>
          <w:sz w:val="24"/>
          <w:szCs w:val="24"/>
        </w:rPr>
      </w:pPr>
    </w:p>
    <w:p w14:paraId="66DDE046" w14:textId="0E4FDC8E" w:rsidR="0069295C" w:rsidRDefault="0069295C" w:rsidP="0069295C">
      <w:pPr>
        <w:rPr>
          <w:sz w:val="24"/>
          <w:szCs w:val="24"/>
        </w:rPr>
      </w:pPr>
      <w:r>
        <w:rPr>
          <w:sz w:val="24"/>
          <w:szCs w:val="24"/>
        </w:rPr>
        <w:t xml:space="preserve">(Instrument </w:t>
      </w:r>
      <w:r w:rsidRPr="0086102C">
        <w:rPr>
          <w:sz w:val="24"/>
          <w:szCs w:val="24"/>
        </w:rPr>
        <w:t>20</w:t>
      </w:r>
      <w:r w:rsidR="00875F95" w:rsidRPr="0086102C">
        <w:rPr>
          <w:sz w:val="24"/>
          <w:szCs w:val="24"/>
        </w:rPr>
        <w:t>2</w:t>
      </w:r>
      <w:r w:rsidR="00AF3256" w:rsidRPr="0086102C">
        <w:rPr>
          <w:sz w:val="24"/>
          <w:szCs w:val="24"/>
        </w:rPr>
        <w:t>2</w:t>
      </w:r>
      <w:r w:rsidRPr="00631E7F">
        <w:rPr>
          <w:sz w:val="24"/>
          <w:szCs w:val="24"/>
        </w:rPr>
        <w:t xml:space="preserve"> </w:t>
      </w:r>
      <w:r>
        <w:rPr>
          <w:sz w:val="24"/>
          <w:szCs w:val="24"/>
        </w:rPr>
        <w:t xml:space="preserve">No. </w:t>
      </w:r>
      <w:r w:rsidR="00353C52">
        <w:rPr>
          <w:sz w:val="24"/>
          <w:szCs w:val="24"/>
        </w:rPr>
        <w:t>M</w:t>
      </w:r>
      <w:r w:rsidR="001C4BE3">
        <w:rPr>
          <w:sz w:val="24"/>
          <w:szCs w:val="24"/>
        </w:rPr>
        <w:t>RCC</w:t>
      </w:r>
      <w:r w:rsidR="00992F46">
        <w:rPr>
          <w:sz w:val="24"/>
          <w:szCs w:val="24"/>
        </w:rPr>
        <w:t>3</w:t>
      </w:r>
      <w:r w:rsidRPr="00631E7F">
        <w:rPr>
          <w:sz w:val="24"/>
          <w:szCs w:val="24"/>
        </w:rPr>
        <w:t>)</w:t>
      </w:r>
    </w:p>
    <w:p w14:paraId="1D809330" w14:textId="77777777" w:rsidR="0069295C" w:rsidRDefault="0069295C" w:rsidP="0069295C">
      <w:pPr>
        <w:ind w:firstLine="22"/>
        <w:rPr>
          <w:rFonts w:ascii="Arial" w:hAnsi="Arial"/>
          <w:sz w:val="24"/>
        </w:rPr>
      </w:pPr>
    </w:p>
    <w:p w14:paraId="689B550D" w14:textId="77777777" w:rsidR="0069295C" w:rsidRPr="000A51A1" w:rsidRDefault="0069295C" w:rsidP="00FB3FCB">
      <w:pPr>
        <w:spacing w:after="120"/>
        <w:rPr>
          <w:b/>
          <w:color w:val="000000"/>
          <w:sz w:val="24"/>
          <w:szCs w:val="24"/>
        </w:rPr>
      </w:pPr>
      <w:r w:rsidRPr="000A51A1">
        <w:rPr>
          <w:b/>
          <w:color w:val="000000"/>
          <w:sz w:val="24"/>
          <w:szCs w:val="24"/>
        </w:rPr>
        <w:t>EMPOWERING PROVISION</w:t>
      </w:r>
    </w:p>
    <w:p w14:paraId="61F36042" w14:textId="37AE1B30" w:rsidR="0069295C" w:rsidRPr="00FB1475" w:rsidRDefault="00AF3256" w:rsidP="00592989">
      <w:pPr>
        <w:autoSpaceDE w:val="0"/>
        <w:autoSpaceDN w:val="0"/>
        <w:adjustRightInd w:val="0"/>
        <w:spacing w:after="240"/>
        <w:rPr>
          <w:color w:val="000000"/>
          <w:sz w:val="24"/>
          <w:szCs w:val="24"/>
        </w:rPr>
      </w:pPr>
      <w:r>
        <w:rPr>
          <w:color w:val="000000"/>
          <w:sz w:val="24"/>
          <w:szCs w:val="24"/>
        </w:rPr>
        <w:t xml:space="preserve">Subsection 424(1) of the </w:t>
      </w:r>
      <w:r w:rsidRPr="00AF3256">
        <w:rPr>
          <w:i/>
          <w:color w:val="000000"/>
          <w:sz w:val="24"/>
          <w:szCs w:val="24"/>
        </w:rPr>
        <w:t>Military Rehabilitation and Compensation Act 2004</w:t>
      </w:r>
      <w:r>
        <w:rPr>
          <w:color w:val="000000"/>
          <w:sz w:val="24"/>
          <w:szCs w:val="24"/>
        </w:rPr>
        <w:t xml:space="preserve"> (</w:t>
      </w:r>
      <w:r w:rsidR="00353C52">
        <w:rPr>
          <w:color w:val="000000"/>
          <w:sz w:val="24"/>
          <w:szCs w:val="24"/>
        </w:rPr>
        <w:t>the Act</w:t>
      </w:r>
      <w:r>
        <w:rPr>
          <w:color w:val="000000"/>
          <w:sz w:val="24"/>
          <w:szCs w:val="24"/>
        </w:rPr>
        <w:t>)</w:t>
      </w:r>
      <w:r w:rsidR="0069295C" w:rsidRPr="00DF24B6">
        <w:rPr>
          <w:i/>
          <w:color w:val="000000"/>
          <w:sz w:val="24"/>
          <w:szCs w:val="24"/>
        </w:rPr>
        <w:t>.</w:t>
      </w:r>
    </w:p>
    <w:p w14:paraId="0D8F11C2" w14:textId="546AA117" w:rsidR="0069295C" w:rsidRDefault="0069295C" w:rsidP="00FB3FCB">
      <w:pPr>
        <w:spacing w:after="120"/>
        <w:rPr>
          <w:b/>
          <w:color w:val="000000"/>
          <w:sz w:val="24"/>
          <w:szCs w:val="24"/>
        </w:rPr>
      </w:pPr>
      <w:r w:rsidRPr="005F4824">
        <w:rPr>
          <w:b/>
          <w:color w:val="000000"/>
          <w:sz w:val="24"/>
          <w:szCs w:val="24"/>
        </w:rPr>
        <w:t>PURPOSE</w:t>
      </w:r>
    </w:p>
    <w:p w14:paraId="367EAA30" w14:textId="06ABABFE" w:rsidR="00227989" w:rsidRDefault="00FB3FCB" w:rsidP="00AF3256">
      <w:pPr>
        <w:rPr>
          <w:color w:val="000000"/>
          <w:sz w:val="24"/>
          <w:szCs w:val="24"/>
        </w:rPr>
      </w:pPr>
      <w:r w:rsidRPr="00FB3FCB">
        <w:rPr>
          <w:color w:val="000000"/>
          <w:sz w:val="24"/>
          <w:szCs w:val="24"/>
        </w:rPr>
        <w:t xml:space="preserve">The purpose of the </w:t>
      </w:r>
      <w:r w:rsidR="00AF3256">
        <w:rPr>
          <w:color w:val="000000"/>
          <w:sz w:val="24"/>
          <w:szCs w:val="24"/>
        </w:rPr>
        <w:t xml:space="preserve">instrument is to </w:t>
      </w:r>
      <w:r w:rsidR="00353C52">
        <w:rPr>
          <w:color w:val="000000"/>
          <w:sz w:val="24"/>
          <w:szCs w:val="24"/>
        </w:rPr>
        <w:t xml:space="preserve">enable grants to be made to </w:t>
      </w:r>
      <w:r w:rsidR="00227989">
        <w:rPr>
          <w:color w:val="000000"/>
          <w:sz w:val="24"/>
          <w:szCs w:val="24"/>
        </w:rPr>
        <w:t>assist dependants of members, former members and deceased members who would otherwise miss out on compensation or benefits due to mental illness or injury.</w:t>
      </w:r>
    </w:p>
    <w:p w14:paraId="0BFA255C" w14:textId="07E1F746" w:rsidR="00227989" w:rsidRDefault="00227989" w:rsidP="00AF3256">
      <w:pPr>
        <w:rPr>
          <w:color w:val="000000"/>
          <w:sz w:val="24"/>
          <w:szCs w:val="24"/>
        </w:rPr>
      </w:pPr>
    </w:p>
    <w:p w14:paraId="2B0750D6" w14:textId="0521036F" w:rsidR="00992F46" w:rsidRDefault="00A21215" w:rsidP="00A21215">
      <w:pPr>
        <w:spacing w:after="120"/>
        <w:rPr>
          <w:color w:val="000000"/>
          <w:sz w:val="24"/>
          <w:szCs w:val="24"/>
        </w:rPr>
      </w:pPr>
      <w:r>
        <w:rPr>
          <w:color w:val="000000"/>
          <w:sz w:val="24"/>
          <w:szCs w:val="24"/>
        </w:rPr>
        <w:t xml:space="preserve">The Act provides a range of compensation and other benefits </w:t>
      </w:r>
      <w:r w:rsidR="00B80171">
        <w:rPr>
          <w:color w:val="000000"/>
          <w:sz w:val="24"/>
          <w:szCs w:val="24"/>
        </w:rPr>
        <w:t>for</w:t>
      </w:r>
      <w:r>
        <w:rPr>
          <w:color w:val="000000"/>
          <w:sz w:val="24"/>
          <w:szCs w:val="24"/>
        </w:rPr>
        <w:t xml:space="preserve"> certain depend</w:t>
      </w:r>
      <w:r w:rsidR="00992F46">
        <w:rPr>
          <w:color w:val="000000"/>
          <w:sz w:val="24"/>
          <w:szCs w:val="24"/>
        </w:rPr>
        <w:t>a</w:t>
      </w:r>
      <w:r>
        <w:rPr>
          <w:color w:val="000000"/>
          <w:sz w:val="24"/>
          <w:szCs w:val="24"/>
        </w:rPr>
        <w:t>nts of members, former members and deceased members. Th</w:t>
      </w:r>
      <w:r w:rsidR="0068150C">
        <w:rPr>
          <w:color w:val="000000"/>
          <w:sz w:val="24"/>
          <w:szCs w:val="24"/>
        </w:rPr>
        <w:t>is</w:t>
      </w:r>
      <w:r>
        <w:rPr>
          <w:color w:val="000000"/>
          <w:sz w:val="24"/>
          <w:szCs w:val="24"/>
        </w:rPr>
        <w:t xml:space="preserve"> include</w:t>
      </w:r>
      <w:r w:rsidR="0068150C">
        <w:rPr>
          <w:color w:val="000000"/>
          <w:sz w:val="24"/>
          <w:szCs w:val="24"/>
        </w:rPr>
        <w:t>s</w:t>
      </w:r>
      <w:r>
        <w:rPr>
          <w:color w:val="000000"/>
          <w:sz w:val="24"/>
          <w:szCs w:val="24"/>
        </w:rPr>
        <w:t xml:space="preserve"> lump sum and </w:t>
      </w:r>
      <w:r w:rsidR="00455C33">
        <w:rPr>
          <w:color w:val="000000"/>
          <w:sz w:val="24"/>
          <w:szCs w:val="24"/>
        </w:rPr>
        <w:t>periodic</w:t>
      </w:r>
      <w:r>
        <w:rPr>
          <w:color w:val="000000"/>
          <w:sz w:val="24"/>
          <w:szCs w:val="24"/>
        </w:rPr>
        <w:t xml:space="preserve"> compensation payments, and medical treatment or compensation for medical treatment. </w:t>
      </w:r>
    </w:p>
    <w:p w14:paraId="575CBBD8" w14:textId="0A4242BF" w:rsidR="00992F46" w:rsidRDefault="00A21215" w:rsidP="00A21215">
      <w:pPr>
        <w:spacing w:after="120"/>
        <w:rPr>
          <w:color w:val="000000"/>
          <w:sz w:val="24"/>
          <w:szCs w:val="24"/>
        </w:rPr>
      </w:pPr>
      <w:r>
        <w:rPr>
          <w:color w:val="000000"/>
          <w:sz w:val="24"/>
          <w:szCs w:val="24"/>
        </w:rPr>
        <w:t xml:space="preserve">The Act defines </w:t>
      </w:r>
      <w:r w:rsidR="00073325">
        <w:rPr>
          <w:color w:val="000000"/>
          <w:sz w:val="24"/>
          <w:szCs w:val="24"/>
        </w:rPr>
        <w:t>the term ‘</w:t>
      </w:r>
      <w:r>
        <w:rPr>
          <w:color w:val="000000"/>
          <w:sz w:val="24"/>
          <w:szCs w:val="24"/>
        </w:rPr>
        <w:t>dependant</w:t>
      </w:r>
      <w:r w:rsidR="00073325">
        <w:rPr>
          <w:color w:val="000000"/>
          <w:sz w:val="24"/>
          <w:szCs w:val="24"/>
        </w:rPr>
        <w:t>’</w:t>
      </w:r>
      <w:r>
        <w:rPr>
          <w:color w:val="000000"/>
          <w:sz w:val="24"/>
          <w:szCs w:val="24"/>
        </w:rPr>
        <w:t xml:space="preserve"> to include an ‘eligible young person’. This covers dependants </w:t>
      </w:r>
      <w:r w:rsidR="002E2EDD">
        <w:rPr>
          <w:color w:val="000000"/>
          <w:sz w:val="24"/>
          <w:szCs w:val="24"/>
        </w:rPr>
        <w:t xml:space="preserve">under 16 years, and dependants between 16 and 24 years </w:t>
      </w:r>
      <w:r w:rsidR="00073325">
        <w:rPr>
          <w:color w:val="000000"/>
          <w:sz w:val="24"/>
          <w:szCs w:val="24"/>
        </w:rPr>
        <w:t xml:space="preserve">who are </w:t>
      </w:r>
      <w:r>
        <w:rPr>
          <w:color w:val="000000"/>
          <w:sz w:val="24"/>
          <w:szCs w:val="24"/>
        </w:rPr>
        <w:t>receiving fulltime education</w:t>
      </w:r>
      <w:r w:rsidR="002E2EDD">
        <w:rPr>
          <w:color w:val="000000"/>
          <w:sz w:val="24"/>
          <w:szCs w:val="24"/>
        </w:rPr>
        <w:t xml:space="preserve"> </w:t>
      </w:r>
      <w:r w:rsidR="002E2EDD" w:rsidRPr="002E2EDD">
        <w:rPr>
          <w:color w:val="000000"/>
          <w:sz w:val="24"/>
          <w:szCs w:val="24"/>
        </w:rPr>
        <w:t>at a school, college, university or other educational institution</w:t>
      </w:r>
      <w:r w:rsidR="00C7620D">
        <w:rPr>
          <w:color w:val="000000"/>
          <w:sz w:val="24"/>
          <w:szCs w:val="24"/>
        </w:rPr>
        <w:t xml:space="preserve"> and who are not working fulltime</w:t>
      </w:r>
      <w:r w:rsidR="002E2EDD" w:rsidRPr="002E2EDD">
        <w:rPr>
          <w:color w:val="000000"/>
          <w:sz w:val="24"/>
          <w:szCs w:val="24"/>
        </w:rPr>
        <w:t>.</w:t>
      </w:r>
    </w:p>
    <w:p w14:paraId="0454760B" w14:textId="5E8D5D10" w:rsidR="00C86950" w:rsidRDefault="00A21215" w:rsidP="00A21215">
      <w:pPr>
        <w:spacing w:after="120"/>
        <w:rPr>
          <w:color w:val="000000"/>
          <w:sz w:val="24"/>
          <w:szCs w:val="24"/>
        </w:rPr>
      </w:pPr>
      <w:r>
        <w:rPr>
          <w:color w:val="000000"/>
          <w:sz w:val="24"/>
          <w:szCs w:val="24"/>
        </w:rPr>
        <w:t>A small number of dependants aged 16 to 2</w:t>
      </w:r>
      <w:r w:rsidR="002E2EDD">
        <w:rPr>
          <w:color w:val="000000"/>
          <w:sz w:val="24"/>
          <w:szCs w:val="24"/>
        </w:rPr>
        <w:t>4</w:t>
      </w:r>
      <w:r>
        <w:rPr>
          <w:color w:val="000000"/>
          <w:sz w:val="24"/>
          <w:szCs w:val="24"/>
        </w:rPr>
        <w:t xml:space="preserve"> may be unable to receive fulltime education </w:t>
      </w:r>
      <w:r w:rsidR="005B070C">
        <w:rPr>
          <w:color w:val="000000"/>
          <w:sz w:val="24"/>
          <w:szCs w:val="24"/>
        </w:rPr>
        <w:t xml:space="preserve">because they </w:t>
      </w:r>
      <w:r w:rsidR="00C7620D">
        <w:rPr>
          <w:color w:val="000000"/>
          <w:sz w:val="24"/>
          <w:szCs w:val="24"/>
        </w:rPr>
        <w:t xml:space="preserve">have </w:t>
      </w:r>
      <w:r w:rsidR="005B070C">
        <w:rPr>
          <w:color w:val="000000"/>
          <w:sz w:val="24"/>
          <w:szCs w:val="24"/>
        </w:rPr>
        <w:t>a</w:t>
      </w:r>
      <w:r>
        <w:rPr>
          <w:color w:val="000000"/>
          <w:sz w:val="24"/>
          <w:szCs w:val="24"/>
        </w:rPr>
        <w:t xml:space="preserve"> </w:t>
      </w:r>
      <w:r w:rsidR="00C7620D">
        <w:rPr>
          <w:color w:val="000000"/>
          <w:sz w:val="24"/>
          <w:szCs w:val="24"/>
        </w:rPr>
        <w:t>diagnosed mental health condition</w:t>
      </w:r>
      <w:r>
        <w:rPr>
          <w:color w:val="000000"/>
          <w:sz w:val="24"/>
          <w:szCs w:val="24"/>
        </w:rPr>
        <w:t xml:space="preserve">. This </w:t>
      </w:r>
      <w:r w:rsidR="00073325">
        <w:rPr>
          <w:color w:val="000000"/>
          <w:sz w:val="24"/>
          <w:szCs w:val="24"/>
        </w:rPr>
        <w:t xml:space="preserve">inability </w:t>
      </w:r>
      <w:r>
        <w:rPr>
          <w:color w:val="000000"/>
          <w:sz w:val="24"/>
          <w:szCs w:val="24"/>
        </w:rPr>
        <w:t xml:space="preserve">may be for a period of time, or on a continuing basis.  </w:t>
      </w:r>
      <w:r w:rsidR="005B070C">
        <w:rPr>
          <w:color w:val="000000"/>
          <w:sz w:val="24"/>
          <w:szCs w:val="24"/>
        </w:rPr>
        <w:t>This prevents them from meeting the definition of an eligible young person, meaning there is no entitlement to compensation and benefits that would otherwise be payable under the Act.</w:t>
      </w:r>
    </w:p>
    <w:p w14:paraId="7AA25C89" w14:textId="7038214D" w:rsidR="00A21215" w:rsidRDefault="00A21215" w:rsidP="00A21215">
      <w:pPr>
        <w:spacing w:after="120"/>
        <w:rPr>
          <w:color w:val="000000"/>
          <w:sz w:val="24"/>
          <w:szCs w:val="24"/>
        </w:rPr>
      </w:pPr>
      <w:r>
        <w:rPr>
          <w:color w:val="000000"/>
          <w:sz w:val="24"/>
          <w:szCs w:val="24"/>
        </w:rPr>
        <w:t xml:space="preserve">The instrument ensures </w:t>
      </w:r>
      <w:r w:rsidR="00073325">
        <w:rPr>
          <w:color w:val="000000"/>
          <w:sz w:val="24"/>
          <w:szCs w:val="24"/>
        </w:rPr>
        <w:t xml:space="preserve">dependants </w:t>
      </w:r>
      <w:r w:rsidR="00C86950">
        <w:rPr>
          <w:color w:val="000000"/>
          <w:sz w:val="24"/>
          <w:szCs w:val="24"/>
        </w:rPr>
        <w:t xml:space="preserve">in these circumstances </w:t>
      </w:r>
      <w:r w:rsidR="005B070C">
        <w:rPr>
          <w:color w:val="000000"/>
          <w:sz w:val="24"/>
          <w:szCs w:val="24"/>
        </w:rPr>
        <w:t xml:space="preserve">are not disadvantaged. It does this </w:t>
      </w:r>
      <w:r w:rsidR="002E2EDD">
        <w:rPr>
          <w:color w:val="000000"/>
          <w:sz w:val="24"/>
          <w:szCs w:val="24"/>
        </w:rPr>
        <w:t xml:space="preserve">by </w:t>
      </w:r>
      <w:r w:rsidR="005B070C">
        <w:rPr>
          <w:color w:val="000000"/>
          <w:sz w:val="24"/>
          <w:szCs w:val="24"/>
        </w:rPr>
        <w:t xml:space="preserve">prescribing these particular circumstances for the purposes of section 424 of the Act. </w:t>
      </w:r>
      <w:r w:rsidR="00371E95">
        <w:rPr>
          <w:color w:val="000000"/>
          <w:sz w:val="24"/>
          <w:szCs w:val="24"/>
        </w:rPr>
        <w:t xml:space="preserve">Thus, the instrument </w:t>
      </w:r>
      <w:r w:rsidR="005B070C">
        <w:rPr>
          <w:color w:val="000000"/>
          <w:sz w:val="24"/>
          <w:szCs w:val="24"/>
        </w:rPr>
        <w:t xml:space="preserve">enables </w:t>
      </w:r>
      <w:r>
        <w:rPr>
          <w:color w:val="000000"/>
          <w:sz w:val="24"/>
          <w:szCs w:val="24"/>
        </w:rPr>
        <w:t xml:space="preserve">the </w:t>
      </w:r>
      <w:r w:rsidR="0003053D" w:rsidRPr="00BD3CE6">
        <w:rPr>
          <w:color w:val="000000"/>
          <w:sz w:val="24"/>
          <w:szCs w:val="24"/>
        </w:rPr>
        <w:t>Military Rehabilitation and Compensation Commission</w:t>
      </w:r>
      <w:r w:rsidR="0003053D">
        <w:rPr>
          <w:color w:val="000000"/>
          <w:sz w:val="24"/>
          <w:szCs w:val="24"/>
        </w:rPr>
        <w:t xml:space="preserve"> (the </w:t>
      </w:r>
      <w:r>
        <w:rPr>
          <w:color w:val="000000"/>
          <w:sz w:val="24"/>
          <w:szCs w:val="24"/>
        </w:rPr>
        <w:t>Commission</w:t>
      </w:r>
      <w:r w:rsidR="0003053D">
        <w:rPr>
          <w:color w:val="000000"/>
          <w:sz w:val="24"/>
          <w:szCs w:val="24"/>
        </w:rPr>
        <w:t>)</w:t>
      </w:r>
      <w:r>
        <w:rPr>
          <w:color w:val="000000"/>
          <w:sz w:val="24"/>
          <w:szCs w:val="24"/>
        </w:rPr>
        <w:t xml:space="preserve"> </w:t>
      </w:r>
      <w:r w:rsidR="00C86950">
        <w:rPr>
          <w:color w:val="000000"/>
          <w:sz w:val="24"/>
          <w:szCs w:val="24"/>
        </w:rPr>
        <w:t xml:space="preserve">to exercise its discretion in </w:t>
      </w:r>
      <w:r w:rsidR="005B070C">
        <w:rPr>
          <w:color w:val="000000"/>
          <w:sz w:val="24"/>
          <w:szCs w:val="24"/>
        </w:rPr>
        <w:t>section 424</w:t>
      </w:r>
      <w:r w:rsidR="00C86950">
        <w:rPr>
          <w:color w:val="000000"/>
          <w:sz w:val="24"/>
          <w:szCs w:val="24"/>
        </w:rPr>
        <w:t xml:space="preserve"> to grant assistance or benefits</w:t>
      </w:r>
      <w:r w:rsidR="002E2EDD">
        <w:rPr>
          <w:color w:val="000000"/>
          <w:sz w:val="24"/>
          <w:szCs w:val="24"/>
        </w:rPr>
        <w:t xml:space="preserve"> </w:t>
      </w:r>
      <w:r w:rsidR="005B070C" w:rsidRPr="005B070C">
        <w:rPr>
          <w:color w:val="000000"/>
          <w:sz w:val="24"/>
          <w:szCs w:val="24"/>
        </w:rPr>
        <w:t xml:space="preserve">of the kind, and the amount or value, that it considers reasonable to a member, former member, or </w:t>
      </w:r>
      <w:r w:rsidR="00F155D1">
        <w:rPr>
          <w:color w:val="000000"/>
          <w:sz w:val="24"/>
          <w:szCs w:val="24"/>
        </w:rPr>
        <w:t xml:space="preserve">to a </w:t>
      </w:r>
      <w:r w:rsidR="005B070C" w:rsidRPr="005B070C">
        <w:rPr>
          <w:color w:val="000000"/>
          <w:sz w:val="24"/>
          <w:szCs w:val="24"/>
        </w:rPr>
        <w:t>dependant of a member, former member or deceased member.</w:t>
      </w:r>
      <w:r w:rsidR="00C86950">
        <w:rPr>
          <w:color w:val="000000"/>
          <w:sz w:val="24"/>
          <w:szCs w:val="24"/>
        </w:rPr>
        <w:t xml:space="preserve"> </w:t>
      </w:r>
    </w:p>
    <w:p w14:paraId="08E107ED" w14:textId="6B644D88" w:rsidR="003D69B6" w:rsidRDefault="005B070C" w:rsidP="00C7620D">
      <w:pPr>
        <w:spacing w:after="120"/>
        <w:rPr>
          <w:color w:val="000000"/>
          <w:sz w:val="24"/>
          <w:szCs w:val="24"/>
        </w:rPr>
      </w:pPr>
      <w:r>
        <w:rPr>
          <w:color w:val="000000"/>
          <w:sz w:val="24"/>
          <w:szCs w:val="24"/>
        </w:rPr>
        <w:t xml:space="preserve">It is intended that the Commission may, in its discretion, </w:t>
      </w:r>
      <w:r w:rsidR="00B80171">
        <w:rPr>
          <w:color w:val="000000"/>
          <w:sz w:val="24"/>
          <w:szCs w:val="24"/>
        </w:rPr>
        <w:t xml:space="preserve">use section 424 to grant </w:t>
      </w:r>
      <w:r w:rsidR="00B80171" w:rsidRPr="00C7620D">
        <w:rPr>
          <w:color w:val="000000"/>
          <w:sz w:val="24"/>
          <w:szCs w:val="24"/>
        </w:rPr>
        <w:t>weekly compensation payments</w:t>
      </w:r>
      <w:r w:rsidR="00B80171">
        <w:rPr>
          <w:color w:val="000000"/>
          <w:sz w:val="24"/>
          <w:szCs w:val="24"/>
        </w:rPr>
        <w:t>, and provide medical treatment for all conditions at Departmental expense,</w:t>
      </w:r>
      <w:r w:rsidR="00B80171" w:rsidRPr="00C7620D">
        <w:rPr>
          <w:color w:val="000000"/>
          <w:sz w:val="24"/>
          <w:szCs w:val="24"/>
        </w:rPr>
        <w:t xml:space="preserve"> for depend</w:t>
      </w:r>
      <w:r w:rsidR="00B80171">
        <w:rPr>
          <w:color w:val="000000"/>
          <w:sz w:val="24"/>
          <w:szCs w:val="24"/>
        </w:rPr>
        <w:t>a</w:t>
      </w:r>
      <w:r w:rsidR="00B80171" w:rsidRPr="00C7620D">
        <w:rPr>
          <w:color w:val="000000"/>
          <w:sz w:val="24"/>
          <w:szCs w:val="24"/>
        </w:rPr>
        <w:t>nts who would have been entitled to tr</w:t>
      </w:r>
      <w:r w:rsidR="00B80171">
        <w:rPr>
          <w:color w:val="000000"/>
          <w:sz w:val="24"/>
          <w:szCs w:val="24"/>
        </w:rPr>
        <w:t>eatment and compensation as an ‘</w:t>
      </w:r>
      <w:r w:rsidR="00B80171" w:rsidRPr="00C7620D">
        <w:rPr>
          <w:color w:val="000000"/>
          <w:sz w:val="24"/>
          <w:szCs w:val="24"/>
        </w:rPr>
        <w:t>eligible young person</w:t>
      </w:r>
      <w:r w:rsidR="00B80171">
        <w:rPr>
          <w:color w:val="000000"/>
          <w:sz w:val="24"/>
          <w:szCs w:val="24"/>
        </w:rPr>
        <w:t xml:space="preserve">’ </w:t>
      </w:r>
      <w:r w:rsidR="00B80171" w:rsidRPr="00C7620D">
        <w:rPr>
          <w:color w:val="000000"/>
          <w:sz w:val="24"/>
          <w:szCs w:val="24"/>
        </w:rPr>
        <w:t xml:space="preserve">but for their inability to </w:t>
      </w:r>
      <w:r w:rsidR="00371E95">
        <w:rPr>
          <w:color w:val="000000"/>
          <w:sz w:val="24"/>
          <w:szCs w:val="24"/>
        </w:rPr>
        <w:t xml:space="preserve">carry out full time </w:t>
      </w:r>
      <w:r w:rsidR="00B80171" w:rsidRPr="00C7620D">
        <w:rPr>
          <w:color w:val="000000"/>
          <w:sz w:val="24"/>
          <w:szCs w:val="24"/>
        </w:rPr>
        <w:t>study due to a d</w:t>
      </w:r>
      <w:r w:rsidR="00B80171">
        <w:rPr>
          <w:color w:val="000000"/>
          <w:sz w:val="24"/>
          <w:szCs w:val="24"/>
        </w:rPr>
        <w:t>iagnosed mental health condition</w:t>
      </w:r>
    </w:p>
    <w:p w14:paraId="1302E63D" w14:textId="404DB919" w:rsidR="00C7620D" w:rsidRDefault="00C7620D" w:rsidP="00C7620D">
      <w:pPr>
        <w:spacing w:after="120"/>
        <w:rPr>
          <w:color w:val="000000"/>
          <w:sz w:val="24"/>
          <w:szCs w:val="24"/>
        </w:rPr>
      </w:pPr>
      <w:r>
        <w:rPr>
          <w:color w:val="000000"/>
          <w:sz w:val="24"/>
          <w:szCs w:val="24"/>
        </w:rPr>
        <w:t>It is anticipated</w:t>
      </w:r>
      <w:r w:rsidR="00371E95">
        <w:rPr>
          <w:color w:val="000000"/>
          <w:sz w:val="24"/>
          <w:szCs w:val="24"/>
        </w:rPr>
        <w:t xml:space="preserve"> that the assistance</w:t>
      </w:r>
      <w:r>
        <w:rPr>
          <w:color w:val="000000"/>
          <w:sz w:val="24"/>
          <w:szCs w:val="24"/>
        </w:rPr>
        <w:t xml:space="preserve"> will </w:t>
      </w:r>
      <w:r w:rsidR="00371E95">
        <w:rPr>
          <w:color w:val="000000"/>
          <w:sz w:val="24"/>
          <w:szCs w:val="24"/>
        </w:rPr>
        <w:t>only cover</w:t>
      </w:r>
      <w:r>
        <w:rPr>
          <w:color w:val="000000"/>
          <w:sz w:val="24"/>
          <w:szCs w:val="24"/>
        </w:rPr>
        <w:t xml:space="preserve"> a very small cohort of persons.</w:t>
      </w:r>
    </w:p>
    <w:p w14:paraId="132A6FBB" w14:textId="77777777" w:rsidR="0003053D" w:rsidRPr="00D07D7C" w:rsidRDefault="0003053D" w:rsidP="0003053D">
      <w:pPr>
        <w:spacing w:after="120"/>
        <w:rPr>
          <w:b/>
          <w:color w:val="000000"/>
          <w:sz w:val="28"/>
          <w:szCs w:val="28"/>
        </w:rPr>
      </w:pPr>
      <w:r w:rsidRPr="00D07D7C">
        <w:rPr>
          <w:b/>
          <w:color w:val="000000"/>
          <w:sz w:val="28"/>
          <w:szCs w:val="28"/>
        </w:rPr>
        <w:t>MERITS REVIEW</w:t>
      </w:r>
    </w:p>
    <w:p w14:paraId="747EDE70" w14:textId="444E9D91" w:rsidR="0003053D" w:rsidRPr="00015891" w:rsidRDefault="0003053D" w:rsidP="0003053D">
      <w:pPr>
        <w:autoSpaceDE w:val="0"/>
        <w:autoSpaceDN w:val="0"/>
        <w:adjustRightInd w:val="0"/>
        <w:rPr>
          <w:color w:val="000000"/>
          <w:sz w:val="24"/>
          <w:szCs w:val="24"/>
        </w:rPr>
      </w:pPr>
      <w:r>
        <w:rPr>
          <w:rFonts w:ascii="TimesNewRomanPSMT" w:hAnsi="TimesNewRomanPSMT" w:cs="TimesNewRomanPSMT"/>
          <w:sz w:val="24"/>
          <w:szCs w:val="24"/>
        </w:rPr>
        <w:t xml:space="preserve">This instrument empowers the Commission to make discretionary decisions </w:t>
      </w:r>
      <w:r w:rsidR="004A2502">
        <w:rPr>
          <w:rFonts w:ascii="TimesNewRomanPSMT" w:hAnsi="TimesNewRomanPSMT" w:cs="TimesNewRomanPSMT"/>
          <w:sz w:val="24"/>
          <w:szCs w:val="24"/>
        </w:rPr>
        <w:t>to grant</w:t>
      </w:r>
      <w:r w:rsidR="004A2502">
        <w:rPr>
          <w:color w:val="000000"/>
          <w:sz w:val="24"/>
          <w:szCs w:val="24"/>
        </w:rPr>
        <w:t xml:space="preserve"> assistance or benefits </w:t>
      </w:r>
      <w:r w:rsidR="004A2502" w:rsidRPr="005B070C">
        <w:rPr>
          <w:color w:val="000000"/>
          <w:sz w:val="24"/>
          <w:szCs w:val="24"/>
        </w:rPr>
        <w:t xml:space="preserve">to </w:t>
      </w:r>
      <w:r w:rsidR="003770EA">
        <w:rPr>
          <w:color w:val="000000"/>
          <w:sz w:val="24"/>
          <w:szCs w:val="24"/>
        </w:rPr>
        <w:t>dependa</w:t>
      </w:r>
      <w:r w:rsidR="008D532B">
        <w:rPr>
          <w:color w:val="000000"/>
          <w:sz w:val="24"/>
          <w:szCs w:val="24"/>
        </w:rPr>
        <w:t>nts</w:t>
      </w:r>
      <w:r w:rsidR="004A2502" w:rsidRPr="005B070C">
        <w:rPr>
          <w:color w:val="000000"/>
          <w:sz w:val="24"/>
          <w:szCs w:val="24"/>
        </w:rPr>
        <w:t xml:space="preserve"> </w:t>
      </w:r>
      <w:r w:rsidR="008D532B">
        <w:rPr>
          <w:color w:val="000000"/>
          <w:sz w:val="24"/>
          <w:szCs w:val="24"/>
        </w:rPr>
        <w:t xml:space="preserve">of </w:t>
      </w:r>
      <w:r w:rsidR="004A2502" w:rsidRPr="005B070C">
        <w:rPr>
          <w:color w:val="000000"/>
          <w:sz w:val="24"/>
          <w:szCs w:val="24"/>
        </w:rPr>
        <w:t>member</w:t>
      </w:r>
      <w:r w:rsidR="004704A3">
        <w:rPr>
          <w:color w:val="000000"/>
          <w:sz w:val="24"/>
          <w:szCs w:val="24"/>
        </w:rPr>
        <w:t>s</w:t>
      </w:r>
      <w:r w:rsidR="004A2502" w:rsidRPr="005B070C">
        <w:rPr>
          <w:color w:val="000000"/>
          <w:sz w:val="24"/>
          <w:szCs w:val="24"/>
        </w:rPr>
        <w:t>, former member</w:t>
      </w:r>
      <w:r w:rsidR="004704A3">
        <w:rPr>
          <w:color w:val="000000"/>
          <w:sz w:val="24"/>
          <w:szCs w:val="24"/>
        </w:rPr>
        <w:t>s</w:t>
      </w:r>
      <w:r w:rsidR="008D532B">
        <w:rPr>
          <w:color w:val="000000"/>
          <w:sz w:val="24"/>
          <w:szCs w:val="24"/>
        </w:rPr>
        <w:t xml:space="preserve"> and</w:t>
      </w:r>
      <w:r w:rsidR="004A2502" w:rsidRPr="005B070C">
        <w:rPr>
          <w:color w:val="000000"/>
          <w:sz w:val="24"/>
          <w:szCs w:val="24"/>
        </w:rPr>
        <w:t xml:space="preserve"> deceased member</w:t>
      </w:r>
      <w:r w:rsidR="004704A3">
        <w:rPr>
          <w:color w:val="000000"/>
          <w:sz w:val="24"/>
          <w:szCs w:val="24"/>
        </w:rPr>
        <w:t>s</w:t>
      </w:r>
      <w:r w:rsidR="004A2502" w:rsidRPr="005B070C">
        <w:rPr>
          <w:color w:val="000000"/>
          <w:sz w:val="24"/>
          <w:szCs w:val="24"/>
        </w:rPr>
        <w:t>.</w:t>
      </w:r>
      <w:r w:rsidR="004A2502">
        <w:rPr>
          <w:color w:val="000000"/>
          <w:sz w:val="24"/>
          <w:szCs w:val="24"/>
        </w:rPr>
        <w:t xml:space="preserve"> </w:t>
      </w:r>
      <w:r w:rsidR="008D532B">
        <w:rPr>
          <w:color w:val="000000"/>
          <w:sz w:val="24"/>
          <w:szCs w:val="24"/>
        </w:rPr>
        <w:t>The person can be a</w:t>
      </w:r>
      <w:r w:rsidR="00DF1E7D">
        <w:rPr>
          <w:color w:val="000000"/>
          <w:sz w:val="24"/>
          <w:szCs w:val="24"/>
        </w:rPr>
        <w:t xml:space="preserve"> </w:t>
      </w:r>
      <w:r w:rsidR="008D532B">
        <w:rPr>
          <w:color w:val="000000"/>
          <w:sz w:val="24"/>
          <w:szCs w:val="24"/>
        </w:rPr>
        <w:t>depend</w:t>
      </w:r>
      <w:r w:rsidR="003770EA">
        <w:rPr>
          <w:color w:val="000000"/>
          <w:sz w:val="24"/>
          <w:szCs w:val="24"/>
        </w:rPr>
        <w:t>a</w:t>
      </w:r>
      <w:r w:rsidR="008D532B">
        <w:rPr>
          <w:color w:val="000000"/>
          <w:sz w:val="24"/>
          <w:szCs w:val="24"/>
        </w:rPr>
        <w:t xml:space="preserve">nt </w:t>
      </w:r>
      <w:r w:rsidR="003770EA">
        <w:rPr>
          <w:color w:val="000000"/>
          <w:sz w:val="24"/>
          <w:szCs w:val="24"/>
        </w:rPr>
        <w:t>of, or previously a dependa</w:t>
      </w:r>
      <w:r w:rsidR="00DF1E7D">
        <w:rPr>
          <w:color w:val="000000"/>
          <w:sz w:val="24"/>
          <w:szCs w:val="24"/>
        </w:rPr>
        <w:t xml:space="preserve">nt of, </w:t>
      </w:r>
      <w:r w:rsidR="008D532B">
        <w:rPr>
          <w:color w:val="000000"/>
          <w:sz w:val="24"/>
          <w:szCs w:val="24"/>
        </w:rPr>
        <w:t xml:space="preserve">members, former members and deceased members. </w:t>
      </w:r>
      <w:r w:rsidR="004A2502">
        <w:rPr>
          <w:color w:val="000000"/>
          <w:sz w:val="24"/>
          <w:szCs w:val="24"/>
        </w:rPr>
        <w:t>As such a decision will, or is likely to, affect the interest of a person</w:t>
      </w:r>
      <w:r w:rsidR="008D532B">
        <w:rPr>
          <w:color w:val="000000"/>
          <w:sz w:val="24"/>
          <w:szCs w:val="24"/>
        </w:rPr>
        <w:t xml:space="preserve"> (in particular, an adverse decision)</w:t>
      </w:r>
      <w:r w:rsidR="004A2502">
        <w:rPr>
          <w:color w:val="000000"/>
          <w:sz w:val="24"/>
          <w:szCs w:val="24"/>
        </w:rPr>
        <w:t>, in</w:t>
      </w:r>
      <w:bookmarkStart w:id="0" w:name="_GoBack"/>
      <w:r w:rsidR="004A2502">
        <w:rPr>
          <w:color w:val="000000"/>
          <w:sz w:val="24"/>
          <w:szCs w:val="24"/>
        </w:rPr>
        <w:t>dependent</w:t>
      </w:r>
      <w:bookmarkEnd w:id="0"/>
      <w:r w:rsidR="004A2502">
        <w:rPr>
          <w:color w:val="000000"/>
          <w:sz w:val="24"/>
          <w:szCs w:val="24"/>
        </w:rPr>
        <w:t xml:space="preserve"> merits review is available. </w:t>
      </w:r>
    </w:p>
    <w:p w14:paraId="5E0D0451" w14:textId="3164544E" w:rsidR="0003053D" w:rsidRDefault="0003053D" w:rsidP="00823887">
      <w:pPr>
        <w:autoSpaceDE w:val="0"/>
        <w:autoSpaceDN w:val="0"/>
        <w:adjustRightInd w:val="0"/>
        <w:spacing w:after="120"/>
        <w:rPr>
          <w:rFonts w:ascii="TimesNewRomanPSMT" w:hAnsi="TimesNewRomanPSMT" w:cs="TimesNewRomanPSMT"/>
          <w:sz w:val="24"/>
          <w:szCs w:val="24"/>
        </w:rPr>
      </w:pPr>
      <w:r>
        <w:rPr>
          <w:rFonts w:ascii="TimesNewRomanPSMT" w:hAnsi="TimesNewRomanPSMT" w:cs="TimesNewRomanPSMT"/>
          <w:sz w:val="24"/>
          <w:szCs w:val="24"/>
        </w:rPr>
        <w:lastRenderedPageBreak/>
        <w:t xml:space="preserve">Chapter 8 of the Act provides that certain determinations can be </w:t>
      </w:r>
      <w:r w:rsidR="008D532B">
        <w:rPr>
          <w:rFonts w:ascii="TimesNewRomanPSMT" w:hAnsi="TimesNewRomanPSMT" w:cs="TimesNewRomanPSMT"/>
          <w:sz w:val="24"/>
          <w:szCs w:val="24"/>
        </w:rPr>
        <w:t>reviewed</w:t>
      </w:r>
      <w:r>
        <w:rPr>
          <w:rFonts w:ascii="TimesNewRomanPSMT" w:hAnsi="TimesNewRomanPSMT" w:cs="TimesNewRomanPSMT"/>
          <w:sz w:val="24"/>
          <w:szCs w:val="24"/>
        </w:rPr>
        <w:t xml:space="preserve"> by the Veterans’ Review Board (the Board) and reviewed by the Administrative Appeals Tribunal (the AAT).  Broadly, a claimant who has received notice of an original determination may request that the Board review the determination. If dissatisfied with the determination on review, the claimant can apply to the Administrative Appeals Tribunal for review of the reviewable determination. </w:t>
      </w:r>
    </w:p>
    <w:p w14:paraId="346B77C9" w14:textId="77777777" w:rsidR="0003053D" w:rsidRDefault="0003053D" w:rsidP="00823887">
      <w:pPr>
        <w:autoSpaceDE w:val="0"/>
        <w:autoSpaceDN w:val="0"/>
        <w:adjustRightInd w:val="0"/>
        <w:spacing w:after="120"/>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Section 345 of the Act defines original determinations and reviewable determinations for the purposes of Chapter 8 of the Act.</w:t>
      </w:r>
    </w:p>
    <w:p w14:paraId="19DF2420" w14:textId="22A52883" w:rsidR="0003053D" w:rsidRDefault="0003053D" w:rsidP="0003053D">
      <w:pPr>
        <w:spacing w:after="120"/>
        <w:rPr>
          <w:rFonts w:ascii="TimesNewRomanPSMT" w:hAnsi="TimesNewRomanPSMT" w:cs="TimesNewRomanPSMT"/>
          <w:sz w:val="24"/>
          <w:szCs w:val="24"/>
        </w:rPr>
      </w:pPr>
      <w:r>
        <w:rPr>
          <w:rFonts w:ascii="TimesNewRomanPSMT" w:hAnsi="TimesNewRomanPSMT" w:cs="TimesNewRomanPSMT"/>
          <w:sz w:val="24"/>
          <w:szCs w:val="24"/>
        </w:rPr>
        <w:t>Under s</w:t>
      </w:r>
      <w:r w:rsidRPr="00D07D7C">
        <w:rPr>
          <w:rFonts w:ascii="TimesNewRomanPSMT" w:hAnsi="TimesNewRomanPSMT" w:cs="TimesNewRomanPSMT"/>
          <w:sz w:val="24"/>
          <w:szCs w:val="24"/>
        </w:rPr>
        <w:t xml:space="preserve">ubsection 345(1) </w:t>
      </w:r>
      <w:r>
        <w:rPr>
          <w:rFonts w:ascii="TimesNewRomanPSMT" w:hAnsi="TimesNewRomanPSMT" w:cs="TimesNewRomanPSMT"/>
          <w:sz w:val="24"/>
          <w:szCs w:val="24"/>
        </w:rPr>
        <w:t xml:space="preserve">an </w:t>
      </w:r>
      <w:r w:rsidRPr="00D07D7C">
        <w:rPr>
          <w:rFonts w:ascii="TimesNewRomanPSMT" w:hAnsi="TimesNewRomanPSMT" w:cs="TimesNewRomanPSMT"/>
          <w:sz w:val="24"/>
          <w:szCs w:val="24"/>
        </w:rPr>
        <w:t>‘original determination’</w:t>
      </w:r>
      <w:r>
        <w:rPr>
          <w:rFonts w:ascii="TimesNewRomanPSMT" w:hAnsi="TimesNewRomanPSMT" w:cs="TimesNewRomanPSMT"/>
          <w:sz w:val="24"/>
          <w:szCs w:val="24"/>
        </w:rPr>
        <w:t xml:space="preserve"> means</w:t>
      </w:r>
      <w:r w:rsidRPr="00D07D7C">
        <w:rPr>
          <w:rFonts w:ascii="TimesNewRomanPSMT" w:hAnsi="TimesNewRomanPSMT" w:cs="TimesNewRomanPSMT"/>
          <w:sz w:val="24"/>
          <w:szCs w:val="24"/>
        </w:rPr>
        <w:t xml:space="preserve"> a determination </w:t>
      </w:r>
      <w:r w:rsidRPr="00D07D7C">
        <w:rPr>
          <w:rFonts w:ascii="TimesNewRomanPSMT" w:eastAsiaTheme="minorHAnsi" w:hAnsi="TimesNewRomanPSMT" w:cs="TimesNewRomanPSMT"/>
          <w:sz w:val="24"/>
          <w:szCs w:val="24"/>
          <w:lang w:eastAsia="en-US"/>
        </w:rPr>
        <w:t xml:space="preserve">of the </w:t>
      </w:r>
      <w:r w:rsidRPr="009C6968">
        <w:rPr>
          <w:rFonts w:ascii="TimesNewRomanPSMT" w:eastAsiaTheme="minorHAnsi" w:hAnsi="TimesNewRomanPSMT" w:cs="TimesNewRomanPSMT"/>
          <w:sz w:val="24"/>
          <w:szCs w:val="24"/>
          <w:lang w:eastAsia="en-US"/>
        </w:rPr>
        <w:t>Commission</w:t>
      </w:r>
      <w:r w:rsidRPr="00D07D7C">
        <w:rPr>
          <w:rFonts w:ascii="TimesNewRomanPSMT" w:hAnsi="TimesNewRomanPSMT" w:cs="TimesNewRomanPSMT"/>
          <w:sz w:val="24"/>
          <w:szCs w:val="24"/>
        </w:rPr>
        <w:t xml:space="preserve"> under the </w:t>
      </w:r>
      <w:r>
        <w:rPr>
          <w:rFonts w:ascii="TimesNewRomanPSMT" w:hAnsi="TimesNewRomanPSMT" w:cs="TimesNewRomanPSMT"/>
          <w:sz w:val="24"/>
          <w:szCs w:val="24"/>
        </w:rPr>
        <w:t>Act</w:t>
      </w:r>
      <w:r w:rsidRPr="00D07D7C">
        <w:rPr>
          <w:rFonts w:ascii="TimesNewRomanPSMT" w:hAnsi="TimesNewRomanPSMT" w:cs="TimesNewRomanPSMT"/>
          <w:sz w:val="24"/>
          <w:szCs w:val="24"/>
        </w:rPr>
        <w:t xml:space="preserve"> that </w:t>
      </w:r>
      <w:r>
        <w:rPr>
          <w:rFonts w:ascii="TimesNewRomanPSMT" w:hAnsi="TimesNewRomanPSMT" w:cs="TimesNewRomanPSMT"/>
          <w:sz w:val="24"/>
          <w:szCs w:val="24"/>
        </w:rPr>
        <w:t>is</w:t>
      </w:r>
      <w:r w:rsidRPr="00D07D7C">
        <w:rPr>
          <w:rFonts w:ascii="TimesNewRomanPSMT" w:hAnsi="TimesNewRomanPSMT" w:cs="TimesNewRomanPSMT"/>
          <w:sz w:val="24"/>
          <w:szCs w:val="24"/>
        </w:rPr>
        <w:t xml:space="preserve"> not </w:t>
      </w:r>
      <w:r>
        <w:rPr>
          <w:rFonts w:ascii="TimesNewRomanPSMT" w:hAnsi="TimesNewRomanPSMT" w:cs="TimesNewRomanPSMT"/>
          <w:sz w:val="24"/>
          <w:szCs w:val="24"/>
        </w:rPr>
        <w:t xml:space="preserve">specified in subsection 345(2) or a determination of the Chief of the Defence Force under the Act that relates to rehabilitation for a person if the Chief of </w:t>
      </w:r>
      <w:r w:rsidR="004704A3">
        <w:rPr>
          <w:rFonts w:ascii="TimesNewRomanPSMT" w:hAnsi="TimesNewRomanPSMT" w:cs="TimesNewRomanPSMT"/>
          <w:sz w:val="24"/>
          <w:szCs w:val="24"/>
        </w:rPr>
        <w:t>the Defence Force is the r</w:t>
      </w:r>
      <w:r>
        <w:rPr>
          <w:rFonts w:ascii="TimesNewRomanPSMT" w:hAnsi="TimesNewRomanPSMT" w:cs="TimesNewRomanPSMT"/>
          <w:sz w:val="24"/>
          <w:szCs w:val="24"/>
        </w:rPr>
        <w:t xml:space="preserve">ehabilitation authority of the person. </w:t>
      </w:r>
    </w:p>
    <w:p w14:paraId="2079ABC1" w14:textId="06C9BEFA" w:rsidR="0003053D" w:rsidRDefault="0003053D" w:rsidP="0003053D">
      <w:pPr>
        <w:spacing w:after="120"/>
        <w:rPr>
          <w:color w:val="000000"/>
          <w:sz w:val="24"/>
          <w:szCs w:val="24"/>
        </w:rPr>
      </w:pPr>
      <w:r>
        <w:rPr>
          <w:rFonts w:ascii="TimesNewRomanPSMT" w:hAnsi="TimesNewRomanPSMT" w:cs="TimesNewRomanPSMT"/>
          <w:sz w:val="24"/>
          <w:szCs w:val="24"/>
        </w:rPr>
        <w:t xml:space="preserve">Under subsection 345(1) a ‘reviewable </w:t>
      </w:r>
      <w:r w:rsidR="004704A3">
        <w:rPr>
          <w:rFonts w:ascii="TimesNewRomanPSMT" w:hAnsi="TimesNewRomanPSMT" w:cs="TimesNewRomanPSMT"/>
          <w:sz w:val="24"/>
          <w:szCs w:val="24"/>
        </w:rPr>
        <w:t>determination</w:t>
      </w:r>
      <w:r>
        <w:rPr>
          <w:rFonts w:ascii="TimesNewRomanPSMT" w:hAnsi="TimesNewRomanPSMT" w:cs="TimesNewRomanPSMT"/>
          <w:sz w:val="24"/>
          <w:szCs w:val="24"/>
        </w:rPr>
        <w:t xml:space="preserve">’ means a determination under subsection 350(2) revoking, confirming or varying an original determination, a determination that has been varied under </w:t>
      </w:r>
      <w:r w:rsidR="004704A3">
        <w:rPr>
          <w:rFonts w:ascii="TimesNewRomanPSMT" w:hAnsi="TimesNewRomanPSMT" w:cs="TimesNewRomanPSMT"/>
          <w:sz w:val="24"/>
          <w:szCs w:val="24"/>
        </w:rPr>
        <w:t xml:space="preserve">subsection </w:t>
      </w:r>
      <w:r>
        <w:rPr>
          <w:rFonts w:ascii="TimesNewRomanPSMT" w:hAnsi="TimesNewRomanPSMT" w:cs="TimesNewRomanPSMT"/>
          <w:sz w:val="24"/>
          <w:szCs w:val="24"/>
        </w:rPr>
        <w:t>348(1) or a determination under Part 4 by the Board on review of an original determination</w:t>
      </w:r>
      <w:r w:rsidR="008D532B">
        <w:rPr>
          <w:rFonts w:ascii="TimesNewRomanPSMT" w:hAnsi="TimesNewRomanPSMT" w:cs="TimesNewRomanPSMT"/>
          <w:sz w:val="24"/>
          <w:szCs w:val="24"/>
        </w:rPr>
        <w:t xml:space="preserve"> (except a determination that has been varied under subsection 348(1))</w:t>
      </w:r>
      <w:r>
        <w:rPr>
          <w:rFonts w:ascii="TimesNewRomanPSMT" w:hAnsi="TimesNewRomanPSMT" w:cs="TimesNewRomanPSMT"/>
          <w:sz w:val="24"/>
          <w:szCs w:val="24"/>
        </w:rPr>
        <w:t xml:space="preserve">. </w:t>
      </w:r>
    </w:p>
    <w:p w14:paraId="76BED391" w14:textId="56986921" w:rsidR="0003053D" w:rsidRDefault="0003053D" w:rsidP="0003053D">
      <w:pPr>
        <w:spacing w:after="120"/>
        <w:rPr>
          <w:color w:val="000000"/>
          <w:sz w:val="24"/>
          <w:szCs w:val="24"/>
        </w:rPr>
      </w:pPr>
      <w:r>
        <w:rPr>
          <w:color w:val="000000"/>
          <w:sz w:val="24"/>
          <w:szCs w:val="24"/>
        </w:rPr>
        <w:t xml:space="preserve">Relevantly, a decision of the </w:t>
      </w:r>
      <w:r w:rsidRPr="00BD3CE6">
        <w:rPr>
          <w:color w:val="000000"/>
          <w:sz w:val="24"/>
          <w:szCs w:val="24"/>
        </w:rPr>
        <w:t>Commission</w:t>
      </w:r>
      <w:r>
        <w:rPr>
          <w:color w:val="000000"/>
          <w:sz w:val="24"/>
          <w:szCs w:val="24"/>
        </w:rPr>
        <w:t xml:space="preserve"> under </w:t>
      </w:r>
      <w:r w:rsidR="004704A3">
        <w:rPr>
          <w:color w:val="000000"/>
          <w:sz w:val="24"/>
          <w:szCs w:val="24"/>
        </w:rPr>
        <w:t>sub</w:t>
      </w:r>
      <w:r>
        <w:rPr>
          <w:color w:val="000000"/>
          <w:sz w:val="24"/>
          <w:szCs w:val="24"/>
        </w:rPr>
        <w:t>section 424</w:t>
      </w:r>
      <w:r w:rsidR="004704A3">
        <w:rPr>
          <w:color w:val="000000"/>
          <w:sz w:val="24"/>
          <w:szCs w:val="24"/>
        </w:rPr>
        <w:t>(1)</w:t>
      </w:r>
      <w:r>
        <w:rPr>
          <w:color w:val="000000"/>
          <w:sz w:val="24"/>
          <w:szCs w:val="24"/>
        </w:rPr>
        <w:t xml:space="preserve"> of the Act to provide assistance or benefits to eligible persons in accordance with the prescribed circumstances set out in section 5 of the instrument is not listed in subsection 345(2). Therefore a determination of the Commission made under subsection 424(1) is an ‘original determination’ for the purposes of subsection 345(1). </w:t>
      </w:r>
    </w:p>
    <w:p w14:paraId="11C75452" w14:textId="047DA386" w:rsidR="0003053D" w:rsidRPr="00D07D7C" w:rsidRDefault="0003053D" w:rsidP="0003053D">
      <w:pPr>
        <w:autoSpaceDE w:val="0"/>
        <w:autoSpaceDN w:val="0"/>
        <w:adjustRightInd w:val="0"/>
        <w:spacing w:after="120"/>
        <w:rPr>
          <w:rFonts w:ascii="TimesNewRomanPSMT" w:hAnsi="TimesNewRomanPSMT" w:cs="TimesNewRomanPSMT"/>
          <w:sz w:val="24"/>
          <w:szCs w:val="24"/>
        </w:rPr>
      </w:pPr>
      <w:r>
        <w:rPr>
          <w:rFonts w:ascii="TimesNewRomanPSMT" w:hAnsi="TimesNewRomanPSMT" w:cs="TimesNewRomanPSMT"/>
          <w:sz w:val="24"/>
          <w:szCs w:val="24"/>
        </w:rPr>
        <w:t xml:space="preserve">Under </w:t>
      </w:r>
      <w:r w:rsidRPr="00D07D7C">
        <w:rPr>
          <w:rFonts w:ascii="TimesNewRomanPSMT" w:hAnsi="TimesNewRomanPSMT" w:cs="TimesNewRomanPSMT"/>
          <w:sz w:val="24"/>
          <w:szCs w:val="24"/>
        </w:rPr>
        <w:t>section 352 of</w:t>
      </w:r>
      <w:r>
        <w:rPr>
          <w:rFonts w:ascii="TimesNewRomanPSMT" w:hAnsi="TimesNewRomanPSMT" w:cs="TimesNewRomanPSMT"/>
          <w:sz w:val="24"/>
          <w:szCs w:val="24"/>
        </w:rPr>
        <w:t xml:space="preserve"> Part 4</w:t>
      </w:r>
      <w:r w:rsidR="008D532B">
        <w:rPr>
          <w:rFonts w:ascii="TimesNewRomanPSMT" w:hAnsi="TimesNewRomanPSMT" w:cs="TimesNewRomanPSMT"/>
          <w:sz w:val="24"/>
          <w:szCs w:val="24"/>
        </w:rPr>
        <w:t xml:space="preserve"> of Chapter 8</w:t>
      </w:r>
      <w:r>
        <w:rPr>
          <w:rFonts w:ascii="TimesNewRomanPSMT" w:hAnsi="TimesNewRomanPSMT" w:cs="TimesNewRomanPSMT"/>
          <w:sz w:val="24"/>
          <w:szCs w:val="24"/>
        </w:rPr>
        <w:t xml:space="preserve"> of the Act, a claimant may make an application to the Board for review of an original determination, provided that the application is in writing, sets out the reasons for the application and is given to the Commission within 12 months after the day the notice of the determination was given to the person making the application. </w:t>
      </w:r>
    </w:p>
    <w:p w14:paraId="26FA7DF8" w14:textId="71B7E6DF" w:rsidR="0003053D" w:rsidRDefault="004704A3" w:rsidP="0003053D">
      <w:pPr>
        <w:autoSpaceDE w:val="0"/>
        <w:autoSpaceDN w:val="0"/>
        <w:adjustRightInd w:val="0"/>
        <w:spacing w:after="120"/>
        <w:rPr>
          <w:color w:val="000000"/>
          <w:sz w:val="24"/>
          <w:szCs w:val="24"/>
        </w:rPr>
      </w:pPr>
      <w:r>
        <w:rPr>
          <w:color w:val="000000"/>
          <w:sz w:val="24"/>
          <w:szCs w:val="24"/>
        </w:rPr>
        <w:t>Where an original determination</w:t>
      </w:r>
      <w:r w:rsidR="0003053D">
        <w:rPr>
          <w:color w:val="000000"/>
          <w:sz w:val="24"/>
          <w:szCs w:val="24"/>
        </w:rPr>
        <w:t xml:space="preserve"> has been reviewed by the Board in accordance with Part 4 of Chapter 8, that determination is considered a reviewable determination under subsection 345(1). </w:t>
      </w:r>
    </w:p>
    <w:p w14:paraId="72BF6510" w14:textId="1329DDBC" w:rsidR="0003053D" w:rsidRDefault="0003053D" w:rsidP="0003053D">
      <w:pPr>
        <w:autoSpaceDE w:val="0"/>
        <w:autoSpaceDN w:val="0"/>
        <w:adjustRightInd w:val="0"/>
        <w:spacing w:after="120"/>
        <w:rPr>
          <w:color w:val="000000"/>
          <w:sz w:val="24"/>
          <w:szCs w:val="24"/>
        </w:rPr>
      </w:pPr>
      <w:r>
        <w:rPr>
          <w:color w:val="000000"/>
          <w:sz w:val="24"/>
          <w:szCs w:val="24"/>
        </w:rPr>
        <w:t>Under section 354 of the Act, an application may be made to the AAT for a review of ‘reviewable decisions’.</w:t>
      </w:r>
    </w:p>
    <w:p w14:paraId="7C4A5CE9" w14:textId="77777777" w:rsidR="0069295C" w:rsidRPr="000A51A1" w:rsidRDefault="0069295C" w:rsidP="00FB3FCB">
      <w:pPr>
        <w:autoSpaceDE w:val="0"/>
        <w:autoSpaceDN w:val="0"/>
        <w:adjustRightInd w:val="0"/>
        <w:spacing w:after="120"/>
        <w:rPr>
          <w:b/>
          <w:bCs/>
          <w:color w:val="000000"/>
          <w:sz w:val="24"/>
          <w:szCs w:val="24"/>
        </w:rPr>
      </w:pPr>
      <w:r w:rsidRPr="000A51A1">
        <w:rPr>
          <w:b/>
          <w:bCs/>
          <w:color w:val="000000"/>
          <w:sz w:val="24"/>
          <w:szCs w:val="24"/>
        </w:rPr>
        <w:t>CONSULTATION</w:t>
      </w:r>
    </w:p>
    <w:p w14:paraId="39BC27DA" w14:textId="178EE00D" w:rsidR="0069295C" w:rsidRPr="009063B8" w:rsidRDefault="0069295C" w:rsidP="00FB3FCB">
      <w:pPr>
        <w:spacing w:after="120"/>
        <w:ind w:right="-568"/>
        <w:rPr>
          <w:color w:val="000000"/>
          <w:sz w:val="24"/>
          <w:szCs w:val="24"/>
        </w:rPr>
      </w:pPr>
      <w:r w:rsidRPr="009063B8">
        <w:rPr>
          <w:color w:val="000000"/>
          <w:sz w:val="24"/>
          <w:szCs w:val="24"/>
        </w:rPr>
        <w:t xml:space="preserve">Section 17 of the </w:t>
      </w:r>
      <w:r w:rsidRPr="009063B8">
        <w:rPr>
          <w:i/>
          <w:color w:val="000000"/>
          <w:sz w:val="24"/>
          <w:szCs w:val="24"/>
        </w:rPr>
        <w:t>Legislation Act 2003</w:t>
      </w:r>
      <w:r w:rsidRPr="009063B8">
        <w:rPr>
          <w:color w:val="000000"/>
          <w:sz w:val="24"/>
          <w:szCs w:val="24"/>
        </w:rPr>
        <w:t xml:space="preserve"> requires a rule-maker to be satisfied, before making a legislative instrument</w:t>
      </w:r>
      <w:r w:rsidR="00F155D1">
        <w:rPr>
          <w:color w:val="000000"/>
          <w:sz w:val="24"/>
          <w:szCs w:val="24"/>
        </w:rPr>
        <w:t>,</w:t>
      </w:r>
      <w:r w:rsidRPr="009063B8">
        <w:rPr>
          <w:color w:val="000000"/>
          <w:sz w:val="24"/>
          <w:szCs w:val="24"/>
        </w:rPr>
        <w:t xml:space="preserve"> that any consultation the rule-maker consider</w:t>
      </w:r>
      <w:r w:rsidR="00F155D1">
        <w:rPr>
          <w:color w:val="000000"/>
          <w:sz w:val="24"/>
          <w:szCs w:val="24"/>
        </w:rPr>
        <w:t>s</w:t>
      </w:r>
      <w:r w:rsidRPr="009063B8">
        <w:rPr>
          <w:color w:val="000000"/>
          <w:sz w:val="24"/>
          <w:szCs w:val="24"/>
        </w:rPr>
        <w:t xml:space="preserve"> appropriate and reasonably practicable has been undertaken.  </w:t>
      </w:r>
    </w:p>
    <w:p w14:paraId="603222CD" w14:textId="6BCF8583" w:rsidR="00F64C9D" w:rsidRPr="00C8775D" w:rsidRDefault="00C7620D" w:rsidP="00FB3FCB">
      <w:pPr>
        <w:autoSpaceDE w:val="0"/>
        <w:autoSpaceDN w:val="0"/>
        <w:adjustRightInd w:val="0"/>
        <w:spacing w:after="120"/>
        <w:rPr>
          <w:bCs/>
          <w:color w:val="000000"/>
          <w:sz w:val="24"/>
          <w:szCs w:val="24"/>
        </w:rPr>
      </w:pPr>
      <w:r>
        <w:rPr>
          <w:bCs/>
          <w:color w:val="000000"/>
          <w:sz w:val="24"/>
          <w:szCs w:val="24"/>
        </w:rPr>
        <w:t>This instrument has been created to cover a</w:t>
      </w:r>
      <w:r w:rsidR="00F155D1">
        <w:rPr>
          <w:bCs/>
          <w:color w:val="000000"/>
          <w:sz w:val="24"/>
          <w:szCs w:val="24"/>
        </w:rPr>
        <w:t>n</w:t>
      </w:r>
      <w:r>
        <w:rPr>
          <w:bCs/>
          <w:color w:val="000000"/>
          <w:sz w:val="24"/>
          <w:szCs w:val="24"/>
        </w:rPr>
        <w:t xml:space="preserve"> identified gap in the legislation that disentitles a person from compensation based on a mental health condition. In order to have this legislative oversight corrected expediently, no external consultation was undertaken. However, </w:t>
      </w:r>
      <w:r w:rsidR="00F155D1">
        <w:rPr>
          <w:bCs/>
          <w:color w:val="000000"/>
          <w:sz w:val="24"/>
          <w:szCs w:val="24"/>
        </w:rPr>
        <w:t xml:space="preserve">if </w:t>
      </w:r>
      <w:r>
        <w:rPr>
          <w:bCs/>
          <w:color w:val="000000"/>
          <w:sz w:val="24"/>
          <w:szCs w:val="24"/>
        </w:rPr>
        <w:t xml:space="preserve">future legislative change </w:t>
      </w:r>
      <w:r w:rsidR="00F66275">
        <w:rPr>
          <w:bCs/>
          <w:color w:val="000000"/>
          <w:sz w:val="24"/>
          <w:szCs w:val="24"/>
        </w:rPr>
        <w:t xml:space="preserve">is proposed </w:t>
      </w:r>
      <w:r>
        <w:rPr>
          <w:bCs/>
          <w:color w:val="000000"/>
          <w:sz w:val="24"/>
          <w:szCs w:val="24"/>
        </w:rPr>
        <w:t xml:space="preserve">in this space </w:t>
      </w:r>
      <w:r w:rsidR="00F66275">
        <w:rPr>
          <w:bCs/>
          <w:color w:val="000000"/>
          <w:sz w:val="24"/>
          <w:szCs w:val="24"/>
        </w:rPr>
        <w:t xml:space="preserve">it </w:t>
      </w:r>
      <w:r>
        <w:rPr>
          <w:bCs/>
          <w:color w:val="000000"/>
          <w:sz w:val="24"/>
          <w:szCs w:val="24"/>
        </w:rPr>
        <w:t xml:space="preserve">will be subject to consultation with external parties. </w:t>
      </w:r>
    </w:p>
    <w:p w14:paraId="587E5D60" w14:textId="478B8406" w:rsidR="0069295C" w:rsidRDefault="0069295C" w:rsidP="00FB3FCB">
      <w:pPr>
        <w:spacing w:after="120"/>
        <w:ind w:right="-568"/>
        <w:rPr>
          <w:sz w:val="24"/>
          <w:szCs w:val="24"/>
        </w:rPr>
      </w:pPr>
      <w:r w:rsidRPr="009063B8">
        <w:rPr>
          <w:sz w:val="24"/>
          <w:szCs w:val="24"/>
        </w:rPr>
        <w:t xml:space="preserve">Accordingly, it is considered </w:t>
      </w:r>
      <w:r>
        <w:rPr>
          <w:sz w:val="24"/>
          <w:szCs w:val="24"/>
        </w:rPr>
        <w:t xml:space="preserve">that </w:t>
      </w:r>
      <w:r w:rsidRPr="009063B8">
        <w:rPr>
          <w:sz w:val="24"/>
          <w:szCs w:val="24"/>
        </w:rPr>
        <w:t xml:space="preserve">the requirements of section 17 of the </w:t>
      </w:r>
      <w:r w:rsidRPr="009063B8">
        <w:rPr>
          <w:i/>
          <w:sz w:val="24"/>
          <w:szCs w:val="24"/>
        </w:rPr>
        <w:t>Legislation Act 2003</w:t>
      </w:r>
      <w:r w:rsidRPr="009063B8">
        <w:rPr>
          <w:sz w:val="24"/>
          <w:szCs w:val="24"/>
        </w:rPr>
        <w:t xml:space="preserve"> have been met.</w:t>
      </w:r>
    </w:p>
    <w:p w14:paraId="093E53E1" w14:textId="77777777" w:rsidR="004A2502" w:rsidRPr="00AF72F6" w:rsidRDefault="004A2502" w:rsidP="004A2502">
      <w:pPr>
        <w:shd w:val="clear" w:color="auto" w:fill="FFFFFF"/>
        <w:spacing w:after="120"/>
        <w:rPr>
          <w:color w:val="0000FF"/>
          <w:sz w:val="24"/>
          <w:szCs w:val="24"/>
        </w:rPr>
      </w:pPr>
      <w:r w:rsidRPr="00AF72F6">
        <w:rPr>
          <w:b/>
          <w:bCs/>
          <w:color w:val="000000"/>
          <w:sz w:val="24"/>
          <w:szCs w:val="24"/>
        </w:rPr>
        <w:t>REPLACEMENT EXPLANATORY STATEMENT</w:t>
      </w:r>
    </w:p>
    <w:p w14:paraId="372487F3" w14:textId="77777777" w:rsidR="004A2502" w:rsidRPr="00D07D7C" w:rsidRDefault="004A2502" w:rsidP="004A2502">
      <w:pPr>
        <w:shd w:val="clear" w:color="auto" w:fill="FFFFFF"/>
        <w:spacing w:after="120"/>
        <w:rPr>
          <w:color w:val="0000FF"/>
          <w:sz w:val="24"/>
          <w:szCs w:val="24"/>
        </w:rPr>
      </w:pPr>
      <w:r w:rsidRPr="00D07D7C">
        <w:rPr>
          <w:color w:val="000000"/>
          <w:sz w:val="24"/>
          <w:szCs w:val="24"/>
        </w:rPr>
        <w:lastRenderedPageBreak/>
        <w:t>This Replacement Explanatory Statement is required following consultation with the Secretariat of the Senate Standing Committee for the Scrutiny of Delegated Legislation (the Senate Committee).</w:t>
      </w:r>
    </w:p>
    <w:p w14:paraId="0F805907" w14:textId="22FC8E93" w:rsidR="004A2502" w:rsidRPr="00D07D7C" w:rsidRDefault="004A2502" w:rsidP="004A2502">
      <w:pPr>
        <w:shd w:val="clear" w:color="auto" w:fill="FFFFFF"/>
        <w:spacing w:after="120"/>
        <w:rPr>
          <w:color w:val="000000"/>
          <w:sz w:val="24"/>
          <w:szCs w:val="24"/>
        </w:rPr>
      </w:pPr>
      <w:r w:rsidRPr="00D07D7C">
        <w:rPr>
          <w:color w:val="000000"/>
          <w:sz w:val="24"/>
          <w:szCs w:val="24"/>
        </w:rPr>
        <w:t xml:space="preserve">The Senate Committee assesses legislative instruments against the scrutiny principles set out in Senate standing order 23. The Secretariat had identified potential scrutiny concerns in relation to the </w:t>
      </w:r>
      <w:r>
        <w:rPr>
          <w:color w:val="000000"/>
          <w:sz w:val="24"/>
          <w:szCs w:val="24"/>
        </w:rPr>
        <w:t>instrument</w:t>
      </w:r>
      <w:r w:rsidRPr="00D07D7C">
        <w:rPr>
          <w:color w:val="000000"/>
          <w:sz w:val="24"/>
          <w:szCs w:val="24"/>
        </w:rPr>
        <w:t>, and had sought further information on behalf of the Senate Committee.</w:t>
      </w:r>
    </w:p>
    <w:p w14:paraId="49E42A73" w14:textId="6FE4A572" w:rsidR="004A2502" w:rsidRPr="00D07D7C" w:rsidRDefault="004A2502" w:rsidP="004A2502">
      <w:pPr>
        <w:shd w:val="clear" w:color="auto" w:fill="FFFFFF"/>
        <w:spacing w:after="120"/>
        <w:rPr>
          <w:color w:val="000000"/>
          <w:sz w:val="24"/>
          <w:szCs w:val="24"/>
        </w:rPr>
      </w:pPr>
      <w:r w:rsidRPr="00D07D7C">
        <w:rPr>
          <w:color w:val="000000"/>
          <w:sz w:val="24"/>
          <w:szCs w:val="24"/>
        </w:rPr>
        <w:t>The information sought concerned the availability of independent merits review, specifically whether the instrument unduly excludes, limits or fails to provide for the independent review of decisions affecting rights, obligations or interests.</w:t>
      </w:r>
      <w:r>
        <w:rPr>
          <w:color w:val="000000"/>
          <w:sz w:val="24"/>
          <w:szCs w:val="24"/>
        </w:rPr>
        <w:t xml:space="preserve"> This Replacement Explanatory Statement amends the Explanatory Statement to address the concerns of the Senate Committee by providing further clarification about the availability of independent merits review.</w:t>
      </w:r>
    </w:p>
    <w:p w14:paraId="2BE5A057" w14:textId="2CAD6795" w:rsidR="0069295C" w:rsidRDefault="0069295C" w:rsidP="00FB3FCB">
      <w:pPr>
        <w:spacing w:after="120"/>
        <w:rPr>
          <w:b/>
          <w:color w:val="000000"/>
          <w:sz w:val="24"/>
          <w:szCs w:val="24"/>
        </w:rPr>
      </w:pPr>
      <w:r w:rsidRPr="00251C92">
        <w:rPr>
          <w:b/>
          <w:color w:val="000000"/>
          <w:sz w:val="24"/>
          <w:szCs w:val="24"/>
        </w:rPr>
        <w:t>RETROSPECTIVITY</w:t>
      </w:r>
    </w:p>
    <w:p w14:paraId="136B86D7" w14:textId="78095A38" w:rsidR="00251C92" w:rsidRPr="00251C92" w:rsidRDefault="00251C92" w:rsidP="00FB3FCB">
      <w:pPr>
        <w:spacing w:after="120"/>
        <w:rPr>
          <w:color w:val="000000"/>
          <w:sz w:val="24"/>
          <w:szCs w:val="24"/>
        </w:rPr>
      </w:pPr>
      <w:r w:rsidRPr="00251C92">
        <w:rPr>
          <w:color w:val="000000"/>
          <w:sz w:val="24"/>
          <w:szCs w:val="24"/>
        </w:rPr>
        <w:t>Not applicable.</w:t>
      </w:r>
    </w:p>
    <w:p w14:paraId="1B7433FF" w14:textId="77777777" w:rsidR="0069295C" w:rsidRPr="000A51A1" w:rsidRDefault="0069295C" w:rsidP="00FB3FCB">
      <w:pPr>
        <w:spacing w:after="120"/>
        <w:rPr>
          <w:b/>
          <w:color w:val="000000"/>
          <w:sz w:val="24"/>
          <w:szCs w:val="24"/>
        </w:rPr>
      </w:pPr>
      <w:r>
        <w:rPr>
          <w:b/>
          <w:color w:val="000000"/>
          <w:sz w:val="24"/>
          <w:szCs w:val="24"/>
        </w:rPr>
        <w:t xml:space="preserve">DOCUMENTS INCORPORATED BY </w:t>
      </w:r>
      <w:r w:rsidRPr="000A51A1">
        <w:rPr>
          <w:b/>
          <w:color w:val="000000"/>
          <w:sz w:val="24"/>
          <w:szCs w:val="24"/>
        </w:rPr>
        <w:t>REFERENCE</w:t>
      </w:r>
    </w:p>
    <w:p w14:paraId="6F4C216C" w14:textId="77777777" w:rsidR="0069295C" w:rsidRDefault="0069295C" w:rsidP="00592989">
      <w:pPr>
        <w:autoSpaceDE w:val="0"/>
        <w:autoSpaceDN w:val="0"/>
        <w:adjustRightInd w:val="0"/>
        <w:spacing w:after="240"/>
        <w:rPr>
          <w:color w:val="000000"/>
          <w:sz w:val="24"/>
          <w:szCs w:val="24"/>
        </w:rPr>
      </w:pPr>
      <w:r>
        <w:rPr>
          <w:color w:val="000000"/>
          <w:sz w:val="24"/>
          <w:szCs w:val="24"/>
        </w:rPr>
        <w:t>No</w:t>
      </w:r>
      <w:r w:rsidRPr="000A51A1">
        <w:rPr>
          <w:color w:val="000000"/>
          <w:sz w:val="24"/>
          <w:szCs w:val="24"/>
        </w:rPr>
        <w:t>.</w:t>
      </w:r>
    </w:p>
    <w:p w14:paraId="7CCF594B" w14:textId="77777777" w:rsidR="0069295C" w:rsidRPr="005F4824" w:rsidRDefault="0069295C" w:rsidP="00FB3FCB">
      <w:pPr>
        <w:autoSpaceDE w:val="0"/>
        <w:autoSpaceDN w:val="0"/>
        <w:adjustRightInd w:val="0"/>
        <w:spacing w:after="120"/>
        <w:rPr>
          <w:b/>
          <w:bCs/>
          <w:color w:val="000000"/>
          <w:sz w:val="24"/>
          <w:szCs w:val="24"/>
        </w:rPr>
      </w:pPr>
      <w:r w:rsidRPr="005F4824">
        <w:rPr>
          <w:b/>
          <w:bCs/>
          <w:color w:val="000000"/>
          <w:sz w:val="24"/>
          <w:szCs w:val="24"/>
        </w:rPr>
        <w:t>REGULATORY IMPACT</w:t>
      </w:r>
    </w:p>
    <w:p w14:paraId="07E9272E" w14:textId="7DB414DF" w:rsidR="0069295C" w:rsidRPr="003F67BB" w:rsidRDefault="003F67BB" w:rsidP="003F67BB">
      <w:pPr>
        <w:rPr>
          <w:color w:val="000000"/>
          <w:sz w:val="24"/>
          <w:szCs w:val="24"/>
        </w:rPr>
      </w:pPr>
      <w:r w:rsidRPr="004F61EF">
        <w:rPr>
          <w:color w:val="000000"/>
          <w:sz w:val="24"/>
          <w:szCs w:val="24"/>
        </w:rPr>
        <w:t xml:space="preserve">The Office of Best </w:t>
      </w:r>
      <w:r>
        <w:rPr>
          <w:color w:val="000000"/>
          <w:sz w:val="24"/>
          <w:szCs w:val="24"/>
        </w:rPr>
        <w:t>P</w:t>
      </w:r>
      <w:r w:rsidRPr="004F61EF">
        <w:rPr>
          <w:color w:val="000000"/>
          <w:sz w:val="24"/>
          <w:szCs w:val="24"/>
        </w:rPr>
        <w:t xml:space="preserve">ractice Regulation </w:t>
      </w:r>
      <w:r>
        <w:rPr>
          <w:color w:val="000000"/>
          <w:sz w:val="24"/>
          <w:szCs w:val="24"/>
        </w:rPr>
        <w:t xml:space="preserve">(OBPR) </w:t>
      </w:r>
      <w:r w:rsidRPr="004F61EF">
        <w:rPr>
          <w:color w:val="000000"/>
          <w:sz w:val="24"/>
          <w:szCs w:val="24"/>
        </w:rPr>
        <w:t>has been consulted</w:t>
      </w:r>
      <w:r>
        <w:rPr>
          <w:color w:val="000000"/>
          <w:sz w:val="24"/>
          <w:szCs w:val="24"/>
        </w:rPr>
        <w:t xml:space="preserve"> and </w:t>
      </w:r>
      <w:r w:rsidRPr="004F61EF">
        <w:rPr>
          <w:color w:val="000000"/>
          <w:sz w:val="24"/>
          <w:szCs w:val="24"/>
        </w:rPr>
        <w:t>a RIS is not required</w:t>
      </w:r>
      <w:r>
        <w:rPr>
          <w:color w:val="000000"/>
          <w:sz w:val="24"/>
          <w:szCs w:val="24"/>
        </w:rPr>
        <w:t xml:space="preserve"> as it is unlikely to have more than a minor regulatory impact</w:t>
      </w:r>
      <w:r w:rsidRPr="004F61EF">
        <w:rPr>
          <w:color w:val="000000"/>
          <w:sz w:val="24"/>
          <w:szCs w:val="24"/>
        </w:rPr>
        <w:t xml:space="preserve">. </w:t>
      </w:r>
      <w:r>
        <w:rPr>
          <w:color w:val="000000"/>
          <w:sz w:val="24"/>
          <w:szCs w:val="24"/>
        </w:rPr>
        <w:t xml:space="preserve">The </w:t>
      </w:r>
      <w:r w:rsidRPr="004F61EF">
        <w:rPr>
          <w:color w:val="000000"/>
          <w:sz w:val="24"/>
          <w:szCs w:val="24"/>
        </w:rPr>
        <w:t>OBPR ID Number is</w:t>
      </w:r>
      <w:r w:rsidR="00BF79F6">
        <w:rPr>
          <w:color w:val="000000"/>
          <w:sz w:val="24"/>
          <w:szCs w:val="24"/>
        </w:rPr>
        <w:t xml:space="preserve"> OBPR22-01635.</w:t>
      </w:r>
    </w:p>
    <w:p w14:paraId="190CF5AE" w14:textId="77777777" w:rsidR="003F67BB" w:rsidRDefault="003F67BB" w:rsidP="00F64C9D">
      <w:pPr>
        <w:spacing w:after="120"/>
        <w:rPr>
          <w:b/>
          <w:color w:val="000000"/>
          <w:sz w:val="24"/>
          <w:szCs w:val="24"/>
        </w:rPr>
      </w:pPr>
    </w:p>
    <w:p w14:paraId="56B6E344" w14:textId="329BAB72" w:rsidR="00F64C9D" w:rsidRPr="000A51A1" w:rsidRDefault="00F64C9D" w:rsidP="00F64C9D">
      <w:pPr>
        <w:spacing w:after="120"/>
        <w:rPr>
          <w:b/>
          <w:color w:val="000000"/>
          <w:sz w:val="24"/>
          <w:szCs w:val="24"/>
        </w:rPr>
      </w:pPr>
      <w:r w:rsidRPr="000A51A1">
        <w:rPr>
          <w:b/>
          <w:color w:val="000000"/>
          <w:sz w:val="24"/>
          <w:szCs w:val="24"/>
        </w:rPr>
        <w:t>FURTHER EXPLANATION OF PROVISIONS</w:t>
      </w:r>
    </w:p>
    <w:p w14:paraId="41398C7B" w14:textId="77777777" w:rsidR="00F64C9D" w:rsidRDefault="00F64C9D" w:rsidP="00F64C9D">
      <w:pPr>
        <w:pStyle w:val="Default"/>
        <w:autoSpaceDE/>
        <w:autoSpaceDN/>
        <w:adjustRightInd/>
        <w:spacing w:after="120"/>
        <w:rPr>
          <w:u w:val="single"/>
        </w:rPr>
      </w:pPr>
      <w:r w:rsidRPr="00B32C3A">
        <w:t xml:space="preserve">See: </w:t>
      </w:r>
      <w:r w:rsidRPr="00B32C3A">
        <w:rPr>
          <w:u w:val="single"/>
        </w:rPr>
        <w:t>Attachment A</w:t>
      </w:r>
    </w:p>
    <w:p w14:paraId="5F262DC6" w14:textId="77777777" w:rsidR="00F64C9D" w:rsidRDefault="00F64C9D" w:rsidP="00592989">
      <w:pPr>
        <w:autoSpaceDE w:val="0"/>
        <w:autoSpaceDN w:val="0"/>
        <w:adjustRightInd w:val="0"/>
        <w:spacing w:after="240"/>
        <w:rPr>
          <w:bCs/>
          <w:color w:val="000000"/>
          <w:sz w:val="24"/>
          <w:szCs w:val="24"/>
        </w:rPr>
      </w:pPr>
    </w:p>
    <w:p w14:paraId="0BCE52B7" w14:textId="34263F52" w:rsidR="00F64C9D" w:rsidRDefault="00F64C9D" w:rsidP="00592989">
      <w:pPr>
        <w:autoSpaceDE w:val="0"/>
        <w:autoSpaceDN w:val="0"/>
        <w:adjustRightInd w:val="0"/>
        <w:spacing w:after="240"/>
        <w:rPr>
          <w:bCs/>
          <w:color w:val="000000"/>
          <w:sz w:val="24"/>
          <w:szCs w:val="24"/>
        </w:rPr>
      </w:pPr>
      <w:r>
        <w:rPr>
          <w:bCs/>
          <w:color w:val="000000"/>
          <w:sz w:val="24"/>
          <w:szCs w:val="24"/>
        </w:rPr>
        <w:br w:type="page"/>
      </w:r>
    </w:p>
    <w:p w14:paraId="32E47E14" w14:textId="77777777" w:rsidR="00F64C9D" w:rsidRPr="006F38C3" w:rsidRDefault="00F64C9D" w:rsidP="006F38C3">
      <w:pPr>
        <w:autoSpaceDE w:val="0"/>
        <w:autoSpaceDN w:val="0"/>
        <w:adjustRightInd w:val="0"/>
        <w:spacing w:after="240"/>
        <w:jc w:val="center"/>
        <w:rPr>
          <w:b/>
          <w:bCs/>
          <w:sz w:val="28"/>
          <w:szCs w:val="28"/>
        </w:rPr>
      </w:pPr>
      <w:r w:rsidRPr="006F38C3">
        <w:rPr>
          <w:b/>
          <w:bCs/>
          <w:sz w:val="28"/>
          <w:szCs w:val="28"/>
        </w:rPr>
        <w:lastRenderedPageBreak/>
        <w:t>Statement of Compatibility with Human Rights</w:t>
      </w:r>
    </w:p>
    <w:p w14:paraId="4134A9BE" w14:textId="61001C13" w:rsidR="00FA138D" w:rsidRPr="00FA138D" w:rsidRDefault="00F64C9D" w:rsidP="00FA138D">
      <w:pPr>
        <w:autoSpaceDE w:val="0"/>
        <w:autoSpaceDN w:val="0"/>
        <w:adjustRightInd w:val="0"/>
        <w:spacing w:after="240"/>
        <w:rPr>
          <w:bCs/>
          <w:sz w:val="24"/>
          <w:szCs w:val="24"/>
        </w:rPr>
      </w:pPr>
      <w:r w:rsidRPr="00F64C9D">
        <w:rPr>
          <w:bCs/>
          <w:i/>
          <w:sz w:val="24"/>
          <w:szCs w:val="24"/>
        </w:rPr>
        <w:t>Prepared in accordance with Part 3 of the Human Rights (Parliamentary Scrutiny) Act 2011</w:t>
      </w:r>
    </w:p>
    <w:p w14:paraId="15A21DC3" w14:textId="3F9E9130" w:rsidR="00FA138D" w:rsidRPr="00FA138D" w:rsidRDefault="00FA138D" w:rsidP="00FA138D">
      <w:pPr>
        <w:rPr>
          <w:b/>
          <w:sz w:val="24"/>
          <w:szCs w:val="24"/>
        </w:rPr>
      </w:pPr>
      <w:r>
        <w:rPr>
          <w:b/>
          <w:sz w:val="24"/>
          <w:szCs w:val="24"/>
        </w:rPr>
        <w:t xml:space="preserve"> </w:t>
      </w:r>
      <w:r w:rsidRPr="00FA138D">
        <w:rPr>
          <w:b/>
          <w:sz w:val="24"/>
          <w:szCs w:val="24"/>
        </w:rPr>
        <w:t>Military Rehabilitation and Compensation (Special Assistance) Instrument 2022</w:t>
      </w:r>
    </w:p>
    <w:p w14:paraId="6601B7C9" w14:textId="274B7A5E" w:rsidR="008B6364" w:rsidRPr="006F38C3" w:rsidRDefault="008B6364" w:rsidP="006F38C3">
      <w:pPr>
        <w:jc w:val="center"/>
        <w:rPr>
          <w:b/>
          <w:sz w:val="24"/>
          <w:szCs w:val="24"/>
        </w:rPr>
      </w:pPr>
    </w:p>
    <w:p w14:paraId="5E0A6D44" w14:textId="77777777" w:rsidR="004D2346" w:rsidRPr="00E8726F" w:rsidRDefault="004D2346" w:rsidP="00E8726F">
      <w:pPr>
        <w:autoSpaceDE w:val="0"/>
        <w:autoSpaceDN w:val="0"/>
        <w:adjustRightInd w:val="0"/>
        <w:spacing w:after="120"/>
        <w:rPr>
          <w:bCs/>
          <w:color w:val="000000"/>
          <w:sz w:val="24"/>
          <w:szCs w:val="24"/>
        </w:rPr>
      </w:pPr>
      <w:r w:rsidRPr="00E8726F">
        <w:rPr>
          <w:bCs/>
          <w:color w:val="000000"/>
          <w:sz w:val="24"/>
          <w:szCs w:val="24"/>
        </w:rPr>
        <w:t xml:space="preserve">The instrument engages the Right to Health under article 12(1), and the Right to Social Security under article 9, of the International Covenant on Economic, Social and Cultural Rights (ICESCR). </w:t>
      </w:r>
    </w:p>
    <w:p w14:paraId="3D62121A" w14:textId="77777777" w:rsidR="004D2346" w:rsidRPr="00E8726F" w:rsidRDefault="004D2346" w:rsidP="00E8726F">
      <w:pPr>
        <w:autoSpaceDE w:val="0"/>
        <w:autoSpaceDN w:val="0"/>
        <w:adjustRightInd w:val="0"/>
        <w:spacing w:after="120"/>
        <w:rPr>
          <w:bCs/>
          <w:i/>
          <w:color w:val="000000"/>
          <w:sz w:val="24"/>
          <w:szCs w:val="24"/>
        </w:rPr>
      </w:pPr>
      <w:r w:rsidRPr="00E8726F">
        <w:rPr>
          <w:bCs/>
          <w:i/>
          <w:color w:val="000000"/>
          <w:sz w:val="24"/>
          <w:szCs w:val="24"/>
        </w:rPr>
        <w:t>Right to Health</w:t>
      </w:r>
    </w:p>
    <w:p w14:paraId="765D5199" w14:textId="6A22BCF5" w:rsidR="004D2346" w:rsidRPr="00E8726F" w:rsidRDefault="004D2346" w:rsidP="00E8726F">
      <w:pPr>
        <w:autoSpaceDE w:val="0"/>
        <w:autoSpaceDN w:val="0"/>
        <w:adjustRightInd w:val="0"/>
        <w:spacing w:after="120"/>
        <w:rPr>
          <w:bCs/>
          <w:color w:val="000000"/>
          <w:sz w:val="24"/>
          <w:szCs w:val="24"/>
        </w:rPr>
      </w:pPr>
      <w:r w:rsidRPr="00E8726F">
        <w:rPr>
          <w:bCs/>
          <w:color w:val="000000"/>
          <w:sz w:val="24"/>
          <w:szCs w:val="24"/>
        </w:rPr>
        <w:t>The Right to Health is contained in article 12(1) of the I</w:t>
      </w:r>
      <w:r w:rsidR="00BA1AF6">
        <w:rPr>
          <w:bCs/>
          <w:color w:val="000000"/>
          <w:sz w:val="24"/>
          <w:szCs w:val="24"/>
        </w:rPr>
        <w:t>CESCR</w:t>
      </w:r>
      <w:r w:rsidRPr="00E8726F">
        <w:rPr>
          <w:bCs/>
          <w:color w:val="000000"/>
          <w:sz w:val="24"/>
          <w:szCs w:val="24"/>
        </w:rPr>
        <w:t>. The Right to Health is the right to the enjoyment of the highest attainable standard of physical and mental health. The UN Committee on Economic, Social and Cultural Rights has stated that health is a fundamental human right indispensable for the exercise of other human rights. Every human being is entitled to the enjoyment of the highest attainable standard of health conducive to living a life in dignity.</w:t>
      </w:r>
    </w:p>
    <w:p w14:paraId="751058D5" w14:textId="77777777" w:rsidR="004D2346" w:rsidRPr="00E8726F" w:rsidRDefault="004D2346" w:rsidP="00E8726F">
      <w:pPr>
        <w:autoSpaceDE w:val="0"/>
        <w:autoSpaceDN w:val="0"/>
        <w:adjustRightInd w:val="0"/>
        <w:spacing w:after="120"/>
        <w:rPr>
          <w:bCs/>
          <w:i/>
          <w:color w:val="000000"/>
          <w:sz w:val="24"/>
          <w:szCs w:val="24"/>
        </w:rPr>
      </w:pPr>
      <w:r w:rsidRPr="00E8726F">
        <w:rPr>
          <w:bCs/>
          <w:i/>
          <w:color w:val="000000"/>
          <w:sz w:val="24"/>
          <w:szCs w:val="24"/>
        </w:rPr>
        <w:t>Right to Social Security</w:t>
      </w:r>
    </w:p>
    <w:p w14:paraId="0F2CE622" w14:textId="4029E47B" w:rsidR="004D2346" w:rsidRPr="00E8726F" w:rsidRDefault="004D2346" w:rsidP="00E8726F">
      <w:pPr>
        <w:autoSpaceDE w:val="0"/>
        <w:autoSpaceDN w:val="0"/>
        <w:adjustRightInd w:val="0"/>
        <w:spacing w:after="120"/>
        <w:rPr>
          <w:bCs/>
          <w:color w:val="000000"/>
          <w:sz w:val="24"/>
          <w:szCs w:val="24"/>
        </w:rPr>
      </w:pPr>
      <w:r w:rsidRPr="00E8726F">
        <w:rPr>
          <w:bCs/>
          <w:color w:val="000000"/>
          <w:sz w:val="24"/>
          <w:szCs w:val="24"/>
        </w:rPr>
        <w:t>Article 9 of the ICESCR states “States Parties … recognize the right of everyone to social security, including social insurance”.  General Comment 19 by the Committee on Economic, Social and Cultural Rights sets out the essential elements of the right to social security, including “States parties should … ensure the protection of workers who are injured in the course of employment or other productive work”.</w:t>
      </w:r>
      <w:r w:rsidR="00E8726F" w:rsidRPr="00E8726F">
        <w:rPr>
          <w:bCs/>
          <w:color w:val="000000"/>
          <w:sz w:val="24"/>
          <w:szCs w:val="24"/>
        </w:rPr>
        <w:t xml:space="preserve">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4885587A" w14:textId="77777777" w:rsidR="004D2346" w:rsidRPr="00E8726F" w:rsidRDefault="004D2346" w:rsidP="00E8726F">
      <w:pPr>
        <w:autoSpaceDE w:val="0"/>
        <w:autoSpaceDN w:val="0"/>
        <w:adjustRightInd w:val="0"/>
        <w:spacing w:after="120"/>
        <w:rPr>
          <w:bCs/>
          <w:i/>
          <w:color w:val="000000"/>
          <w:sz w:val="24"/>
          <w:szCs w:val="24"/>
        </w:rPr>
      </w:pPr>
      <w:r w:rsidRPr="00E8726F">
        <w:rPr>
          <w:bCs/>
          <w:i/>
          <w:color w:val="000000"/>
          <w:sz w:val="24"/>
          <w:szCs w:val="24"/>
        </w:rPr>
        <w:t>Overview</w:t>
      </w:r>
    </w:p>
    <w:p w14:paraId="3EA02E04" w14:textId="59FC62AB" w:rsidR="004D2346" w:rsidRPr="00E8726F" w:rsidRDefault="004D2346" w:rsidP="00E8726F">
      <w:pPr>
        <w:autoSpaceDE w:val="0"/>
        <w:autoSpaceDN w:val="0"/>
        <w:adjustRightInd w:val="0"/>
        <w:spacing w:after="120"/>
        <w:rPr>
          <w:bCs/>
          <w:color w:val="000000"/>
          <w:sz w:val="24"/>
          <w:szCs w:val="24"/>
        </w:rPr>
      </w:pPr>
      <w:r w:rsidRPr="00E8726F">
        <w:rPr>
          <w:bCs/>
          <w:color w:val="000000"/>
          <w:sz w:val="24"/>
          <w:szCs w:val="24"/>
        </w:rPr>
        <w:t xml:space="preserve">The </w:t>
      </w:r>
      <w:r w:rsidR="00E8726F" w:rsidRPr="00E8726F">
        <w:rPr>
          <w:bCs/>
          <w:color w:val="000000"/>
          <w:sz w:val="24"/>
          <w:szCs w:val="24"/>
        </w:rPr>
        <w:t xml:space="preserve">instrument will enable grants of assistance and benefits, including medical treatment, in relation to dependants of veterans who would otherwise miss out on compensation and benefits due to mental illness. The instrument will impact positively on </w:t>
      </w:r>
      <w:r w:rsidRPr="00E8726F">
        <w:rPr>
          <w:bCs/>
          <w:color w:val="000000"/>
          <w:sz w:val="24"/>
          <w:szCs w:val="24"/>
        </w:rPr>
        <w:t xml:space="preserve">the </w:t>
      </w:r>
      <w:r w:rsidR="00E8726F" w:rsidRPr="00E8726F">
        <w:rPr>
          <w:bCs/>
          <w:color w:val="000000"/>
          <w:sz w:val="24"/>
          <w:szCs w:val="24"/>
        </w:rPr>
        <w:t xml:space="preserve">health and living standards of dependants and their families. </w:t>
      </w:r>
    </w:p>
    <w:p w14:paraId="2212264C" w14:textId="77777777" w:rsidR="004D2346" w:rsidRPr="00E8726F" w:rsidRDefault="004D2346" w:rsidP="00E8726F">
      <w:pPr>
        <w:autoSpaceDE w:val="0"/>
        <w:autoSpaceDN w:val="0"/>
        <w:adjustRightInd w:val="0"/>
        <w:spacing w:after="120"/>
        <w:rPr>
          <w:bCs/>
          <w:i/>
          <w:color w:val="000000"/>
          <w:sz w:val="24"/>
          <w:szCs w:val="24"/>
        </w:rPr>
      </w:pPr>
      <w:r w:rsidRPr="00E8726F">
        <w:rPr>
          <w:bCs/>
          <w:i/>
          <w:color w:val="000000"/>
          <w:sz w:val="24"/>
          <w:szCs w:val="24"/>
        </w:rPr>
        <w:t>Conclusion</w:t>
      </w:r>
    </w:p>
    <w:p w14:paraId="3496BC9D" w14:textId="5C36FBE4" w:rsidR="00FB264A" w:rsidRPr="00E8726F" w:rsidRDefault="004D2346" w:rsidP="00E8726F">
      <w:pPr>
        <w:autoSpaceDE w:val="0"/>
        <w:autoSpaceDN w:val="0"/>
        <w:adjustRightInd w:val="0"/>
        <w:spacing w:after="120"/>
        <w:rPr>
          <w:bCs/>
          <w:color w:val="000000"/>
          <w:sz w:val="24"/>
          <w:szCs w:val="24"/>
        </w:rPr>
      </w:pPr>
      <w:r w:rsidRPr="00E8726F">
        <w:rPr>
          <w:bCs/>
          <w:color w:val="000000"/>
          <w:sz w:val="24"/>
          <w:szCs w:val="24"/>
        </w:rPr>
        <w:t xml:space="preserve">The attached instrument engages positively with the Right to Health and the Right to Social Security, and is considered to be </w:t>
      </w:r>
      <w:r w:rsidR="00E8726F" w:rsidRPr="00E8726F">
        <w:rPr>
          <w:bCs/>
          <w:color w:val="000000"/>
          <w:sz w:val="24"/>
          <w:szCs w:val="24"/>
        </w:rPr>
        <w:t>compatible with human rights.</w:t>
      </w:r>
      <w:r w:rsidRPr="00E8726F">
        <w:rPr>
          <w:bCs/>
          <w:color w:val="000000"/>
          <w:sz w:val="24"/>
          <w:szCs w:val="24"/>
        </w:rPr>
        <w:t xml:space="preserve"> </w:t>
      </w:r>
    </w:p>
    <w:p w14:paraId="7B7622FC" w14:textId="77777777" w:rsidR="0069295C" w:rsidRPr="00E8726F" w:rsidRDefault="0069295C" w:rsidP="00E8726F">
      <w:pPr>
        <w:autoSpaceDE w:val="0"/>
        <w:autoSpaceDN w:val="0"/>
        <w:adjustRightInd w:val="0"/>
        <w:spacing w:after="120"/>
        <w:rPr>
          <w:bCs/>
          <w:color w:val="000000"/>
          <w:sz w:val="24"/>
          <w:szCs w:val="24"/>
        </w:rPr>
      </w:pPr>
      <w:r w:rsidRPr="00E8726F">
        <w:rPr>
          <w:bCs/>
          <w:color w:val="000000"/>
          <w:sz w:val="24"/>
          <w:szCs w:val="24"/>
        </w:rPr>
        <w:br w:type="page"/>
      </w:r>
    </w:p>
    <w:p w14:paraId="07FD1C3B" w14:textId="77777777" w:rsidR="0069295C" w:rsidRPr="00FB3FCB" w:rsidRDefault="0069295C" w:rsidP="0069295C">
      <w:pPr>
        <w:pStyle w:val="Default"/>
        <w:autoSpaceDE/>
        <w:autoSpaceDN/>
        <w:adjustRightInd/>
        <w:jc w:val="right"/>
        <w:rPr>
          <w:b/>
          <w:u w:val="single"/>
        </w:rPr>
      </w:pPr>
      <w:r w:rsidRPr="00FB3FCB">
        <w:rPr>
          <w:b/>
          <w:u w:val="single"/>
        </w:rPr>
        <w:lastRenderedPageBreak/>
        <w:t>Attachment A</w:t>
      </w:r>
    </w:p>
    <w:p w14:paraId="1430BA36" w14:textId="77777777" w:rsidR="0069295C" w:rsidRDefault="0069295C" w:rsidP="0069295C">
      <w:pPr>
        <w:jc w:val="right"/>
        <w:rPr>
          <w:sz w:val="24"/>
          <w:szCs w:val="24"/>
        </w:rPr>
      </w:pPr>
    </w:p>
    <w:p w14:paraId="15FF479A" w14:textId="623432EB" w:rsidR="0069295C" w:rsidRDefault="0069295C">
      <w:pPr>
        <w:rPr>
          <w:b/>
          <w:color w:val="000000"/>
          <w:sz w:val="24"/>
          <w:szCs w:val="24"/>
        </w:rPr>
      </w:pPr>
      <w:r w:rsidRPr="000A51A1">
        <w:rPr>
          <w:b/>
          <w:color w:val="000000"/>
          <w:sz w:val="24"/>
          <w:szCs w:val="24"/>
        </w:rPr>
        <w:t>FURTHER EXPLANATION OF PROVISIONS</w:t>
      </w:r>
    </w:p>
    <w:p w14:paraId="07925E21" w14:textId="1531DC07" w:rsidR="00FB264A" w:rsidRDefault="00FB264A">
      <w:pPr>
        <w:rPr>
          <w:b/>
          <w:color w:val="000000"/>
          <w:sz w:val="24"/>
          <w:szCs w:val="24"/>
        </w:rPr>
      </w:pPr>
    </w:p>
    <w:p w14:paraId="10B69226" w14:textId="77777777" w:rsidR="00FB264A" w:rsidRPr="00FB264A" w:rsidRDefault="00FB264A" w:rsidP="00FB3FCB">
      <w:pPr>
        <w:autoSpaceDE w:val="0"/>
        <w:autoSpaceDN w:val="0"/>
        <w:adjustRightInd w:val="0"/>
        <w:spacing w:after="120"/>
        <w:rPr>
          <w:b/>
          <w:bCs/>
          <w:color w:val="000000"/>
          <w:sz w:val="24"/>
          <w:szCs w:val="24"/>
        </w:rPr>
      </w:pPr>
      <w:r w:rsidRPr="00FB264A">
        <w:rPr>
          <w:b/>
          <w:bCs/>
          <w:color w:val="000000"/>
          <w:sz w:val="24"/>
          <w:szCs w:val="24"/>
        </w:rPr>
        <w:t xml:space="preserve">Section 1  </w:t>
      </w:r>
    </w:p>
    <w:p w14:paraId="66BFD968" w14:textId="30887E51" w:rsidR="0060248C" w:rsidRPr="00F22E27" w:rsidRDefault="00FB264A" w:rsidP="0060248C">
      <w:pPr>
        <w:autoSpaceDE w:val="0"/>
        <w:autoSpaceDN w:val="0"/>
        <w:adjustRightInd w:val="0"/>
        <w:spacing w:after="120"/>
        <w:rPr>
          <w:i/>
          <w:sz w:val="24"/>
        </w:rPr>
      </w:pPr>
      <w:r w:rsidRPr="00FB264A">
        <w:rPr>
          <w:bCs/>
          <w:color w:val="000000"/>
          <w:sz w:val="24"/>
          <w:szCs w:val="24"/>
        </w:rPr>
        <w:t xml:space="preserve">This </w:t>
      </w:r>
      <w:r w:rsidR="00CD318D">
        <w:rPr>
          <w:bCs/>
          <w:color w:val="000000"/>
          <w:sz w:val="24"/>
          <w:szCs w:val="24"/>
        </w:rPr>
        <w:t xml:space="preserve">section </w:t>
      </w:r>
      <w:r w:rsidRPr="00FB264A">
        <w:rPr>
          <w:bCs/>
          <w:color w:val="000000"/>
          <w:sz w:val="24"/>
          <w:szCs w:val="24"/>
        </w:rPr>
        <w:t xml:space="preserve">sets out the name of the instrument – </w:t>
      </w:r>
      <w:r w:rsidR="00CD318D">
        <w:rPr>
          <w:bCs/>
          <w:color w:val="000000"/>
          <w:sz w:val="24"/>
          <w:szCs w:val="24"/>
        </w:rPr>
        <w:t xml:space="preserve">the </w:t>
      </w:r>
      <w:r w:rsidR="00CD318D" w:rsidRPr="00CD318D">
        <w:rPr>
          <w:bCs/>
          <w:i/>
          <w:color w:val="000000"/>
          <w:sz w:val="24"/>
          <w:szCs w:val="24"/>
        </w:rPr>
        <w:t>Military Rehabilitation and Compensation (Special Assistance) Instrument 2022</w:t>
      </w:r>
      <w:r w:rsidR="00CD318D">
        <w:rPr>
          <w:bCs/>
          <w:color w:val="000000"/>
          <w:sz w:val="24"/>
          <w:szCs w:val="24"/>
        </w:rPr>
        <w:t>.</w:t>
      </w:r>
    </w:p>
    <w:p w14:paraId="100A7880" w14:textId="333A82FC" w:rsidR="00FB264A" w:rsidRPr="00FB264A" w:rsidRDefault="00FB264A" w:rsidP="00FB3FCB">
      <w:pPr>
        <w:autoSpaceDE w:val="0"/>
        <w:autoSpaceDN w:val="0"/>
        <w:adjustRightInd w:val="0"/>
        <w:spacing w:after="120"/>
        <w:rPr>
          <w:b/>
          <w:bCs/>
          <w:color w:val="000000"/>
          <w:sz w:val="24"/>
          <w:szCs w:val="24"/>
        </w:rPr>
      </w:pPr>
      <w:r w:rsidRPr="00FB264A">
        <w:rPr>
          <w:b/>
          <w:bCs/>
          <w:color w:val="000000"/>
          <w:sz w:val="24"/>
          <w:szCs w:val="24"/>
        </w:rPr>
        <w:t xml:space="preserve">Section 2  </w:t>
      </w:r>
    </w:p>
    <w:p w14:paraId="2A1C356D" w14:textId="77777777" w:rsidR="00CD318D" w:rsidRDefault="00FB264A" w:rsidP="00FB3FCB">
      <w:pPr>
        <w:autoSpaceDE w:val="0"/>
        <w:autoSpaceDN w:val="0"/>
        <w:adjustRightInd w:val="0"/>
        <w:spacing w:after="120"/>
        <w:rPr>
          <w:bCs/>
          <w:color w:val="000000"/>
          <w:sz w:val="24"/>
          <w:szCs w:val="24"/>
        </w:rPr>
      </w:pPr>
      <w:r w:rsidRPr="00FB264A">
        <w:rPr>
          <w:bCs/>
          <w:color w:val="000000"/>
          <w:sz w:val="24"/>
          <w:szCs w:val="24"/>
        </w:rPr>
        <w:t>This</w:t>
      </w:r>
      <w:r w:rsidRPr="00FB264A">
        <w:rPr>
          <w:b/>
          <w:bCs/>
          <w:color w:val="000000"/>
          <w:sz w:val="24"/>
          <w:szCs w:val="24"/>
        </w:rPr>
        <w:t xml:space="preserve"> </w:t>
      </w:r>
      <w:r w:rsidRPr="00FB264A">
        <w:rPr>
          <w:bCs/>
          <w:color w:val="000000"/>
          <w:sz w:val="24"/>
          <w:szCs w:val="24"/>
        </w:rPr>
        <w:t>is the commencement provision. It prov</w:t>
      </w:r>
      <w:r w:rsidRPr="007A4F8A">
        <w:rPr>
          <w:bCs/>
          <w:color w:val="000000"/>
          <w:sz w:val="24"/>
          <w:szCs w:val="24"/>
        </w:rPr>
        <w:t xml:space="preserve">ides that </w:t>
      </w:r>
      <w:r w:rsidR="00914FA4" w:rsidRPr="007A4F8A">
        <w:rPr>
          <w:bCs/>
          <w:color w:val="000000"/>
          <w:sz w:val="24"/>
          <w:szCs w:val="24"/>
        </w:rPr>
        <w:t>the</w:t>
      </w:r>
      <w:r w:rsidR="00CD318D">
        <w:rPr>
          <w:bCs/>
          <w:color w:val="000000"/>
          <w:sz w:val="24"/>
          <w:szCs w:val="24"/>
        </w:rPr>
        <w:t xml:space="preserve"> instrument </w:t>
      </w:r>
      <w:r w:rsidR="00914FA4" w:rsidRPr="007A4F8A">
        <w:rPr>
          <w:bCs/>
          <w:color w:val="000000"/>
          <w:sz w:val="24"/>
          <w:szCs w:val="24"/>
        </w:rPr>
        <w:t>commences</w:t>
      </w:r>
      <w:r w:rsidR="00CD318D">
        <w:rPr>
          <w:bCs/>
          <w:color w:val="000000"/>
          <w:sz w:val="24"/>
          <w:szCs w:val="24"/>
        </w:rPr>
        <w:t xml:space="preserve"> on the day after it is registered on the Federal Register of Legislation. </w:t>
      </w:r>
    </w:p>
    <w:p w14:paraId="770BFBE1" w14:textId="77777777" w:rsidR="00FB264A" w:rsidRPr="00FB264A" w:rsidRDefault="00FB264A" w:rsidP="00FB3FCB">
      <w:pPr>
        <w:autoSpaceDE w:val="0"/>
        <w:autoSpaceDN w:val="0"/>
        <w:adjustRightInd w:val="0"/>
        <w:spacing w:after="120"/>
        <w:rPr>
          <w:bCs/>
          <w:color w:val="000000"/>
          <w:sz w:val="24"/>
          <w:szCs w:val="24"/>
        </w:rPr>
      </w:pPr>
      <w:r w:rsidRPr="00FB264A">
        <w:rPr>
          <w:b/>
          <w:bCs/>
          <w:color w:val="000000"/>
          <w:sz w:val="24"/>
          <w:szCs w:val="24"/>
        </w:rPr>
        <w:t>Section 3</w:t>
      </w:r>
      <w:r w:rsidRPr="00FB264A">
        <w:rPr>
          <w:bCs/>
          <w:color w:val="000000"/>
          <w:sz w:val="24"/>
          <w:szCs w:val="24"/>
        </w:rPr>
        <w:t xml:space="preserve"> </w:t>
      </w:r>
    </w:p>
    <w:p w14:paraId="0F93628B" w14:textId="77777777" w:rsidR="00CD318D" w:rsidRDefault="00FB264A" w:rsidP="00FB3FCB">
      <w:pPr>
        <w:autoSpaceDE w:val="0"/>
        <w:autoSpaceDN w:val="0"/>
        <w:adjustRightInd w:val="0"/>
        <w:spacing w:after="120"/>
        <w:rPr>
          <w:bCs/>
          <w:color w:val="000000"/>
          <w:sz w:val="24"/>
          <w:szCs w:val="24"/>
        </w:rPr>
      </w:pPr>
      <w:r w:rsidRPr="00FB264A">
        <w:rPr>
          <w:bCs/>
          <w:color w:val="000000"/>
          <w:sz w:val="24"/>
          <w:szCs w:val="24"/>
        </w:rPr>
        <w:t xml:space="preserve">This section sets out the primary legislation that authorises the making of the </w:t>
      </w:r>
      <w:r w:rsidR="00CD318D">
        <w:rPr>
          <w:bCs/>
          <w:color w:val="000000"/>
          <w:sz w:val="24"/>
          <w:szCs w:val="24"/>
        </w:rPr>
        <w:t>instrument</w:t>
      </w:r>
      <w:r w:rsidRPr="00FB264A">
        <w:rPr>
          <w:bCs/>
          <w:color w:val="000000"/>
          <w:sz w:val="24"/>
          <w:szCs w:val="24"/>
        </w:rPr>
        <w:t xml:space="preserve">, namely </w:t>
      </w:r>
      <w:r w:rsidR="00CD318D">
        <w:rPr>
          <w:bCs/>
          <w:color w:val="000000"/>
          <w:sz w:val="24"/>
          <w:szCs w:val="24"/>
        </w:rPr>
        <w:t xml:space="preserve">subsection 424(1) of the </w:t>
      </w:r>
      <w:r w:rsidR="00CD318D" w:rsidRPr="00CD318D">
        <w:rPr>
          <w:bCs/>
          <w:i/>
          <w:color w:val="000000"/>
          <w:sz w:val="24"/>
          <w:szCs w:val="24"/>
        </w:rPr>
        <w:t>Military Rehabilitation and Compensation Act 2006</w:t>
      </w:r>
      <w:r w:rsidR="00CD318D">
        <w:rPr>
          <w:bCs/>
          <w:color w:val="000000"/>
          <w:sz w:val="24"/>
          <w:szCs w:val="24"/>
        </w:rPr>
        <w:t>.</w:t>
      </w:r>
    </w:p>
    <w:p w14:paraId="25FC19B1" w14:textId="77777777" w:rsidR="00FB264A" w:rsidRPr="00FB264A" w:rsidRDefault="00FB264A" w:rsidP="00FB3FCB">
      <w:pPr>
        <w:autoSpaceDE w:val="0"/>
        <w:autoSpaceDN w:val="0"/>
        <w:adjustRightInd w:val="0"/>
        <w:spacing w:after="120"/>
        <w:rPr>
          <w:b/>
          <w:bCs/>
          <w:color w:val="000000"/>
          <w:sz w:val="24"/>
          <w:szCs w:val="24"/>
        </w:rPr>
      </w:pPr>
      <w:r w:rsidRPr="00FB264A">
        <w:rPr>
          <w:b/>
          <w:bCs/>
          <w:color w:val="000000"/>
          <w:sz w:val="24"/>
          <w:szCs w:val="24"/>
        </w:rPr>
        <w:t xml:space="preserve">Section 4 </w:t>
      </w:r>
    </w:p>
    <w:p w14:paraId="5A10ACD1" w14:textId="588C99B0" w:rsidR="00B72F6E" w:rsidRDefault="00FB264A" w:rsidP="00AF3256">
      <w:pPr>
        <w:autoSpaceDE w:val="0"/>
        <w:autoSpaceDN w:val="0"/>
        <w:adjustRightInd w:val="0"/>
        <w:spacing w:after="120"/>
        <w:rPr>
          <w:bCs/>
          <w:color w:val="000000"/>
          <w:sz w:val="24"/>
          <w:szCs w:val="24"/>
        </w:rPr>
      </w:pPr>
      <w:r w:rsidRPr="00FB264A">
        <w:rPr>
          <w:bCs/>
          <w:color w:val="000000"/>
          <w:sz w:val="24"/>
          <w:szCs w:val="24"/>
        </w:rPr>
        <w:t xml:space="preserve">This section defines terms used in </w:t>
      </w:r>
      <w:r w:rsidR="00FA138D">
        <w:rPr>
          <w:bCs/>
          <w:color w:val="000000"/>
          <w:sz w:val="24"/>
          <w:szCs w:val="24"/>
        </w:rPr>
        <w:t>t</w:t>
      </w:r>
      <w:r w:rsidRPr="00FB264A">
        <w:rPr>
          <w:bCs/>
          <w:color w:val="000000"/>
          <w:sz w:val="24"/>
          <w:szCs w:val="24"/>
        </w:rPr>
        <w:t xml:space="preserve">he </w:t>
      </w:r>
      <w:r w:rsidR="00CD318D">
        <w:rPr>
          <w:bCs/>
          <w:color w:val="000000"/>
          <w:sz w:val="24"/>
          <w:szCs w:val="24"/>
        </w:rPr>
        <w:t>instrument</w:t>
      </w:r>
      <w:r w:rsidR="00FA138D">
        <w:rPr>
          <w:bCs/>
          <w:color w:val="000000"/>
          <w:sz w:val="24"/>
          <w:szCs w:val="24"/>
        </w:rPr>
        <w:t xml:space="preserve">, and provides that the expression “Act” </w:t>
      </w:r>
      <w:r w:rsidR="00D56F6E" w:rsidRPr="00D56F6E">
        <w:rPr>
          <w:sz w:val="24"/>
          <w:szCs w:val="24"/>
        </w:rPr>
        <w:t>mean</w:t>
      </w:r>
      <w:r w:rsidR="00BA1AF6">
        <w:rPr>
          <w:sz w:val="24"/>
          <w:szCs w:val="24"/>
        </w:rPr>
        <w:t>s</w:t>
      </w:r>
      <w:r w:rsidR="00D56F6E" w:rsidRPr="00D56F6E">
        <w:rPr>
          <w:sz w:val="24"/>
          <w:szCs w:val="24"/>
        </w:rPr>
        <w:t xml:space="preserve"> the </w:t>
      </w:r>
      <w:r w:rsidR="00CD318D" w:rsidRPr="00CD318D">
        <w:rPr>
          <w:bCs/>
          <w:i/>
          <w:color w:val="000000"/>
          <w:sz w:val="24"/>
          <w:szCs w:val="24"/>
        </w:rPr>
        <w:t>Military Rehabilitation and Compensation Act 2006</w:t>
      </w:r>
      <w:r w:rsidR="00CD318D">
        <w:rPr>
          <w:bCs/>
          <w:color w:val="000000"/>
          <w:sz w:val="24"/>
          <w:szCs w:val="24"/>
        </w:rPr>
        <w:t>.</w:t>
      </w:r>
    </w:p>
    <w:p w14:paraId="762AF0D4" w14:textId="3D703ED1" w:rsidR="009112CA" w:rsidRDefault="009112CA" w:rsidP="00AF3256">
      <w:pPr>
        <w:autoSpaceDE w:val="0"/>
        <w:autoSpaceDN w:val="0"/>
        <w:adjustRightInd w:val="0"/>
        <w:spacing w:after="120"/>
        <w:rPr>
          <w:sz w:val="24"/>
          <w:szCs w:val="24"/>
        </w:rPr>
      </w:pPr>
      <w:r>
        <w:rPr>
          <w:bCs/>
          <w:color w:val="000000"/>
          <w:sz w:val="24"/>
          <w:szCs w:val="24"/>
        </w:rPr>
        <w:t xml:space="preserve">A note is included to alert readers to section 13 of the </w:t>
      </w:r>
      <w:r w:rsidRPr="009112CA">
        <w:rPr>
          <w:bCs/>
          <w:i/>
          <w:color w:val="000000"/>
          <w:sz w:val="24"/>
          <w:szCs w:val="24"/>
        </w:rPr>
        <w:t>Legislation Act 2003</w:t>
      </w:r>
      <w:r>
        <w:rPr>
          <w:bCs/>
          <w:color w:val="000000"/>
          <w:sz w:val="24"/>
          <w:szCs w:val="24"/>
        </w:rPr>
        <w:t xml:space="preserve"> which provides that expressions used in the instrument have the same meaning as in the Act. This includes the expression ‘medical practitioner’ used in section 5 of the instrument.</w:t>
      </w:r>
    </w:p>
    <w:p w14:paraId="09F8804C" w14:textId="7B21C85E" w:rsidR="00FB264A" w:rsidRPr="00FB264A" w:rsidRDefault="00FB264A" w:rsidP="00FB3FCB">
      <w:pPr>
        <w:spacing w:after="120"/>
        <w:rPr>
          <w:b/>
          <w:sz w:val="24"/>
          <w:szCs w:val="24"/>
        </w:rPr>
      </w:pPr>
      <w:r w:rsidRPr="00FB264A">
        <w:rPr>
          <w:b/>
          <w:sz w:val="24"/>
          <w:szCs w:val="24"/>
        </w:rPr>
        <w:t xml:space="preserve">Section 5 </w:t>
      </w:r>
    </w:p>
    <w:p w14:paraId="7FC209D8" w14:textId="4C4D43E1" w:rsidR="009112CA" w:rsidRDefault="00FB264A" w:rsidP="00FB3FCB">
      <w:pPr>
        <w:spacing w:after="120"/>
        <w:rPr>
          <w:sz w:val="24"/>
          <w:szCs w:val="24"/>
        </w:rPr>
      </w:pPr>
      <w:r w:rsidRPr="00FB264A">
        <w:rPr>
          <w:sz w:val="24"/>
          <w:szCs w:val="24"/>
        </w:rPr>
        <w:t xml:space="preserve">This is the operative provision of the </w:t>
      </w:r>
      <w:r w:rsidR="00CD318D">
        <w:rPr>
          <w:sz w:val="24"/>
          <w:szCs w:val="24"/>
        </w:rPr>
        <w:t>instrument</w:t>
      </w:r>
      <w:r w:rsidRPr="00FB264A">
        <w:rPr>
          <w:sz w:val="24"/>
          <w:szCs w:val="24"/>
        </w:rPr>
        <w:t xml:space="preserve">. </w:t>
      </w:r>
      <w:r w:rsidR="00CD318D">
        <w:rPr>
          <w:sz w:val="24"/>
          <w:szCs w:val="24"/>
        </w:rPr>
        <w:t xml:space="preserve">It prescribes circumstances for the purposes of subsection 424(2) of the Act. </w:t>
      </w:r>
      <w:r w:rsidR="009112CA">
        <w:rPr>
          <w:sz w:val="24"/>
          <w:szCs w:val="24"/>
        </w:rPr>
        <w:t>Each of the circumstances in paragraphs (a) to (e</w:t>
      </w:r>
      <w:r w:rsidR="006D0CA8">
        <w:rPr>
          <w:sz w:val="24"/>
          <w:szCs w:val="24"/>
        </w:rPr>
        <w:t xml:space="preserve">) must be present </w:t>
      </w:r>
      <w:r w:rsidR="00FA138D">
        <w:rPr>
          <w:sz w:val="24"/>
          <w:szCs w:val="24"/>
        </w:rPr>
        <w:t xml:space="preserve">in a particular case </w:t>
      </w:r>
      <w:r w:rsidR="006D0CA8">
        <w:rPr>
          <w:sz w:val="24"/>
          <w:szCs w:val="24"/>
        </w:rPr>
        <w:t>to enable the grant power in section 424</w:t>
      </w:r>
      <w:r w:rsidR="009112CA">
        <w:rPr>
          <w:sz w:val="24"/>
          <w:szCs w:val="24"/>
        </w:rPr>
        <w:t xml:space="preserve">. </w:t>
      </w:r>
    </w:p>
    <w:p w14:paraId="6DD4DD7D" w14:textId="4126C449" w:rsidR="009112CA" w:rsidRPr="000C5BB7" w:rsidRDefault="009112CA" w:rsidP="000C5BB7">
      <w:pPr>
        <w:autoSpaceDE w:val="0"/>
        <w:autoSpaceDN w:val="0"/>
        <w:adjustRightInd w:val="0"/>
        <w:spacing w:after="120"/>
        <w:rPr>
          <w:sz w:val="24"/>
          <w:szCs w:val="24"/>
        </w:rPr>
      </w:pPr>
      <w:r w:rsidRPr="000C5BB7">
        <w:rPr>
          <w:sz w:val="24"/>
          <w:szCs w:val="24"/>
        </w:rPr>
        <w:t xml:space="preserve">Paragraph (a) prescribes as a circumstance that a person is or was a dependant of a member, former member or deceased member. This person is referred to in section 5 as ‘the dependant’. </w:t>
      </w:r>
    </w:p>
    <w:p w14:paraId="581B4040" w14:textId="77777777" w:rsidR="00FA138D" w:rsidRDefault="009112CA" w:rsidP="000C5BB7">
      <w:pPr>
        <w:autoSpaceDE w:val="0"/>
        <w:autoSpaceDN w:val="0"/>
        <w:adjustRightInd w:val="0"/>
        <w:spacing w:after="120"/>
        <w:rPr>
          <w:sz w:val="24"/>
          <w:szCs w:val="24"/>
        </w:rPr>
      </w:pPr>
      <w:r w:rsidRPr="000C5BB7">
        <w:rPr>
          <w:sz w:val="24"/>
          <w:szCs w:val="24"/>
        </w:rPr>
        <w:t xml:space="preserve">Paragraph (b) </w:t>
      </w:r>
      <w:r w:rsidR="006D0CA8">
        <w:rPr>
          <w:sz w:val="24"/>
          <w:szCs w:val="24"/>
        </w:rPr>
        <w:t>applies if</w:t>
      </w:r>
      <w:r w:rsidRPr="000C5BB7">
        <w:rPr>
          <w:sz w:val="24"/>
          <w:szCs w:val="24"/>
        </w:rPr>
        <w:t xml:space="preserve"> the dependant has been diagnosed by a medical practitioner as suffering from a mental ailment, disorder, defect or morbid condition (whether of sudden onset or gradual development) or a mental injury. </w:t>
      </w:r>
    </w:p>
    <w:p w14:paraId="66DA3F8A" w14:textId="4B31FF48" w:rsidR="009112CA" w:rsidRPr="000C5BB7" w:rsidRDefault="009112CA" w:rsidP="000C5BB7">
      <w:pPr>
        <w:autoSpaceDE w:val="0"/>
        <w:autoSpaceDN w:val="0"/>
        <w:adjustRightInd w:val="0"/>
        <w:spacing w:after="120"/>
        <w:rPr>
          <w:sz w:val="24"/>
          <w:szCs w:val="24"/>
        </w:rPr>
      </w:pPr>
      <w:r w:rsidRPr="000C5BB7">
        <w:rPr>
          <w:sz w:val="24"/>
          <w:szCs w:val="24"/>
        </w:rPr>
        <w:t>The term ‘medical practitioner’ is defined at section 5 of the Act to mean</w:t>
      </w:r>
      <w:r w:rsidR="000C5BB7" w:rsidRPr="000C5BB7">
        <w:rPr>
          <w:sz w:val="24"/>
          <w:szCs w:val="24"/>
        </w:rPr>
        <w:t xml:space="preserve"> a person registered or licensed as a medical practitioner under a law of a State or Territory that provides for the registration or licensing of medical practitioners.</w:t>
      </w:r>
    </w:p>
    <w:p w14:paraId="5D559443" w14:textId="421F0FE8" w:rsidR="000C5BB7" w:rsidRPr="000C5BB7" w:rsidRDefault="000C5BB7" w:rsidP="000C5BB7">
      <w:pPr>
        <w:autoSpaceDE w:val="0"/>
        <w:autoSpaceDN w:val="0"/>
        <w:adjustRightInd w:val="0"/>
        <w:spacing w:after="120"/>
        <w:rPr>
          <w:sz w:val="24"/>
          <w:szCs w:val="24"/>
        </w:rPr>
      </w:pPr>
      <w:r w:rsidRPr="000C5BB7">
        <w:rPr>
          <w:sz w:val="24"/>
          <w:szCs w:val="24"/>
        </w:rPr>
        <w:t xml:space="preserve">Paragraph (c) </w:t>
      </w:r>
      <w:r w:rsidR="006D0CA8">
        <w:rPr>
          <w:sz w:val="24"/>
          <w:szCs w:val="24"/>
        </w:rPr>
        <w:t>applies if the</w:t>
      </w:r>
      <w:r w:rsidRPr="000C5BB7">
        <w:rPr>
          <w:sz w:val="24"/>
          <w:szCs w:val="24"/>
        </w:rPr>
        <w:t xml:space="preserve"> dependant </w:t>
      </w:r>
      <w:r w:rsidR="009112CA" w:rsidRPr="000C5BB7">
        <w:rPr>
          <w:sz w:val="24"/>
          <w:szCs w:val="24"/>
        </w:rPr>
        <w:t>meets subparagraphs (b)(</w:t>
      </w:r>
      <w:proofErr w:type="spellStart"/>
      <w:r w:rsidR="009112CA" w:rsidRPr="000C5BB7">
        <w:rPr>
          <w:sz w:val="24"/>
          <w:szCs w:val="24"/>
        </w:rPr>
        <w:t>i</w:t>
      </w:r>
      <w:proofErr w:type="spellEnd"/>
      <w:r w:rsidR="009112CA" w:rsidRPr="000C5BB7">
        <w:rPr>
          <w:sz w:val="24"/>
          <w:szCs w:val="24"/>
        </w:rPr>
        <w:t xml:space="preserve">) and (iii) of the definition of </w:t>
      </w:r>
      <w:r w:rsidR="009112CA" w:rsidRPr="006D0CA8">
        <w:rPr>
          <w:b/>
          <w:i/>
          <w:sz w:val="24"/>
          <w:szCs w:val="24"/>
        </w:rPr>
        <w:t>eligible young person</w:t>
      </w:r>
      <w:r w:rsidR="009112CA" w:rsidRPr="000C5BB7">
        <w:rPr>
          <w:sz w:val="24"/>
          <w:szCs w:val="24"/>
        </w:rPr>
        <w:t xml:space="preserve"> in section 5 of the Act</w:t>
      </w:r>
      <w:r w:rsidR="006D0CA8">
        <w:rPr>
          <w:sz w:val="24"/>
          <w:szCs w:val="24"/>
        </w:rPr>
        <w:t xml:space="preserve"> </w:t>
      </w:r>
      <w:proofErr w:type="spellStart"/>
      <w:r w:rsidR="006D0CA8">
        <w:rPr>
          <w:sz w:val="24"/>
          <w:szCs w:val="24"/>
        </w:rPr>
        <w:t>ie</w:t>
      </w:r>
      <w:proofErr w:type="spellEnd"/>
      <w:r w:rsidR="006D0CA8">
        <w:rPr>
          <w:sz w:val="24"/>
          <w:szCs w:val="24"/>
        </w:rPr>
        <w:t xml:space="preserve"> </w:t>
      </w:r>
      <w:r w:rsidRPr="000C5BB7">
        <w:rPr>
          <w:sz w:val="24"/>
          <w:szCs w:val="24"/>
        </w:rPr>
        <w:t xml:space="preserve">the </w:t>
      </w:r>
      <w:r w:rsidR="006D0CA8">
        <w:rPr>
          <w:sz w:val="24"/>
          <w:szCs w:val="24"/>
        </w:rPr>
        <w:t>dependant</w:t>
      </w:r>
      <w:r w:rsidRPr="000C5BB7">
        <w:rPr>
          <w:sz w:val="24"/>
          <w:szCs w:val="24"/>
        </w:rPr>
        <w:t xml:space="preserve"> is aged 16 or more but under 25, and is not in full</w:t>
      </w:r>
      <w:r w:rsidRPr="000C5BB7">
        <w:rPr>
          <w:sz w:val="24"/>
          <w:szCs w:val="24"/>
        </w:rPr>
        <w:noBreakHyphen/>
        <w:t>time employment or engaged in work full</w:t>
      </w:r>
      <w:r w:rsidRPr="000C5BB7">
        <w:rPr>
          <w:sz w:val="24"/>
          <w:szCs w:val="24"/>
        </w:rPr>
        <w:noBreakHyphen/>
        <w:t>time on his or her own account.</w:t>
      </w:r>
    </w:p>
    <w:p w14:paraId="552953EE" w14:textId="01425E27" w:rsidR="00FA138D" w:rsidRDefault="000C5BB7" w:rsidP="000C5BB7">
      <w:pPr>
        <w:autoSpaceDE w:val="0"/>
        <w:autoSpaceDN w:val="0"/>
        <w:adjustRightInd w:val="0"/>
        <w:spacing w:after="120"/>
        <w:rPr>
          <w:sz w:val="24"/>
          <w:szCs w:val="24"/>
        </w:rPr>
      </w:pPr>
      <w:r w:rsidRPr="000C5BB7">
        <w:rPr>
          <w:sz w:val="24"/>
          <w:szCs w:val="24"/>
        </w:rPr>
        <w:t xml:space="preserve">Paragraph (d) </w:t>
      </w:r>
      <w:r w:rsidR="006D0CA8">
        <w:rPr>
          <w:sz w:val="24"/>
          <w:szCs w:val="24"/>
        </w:rPr>
        <w:t xml:space="preserve">applies if </w:t>
      </w:r>
      <w:r w:rsidR="009112CA" w:rsidRPr="000C5BB7">
        <w:rPr>
          <w:sz w:val="24"/>
          <w:szCs w:val="24"/>
        </w:rPr>
        <w:t xml:space="preserve">the dependant is unable to meet subparagraph (b)(ii) of </w:t>
      </w:r>
      <w:r w:rsidRPr="000C5BB7">
        <w:rPr>
          <w:sz w:val="24"/>
          <w:szCs w:val="24"/>
        </w:rPr>
        <w:t xml:space="preserve">the definition of </w:t>
      </w:r>
      <w:r w:rsidRPr="001C4BE3">
        <w:rPr>
          <w:b/>
          <w:i/>
          <w:sz w:val="24"/>
          <w:szCs w:val="24"/>
        </w:rPr>
        <w:t>eligible young person</w:t>
      </w:r>
      <w:r w:rsidRPr="000C5BB7">
        <w:rPr>
          <w:sz w:val="24"/>
          <w:szCs w:val="24"/>
        </w:rPr>
        <w:t xml:space="preserve"> in section 5 of the Act </w:t>
      </w:r>
      <w:r w:rsidR="009112CA" w:rsidRPr="000C5BB7">
        <w:rPr>
          <w:sz w:val="24"/>
          <w:szCs w:val="24"/>
        </w:rPr>
        <w:t>solely because the mental ailment, disorder, defect o</w:t>
      </w:r>
      <w:r w:rsidR="00BA1AF6">
        <w:rPr>
          <w:sz w:val="24"/>
          <w:szCs w:val="24"/>
        </w:rPr>
        <w:t>r</w:t>
      </w:r>
      <w:r w:rsidR="009112CA" w:rsidRPr="000C5BB7">
        <w:rPr>
          <w:sz w:val="24"/>
          <w:szCs w:val="24"/>
        </w:rPr>
        <w:t xml:space="preserve"> morbid condition, or mental injury, mentioned in paragraph (b), prevents the dependant from receiving full</w:t>
      </w:r>
      <w:r w:rsidR="009112CA" w:rsidRPr="000C5BB7">
        <w:rPr>
          <w:sz w:val="24"/>
          <w:szCs w:val="24"/>
        </w:rPr>
        <w:noBreakHyphen/>
        <w:t>time education at a school, college, university or other educational institution</w:t>
      </w:r>
      <w:r w:rsidRPr="000C5BB7">
        <w:rPr>
          <w:sz w:val="24"/>
          <w:szCs w:val="24"/>
        </w:rPr>
        <w:t xml:space="preserve">. </w:t>
      </w:r>
    </w:p>
    <w:p w14:paraId="46FFB779" w14:textId="287CC1F3" w:rsidR="009112CA" w:rsidRPr="000C5BB7" w:rsidRDefault="000C5BB7" w:rsidP="000C5BB7">
      <w:pPr>
        <w:autoSpaceDE w:val="0"/>
        <w:autoSpaceDN w:val="0"/>
        <w:adjustRightInd w:val="0"/>
        <w:spacing w:after="120"/>
        <w:rPr>
          <w:sz w:val="24"/>
          <w:szCs w:val="24"/>
        </w:rPr>
      </w:pPr>
      <w:r w:rsidRPr="000C5BB7">
        <w:rPr>
          <w:sz w:val="24"/>
          <w:szCs w:val="24"/>
        </w:rPr>
        <w:t>Subparagraph (b</w:t>
      </w:r>
      <w:proofErr w:type="gramStart"/>
      <w:r w:rsidRPr="000C5BB7">
        <w:rPr>
          <w:sz w:val="24"/>
          <w:szCs w:val="24"/>
        </w:rPr>
        <w:t>)(</w:t>
      </w:r>
      <w:proofErr w:type="gramEnd"/>
      <w:r w:rsidRPr="000C5BB7">
        <w:rPr>
          <w:sz w:val="24"/>
          <w:szCs w:val="24"/>
        </w:rPr>
        <w:t xml:space="preserve">ii) of the definition of </w:t>
      </w:r>
      <w:r w:rsidRPr="001C4BE3">
        <w:rPr>
          <w:b/>
          <w:i/>
          <w:sz w:val="24"/>
          <w:szCs w:val="24"/>
        </w:rPr>
        <w:t>eligible young person</w:t>
      </w:r>
      <w:r w:rsidRPr="000C5BB7">
        <w:rPr>
          <w:sz w:val="24"/>
          <w:szCs w:val="24"/>
        </w:rPr>
        <w:t xml:space="preserve"> requires that the person is receiving full</w:t>
      </w:r>
      <w:r w:rsidRPr="000C5BB7">
        <w:rPr>
          <w:sz w:val="24"/>
          <w:szCs w:val="24"/>
        </w:rPr>
        <w:noBreakHyphen/>
        <w:t>time education at a school, college, university or other educational institution.</w:t>
      </w:r>
    </w:p>
    <w:p w14:paraId="6DA156C2" w14:textId="618A4357" w:rsidR="000C5BB7" w:rsidRPr="000C5BB7" w:rsidRDefault="000C5BB7" w:rsidP="000C5BB7">
      <w:pPr>
        <w:autoSpaceDE w:val="0"/>
        <w:autoSpaceDN w:val="0"/>
        <w:adjustRightInd w:val="0"/>
        <w:spacing w:after="120"/>
        <w:rPr>
          <w:sz w:val="24"/>
          <w:szCs w:val="24"/>
        </w:rPr>
      </w:pPr>
    </w:p>
    <w:p w14:paraId="5B2E791E" w14:textId="081E2591" w:rsidR="009112CA" w:rsidRDefault="000C5BB7" w:rsidP="000C5BB7">
      <w:pPr>
        <w:autoSpaceDE w:val="0"/>
        <w:autoSpaceDN w:val="0"/>
        <w:adjustRightInd w:val="0"/>
        <w:spacing w:after="120"/>
        <w:rPr>
          <w:sz w:val="24"/>
          <w:szCs w:val="24"/>
        </w:rPr>
      </w:pPr>
      <w:r w:rsidRPr="000C5BB7">
        <w:rPr>
          <w:sz w:val="24"/>
          <w:szCs w:val="24"/>
        </w:rPr>
        <w:t xml:space="preserve">Paragraph (e) </w:t>
      </w:r>
      <w:r w:rsidR="006D0CA8">
        <w:rPr>
          <w:sz w:val="24"/>
          <w:szCs w:val="24"/>
        </w:rPr>
        <w:t xml:space="preserve">applies if, </w:t>
      </w:r>
      <w:r w:rsidRPr="000C5BB7">
        <w:rPr>
          <w:sz w:val="24"/>
          <w:szCs w:val="24"/>
        </w:rPr>
        <w:t>but for the dependant’s inability to meet subparagraph (b</w:t>
      </w:r>
      <w:proofErr w:type="gramStart"/>
      <w:r w:rsidRPr="000C5BB7">
        <w:rPr>
          <w:sz w:val="24"/>
          <w:szCs w:val="24"/>
        </w:rPr>
        <w:t>)(</w:t>
      </w:r>
      <w:proofErr w:type="gramEnd"/>
      <w:r w:rsidRPr="000C5BB7">
        <w:rPr>
          <w:sz w:val="24"/>
          <w:szCs w:val="24"/>
        </w:rPr>
        <w:t>ii) of the definition of elig</w:t>
      </w:r>
      <w:r w:rsidR="006D0CA8">
        <w:rPr>
          <w:sz w:val="24"/>
          <w:szCs w:val="24"/>
        </w:rPr>
        <w:t>ible</w:t>
      </w:r>
      <w:r w:rsidRPr="000C5BB7">
        <w:rPr>
          <w:sz w:val="24"/>
          <w:szCs w:val="24"/>
        </w:rPr>
        <w:t xml:space="preserve"> young person due to their mental illness or injury, the </w:t>
      </w:r>
      <w:r w:rsidR="00BA1AF6">
        <w:rPr>
          <w:sz w:val="24"/>
          <w:szCs w:val="24"/>
        </w:rPr>
        <w:t>dependant</w:t>
      </w:r>
      <w:r w:rsidR="009112CA" w:rsidRPr="000C5BB7">
        <w:rPr>
          <w:sz w:val="24"/>
          <w:szCs w:val="24"/>
        </w:rPr>
        <w:t xml:space="preserve"> would have been entitled to compensation or another benefit under th</w:t>
      </w:r>
      <w:r w:rsidR="00BA1AF6">
        <w:rPr>
          <w:sz w:val="24"/>
          <w:szCs w:val="24"/>
        </w:rPr>
        <w:t>e</w:t>
      </w:r>
      <w:r w:rsidR="009112CA" w:rsidRPr="000C5BB7">
        <w:rPr>
          <w:sz w:val="24"/>
          <w:szCs w:val="24"/>
        </w:rPr>
        <w:t xml:space="preserve"> Act, </w:t>
      </w:r>
      <w:r w:rsidR="00BA1AF6">
        <w:rPr>
          <w:sz w:val="24"/>
          <w:szCs w:val="24"/>
        </w:rPr>
        <w:t xml:space="preserve">or would be so entitled </w:t>
      </w:r>
      <w:r w:rsidR="009112CA" w:rsidRPr="000C5BB7">
        <w:rPr>
          <w:sz w:val="24"/>
          <w:szCs w:val="24"/>
        </w:rPr>
        <w:t xml:space="preserve">if a claim was made in respect of that compensation or benefit.  </w:t>
      </w:r>
    </w:p>
    <w:p w14:paraId="61EBB6A6" w14:textId="2F1A8DD5" w:rsidR="00D640A4" w:rsidRDefault="00D640A4" w:rsidP="000C5BB7">
      <w:pPr>
        <w:autoSpaceDE w:val="0"/>
        <w:autoSpaceDN w:val="0"/>
        <w:adjustRightInd w:val="0"/>
        <w:spacing w:after="120"/>
        <w:rPr>
          <w:sz w:val="24"/>
          <w:szCs w:val="24"/>
        </w:rPr>
      </w:pPr>
      <w:r>
        <w:rPr>
          <w:sz w:val="24"/>
          <w:szCs w:val="24"/>
        </w:rPr>
        <w:t xml:space="preserve">Paragraph (e) ensures that only </w:t>
      </w:r>
      <w:r w:rsidR="00BA1AF6">
        <w:rPr>
          <w:sz w:val="24"/>
          <w:szCs w:val="24"/>
        </w:rPr>
        <w:t xml:space="preserve">dependants </w:t>
      </w:r>
      <w:r>
        <w:rPr>
          <w:sz w:val="24"/>
          <w:szCs w:val="24"/>
        </w:rPr>
        <w:t>who would otherwise have been entitled to compensation or other benefit under the Act, but for the circumstance in paragraph</w:t>
      </w:r>
      <w:r w:rsidR="00BA1AF6">
        <w:rPr>
          <w:sz w:val="24"/>
          <w:szCs w:val="24"/>
        </w:rPr>
        <w:t> </w:t>
      </w:r>
      <w:r>
        <w:rPr>
          <w:sz w:val="24"/>
          <w:szCs w:val="24"/>
        </w:rPr>
        <w:t xml:space="preserve">(d), are able to be granted assistance or benefits under section 424.   </w:t>
      </w:r>
    </w:p>
    <w:p w14:paraId="0B4A7EC9" w14:textId="21778552" w:rsidR="00CD318D" w:rsidRPr="00FB264A" w:rsidRDefault="00CD318D" w:rsidP="00FB3FCB">
      <w:pPr>
        <w:spacing w:after="120"/>
        <w:rPr>
          <w:sz w:val="24"/>
          <w:szCs w:val="24"/>
        </w:rPr>
      </w:pPr>
    </w:p>
    <w:p w14:paraId="34D2A953" w14:textId="77777777" w:rsidR="00FB264A" w:rsidRDefault="00FB264A">
      <w:pPr>
        <w:rPr>
          <w:b/>
          <w:color w:val="000000"/>
          <w:sz w:val="24"/>
          <w:szCs w:val="24"/>
        </w:rPr>
      </w:pPr>
    </w:p>
    <w:p w14:paraId="2E0E319E" w14:textId="719236F0" w:rsidR="00FB264A" w:rsidRDefault="00FB264A">
      <w:pPr>
        <w:rPr>
          <w:b/>
          <w:color w:val="000000"/>
          <w:sz w:val="24"/>
          <w:szCs w:val="24"/>
        </w:rPr>
      </w:pPr>
    </w:p>
    <w:p w14:paraId="11528C67" w14:textId="77777777" w:rsidR="00FB264A" w:rsidRPr="005F4824" w:rsidRDefault="00FB264A">
      <w:pPr>
        <w:rPr>
          <w:b/>
          <w:color w:val="000000"/>
          <w:sz w:val="24"/>
          <w:szCs w:val="24"/>
        </w:rPr>
      </w:pPr>
    </w:p>
    <w:sectPr w:rsidR="00FB264A" w:rsidRPr="005F482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D9805" w14:textId="77777777" w:rsidR="00373BFC" w:rsidRDefault="00373BFC" w:rsidP="004425E2">
      <w:r>
        <w:separator/>
      </w:r>
    </w:p>
  </w:endnote>
  <w:endnote w:type="continuationSeparator" w:id="0">
    <w:p w14:paraId="3347E044" w14:textId="77777777" w:rsidR="00373BFC" w:rsidRDefault="00373BFC" w:rsidP="0044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0636" w14:textId="77777777" w:rsidR="004425E2" w:rsidRDefault="00442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41F7" w14:textId="77777777" w:rsidR="004425E2" w:rsidRDefault="00442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154C9" w14:textId="77777777" w:rsidR="004425E2" w:rsidRDefault="00442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A8108" w14:textId="77777777" w:rsidR="00373BFC" w:rsidRDefault="00373BFC" w:rsidP="004425E2">
      <w:r>
        <w:separator/>
      </w:r>
    </w:p>
  </w:footnote>
  <w:footnote w:type="continuationSeparator" w:id="0">
    <w:p w14:paraId="35D02AA4" w14:textId="77777777" w:rsidR="00373BFC" w:rsidRDefault="00373BFC" w:rsidP="00442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B888B" w14:textId="77777777" w:rsidR="004425E2" w:rsidRDefault="00442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7D625" w14:textId="59AF177E" w:rsidR="004425E2" w:rsidRDefault="00442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A962" w14:textId="77777777" w:rsidR="004425E2" w:rsidRDefault="00442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1CB1"/>
    <w:multiLevelType w:val="hybridMultilevel"/>
    <w:tmpl w:val="A6BC0F1E"/>
    <w:lvl w:ilvl="0" w:tplc="2CEA75BE">
      <w:start w:val="1"/>
      <w:numFmt w:val="decimal"/>
      <w:lvlText w:val="%1."/>
      <w:lvlJc w:val="left"/>
      <w:pPr>
        <w:ind w:left="720" w:hanging="360"/>
      </w:pPr>
      <w:rPr>
        <w:rFonts w:ascii="Times New Roman" w:hAnsi="Times New Roman" w:cs="Times New Roman" w:hint="default"/>
        <w:color w:val="000000" w:themeColor="text1"/>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09858AA"/>
    <w:multiLevelType w:val="hybridMultilevel"/>
    <w:tmpl w:val="F5C41348"/>
    <w:lvl w:ilvl="0" w:tplc="7B06FA90">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5C"/>
    <w:rsid w:val="00002A99"/>
    <w:rsid w:val="00003003"/>
    <w:rsid w:val="00015891"/>
    <w:rsid w:val="0003053D"/>
    <w:rsid w:val="00073325"/>
    <w:rsid w:val="000905D6"/>
    <w:rsid w:val="000C15C6"/>
    <w:rsid w:val="000C5BB7"/>
    <w:rsid w:val="000E3457"/>
    <w:rsid w:val="000E6F08"/>
    <w:rsid w:val="001226AC"/>
    <w:rsid w:val="00127C8B"/>
    <w:rsid w:val="001339AB"/>
    <w:rsid w:val="001369E1"/>
    <w:rsid w:val="001707E7"/>
    <w:rsid w:val="001A4F1F"/>
    <w:rsid w:val="001C4BE3"/>
    <w:rsid w:val="001D1794"/>
    <w:rsid w:val="001F2D63"/>
    <w:rsid w:val="00203994"/>
    <w:rsid w:val="002055A9"/>
    <w:rsid w:val="00227989"/>
    <w:rsid w:val="00251C92"/>
    <w:rsid w:val="00267CAE"/>
    <w:rsid w:val="00267CCB"/>
    <w:rsid w:val="00273624"/>
    <w:rsid w:val="0027719E"/>
    <w:rsid w:val="00294DE0"/>
    <w:rsid w:val="002A3154"/>
    <w:rsid w:val="002E2EDD"/>
    <w:rsid w:val="00327485"/>
    <w:rsid w:val="00332617"/>
    <w:rsid w:val="003505BD"/>
    <w:rsid w:val="00353C52"/>
    <w:rsid w:val="00366808"/>
    <w:rsid w:val="00371E95"/>
    <w:rsid w:val="00373BFC"/>
    <w:rsid w:val="003770EA"/>
    <w:rsid w:val="00377F9E"/>
    <w:rsid w:val="0039441F"/>
    <w:rsid w:val="003A231F"/>
    <w:rsid w:val="003A4E49"/>
    <w:rsid w:val="003B5B2F"/>
    <w:rsid w:val="003D69B6"/>
    <w:rsid w:val="003E0096"/>
    <w:rsid w:val="003E5F1C"/>
    <w:rsid w:val="003E6FDF"/>
    <w:rsid w:val="003F67BB"/>
    <w:rsid w:val="00403544"/>
    <w:rsid w:val="00425FA7"/>
    <w:rsid w:val="004271DA"/>
    <w:rsid w:val="004425E2"/>
    <w:rsid w:val="00452F67"/>
    <w:rsid w:val="00455C33"/>
    <w:rsid w:val="004626B7"/>
    <w:rsid w:val="004704A3"/>
    <w:rsid w:val="00477488"/>
    <w:rsid w:val="004A2502"/>
    <w:rsid w:val="004D2346"/>
    <w:rsid w:val="004D7E26"/>
    <w:rsid w:val="004E20AA"/>
    <w:rsid w:val="004E7B4F"/>
    <w:rsid w:val="004F5D18"/>
    <w:rsid w:val="00541426"/>
    <w:rsid w:val="005600AE"/>
    <w:rsid w:val="005823DF"/>
    <w:rsid w:val="00584B54"/>
    <w:rsid w:val="00585304"/>
    <w:rsid w:val="005926A1"/>
    <w:rsid w:val="00592989"/>
    <w:rsid w:val="005B070C"/>
    <w:rsid w:val="005D3290"/>
    <w:rsid w:val="005E01FD"/>
    <w:rsid w:val="005F23E6"/>
    <w:rsid w:val="005F4824"/>
    <w:rsid w:val="0060248C"/>
    <w:rsid w:val="0063469F"/>
    <w:rsid w:val="00651FC9"/>
    <w:rsid w:val="006543B5"/>
    <w:rsid w:val="006555B5"/>
    <w:rsid w:val="00674EA8"/>
    <w:rsid w:val="0068150C"/>
    <w:rsid w:val="0069295C"/>
    <w:rsid w:val="006D0CA8"/>
    <w:rsid w:val="006E1F34"/>
    <w:rsid w:val="006F38C3"/>
    <w:rsid w:val="006F60DF"/>
    <w:rsid w:val="00717BF0"/>
    <w:rsid w:val="00723F78"/>
    <w:rsid w:val="00725E1B"/>
    <w:rsid w:val="007526D0"/>
    <w:rsid w:val="00752C9D"/>
    <w:rsid w:val="00755433"/>
    <w:rsid w:val="007A4F8A"/>
    <w:rsid w:val="007A56BE"/>
    <w:rsid w:val="00823887"/>
    <w:rsid w:val="008262C6"/>
    <w:rsid w:val="00837CEE"/>
    <w:rsid w:val="008530C1"/>
    <w:rsid w:val="00853456"/>
    <w:rsid w:val="0086102C"/>
    <w:rsid w:val="008644EC"/>
    <w:rsid w:val="00875F95"/>
    <w:rsid w:val="008B5958"/>
    <w:rsid w:val="008B6364"/>
    <w:rsid w:val="008D532B"/>
    <w:rsid w:val="008E3B13"/>
    <w:rsid w:val="008F10F6"/>
    <w:rsid w:val="009112CA"/>
    <w:rsid w:val="00914093"/>
    <w:rsid w:val="00914FA4"/>
    <w:rsid w:val="00921AC5"/>
    <w:rsid w:val="00963336"/>
    <w:rsid w:val="00963C34"/>
    <w:rsid w:val="0099017F"/>
    <w:rsid w:val="00990AAB"/>
    <w:rsid w:val="00992F46"/>
    <w:rsid w:val="009A3A6C"/>
    <w:rsid w:val="00A16EC6"/>
    <w:rsid w:val="00A21215"/>
    <w:rsid w:val="00A41598"/>
    <w:rsid w:val="00A56123"/>
    <w:rsid w:val="00A7233C"/>
    <w:rsid w:val="00AB5D3C"/>
    <w:rsid w:val="00AC435C"/>
    <w:rsid w:val="00AF3256"/>
    <w:rsid w:val="00B254F9"/>
    <w:rsid w:val="00B57408"/>
    <w:rsid w:val="00B72F6E"/>
    <w:rsid w:val="00B80171"/>
    <w:rsid w:val="00B80D5A"/>
    <w:rsid w:val="00BA1AF6"/>
    <w:rsid w:val="00BB4186"/>
    <w:rsid w:val="00BE5DDC"/>
    <w:rsid w:val="00BF79F6"/>
    <w:rsid w:val="00C559CE"/>
    <w:rsid w:val="00C7620D"/>
    <w:rsid w:val="00C86950"/>
    <w:rsid w:val="00C8775D"/>
    <w:rsid w:val="00CA1436"/>
    <w:rsid w:val="00CA293C"/>
    <w:rsid w:val="00CC1AD5"/>
    <w:rsid w:val="00CD0492"/>
    <w:rsid w:val="00CD318D"/>
    <w:rsid w:val="00CE05FA"/>
    <w:rsid w:val="00CF0A53"/>
    <w:rsid w:val="00D02886"/>
    <w:rsid w:val="00D17CEE"/>
    <w:rsid w:val="00D22791"/>
    <w:rsid w:val="00D348EE"/>
    <w:rsid w:val="00D45D43"/>
    <w:rsid w:val="00D56F6E"/>
    <w:rsid w:val="00D640A4"/>
    <w:rsid w:val="00D752B3"/>
    <w:rsid w:val="00DF0FC4"/>
    <w:rsid w:val="00DF1E7D"/>
    <w:rsid w:val="00E1094C"/>
    <w:rsid w:val="00E5677F"/>
    <w:rsid w:val="00E8726F"/>
    <w:rsid w:val="00E92DC0"/>
    <w:rsid w:val="00E9411C"/>
    <w:rsid w:val="00EE49AC"/>
    <w:rsid w:val="00F155D1"/>
    <w:rsid w:val="00F21919"/>
    <w:rsid w:val="00F22E27"/>
    <w:rsid w:val="00F36EAA"/>
    <w:rsid w:val="00F46085"/>
    <w:rsid w:val="00F64C9D"/>
    <w:rsid w:val="00F66275"/>
    <w:rsid w:val="00F92B99"/>
    <w:rsid w:val="00FA138D"/>
    <w:rsid w:val="00FB264A"/>
    <w:rsid w:val="00FB3FCB"/>
    <w:rsid w:val="00FB7350"/>
    <w:rsid w:val="00FC0707"/>
    <w:rsid w:val="00FD16D2"/>
    <w:rsid w:val="00FE016E"/>
    <w:rsid w:val="00FF3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6AEBEB"/>
  <w15:chartTrackingRefBased/>
  <w15:docId w15:val="{E3A7AAB9-A2BA-41E7-AB30-AEF44BB2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95C"/>
    <w:pPr>
      <w:spacing w:after="0" w:line="240" w:lineRule="auto"/>
    </w:pPr>
    <w:rPr>
      <w:rFonts w:ascii="Times New Roman" w:eastAsia="Times New Roman" w:hAnsi="Times New Roman" w:cs="Times New Roman"/>
      <w:sz w:val="20"/>
      <w:szCs w:val="20"/>
      <w:lang w:eastAsia="en-AU"/>
    </w:rPr>
  </w:style>
  <w:style w:type="paragraph" w:styleId="Heading5">
    <w:name w:val="heading 5"/>
    <w:basedOn w:val="Normal"/>
    <w:next w:val="Normal"/>
    <w:link w:val="Heading5Char"/>
    <w:qFormat/>
    <w:rsid w:val="0069295C"/>
    <w:pPr>
      <w:keepNext/>
      <w:ind w:left="720" w:firstLine="840"/>
      <w:outlineLvl w:val="4"/>
    </w:pPr>
    <w:rPr>
      <w:b/>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9295C"/>
    <w:rPr>
      <w:rFonts w:ascii="Times New Roman" w:eastAsia="Times New Roman" w:hAnsi="Times New Roman" w:cs="Times New Roman"/>
      <w:b/>
      <w:color w:val="000000"/>
      <w:sz w:val="32"/>
      <w:szCs w:val="32"/>
      <w:lang w:eastAsia="en-AU"/>
    </w:rPr>
  </w:style>
  <w:style w:type="paragraph" w:styleId="NormalWeb">
    <w:name w:val="Normal (Web)"/>
    <w:basedOn w:val="Normal"/>
    <w:uiPriority w:val="99"/>
    <w:rsid w:val="0069295C"/>
    <w:pPr>
      <w:spacing w:before="100" w:beforeAutospacing="1" w:after="100" w:afterAutospacing="1"/>
    </w:pPr>
    <w:rPr>
      <w:sz w:val="24"/>
      <w:szCs w:val="24"/>
    </w:rPr>
  </w:style>
  <w:style w:type="paragraph" w:customStyle="1" w:styleId="Normal1">
    <w:name w:val="Normal1"/>
    <w:basedOn w:val="Normal"/>
    <w:link w:val="normalChar"/>
    <w:rsid w:val="0069295C"/>
    <w:pPr>
      <w:spacing w:before="100" w:beforeAutospacing="1" w:after="100" w:afterAutospacing="1"/>
    </w:pPr>
    <w:rPr>
      <w:sz w:val="24"/>
      <w:szCs w:val="24"/>
      <w:lang w:val="en-US" w:eastAsia="en-US"/>
    </w:rPr>
  </w:style>
  <w:style w:type="character" w:customStyle="1" w:styleId="normalChar">
    <w:name w:val="normal Char"/>
    <w:link w:val="Normal1"/>
    <w:locked/>
    <w:rsid w:val="0069295C"/>
    <w:rPr>
      <w:rFonts w:ascii="Times New Roman" w:eastAsia="Times New Roman" w:hAnsi="Times New Roman" w:cs="Times New Roman"/>
      <w:sz w:val="24"/>
      <w:szCs w:val="24"/>
      <w:lang w:val="en-US"/>
    </w:rPr>
  </w:style>
  <w:style w:type="paragraph" w:customStyle="1" w:styleId="Default">
    <w:name w:val="Default"/>
    <w:rsid w:val="0069295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rsid w:val="0069295C"/>
    <w:rPr>
      <w:strike w:val="0"/>
      <w:dstrike w:val="0"/>
      <w:color w:val="0072BC"/>
      <w:u w:val="none"/>
      <w:effect w:val="none"/>
    </w:rPr>
  </w:style>
  <w:style w:type="character" w:styleId="CommentReference">
    <w:name w:val="annotation reference"/>
    <w:basedOn w:val="DefaultParagraphFont"/>
    <w:uiPriority w:val="99"/>
    <w:semiHidden/>
    <w:unhideWhenUsed/>
    <w:rsid w:val="000E6F08"/>
    <w:rPr>
      <w:sz w:val="16"/>
      <w:szCs w:val="16"/>
    </w:rPr>
  </w:style>
  <w:style w:type="paragraph" w:styleId="CommentText">
    <w:name w:val="annotation text"/>
    <w:basedOn w:val="Normal"/>
    <w:link w:val="CommentTextChar"/>
    <w:uiPriority w:val="99"/>
    <w:unhideWhenUsed/>
    <w:rsid w:val="000E6F08"/>
  </w:style>
  <w:style w:type="character" w:customStyle="1" w:styleId="CommentTextChar">
    <w:name w:val="Comment Text Char"/>
    <w:basedOn w:val="DefaultParagraphFont"/>
    <w:link w:val="CommentText"/>
    <w:uiPriority w:val="99"/>
    <w:rsid w:val="000E6F0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E6F08"/>
    <w:rPr>
      <w:b/>
      <w:bCs/>
    </w:rPr>
  </w:style>
  <w:style w:type="character" w:customStyle="1" w:styleId="CommentSubjectChar">
    <w:name w:val="Comment Subject Char"/>
    <w:basedOn w:val="CommentTextChar"/>
    <w:link w:val="CommentSubject"/>
    <w:uiPriority w:val="99"/>
    <w:semiHidden/>
    <w:rsid w:val="000E6F08"/>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E6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F08"/>
    <w:rPr>
      <w:rFonts w:ascii="Segoe UI" w:eastAsia="Times New Roman" w:hAnsi="Segoe UI" w:cs="Segoe UI"/>
      <w:sz w:val="18"/>
      <w:szCs w:val="18"/>
      <w:lang w:eastAsia="en-AU"/>
    </w:rPr>
  </w:style>
  <w:style w:type="paragraph" w:styleId="ListParagraph">
    <w:name w:val="List Paragraph"/>
    <w:basedOn w:val="Normal"/>
    <w:uiPriority w:val="34"/>
    <w:qFormat/>
    <w:rsid w:val="003E5F1C"/>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4425E2"/>
    <w:pPr>
      <w:tabs>
        <w:tab w:val="center" w:pos="4513"/>
        <w:tab w:val="right" w:pos="9026"/>
      </w:tabs>
    </w:pPr>
  </w:style>
  <w:style w:type="character" w:customStyle="1" w:styleId="HeaderChar">
    <w:name w:val="Header Char"/>
    <w:basedOn w:val="DefaultParagraphFont"/>
    <w:link w:val="Header"/>
    <w:uiPriority w:val="99"/>
    <w:rsid w:val="004425E2"/>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4425E2"/>
    <w:pPr>
      <w:tabs>
        <w:tab w:val="center" w:pos="4513"/>
        <w:tab w:val="right" w:pos="9026"/>
      </w:tabs>
    </w:pPr>
  </w:style>
  <w:style w:type="character" w:customStyle="1" w:styleId="FooterChar">
    <w:name w:val="Footer Char"/>
    <w:basedOn w:val="DefaultParagraphFont"/>
    <w:link w:val="Footer"/>
    <w:uiPriority w:val="99"/>
    <w:rsid w:val="004425E2"/>
    <w:rPr>
      <w:rFonts w:ascii="Times New Roman" w:eastAsia="Times New Roman" w:hAnsi="Times New Roman" w:cs="Times New Roman"/>
      <w:sz w:val="20"/>
      <w:szCs w:val="20"/>
      <w:lang w:eastAsia="en-AU"/>
    </w:rPr>
  </w:style>
  <w:style w:type="paragraph" w:customStyle="1" w:styleId="subsection">
    <w:name w:val="subsection"/>
    <w:aliases w:val="ss"/>
    <w:basedOn w:val="Normal"/>
    <w:link w:val="subsectionChar"/>
    <w:rsid w:val="00227989"/>
    <w:pPr>
      <w:tabs>
        <w:tab w:val="right" w:pos="1021"/>
      </w:tabs>
      <w:spacing w:before="180"/>
      <w:ind w:left="1134" w:hanging="1134"/>
    </w:pPr>
    <w:rPr>
      <w:sz w:val="22"/>
    </w:rPr>
  </w:style>
  <w:style w:type="paragraph" w:customStyle="1" w:styleId="paragraph">
    <w:name w:val="paragraph"/>
    <w:aliases w:val="a"/>
    <w:basedOn w:val="Normal"/>
    <w:link w:val="paragraphChar"/>
    <w:rsid w:val="00227989"/>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rsid w:val="00227989"/>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227989"/>
    <w:rPr>
      <w:rFonts w:ascii="Times New Roman" w:eastAsia="Times New Roman" w:hAnsi="Times New Roman" w:cs="Times New Roman"/>
      <w:szCs w:val="20"/>
      <w:lang w:eastAsia="en-AU"/>
    </w:rPr>
  </w:style>
  <w:style w:type="paragraph" w:customStyle="1" w:styleId="paragraphsub">
    <w:name w:val="paragraph(sub)"/>
    <w:aliases w:val="aa"/>
    <w:basedOn w:val="Normal"/>
    <w:rsid w:val="000C5BB7"/>
    <w:pPr>
      <w:tabs>
        <w:tab w:val="right" w:pos="1985"/>
      </w:tabs>
      <w:spacing w:before="40"/>
      <w:ind w:left="2098" w:hanging="2098"/>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8375">
      <w:bodyDiv w:val="1"/>
      <w:marLeft w:val="0"/>
      <w:marRight w:val="0"/>
      <w:marTop w:val="0"/>
      <w:marBottom w:val="0"/>
      <w:divBdr>
        <w:top w:val="none" w:sz="0" w:space="0" w:color="auto"/>
        <w:left w:val="none" w:sz="0" w:space="0" w:color="auto"/>
        <w:bottom w:val="none" w:sz="0" w:space="0" w:color="auto"/>
        <w:right w:val="none" w:sz="0" w:space="0" w:color="auto"/>
      </w:divBdr>
    </w:div>
    <w:div w:id="153107435">
      <w:bodyDiv w:val="1"/>
      <w:marLeft w:val="0"/>
      <w:marRight w:val="0"/>
      <w:marTop w:val="0"/>
      <w:marBottom w:val="0"/>
      <w:divBdr>
        <w:top w:val="none" w:sz="0" w:space="0" w:color="auto"/>
        <w:left w:val="none" w:sz="0" w:space="0" w:color="auto"/>
        <w:bottom w:val="none" w:sz="0" w:space="0" w:color="auto"/>
        <w:right w:val="none" w:sz="0" w:space="0" w:color="auto"/>
      </w:divBdr>
    </w:div>
    <w:div w:id="209419843">
      <w:bodyDiv w:val="1"/>
      <w:marLeft w:val="0"/>
      <w:marRight w:val="0"/>
      <w:marTop w:val="0"/>
      <w:marBottom w:val="0"/>
      <w:divBdr>
        <w:top w:val="none" w:sz="0" w:space="0" w:color="auto"/>
        <w:left w:val="none" w:sz="0" w:space="0" w:color="auto"/>
        <w:bottom w:val="none" w:sz="0" w:space="0" w:color="auto"/>
        <w:right w:val="none" w:sz="0" w:space="0" w:color="auto"/>
      </w:divBdr>
    </w:div>
    <w:div w:id="954992380">
      <w:bodyDiv w:val="1"/>
      <w:marLeft w:val="0"/>
      <w:marRight w:val="0"/>
      <w:marTop w:val="0"/>
      <w:marBottom w:val="0"/>
      <w:divBdr>
        <w:top w:val="none" w:sz="0" w:space="0" w:color="auto"/>
        <w:left w:val="none" w:sz="0" w:space="0" w:color="auto"/>
        <w:bottom w:val="none" w:sz="0" w:space="0" w:color="auto"/>
        <w:right w:val="none" w:sz="0" w:space="0" w:color="auto"/>
      </w:divBdr>
    </w:div>
    <w:div w:id="114624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Halifax</dc:creator>
  <cp:keywords/>
  <dc:description/>
  <cp:lastModifiedBy>Creighton, Dannielle</cp:lastModifiedBy>
  <cp:revision>5</cp:revision>
  <cp:lastPrinted>2021-02-01T22:06:00Z</cp:lastPrinted>
  <dcterms:created xsi:type="dcterms:W3CDTF">2022-10-17T00:43:00Z</dcterms:created>
  <dcterms:modified xsi:type="dcterms:W3CDTF">2022-10-17T04:47:00Z</dcterms:modified>
</cp:coreProperties>
</file>