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E3F5" w14:textId="77777777" w:rsidR="0069295C" w:rsidRDefault="0069295C" w:rsidP="00FB3FCB">
      <w:pPr>
        <w:pStyle w:val="Heading5"/>
        <w:ind w:left="0" w:firstLine="0"/>
        <w:jc w:val="center"/>
      </w:pPr>
      <w:bookmarkStart w:id="0" w:name="_GoBack"/>
      <w:bookmarkEnd w:id="0"/>
      <w:r>
        <w:t>EXPLANATORY STATEMENT</w:t>
      </w:r>
    </w:p>
    <w:p w14:paraId="3147E36E" w14:textId="77777777" w:rsidR="0069295C" w:rsidRDefault="0069295C" w:rsidP="0069295C">
      <w:pPr>
        <w:rPr>
          <w:sz w:val="24"/>
          <w:szCs w:val="24"/>
        </w:rPr>
      </w:pPr>
    </w:p>
    <w:p w14:paraId="2B54D97F" w14:textId="77A043DF" w:rsidR="00F22E27" w:rsidRPr="00D378A7" w:rsidRDefault="00F22E27" w:rsidP="00F22E27">
      <w:pPr>
        <w:rPr>
          <w:b/>
          <w:sz w:val="28"/>
          <w:szCs w:val="28"/>
        </w:rPr>
      </w:pPr>
      <w:r w:rsidRPr="00F22E27">
        <w:rPr>
          <w:b/>
          <w:sz w:val="28"/>
          <w:szCs w:val="28"/>
        </w:rPr>
        <w:t>Veterans’ Entitlements (Exempt Lump Sum –</w:t>
      </w:r>
      <w:r w:rsidRPr="00F22E27">
        <w:rPr>
          <w:b/>
          <w:i/>
          <w:sz w:val="28"/>
          <w:szCs w:val="28"/>
        </w:rPr>
        <w:t xml:space="preserve"> </w:t>
      </w:r>
      <w:r w:rsidRPr="00F22E27">
        <w:rPr>
          <w:b/>
          <w:sz w:val="28"/>
          <w:szCs w:val="28"/>
        </w:rPr>
        <w:t xml:space="preserve">Payments </w:t>
      </w:r>
      <w:r w:rsidR="00914FA4">
        <w:rPr>
          <w:b/>
          <w:sz w:val="28"/>
          <w:szCs w:val="28"/>
        </w:rPr>
        <w:t>under</w:t>
      </w:r>
      <w:r w:rsidRPr="00F22E27">
        <w:rPr>
          <w:b/>
          <w:sz w:val="28"/>
          <w:szCs w:val="28"/>
        </w:rPr>
        <w:t xml:space="preserve"> the </w:t>
      </w:r>
      <w:r w:rsidR="00A7233C" w:rsidRPr="00A7233C">
        <w:rPr>
          <w:b/>
          <w:sz w:val="28"/>
          <w:szCs w:val="28"/>
        </w:rPr>
        <w:t>Territories Stolen Generations Redress Scheme</w:t>
      </w:r>
      <w:r w:rsidRPr="00F22E27">
        <w:rPr>
          <w:b/>
          <w:sz w:val="28"/>
          <w:szCs w:val="28"/>
        </w:rPr>
        <w:t xml:space="preserve">) </w:t>
      </w:r>
      <w:r w:rsidRPr="00D378A7">
        <w:rPr>
          <w:b/>
          <w:sz w:val="28"/>
          <w:szCs w:val="28"/>
        </w:rPr>
        <w:t xml:space="preserve">Determination </w:t>
      </w:r>
      <w:r w:rsidR="00A7233C" w:rsidRPr="00EA177B">
        <w:rPr>
          <w:b/>
          <w:sz w:val="28"/>
          <w:szCs w:val="28"/>
        </w:rPr>
        <w:t>2022</w:t>
      </w:r>
    </w:p>
    <w:p w14:paraId="7BC69026" w14:textId="77777777" w:rsidR="00875F95" w:rsidRPr="00D378A7" w:rsidRDefault="00875F95" w:rsidP="0069295C">
      <w:pPr>
        <w:rPr>
          <w:sz w:val="24"/>
          <w:szCs w:val="24"/>
        </w:rPr>
      </w:pPr>
    </w:p>
    <w:p w14:paraId="66DDE046" w14:textId="637CC5F9" w:rsidR="0069295C" w:rsidRDefault="0069295C" w:rsidP="0069295C">
      <w:pPr>
        <w:rPr>
          <w:sz w:val="24"/>
          <w:szCs w:val="24"/>
        </w:rPr>
      </w:pPr>
      <w:r w:rsidRPr="00D378A7">
        <w:rPr>
          <w:sz w:val="24"/>
          <w:szCs w:val="24"/>
        </w:rPr>
        <w:t xml:space="preserve">(Instrument </w:t>
      </w:r>
      <w:r w:rsidR="00A7233C" w:rsidRPr="00C32946">
        <w:rPr>
          <w:sz w:val="24"/>
          <w:szCs w:val="24"/>
        </w:rPr>
        <w:t>2022</w:t>
      </w:r>
      <w:r w:rsidRPr="00D378A7">
        <w:rPr>
          <w:sz w:val="24"/>
          <w:szCs w:val="24"/>
        </w:rPr>
        <w:t xml:space="preserve"> No. </w:t>
      </w:r>
      <w:r w:rsidR="00D56F6E" w:rsidRPr="00D378A7">
        <w:rPr>
          <w:sz w:val="24"/>
          <w:szCs w:val="24"/>
        </w:rPr>
        <w:t>R</w:t>
      </w:r>
      <w:r w:rsidR="00D378A7" w:rsidRPr="00D378A7">
        <w:rPr>
          <w:sz w:val="24"/>
          <w:szCs w:val="24"/>
        </w:rPr>
        <w:t>2</w:t>
      </w:r>
      <w:r w:rsidRPr="00D378A7">
        <w:rPr>
          <w:sz w:val="24"/>
          <w:szCs w:val="24"/>
        </w:rPr>
        <w:t>)</w:t>
      </w:r>
    </w:p>
    <w:p w14:paraId="1D809330" w14:textId="77777777" w:rsidR="0069295C" w:rsidRDefault="0069295C" w:rsidP="0069295C">
      <w:pPr>
        <w:ind w:firstLine="22"/>
        <w:rPr>
          <w:rFonts w:ascii="Arial" w:hAnsi="Arial"/>
          <w:sz w:val="24"/>
        </w:rPr>
      </w:pPr>
    </w:p>
    <w:p w14:paraId="689B550D" w14:textId="77777777" w:rsidR="0069295C" w:rsidRPr="000A51A1" w:rsidRDefault="0069295C" w:rsidP="00FB3FCB">
      <w:pPr>
        <w:spacing w:after="120"/>
        <w:rPr>
          <w:b/>
          <w:color w:val="000000"/>
          <w:sz w:val="24"/>
          <w:szCs w:val="24"/>
        </w:rPr>
      </w:pPr>
      <w:r w:rsidRPr="000A51A1">
        <w:rPr>
          <w:b/>
          <w:color w:val="000000"/>
          <w:sz w:val="24"/>
          <w:szCs w:val="24"/>
        </w:rPr>
        <w:t>EMPOWERING PROVISION</w:t>
      </w:r>
    </w:p>
    <w:p w14:paraId="61F36042" w14:textId="77777777" w:rsidR="0069295C" w:rsidRPr="00FB1475" w:rsidRDefault="0069295C" w:rsidP="00592989">
      <w:pPr>
        <w:autoSpaceDE w:val="0"/>
        <w:autoSpaceDN w:val="0"/>
        <w:adjustRightInd w:val="0"/>
        <w:spacing w:after="240"/>
        <w:rPr>
          <w:color w:val="000000"/>
          <w:sz w:val="24"/>
          <w:szCs w:val="24"/>
        </w:rPr>
      </w:pPr>
      <w:r>
        <w:rPr>
          <w:color w:val="000000"/>
          <w:sz w:val="24"/>
          <w:szCs w:val="24"/>
        </w:rPr>
        <w:t xml:space="preserve">Paragraph 5H(12)(c) of the </w:t>
      </w:r>
      <w:r w:rsidRPr="00DF24B6">
        <w:rPr>
          <w:i/>
          <w:color w:val="000000"/>
          <w:sz w:val="24"/>
          <w:szCs w:val="24"/>
        </w:rPr>
        <w:t>Veterans’ Entitlements Act 1986</w:t>
      </w:r>
      <w:r>
        <w:rPr>
          <w:color w:val="000000"/>
          <w:sz w:val="24"/>
          <w:szCs w:val="24"/>
        </w:rPr>
        <w:t xml:space="preserve"> (VEA)</w:t>
      </w:r>
      <w:r w:rsidRPr="00DF24B6">
        <w:rPr>
          <w:i/>
          <w:color w:val="000000"/>
          <w:sz w:val="24"/>
          <w:szCs w:val="24"/>
        </w:rPr>
        <w:t>.</w:t>
      </w:r>
    </w:p>
    <w:p w14:paraId="0D8F11C2" w14:textId="546AA117" w:rsidR="0069295C" w:rsidRDefault="0069295C" w:rsidP="00FB3FCB">
      <w:pPr>
        <w:spacing w:after="120"/>
        <w:rPr>
          <w:b/>
          <w:color w:val="000000"/>
          <w:sz w:val="24"/>
          <w:szCs w:val="24"/>
        </w:rPr>
      </w:pPr>
      <w:r w:rsidRPr="005F4824">
        <w:rPr>
          <w:b/>
          <w:color w:val="000000"/>
          <w:sz w:val="24"/>
          <w:szCs w:val="24"/>
        </w:rPr>
        <w:t>PURPOSE</w:t>
      </w:r>
    </w:p>
    <w:p w14:paraId="1A9A4F27" w14:textId="3C000117" w:rsidR="008E3B13" w:rsidRDefault="00FB3FCB" w:rsidP="006F60DF">
      <w:pPr>
        <w:spacing w:after="120"/>
        <w:rPr>
          <w:color w:val="000000"/>
          <w:sz w:val="24"/>
          <w:szCs w:val="24"/>
        </w:rPr>
      </w:pPr>
      <w:r w:rsidRPr="00FB3FCB">
        <w:rPr>
          <w:color w:val="000000"/>
          <w:sz w:val="24"/>
          <w:szCs w:val="24"/>
        </w:rPr>
        <w:t xml:space="preserve">The purpose of the determination is to ensure that </w:t>
      </w:r>
      <w:r w:rsidR="001369E1">
        <w:rPr>
          <w:color w:val="000000"/>
          <w:sz w:val="24"/>
          <w:szCs w:val="24"/>
        </w:rPr>
        <w:t>payments</w:t>
      </w:r>
      <w:r w:rsidR="008E3B13">
        <w:rPr>
          <w:color w:val="000000"/>
          <w:sz w:val="24"/>
          <w:szCs w:val="24"/>
        </w:rPr>
        <w:t xml:space="preserve"> </w:t>
      </w:r>
      <w:r w:rsidR="001369E1">
        <w:rPr>
          <w:color w:val="000000"/>
          <w:sz w:val="24"/>
          <w:szCs w:val="24"/>
        </w:rPr>
        <w:t xml:space="preserve">made </w:t>
      </w:r>
      <w:r w:rsidR="00914FA4">
        <w:rPr>
          <w:color w:val="000000"/>
          <w:sz w:val="24"/>
          <w:szCs w:val="24"/>
        </w:rPr>
        <w:t>under</w:t>
      </w:r>
      <w:r w:rsidR="005600AE">
        <w:rPr>
          <w:color w:val="000000"/>
          <w:sz w:val="24"/>
          <w:szCs w:val="24"/>
        </w:rPr>
        <w:t xml:space="preserve"> the </w:t>
      </w:r>
      <w:r w:rsidR="00A7233C" w:rsidRPr="00A7233C">
        <w:rPr>
          <w:color w:val="000000"/>
          <w:sz w:val="24"/>
          <w:szCs w:val="24"/>
        </w:rPr>
        <w:t>Territories Stolen Generations Redress Scheme</w:t>
      </w:r>
      <w:r w:rsidR="005600AE">
        <w:rPr>
          <w:color w:val="000000"/>
          <w:sz w:val="24"/>
          <w:szCs w:val="24"/>
        </w:rPr>
        <w:t xml:space="preserve"> </w:t>
      </w:r>
      <w:r w:rsidR="003E5F1C">
        <w:rPr>
          <w:color w:val="000000"/>
          <w:sz w:val="24"/>
          <w:szCs w:val="24"/>
        </w:rPr>
        <w:t>(the Scheme)</w:t>
      </w:r>
      <w:r w:rsidR="000E3457">
        <w:rPr>
          <w:color w:val="000000"/>
          <w:sz w:val="24"/>
          <w:szCs w:val="24"/>
        </w:rPr>
        <w:t>,</w:t>
      </w:r>
      <w:r w:rsidR="003E5F1C">
        <w:rPr>
          <w:color w:val="000000"/>
          <w:sz w:val="24"/>
          <w:szCs w:val="24"/>
        </w:rPr>
        <w:t xml:space="preserve"> will</w:t>
      </w:r>
      <w:r w:rsidR="000E3457">
        <w:rPr>
          <w:color w:val="000000"/>
          <w:sz w:val="24"/>
          <w:szCs w:val="24"/>
        </w:rPr>
        <w:t xml:space="preserve"> </w:t>
      </w:r>
      <w:r w:rsidR="003E5F1C">
        <w:rPr>
          <w:color w:val="000000"/>
          <w:sz w:val="24"/>
          <w:szCs w:val="24"/>
        </w:rPr>
        <w:t>be treated as an exempt lump sum</w:t>
      </w:r>
      <w:r w:rsidR="000E3457">
        <w:rPr>
          <w:color w:val="000000"/>
          <w:sz w:val="24"/>
          <w:szCs w:val="24"/>
        </w:rPr>
        <w:t xml:space="preserve"> under the VEA</w:t>
      </w:r>
      <w:r w:rsidR="003E5F1C">
        <w:rPr>
          <w:color w:val="000000"/>
          <w:sz w:val="24"/>
          <w:szCs w:val="24"/>
        </w:rPr>
        <w:t xml:space="preserve">.  </w:t>
      </w:r>
    </w:p>
    <w:p w14:paraId="08032DCA" w14:textId="235284E1" w:rsidR="006F60DF" w:rsidRDefault="003505BD" w:rsidP="006F60DF">
      <w:pPr>
        <w:spacing w:after="120"/>
        <w:rPr>
          <w:sz w:val="24"/>
          <w:szCs w:val="24"/>
          <w:lang w:val="en-US"/>
        </w:rPr>
      </w:pPr>
      <w:r w:rsidRPr="00657ED7">
        <w:rPr>
          <w:sz w:val="24"/>
          <w:lang w:val="en-US"/>
        </w:rPr>
        <w:t xml:space="preserve">The Australian </w:t>
      </w:r>
      <w:r w:rsidRPr="004271DA">
        <w:rPr>
          <w:color w:val="000000"/>
          <w:sz w:val="24"/>
          <w:szCs w:val="24"/>
        </w:rPr>
        <w:t>Government announced funding of $378.6 million over the 2021 to 2026 financial years</w:t>
      </w:r>
      <w:r>
        <w:rPr>
          <w:color w:val="000000"/>
          <w:sz w:val="24"/>
          <w:szCs w:val="24"/>
        </w:rPr>
        <w:t xml:space="preserve"> </w:t>
      </w:r>
      <w:r w:rsidR="005D3290">
        <w:rPr>
          <w:color w:val="000000"/>
          <w:sz w:val="24"/>
          <w:szCs w:val="24"/>
        </w:rPr>
        <w:t>for the Scheme</w:t>
      </w:r>
      <w:r w:rsidRPr="004271DA">
        <w:rPr>
          <w:color w:val="000000"/>
          <w:sz w:val="24"/>
          <w:szCs w:val="24"/>
        </w:rPr>
        <w:t xml:space="preserve">.  Relevantly, it will be for survivors </w:t>
      </w:r>
      <w:r w:rsidR="00406B2D">
        <w:rPr>
          <w:color w:val="000000"/>
          <w:sz w:val="24"/>
          <w:szCs w:val="24"/>
        </w:rPr>
        <w:t xml:space="preserve">of the Stolen Generations </w:t>
      </w:r>
      <w:r w:rsidR="00D45D43" w:rsidRPr="004271DA">
        <w:rPr>
          <w:color w:val="000000"/>
          <w:sz w:val="24"/>
          <w:szCs w:val="24"/>
        </w:rPr>
        <w:t>who were removed as children from their families whilst in the Northern Territory or the Australian Capital Territory (prior to their respective self-government) or the Jervis Bay Territory</w:t>
      </w:r>
      <w:r w:rsidR="000E3457">
        <w:rPr>
          <w:color w:val="000000"/>
          <w:sz w:val="24"/>
          <w:szCs w:val="24"/>
        </w:rPr>
        <w:t xml:space="preserve">.  </w:t>
      </w:r>
      <w:r w:rsidR="006F60DF" w:rsidRPr="004271DA">
        <w:rPr>
          <w:color w:val="000000"/>
          <w:sz w:val="24"/>
          <w:szCs w:val="24"/>
        </w:rPr>
        <w:t>The Scheme is intended to operate from 1 March 2022 to 30 June 2026, and</w:t>
      </w:r>
      <w:r w:rsidR="006F60DF" w:rsidRPr="000A3670">
        <w:rPr>
          <w:sz w:val="24"/>
          <w:szCs w:val="24"/>
          <w:lang w:val="en-US"/>
        </w:rPr>
        <w:t xml:space="preserve"> </w:t>
      </w:r>
      <w:r w:rsidR="000E3457">
        <w:rPr>
          <w:sz w:val="24"/>
          <w:szCs w:val="24"/>
          <w:lang w:val="en-US"/>
        </w:rPr>
        <w:t xml:space="preserve">will be </w:t>
      </w:r>
      <w:r w:rsidR="006F60DF" w:rsidRPr="000A3670">
        <w:rPr>
          <w:sz w:val="24"/>
          <w:szCs w:val="24"/>
          <w:lang w:val="en-US"/>
        </w:rPr>
        <w:t>open for applications between 1 March 2022 and 28 Febr</w:t>
      </w:r>
      <w:r w:rsidR="006F60DF" w:rsidRPr="00DB100A">
        <w:rPr>
          <w:sz w:val="24"/>
          <w:szCs w:val="24"/>
          <w:lang w:val="en-US"/>
        </w:rPr>
        <w:t>uary 2026</w:t>
      </w:r>
      <w:r w:rsidR="006F60DF">
        <w:rPr>
          <w:sz w:val="24"/>
          <w:szCs w:val="24"/>
          <w:lang w:val="en-US"/>
        </w:rPr>
        <w:t>.</w:t>
      </w:r>
    </w:p>
    <w:p w14:paraId="6D546A06" w14:textId="4F1A6AE2" w:rsidR="003E5F1C" w:rsidRPr="006F60DF" w:rsidRDefault="004271DA" w:rsidP="006F60DF">
      <w:pPr>
        <w:spacing w:after="120"/>
        <w:rPr>
          <w:color w:val="000000"/>
          <w:sz w:val="24"/>
          <w:szCs w:val="24"/>
        </w:rPr>
      </w:pPr>
      <w:r>
        <w:rPr>
          <w:sz w:val="24"/>
          <w:lang w:val="en-US"/>
        </w:rPr>
        <w:t xml:space="preserve">The </w:t>
      </w:r>
      <w:r w:rsidR="005D3290">
        <w:rPr>
          <w:sz w:val="24"/>
          <w:lang w:val="en-US"/>
        </w:rPr>
        <w:t>Scheme will provide</w:t>
      </w:r>
      <w:r>
        <w:rPr>
          <w:sz w:val="24"/>
          <w:lang w:val="en-US"/>
        </w:rPr>
        <w:t xml:space="preserve"> the following financial and wellbeing package to eligible participants</w:t>
      </w:r>
      <w:r w:rsidR="003E5F1C" w:rsidRPr="003E5F1C">
        <w:rPr>
          <w:sz w:val="24"/>
          <w:szCs w:val="24"/>
          <w:lang w:val="en-US"/>
        </w:rPr>
        <w:t>:</w:t>
      </w:r>
    </w:p>
    <w:p w14:paraId="5A745367" w14:textId="44FB6A4C" w:rsidR="003E5F1C" w:rsidRPr="00905F2A" w:rsidRDefault="003E5F1C" w:rsidP="003E5F1C">
      <w:pPr>
        <w:pStyle w:val="ListParagraph"/>
        <w:numPr>
          <w:ilvl w:val="1"/>
          <w:numId w:val="1"/>
        </w:numPr>
        <w:spacing w:line="276" w:lineRule="auto"/>
        <w:ind w:left="1134"/>
        <w:rPr>
          <w:rFonts w:ascii="Times New Roman" w:hAnsi="Times New Roman" w:cs="Times New Roman"/>
          <w:sz w:val="24"/>
          <w:szCs w:val="24"/>
          <w:lang w:val="en-US"/>
        </w:rPr>
      </w:pPr>
      <w:r w:rsidRPr="000A3670">
        <w:rPr>
          <w:rFonts w:ascii="Times New Roman" w:hAnsi="Times New Roman" w:cs="Times New Roman"/>
          <w:sz w:val="24"/>
          <w:szCs w:val="24"/>
          <w:lang w:val="en-US"/>
        </w:rPr>
        <w:t xml:space="preserve">a one-off </w:t>
      </w:r>
      <w:r>
        <w:rPr>
          <w:rFonts w:ascii="Times New Roman" w:hAnsi="Times New Roman" w:cs="Times New Roman"/>
          <w:sz w:val="24"/>
          <w:szCs w:val="24"/>
          <w:lang w:val="en-US"/>
        </w:rPr>
        <w:t xml:space="preserve">redress </w:t>
      </w:r>
      <w:r w:rsidRPr="000A3670">
        <w:rPr>
          <w:rFonts w:ascii="Times New Roman" w:hAnsi="Times New Roman" w:cs="Times New Roman"/>
          <w:sz w:val="24"/>
          <w:szCs w:val="24"/>
          <w:lang w:val="en-US"/>
        </w:rPr>
        <w:t>pay</w:t>
      </w:r>
      <w:r>
        <w:rPr>
          <w:rFonts w:ascii="Times New Roman" w:hAnsi="Times New Roman" w:cs="Times New Roman"/>
          <w:sz w:val="24"/>
          <w:szCs w:val="24"/>
          <w:lang w:val="en-US"/>
        </w:rPr>
        <w:t>ment to recognis</w:t>
      </w:r>
      <w:r w:rsidRPr="000A3670">
        <w:rPr>
          <w:rFonts w:ascii="Times New Roman" w:hAnsi="Times New Roman" w:cs="Times New Roman"/>
          <w:sz w:val="24"/>
          <w:szCs w:val="24"/>
          <w:lang w:val="en-US"/>
        </w:rPr>
        <w:t>e the harm caused by forced removal;</w:t>
      </w:r>
      <w:r w:rsidR="003505BD">
        <w:rPr>
          <w:rFonts w:ascii="Times New Roman" w:hAnsi="Times New Roman" w:cs="Times New Roman"/>
          <w:sz w:val="24"/>
          <w:szCs w:val="24"/>
          <w:lang w:val="en-US"/>
        </w:rPr>
        <w:t xml:space="preserve">  </w:t>
      </w:r>
    </w:p>
    <w:p w14:paraId="33921597" w14:textId="35C6A331" w:rsidR="005D3290" w:rsidRDefault="003E5F1C" w:rsidP="005D3290">
      <w:pPr>
        <w:pStyle w:val="ListParagraph"/>
        <w:numPr>
          <w:ilvl w:val="1"/>
          <w:numId w:val="1"/>
        </w:numPr>
        <w:spacing w:line="276" w:lineRule="auto"/>
        <w:ind w:left="1134"/>
        <w:rPr>
          <w:rFonts w:ascii="Times New Roman" w:hAnsi="Times New Roman" w:cs="Times New Roman"/>
          <w:sz w:val="24"/>
          <w:szCs w:val="24"/>
          <w:lang w:val="en-US"/>
        </w:rPr>
      </w:pPr>
      <w:r w:rsidRPr="000A3670">
        <w:rPr>
          <w:rFonts w:ascii="Times New Roman" w:hAnsi="Times New Roman" w:cs="Times New Roman"/>
          <w:sz w:val="24"/>
          <w:szCs w:val="24"/>
          <w:lang w:val="en-US"/>
        </w:rPr>
        <w:t xml:space="preserve">a one-off healing assistance payment in recognition that the action required to facilitate healing will be specific to each individual (these two payments are </w:t>
      </w:r>
      <w:r w:rsidRPr="003E5F1C">
        <w:rPr>
          <w:rFonts w:ascii="Times New Roman" w:hAnsi="Times New Roman" w:cs="Times New Roman"/>
          <w:sz w:val="24"/>
          <w:szCs w:val="24"/>
          <w:lang w:val="en-US"/>
        </w:rPr>
        <w:t>referred to a</w:t>
      </w:r>
      <w:r w:rsidR="005D3290">
        <w:rPr>
          <w:rFonts w:ascii="Times New Roman" w:hAnsi="Times New Roman" w:cs="Times New Roman"/>
          <w:sz w:val="24"/>
          <w:szCs w:val="24"/>
          <w:lang w:val="en-US"/>
        </w:rPr>
        <w:t>s the redress payment);</w:t>
      </w:r>
      <w:r w:rsidR="005D3290" w:rsidRPr="005D3290">
        <w:rPr>
          <w:rFonts w:ascii="Times New Roman" w:hAnsi="Times New Roman" w:cs="Times New Roman"/>
          <w:sz w:val="24"/>
          <w:szCs w:val="24"/>
          <w:lang w:val="en-US"/>
        </w:rPr>
        <w:t xml:space="preserve"> </w:t>
      </w:r>
      <w:r w:rsidR="005D3290">
        <w:rPr>
          <w:rFonts w:ascii="Times New Roman" w:hAnsi="Times New Roman" w:cs="Times New Roman"/>
          <w:sz w:val="24"/>
          <w:szCs w:val="24"/>
          <w:lang w:val="en-US"/>
        </w:rPr>
        <w:t>and</w:t>
      </w:r>
    </w:p>
    <w:p w14:paraId="60315143" w14:textId="54383D3C" w:rsidR="003505BD" w:rsidRPr="005D3290" w:rsidRDefault="003505BD" w:rsidP="005D3290">
      <w:pPr>
        <w:pStyle w:val="ListParagraph"/>
        <w:numPr>
          <w:ilvl w:val="1"/>
          <w:numId w:val="1"/>
        </w:numPr>
        <w:spacing w:line="276" w:lineRule="auto"/>
        <w:ind w:left="1134"/>
        <w:rPr>
          <w:rFonts w:ascii="Times New Roman" w:hAnsi="Times New Roman" w:cs="Times New Roman"/>
          <w:sz w:val="24"/>
          <w:szCs w:val="24"/>
          <w:lang w:val="en-US"/>
        </w:rPr>
      </w:pPr>
      <w:r w:rsidRPr="005D3290">
        <w:rPr>
          <w:rFonts w:ascii="Times New Roman" w:hAnsi="Times New Roman" w:cs="Times New Roman"/>
          <w:sz w:val="24"/>
          <w:szCs w:val="24"/>
          <w:lang w:val="en-US"/>
        </w:rPr>
        <w:t xml:space="preserve">the </w:t>
      </w:r>
      <w:r w:rsidR="005D3290" w:rsidRPr="005D3290">
        <w:rPr>
          <w:rFonts w:ascii="Times New Roman" w:hAnsi="Times New Roman" w:cs="Times New Roman"/>
          <w:sz w:val="24"/>
          <w:szCs w:val="24"/>
          <w:lang w:val="en-US"/>
        </w:rPr>
        <w:t xml:space="preserve">opportunity, </w:t>
      </w:r>
      <w:r w:rsidR="003E5F1C" w:rsidRPr="005D3290">
        <w:rPr>
          <w:rFonts w:ascii="Times New Roman" w:hAnsi="Times New Roman" w:cs="Times New Roman"/>
          <w:sz w:val="24"/>
          <w:szCs w:val="24"/>
          <w:lang w:val="en-US"/>
        </w:rPr>
        <w:t>if they choose, to confidentially tell their story about the impact of their removal to a senior official within government and receive a face-to-face or written direct personal response acknowledging the trauma caused by removal.</w:t>
      </w:r>
    </w:p>
    <w:p w14:paraId="5898CFC2" w14:textId="16578205" w:rsidR="005E01FD" w:rsidRDefault="005E01FD" w:rsidP="00FB3FCB">
      <w:pPr>
        <w:spacing w:after="120"/>
        <w:rPr>
          <w:sz w:val="24"/>
          <w:szCs w:val="24"/>
        </w:rPr>
      </w:pPr>
      <w:r w:rsidRPr="003505BD">
        <w:rPr>
          <w:sz w:val="24"/>
          <w:szCs w:val="24"/>
          <w:lang w:val="en-US"/>
        </w:rPr>
        <w:t xml:space="preserve">Under the VEA, </w:t>
      </w:r>
      <w:r w:rsidR="0012472A">
        <w:rPr>
          <w:sz w:val="24"/>
          <w:szCs w:val="24"/>
          <w:lang w:val="en-US"/>
        </w:rPr>
        <w:t>the</w:t>
      </w:r>
      <w:r w:rsidRPr="003505BD">
        <w:rPr>
          <w:sz w:val="24"/>
          <w:szCs w:val="24"/>
          <w:lang w:val="en-US"/>
        </w:rPr>
        <w:t xml:space="preserve"> income test is </w:t>
      </w:r>
      <w:r w:rsidR="0012472A">
        <w:rPr>
          <w:sz w:val="24"/>
          <w:szCs w:val="24"/>
          <w:lang w:val="en-US"/>
        </w:rPr>
        <w:t xml:space="preserve">one of two tests </w:t>
      </w:r>
      <w:r w:rsidRPr="003505BD">
        <w:rPr>
          <w:sz w:val="24"/>
          <w:szCs w:val="24"/>
          <w:lang w:val="en-US"/>
        </w:rPr>
        <w:t>used to determine a person’s eligibility for an</w:t>
      </w:r>
      <w:r w:rsidR="00AD10B1">
        <w:rPr>
          <w:sz w:val="24"/>
          <w:szCs w:val="24"/>
          <w:lang w:val="en-US"/>
        </w:rPr>
        <w:t>d rate of</w:t>
      </w:r>
      <w:r w:rsidRPr="003505BD">
        <w:rPr>
          <w:sz w:val="24"/>
          <w:szCs w:val="24"/>
          <w:lang w:val="en-US"/>
        </w:rPr>
        <w:t xml:space="preserve"> income</w:t>
      </w:r>
      <w:r w:rsidRPr="00D22791">
        <w:rPr>
          <w:sz w:val="24"/>
          <w:szCs w:val="24"/>
        </w:rPr>
        <w:t xml:space="preserve"> support supplement, service pension or  veteran payment</w:t>
      </w:r>
      <w:r w:rsidR="000B1BD3">
        <w:rPr>
          <w:sz w:val="24"/>
          <w:szCs w:val="24"/>
        </w:rPr>
        <w:t xml:space="preserve"> and, if they are eligible, the rate of an income support supplement, a service pension or a veteran payment is payable</w:t>
      </w:r>
      <w:r w:rsidRPr="00D22791">
        <w:rPr>
          <w:sz w:val="24"/>
          <w:szCs w:val="24"/>
        </w:rPr>
        <w:t>. Income received for a person’s own use or benefit is generally assessable.  However, some amounts that would otherwise be income are specifically exempted.</w:t>
      </w:r>
    </w:p>
    <w:p w14:paraId="1A0D829B" w14:textId="7A9F7B87" w:rsidR="001F2D63" w:rsidRDefault="001F2D63" w:rsidP="00FB3FCB">
      <w:pPr>
        <w:spacing w:after="120"/>
        <w:rPr>
          <w:sz w:val="24"/>
          <w:szCs w:val="24"/>
        </w:rPr>
      </w:pPr>
      <w:r w:rsidRPr="001F2D63">
        <w:rPr>
          <w:sz w:val="24"/>
          <w:szCs w:val="24"/>
        </w:rPr>
        <w:t xml:space="preserve">This determination provides that </w:t>
      </w:r>
      <w:r w:rsidR="006543B5">
        <w:rPr>
          <w:sz w:val="24"/>
          <w:szCs w:val="24"/>
        </w:rPr>
        <w:t>a redress payment</w:t>
      </w:r>
      <w:r w:rsidRPr="001F2D63">
        <w:rPr>
          <w:sz w:val="24"/>
          <w:szCs w:val="24"/>
        </w:rPr>
        <w:t xml:space="preserve"> paid to </w:t>
      </w:r>
      <w:r w:rsidR="006543B5">
        <w:rPr>
          <w:sz w:val="24"/>
          <w:szCs w:val="24"/>
        </w:rPr>
        <w:t xml:space="preserve">an </w:t>
      </w:r>
      <w:r w:rsidR="006543B5">
        <w:rPr>
          <w:sz w:val="24"/>
          <w:szCs w:val="24"/>
          <w:lang w:val="en-US"/>
        </w:rPr>
        <w:t>eligible participant</w:t>
      </w:r>
      <w:r w:rsidR="006543B5" w:rsidRPr="001F2D63">
        <w:rPr>
          <w:sz w:val="24"/>
          <w:szCs w:val="24"/>
        </w:rPr>
        <w:t xml:space="preserve"> </w:t>
      </w:r>
      <w:r w:rsidR="001226AC">
        <w:rPr>
          <w:sz w:val="24"/>
          <w:szCs w:val="24"/>
        </w:rPr>
        <w:t xml:space="preserve">under the </w:t>
      </w:r>
      <w:r w:rsidR="00A7233C" w:rsidRPr="00A7233C">
        <w:rPr>
          <w:sz w:val="24"/>
          <w:szCs w:val="24"/>
        </w:rPr>
        <w:t>Scheme</w:t>
      </w:r>
      <w:r w:rsidR="00A7233C">
        <w:rPr>
          <w:sz w:val="24"/>
          <w:szCs w:val="24"/>
        </w:rPr>
        <w:t xml:space="preserve"> </w:t>
      </w:r>
      <w:r w:rsidRPr="001F2D63">
        <w:rPr>
          <w:sz w:val="24"/>
          <w:szCs w:val="24"/>
        </w:rPr>
        <w:t xml:space="preserve">is an exempt lump sum for the purposes of </w:t>
      </w:r>
      <w:r w:rsidR="00337EED">
        <w:rPr>
          <w:sz w:val="24"/>
          <w:szCs w:val="24"/>
        </w:rPr>
        <w:t>subsection</w:t>
      </w:r>
      <w:r w:rsidR="00853456">
        <w:rPr>
          <w:sz w:val="24"/>
          <w:szCs w:val="24"/>
        </w:rPr>
        <w:t xml:space="preserve"> 5H(12) of </w:t>
      </w:r>
      <w:r w:rsidRPr="001F2D63">
        <w:rPr>
          <w:sz w:val="24"/>
          <w:szCs w:val="24"/>
        </w:rPr>
        <w:t>the VEA.</w:t>
      </w:r>
    </w:p>
    <w:p w14:paraId="34CCF690" w14:textId="6DB03EFE" w:rsidR="00752C9D" w:rsidRPr="005F4824" w:rsidRDefault="00752C9D" w:rsidP="00FB3FCB">
      <w:pPr>
        <w:spacing w:after="120"/>
        <w:rPr>
          <w:sz w:val="24"/>
          <w:szCs w:val="24"/>
        </w:rPr>
      </w:pPr>
      <w:r w:rsidRPr="005F4824">
        <w:rPr>
          <w:sz w:val="24"/>
          <w:szCs w:val="24"/>
        </w:rPr>
        <w:t xml:space="preserve">Paragraph 5H(12)(c) of the VEA allows the Repatriation Commission to determine that an amount, or class of amounts, is an exempt lump sum. </w:t>
      </w:r>
      <w:r w:rsidR="001226AC">
        <w:rPr>
          <w:sz w:val="24"/>
          <w:szCs w:val="24"/>
        </w:rPr>
        <w:t xml:space="preserve"> </w:t>
      </w:r>
      <w:r w:rsidRPr="005F4824">
        <w:rPr>
          <w:sz w:val="24"/>
          <w:szCs w:val="24"/>
        </w:rPr>
        <w:t>An exempt lump sum is excluded from the definition of “or</w:t>
      </w:r>
      <w:r w:rsidR="001226AC">
        <w:rPr>
          <w:sz w:val="24"/>
          <w:szCs w:val="24"/>
        </w:rPr>
        <w:t xml:space="preserve">dinary income” under subsection </w:t>
      </w:r>
      <w:r w:rsidRPr="005F4824">
        <w:rPr>
          <w:sz w:val="24"/>
          <w:szCs w:val="24"/>
        </w:rPr>
        <w:t xml:space="preserve">5H(1) of the VEA, meaning the lump sum amount is not to be taken into account </w:t>
      </w:r>
      <w:r w:rsidR="00337EED">
        <w:rPr>
          <w:sz w:val="24"/>
          <w:szCs w:val="24"/>
        </w:rPr>
        <w:t xml:space="preserve">as part of the person’s ‘ordinary income’ </w:t>
      </w:r>
      <w:r w:rsidRPr="005F4824">
        <w:rPr>
          <w:sz w:val="24"/>
          <w:szCs w:val="24"/>
        </w:rPr>
        <w:t xml:space="preserve">in determining the </w:t>
      </w:r>
      <w:r w:rsidR="00403544">
        <w:rPr>
          <w:sz w:val="24"/>
          <w:szCs w:val="24"/>
        </w:rPr>
        <w:t xml:space="preserve">rate </w:t>
      </w:r>
      <w:r w:rsidRPr="005F4824">
        <w:rPr>
          <w:sz w:val="24"/>
          <w:szCs w:val="24"/>
        </w:rPr>
        <w:t xml:space="preserve">of income support </w:t>
      </w:r>
      <w:r w:rsidR="00592989">
        <w:rPr>
          <w:sz w:val="24"/>
          <w:szCs w:val="24"/>
        </w:rPr>
        <w:t>under the VEA</w:t>
      </w:r>
      <w:r w:rsidRPr="005F4824">
        <w:rPr>
          <w:sz w:val="24"/>
          <w:szCs w:val="24"/>
        </w:rPr>
        <w:t>.</w:t>
      </w:r>
    </w:p>
    <w:p w14:paraId="6342E809" w14:textId="3623A6ED" w:rsidR="00752C9D" w:rsidRPr="0097647D" w:rsidRDefault="00752C9D" w:rsidP="00592989">
      <w:pPr>
        <w:autoSpaceDE w:val="0"/>
        <w:autoSpaceDN w:val="0"/>
        <w:adjustRightInd w:val="0"/>
        <w:spacing w:after="240"/>
        <w:rPr>
          <w:sz w:val="24"/>
          <w:szCs w:val="24"/>
        </w:rPr>
      </w:pPr>
      <w:r w:rsidRPr="005F4824">
        <w:rPr>
          <w:sz w:val="24"/>
          <w:szCs w:val="24"/>
        </w:rPr>
        <w:t xml:space="preserve">The determination will ensure that if a person receives </w:t>
      </w:r>
      <w:r w:rsidR="00853456">
        <w:rPr>
          <w:sz w:val="24"/>
          <w:szCs w:val="24"/>
        </w:rPr>
        <w:t>a payment</w:t>
      </w:r>
      <w:r w:rsidR="00FB264A">
        <w:rPr>
          <w:sz w:val="24"/>
          <w:szCs w:val="24"/>
        </w:rPr>
        <w:t xml:space="preserve"> </w:t>
      </w:r>
      <w:r w:rsidR="001226AC">
        <w:rPr>
          <w:sz w:val="24"/>
          <w:szCs w:val="24"/>
        </w:rPr>
        <w:t xml:space="preserve">under the </w:t>
      </w:r>
      <w:r w:rsidR="00A7233C" w:rsidRPr="00A7233C">
        <w:rPr>
          <w:sz w:val="24"/>
          <w:szCs w:val="24"/>
        </w:rPr>
        <w:t>Scheme</w:t>
      </w:r>
      <w:r w:rsidR="000B1BD3">
        <w:rPr>
          <w:sz w:val="24"/>
          <w:szCs w:val="24"/>
        </w:rPr>
        <w:t xml:space="preserve"> and the person is eligible for, or in receipt of, and income support supplement, a service pension or a </w:t>
      </w:r>
      <w:r w:rsidR="000B1BD3">
        <w:rPr>
          <w:sz w:val="24"/>
          <w:szCs w:val="24"/>
        </w:rPr>
        <w:lastRenderedPageBreak/>
        <w:t xml:space="preserve">veteran payment, then the amount of compensation received by the person </w:t>
      </w:r>
      <w:r w:rsidRPr="005F4824">
        <w:rPr>
          <w:sz w:val="24"/>
          <w:szCs w:val="24"/>
        </w:rPr>
        <w:t>is an exempt lump sum.</w:t>
      </w:r>
    </w:p>
    <w:p w14:paraId="7C4A5CE9" w14:textId="77777777" w:rsidR="0069295C" w:rsidRPr="000A51A1" w:rsidRDefault="0069295C" w:rsidP="00FB3FCB">
      <w:pPr>
        <w:autoSpaceDE w:val="0"/>
        <w:autoSpaceDN w:val="0"/>
        <w:adjustRightInd w:val="0"/>
        <w:spacing w:after="120"/>
        <w:rPr>
          <w:b/>
          <w:bCs/>
          <w:color w:val="000000"/>
          <w:sz w:val="24"/>
          <w:szCs w:val="24"/>
        </w:rPr>
      </w:pPr>
      <w:r w:rsidRPr="000A51A1">
        <w:rPr>
          <w:b/>
          <w:bCs/>
          <w:color w:val="000000"/>
          <w:sz w:val="24"/>
          <w:szCs w:val="24"/>
        </w:rPr>
        <w:t>CONSULTATION</w:t>
      </w:r>
    </w:p>
    <w:p w14:paraId="39BC27DA" w14:textId="77777777" w:rsidR="0069295C" w:rsidRPr="009063B8" w:rsidRDefault="0069295C" w:rsidP="00FB3FCB">
      <w:pPr>
        <w:spacing w:after="120"/>
        <w:ind w:right="-568"/>
        <w:rPr>
          <w:color w:val="000000"/>
          <w:sz w:val="24"/>
          <w:szCs w:val="24"/>
        </w:rPr>
      </w:pPr>
      <w:r w:rsidRPr="009063B8">
        <w:rPr>
          <w:color w:val="000000"/>
          <w:sz w:val="24"/>
          <w:szCs w:val="24"/>
        </w:rPr>
        <w:t xml:space="preserve">Section 17 of the </w:t>
      </w:r>
      <w:r w:rsidRPr="009063B8">
        <w:rPr>
          <w:i/>
          <w:color w:val="000000"/>
          <w:sz w:val="24"/>
          <w:szCs w:val="24"/>
        </w:rPr>
        <w:t>Legislation Act 2003</w:t>
      </w:r>
      <w:r w:rsidRPr="009063B8">
        <w:rPr>
          <w:color w:val="000000"/>
          <w:sz w:val="24"/>
          <w:szCs w:val="24"/>
        </w:rPr>
        <w:t xml:space="preserve"> requires a rule-maker to be satisfied, before making a legislative instrument that any consultation the rule-maker considered appropriate and reasonably practicable, has been undertaken.  </w:t>
      </w:r>
    </w:p>
    <w:p w14:paraId="603222CD" w14:textId="75D16302" w:rsidR="00F64C9D" w:rsidRPr="00C8775D" w:rsidRDefault="0069295C" w:rsidP="00FB3FCB">
      <w:pPr>
        <w:autoSpaceDE w:val="0"/>
        <w:autoSpaceDN w:val="0"/>
        <w:adjustRightInd w:val="0"/>
        <w:spacing w:after="120"/>
        <w:rPr>
          <w:bCs/>
          <w:color w:val="000000"/>
          <w:sz w:val="24"/>
          <w:szCs w:val="24"/>
        </w:rPr>
      </w:pPr>
      <w:r w:rsidRPr="00E56E5F">
        <w:rPr>
          <w:bCs/>
          <w:color w:val="000000"/>
          <w:sz w:val="24"/>
          <w:szCs w:val="24"/>
        </w:rPr>
        <w:t xml:space="preserve">This </w:t>
      </w:r>
      <w:r>
        <w:rPr>
          <w:bCs/>
          <w:color w:val="000000"/>
          <w:sz w:val="24"/>
          <w:szCs w:val="24"/>
        </w:rPr>
        <w:t>determination</w:t>
      </w:r>
      <w:r w:rsidRPr="00E56E5F">
        <w:rPr>
          <w:bCs/>
          <w:color w:val="000000"/>
          <w:sz w:val="24"/>
          <w:szCs w:val="24"/>
        </w:rPr>
        <w:t xml:space="preserve"> was made </w:t>
      </w:r>
      <w:r>
        <w:rPr>
          <w:bCs/>
          <w:color w:val="000000"/>
          <w:sz w:val="24"/>
          <w:szCs w:val="24"/>
        </w:rPr>
        <w:t xml:space="preserve">in consultation </w:t>
      </w:r>
      <w:r w:rsidRPr="007B442E">
        <w:rPr>
          <w:bCs/>
          <w:color w:val="000000"/>
          <w:sz w:val="24"/>
          <w:szCs w:val="24"/>
        </w:rPr>
        <w:t>with</w:t>
      </w:r>
      <w:r>
        <w:rPr>
          <w:bCs/>
          <w:color w:val="000000"/>
          <w:sz w:val="24"/>
          <w:szCs w:val="24"/>
        </w:rPr>
        <w:t xml:space="preserve"> </w:t>
      </w:r>
      <w:r w:rsidR="00C8775D" w:rsidRPr="00C8775D">
        <w:rPr>
          <w:bCs/>
          <w:color w:val="000000"/>
          <w:sz w:val="24"/>
          <w:szCs w:val="24"/>
        </w:rPr>
        <w:t>the</w:t>
      </w:r>
      <w:r w:rsidR="00C8775D">
        <w:rPr>
          <w:color w:val="000000"/>
        </w:rPr>
        <w:t xml:space="preserve"> </w:t>
      </w:r>
      <w:r w:rsidR="00C8775D" w:rsidRPr="00C8775D">
        <w:rPr>
          <w:bCs/>
          <w:color w:val="000000"/>
          <w:sz w:val="24"/>
          <w:szCs w:val="24"/>
        </w:rPr>
        <w:t xml:space="preserve">National Indigenous Australians Agency </w:t>
      </w:r>
      <w:r w:rsidR="00F64C9D" w:rsidRPr="00C8775D">
        <w:rPr>
          <w:bCs/>
          <w:color w:val="000000"/>
          <w:sz w:val="24"/>
          <w:szCs w:val="24"/>
        </w:rPr>
        <w:t xml:space="preserve">and the </w:t>
      </w:r>
      <w:r w:rsidR="00F64C9D" w:rsidRPr="007A4F8A">
        <w:rPr>
          <w:bCs/>
          <w:color w:val="000000"/>
          <w:sz w:val="24"/>
          <w:szCs w:val="24"/>
        </w:rPr>
        <w:t>Department of Social Services.</w:t>
      </w:r>
    </w:p>
    <w:p w14:paraId="587E5D60" w14:textId="478B8406" w:rsidR="0069295C" w:rsidRDefault="0069295C" w:rsidP="00FB3FCB">
      <w:pPr>
        <w:spacing w:after="120"/>
        <w:ind w:right="-568"/>
        <w:rPr>
          <w:sz w:val="24"/>
          <w:szCs w:val="24"/>
        </w:rPr>
      </w:pPr>
      <w:r w:rsidRPr="009063B8">
        <w:rPr>
          <w:sz w:val="24"/>
          <w:szCs w:val="24"/>
        </w:rPr>
        <w:t xml:space="preserve">Accordingly, it is considered </w:t>
      </w:r>
      <w:r>
        <w:rPr>
          <w:sz w:val="24"/>
          <w:szCs w:val="24"/>
        </w:rPr>
        <w:t xml:space="preserve">that </w:t>
      </w:r>
      <w:r w:rsidRPr="009063B8">
        <w:rPr>
          <w:sz w:val="24"/>
          <w:szCs w:val="24"/>
        </w:rPr>
        <w:t xml:space="preserve">the requirements of section 17 of the </w:t>
      </w:r>
      <w:r w:rsidRPr="009063B8">
        <w:rPr>
          <w:i/>
          <w:sz w:val="24"/>
          <w:szCs w:val="24"/>
        </w:rPr>
        <w:t>Legislation Act 2003</w:t>
      </w:r>
      <w:r w:rsidRPr="009063B8">
        <w:rPr>
          <w:sz w:val="24"/>
          <w:szCs w:val="24"/>
        </w:rPr>
        <w:t xml:space="preserve"> have been met.</w:t>
      </w:r>
    </w:p>
    <w:p w14:paraId="2BE5A057" w14:textId="2CAD6795" w:rsidR="0069295C" w:rsidRDefault="0069295C" w:rsidP="00FB3FCB">
      <w:pPr>
        <w:spacing w:after="120"/>
        <w:rPr>
          <w:b/>
          <w:color w:val="000000"/>
          <w:sz w:val="24"/>
          <w:szCs w:val="24"/>
        </w:rPr>
      </w:pPr>
      <w:r w:rsidRPr="00251C92">
        <w:rPr>
          <w:b/>
          <w:color w:val="000000"/>
          <w:sz w:val="24"/>
          <w:szCs w:val="24"/>
        </w:rPr>
        <w:t>RETROSPECTIVITY</w:t>
      </w:r>
    </w:p>
    <w:p w14:paraId="136B86D7" w14:textId="78095A38" w:rsidR="00251C92" w:rsidRPr="00251C92" w:rsidRDefault="00251C92" w:rsidP="00FB3FCB">
      <w:pPr>
        <w:spacing w:after="120"/>
        <w:rPr>
          <w:color w:val="000000"/>
          <w:sz w:val="24"/>
          <w:szCs w:val="24"/>
        </w:rPr>
      </w:pPr>
      <w:r w:rsidRPr="00251C92">
        <w:rPr>
          <w:color w:val="000000"/>
          <w:sz w:val="24"/>
          <w:szCs w:val="24"/>
        </w:rPr>
        <w:t>Not applicable.</w:t>
      </w:r>
    </w:p>
    <w:p w14:paraId="1B7433FF" w14:textId="77777777" w:rsidR="0069295C" w:rsidRPr="000A51A1" w:rsidRDefault="0069295C" w:rsidP="00FB3FCB">
      <w:pPr>
        <w:spacing w:after="120"/>
        <w:rPr>
          <w:b/>
          <w:color w:val="000000"/>
          <w:sz w:val="24"/>
          <w:szCs w:val="24"/>
        </w:rPr>
      </w:pPr>
      <w:r>
        <w:rPr>
          <w:b/>
          <w:color w:val="000000"/>
          <w:sz w:val="24"/>
          <w:szCs w:val="24"/>
        </w:rPr>
        <w:t xml:space="preserve">DOCUMENTS INCORPORATED BY </w:t>
      </w:r>
      <w:r w:rsidRPr="000A51A1">
        <w:rPr>
          <w:b/>
          <w:color w:val="000000"/>
          <w:sz w:val="24"/>
          <w:szCs w:val="24"/>
        </w:rPr>
        <w:t>REFERENCE</w:t>
      </w:r>
    </w:p>
    <w:p w14:paraId="6F4C216C" w14:textId="77777777" w:rsidR="0069295C" w:rsidRDefault="0069295C" w:rsidP="00592989">
      <w:pPr>
        <w:autoSpaceDE w:val="0"/>
        <w:autoSpaceDN w:val="0"/>
        <w:adjustRightInd w:val="0"/>
        <w:spacing w:after="240"/>
        <w:rPr>
          <w:color w:val="000000"/>
          <w:sz w:val="24"/>
          <w:szCs w:val="24"/>
        </w:rPr>
      </w:pPr>
      <w:r>
        <w:rPr>
          <w:color w:val="000000"/>
          <w:sz w:val="24"/>
          <w:szCs w:val="24"/>
        </w:rPr>
        <w:t>No</w:t>
      </w:r>
      <w:r w:rsidRPr="000A51A1">
        <w:rPr>
          <w:color w:val="000000"/>
          <w:sz w:val="24"/>
          <w:szCs w:val="24"/>
        </w:rPr>
        <w:t>.</w:t>
      </w:r>
    </w:p>
    <w:p w14:paraId="7CCF594B" w14:textId="77777777" w:rsidR="0069295C" w:rsidRPr="005F4824" w:rsidRDefault="0069295C" w:rsidP="00FB3FCB">
      <w:pPr>
        <w:autoSpaceDE w:val="0"/>
        <w:autoSpaceDN w:val="0"/>
        <w:adjustRightInd w:val="0"/>
        <w:spacing w:after="120"/>
        <w:rPr>
          <w:b/>
          <w:bCs/>
          <w:color w:val="000000"/>
          <w:sz w:val="24"/>
          <w:szCs w:val="24"/>
        </w:rPr>
      </w:pPr>
      <w:r w:rsidRPr="005F4824">
        <w:rPr>
          <w:b/>
          <w:bCs/>
          <w:color w:val="000000"/>
          <w:sz w:val="24"/>
          <w:szCs w:val="24"/>
        </w:rPr>
        <w:t>REGULATORY IMPACT</w:t>
      </w:r>
    </w:p>
    <w:p w14:paraId="07E9272E" w14:textId="75A76A08" w:rsidR="0069295C" w:rsidRPr="003F67BB" w:rsidRDefault="003F67BB" w:rsidP="003F67BB">
      <w:pPr>
        <w:rPr>
          <w:color w:val="000000"/>
          <w:sz w:val="24"/>
          <w:szCs w:val="24"/>
        </w:rPr>
      </w:pPr>
      <w:r w:rsidRPr="004F61EF">
        <w:rPr>
          <w:color w:val="000000"/>
          <w:sz w:val="24"/>
          <w:szCs w:val="24"/>
        </w:rPr>
        <w:t xml:space="preserve">The Office of Best </w:t>
      </w:r>
      <w:r>
        <w:rPr>
          <w:color w:val="000000"/>
          <w:sz w:val="24"/>
          <w:szCs w:val="24"/>
        </w:rPr>
        <w:t>P</w:t>
      </w:r>
      <w:r w:rsidRPr="004F61EF">
        <w:rPr>
          <w:color w:val="000000"/>
          <w:sz w:val="24"/>
          <w:szCs w:val="24"/>
        </w:rPr>
        <w:t xml:space="preserve">ractice Regulation </w:t>
      </w:r>
      <w:r>
        <w:rPr>
          <w:color w:val="000000"/>
          <w:sz w:val="24"/>
          <w:szCs w:val="24"/>
        </w:rPr>
        <w:t xml:space="preserve">(OBPR) </w:t>
      </w:r>
      <w:r w:rsidRPr="004F61EF">
        <w:rPr>
          <w:color w:val="000000"/>
          <w:sz w:val="24"/>
          <w:szCs w:val="24"/>
        </w:rPr>
        <w:t>has been consulted</w:t>
      </w:r>
      <w:r>
        <w:rPr>
          <w:color w:val="000000"/>
          <w:sz w:val="24"/>
          <w:szCs w:val="24"/>
        </w:rPr>
        <w:t xml:space="preserve"> and </w:t>
      </w:r>
      <w:r w:rsidRPr="004F61EF">
        <w:rPr>
          <w:color w:val="000000"/>
          <w:sz w:val="24"/>
          <w:szCs w:val="24"/>
        </w:rPr>
        <w:t>a RIS is not required</w:t>
      </w:r>
      <w:r>
        <w:rPr>
          <w:color w:val="000000"/>
          <w:sz w:val="24"/>
          <w:szCs w:val="24"/>
        </w:rPr>
        <w:t xml:space="preserve"> as it is unlikely to have more than a minor regulatory impact</w:t>
      </w:r>
      <w:r w:rsidRPr="004F61EF">
        <w:rPr>
          <w:color w:val="000000"/>
          <w:sz w:val="24"/>
          <w:szCs w:val="24"/>
        </w:rPr>
        <w:t xml:space="preserve">. </w:t>
      </w:r>
      <w:r>
        <w:rPr>
          <w:color w:val="000000"/>
          <w:sz w:val="24"/>
          <w:szCs w:val="24"/>
        </w:rPr>
        <w:t xml:space="preserve">The </w:t>
      </w:r>
      <w:r w:rsidRPr="004F61EF">
        <w:rPr>
          <w:color w:val="000000"/>
          <w:sz w:val="24"/>
          <w:szCs w:val="24"/>
        </w:rPr>
        <w:t>OBPR ID Number is</w:t>
      </w:r>
      <w:r>
        <w:rPr>
          <w:color w:val="000000"/>
          <w:sz w:val="24"/>
          <w:szCs w:val="24"/>
        </w:rPr>
        <w:t xml:space="preserve"> </w:t>
      </w:r>
      <w:r w:rsidRPr="003F67BB">
        <w:rPr>
          <w:color w:val="000000"/>
          <w:sz w:val="24"/>
          <w:szCs w:val="24"/>
        </w:rPr>
        <w:t>25857</w:t>
      </w:r>
      <w:r>
        <w:rPr>
          <w:color w:val="000000"/>
          <w:sz w:val="24"/>
          <w:szCs w:val="24"/>
        </w:rPr>
        <w:t>.</w:t>
      </w:r>
    </w:p>
    <w:p w14:paraId="190CF5AE" w14:textId="77777777" w:rsidR="003F67BB" w:rsidRDefault="003F67BB" w:rsidP="00F64C9D">
      <w:pPr>
        <w:spacing w:after="120"/>
        <w:rPr>
          <w:b/>
          <w:color w:val="000000"/>
          <w:sz w:val="24"/>
          <w:szCs w:val="24"/>
        </w:rPr>
      </w:pPr>
    </w:p>
    <w:p w14:paraId="56B6E344" w14:textId="329BAB72" w:rsidR="00F64C9D" w:rsidRPr="000A51A1" w:rsidRDefault="00F64C9D" w:rsidP="00F64C9D">
      <w:pPr>
        <w:spacing w:after="120"/>
        <w:rPr>
          <w:b/>
          <w:color w:val="000000"/>
          <w:sz w:val="24"/>
          <w:szCs w:val="24"/>
        </w:rPr>
      </w:pPr>
      <w:r w:rsidRPr="000A51A1">
        <w:rPr>
          <w:b/>
          <w:color w:val="000000"/>
          <w:sz w:val="24"/>
          <w:szCs w:val="24"/>
        </w:rPr>
        <w:t>FURTHER EXPLANATION OF PROVISIONS</w:t>
      </w:r>
    </w:p>
    <w:p w14:paraId="41398C7B" w14:textId="77777777" w:rsidR="00F64C9D" w:rsidRDefault="00F64C9D" w:rsidP="00F64C9D">
      <w:pPr>
        <w:pStyle w:val="Default"/>
        <w:autoSpaceDE/>
        <w:autoSpaceDN/>
        <w:adjustRightInd/>
        <w:spacing w:after="120"/>
        <w:rPr>
          <w:u w:val="single"/>
        </w:rPr>
      </w:pPr>
      <w:r w:rsidRPr="00B32C3A">
        <w:t xml:space="preserve">See: </w:t>
      </w:r>
      <w:r w:rsidRPr="00B32C3A">
        <w:rPr>
          <w:u w:val="single"/>
        </w:rPr>
        <w:t>Attachment A</w:t>
      </w:r>
    </w:p>
    <w:p w14:paraId="5F262DC6" w14:textId="77777777" w:rsidR="00F64C9D" w:rsidRDefault="00F64C9D" w:rsidP="00592989">
      <w:pPr>
        <w:autoSpaceDE w:val="0"/>
        <w:autoSpaceDN w:val="0"/>
        <w:adjustRightInd w:val="0"/>
        <w:spacing w:after="240"/>
        <w:rPr>
          <w:bCs/>
          <w:color w:val="000000"/>
          <w:sz w:val="24"/>
          <w:szCs w:val="24"/>
        </w:rPr>
      </w:pPr>
    </w:p>
    <w:p w14:paraId="0BCE52B7" w14:textId="34263F52" w:rsidR="00F64C9D" w:rsidRDefault="00F64C9D" w:rsidP="00592989">
      <w:pPr>
        <w:autoSpaceDE w:val="0"/>
        <w:autoSpaceDN w:val="0"/>
        <w:adjustRightInd w:val="0"/>
        <w:spacing w:after="240"/>
        <w:rPr>
          <w:bCs/>
          <w:color w:val="000000"/>
          <w:sz w:val="24"/>
          <w:szCs w:val="24"/>
        </w:rPr>
      </w:pPr>
      <w:r>
        <w:rPr>
          <w:bCs/>
          <w:color w:val="000000"/>
          <w:sz w:val="24"/>
          <w:szCs w:val="24"/>
        </w:rPr>
        <w:br w:type="page"/>
      </w:r>
    </w:p>
    <w:p w14:paraId="32E47E14" w14:textId="77777777" w:rsidR="00F64C9D" w:rsidRPr="006F38C3" w:rsidRDefault="00F64C9D" w:rsidP="006F38C3">
      <w:pPr>
        <w:autoSpaceDE w:val="0"/>
        <w:autoSpaceDN w:val="0"/>
        <w:adjustRightInd w:val="0"/>
        <w:spacing w:after="240"/>
        <w:jc w:val="center"/>
        <w:rPr>
          <w:b/>
          <w:bCs/>
          <w:sz w:val="28"/>
          <w:szCs w:val="28"/>
        </w:rPr>
      </w:pPr>
      <w:r w:rsidRPr="006F38C3">
        <w:rPr>
          <w:b/>
          <w:bCs/>
          <w:sz w:val="28"/>
          <w:szCs w:val="28"/>
        </w:rPr>
        <w:lastRenderedPageBreak/>
        <w:t>Statement of Compatibility with Human Rights</w:t>
      </w:r>
    </w:p>
    <w:p w14:paraId="02C585B6" w14:textId="77777777" w:rsidR="00F64C9D" w:rsidRPr="00F64C9D" w:rsidRDefault="00F64C9D" w:rsidP="00F64C9D">
      <w:pPr>
        <w:autoSpaceDE w:val="0"/>
        <w:autoSpaceDN w:val="0"/>
        <w:adjustRightInd w:val="0"/>
        <w:spacing w:after="240"/>
        <w:rPr>
          <w:bCs/>
          <w:sz w:val="24"/>
          <w:szCs w:val="24"/>
        </w:rPr>
      </w:pPr>
      <w:r w:rsidRPr="00F64C9D">
        <w:rPr>
          <w:bCs/>
          <w:i/>
          <w:sz w:val="24"/>
          <w:szCs w:val="24"/>
        </w:rPr>
        <w:t>Prepared in accordance with Part 3 of the Human Rights (Parliamentary Scrutiny) Act 2011</w:t>
      </w:r>
    </w:p>
    <w:p w14:paraId="6601B7C9" w14:textId="1EEEC413" w:rsidR="008B6364" w:rsidRPr="006F38C3" w:rsidRDefault="008B6364" w:rsidP="006F38C3">
      <w:pPr>
        <w:jc w:val="center"/>
        <w:rPr>
          <w:b/>
          <w:sz w:val="24"/>
          <w:szCs w:val="24"/>
        </w:rPr>
      </w:pPr>
      <w:r w:rsidRPr="006F38C3">
        <w:rPr>
          <w:b/>
          <w:sz w:val="24"/>
          <w:szCs w:val="24"/>
        </w:rPr>
        <w:t>Veterans’ Entitlements (Exempt Lump Sum –</w:t>
      </w:r>
      <w:r w:rsidRPr="006F38C3">
        <w:rPr>
          <w:b/>
          <w:i/>
          <w:sz w:val="24"/>
          <w:szCs w:val="24"/>
        </w:rPr>
        <w:t xml:space="preserve"> </w:t>
      </w:r>
      <w:r w:rsidRPr="006F38C3">
        <w:rPr>
          <w:b/>
          <w:sz w:val="24"/>
          <w:szCs w:val="24"/>
        </w:rPr>
        <w:t xml:space="preserve">Payments </w:t>
      </w:r>
      <w:r w:rsidR="001369E1">
        <w:rPr>
          <w:b/>
          <w:sz w:val="24"/>
          <w:szCs w:val="24"/>
        </w:rPr>
        <w:t xml:space="preserve">under </w:t>
      </w:r>
      <w:r w:rsidRPr="006F38C3">
        <w:rPr>
          <w:b/>
          <w:sz w:val="24"/>
          <w:szCs w:val="24"/>
        </w:rPr>
        <w:t xml:space="preserve">the </w:t>
      </w:r>
      <w:r w:rsidR="00327485">
        <w:rPr>
          <w:b/>
          <w:sz w:val="24"/>
          <w:szCs w:val="24"/>
        </w:rPr>
        <w:t xml:space="preserve">Australian </w:t>
      </w:r>
      <w:r w:rsidRPr="006F38C3">
        <w:rPr>
          <w:b/>
          <w:sz w:val="24"/>
          <w:szCs w:val="24"/>
        </w:rPr>
        <w:t xml:space="preserve">Government </w:t>
      </w:r>
      <w:r w:rsidR="00914FA4">
        <w:rPr>
          <w:b/>
          <w:sz w:val="24"/>
          <w:szCs w:val="24"/>
        </w:rPr>
        <w:t>under</w:t>
      </w:r>
      <w:r w:rsidRPr="006F38C3">
        <w:rPr>
          <w:b/>
          <w:sz w:val="24"/>
          <w:szCs w:val="24"/>
        </w:rPr>
        <w:t xml:space="preserve"> the </w:t>
      </w:r>
      <w:r w:rsidR="00914FA4" w:rsidRPr="00914FA4">
        <w:rPr>
          <w:b/>
          <w:sz w:val="24"/>
          <w:szCs w:val="24"/>
        </w:rPr>
        <w:t>Territories Stolen Generations Redress Scheme</w:t>
      </w:r>
      <w:r w:rsidRPr="006F38C3">
        <w:rPr>
          <w:b/>
          <w:sz w:val="24"/>
          <w:szCs w:val="24"/>
        </w:rPr>
        <w:t>) Determination 202</w:t>
      </w:r>
      <w:r w:rsidR="00CD737C">
        <w:rPr>
          <w:b/>
          <w:sz w:val="24"/>
          <w:szCs w:val="24"/>
        </w:rPr>
        <w:t>2</w:t>
      </w:r>
    </w:p>
    <w:p w14:paraId="0F35B911" w14:textId="77777777" w:rsidR="006F38C3" w:rsidRPr="00F22E27" w:rsidRDefault="006F38C3" w:rsidP="006F38C3">
      <w:pPr>
        <w:jc w:val="center"/>
        <w:rPr>
          <w:b/>
          <w:sz w:val="28"/>
          <w:szCs w:val="28"/>
        </w:rPr>
      </w:pPr>
    </w:p>
    <w:p w14:paraId="47D2F762" w14:textId="4010AA2C" w:rsidR="0069295C" w:rsidRDefault="0069295C" w:rsidP="00FB3FCB">
      <w:pPr>
        <w:pStyle w:val="Default"/>
        <w:spacing w:after="120"/>
      </w:pPr>
      <w:r w:rsidRPr="006914CD">
        <w:t xml:space="preserve">The attached </w:t>
      </w:r>
      <w:r>
        <w:t>instrument</w:t>
      </w:r>
      <w:r w:rsidRPr="006914CD">
        <w:t xml:space="preserve"> engag</w:t>
      </w:r>
      <w:r>
        <w:t>es</w:t>
      </w:r>
      <w:r w:rsidRPr="006914CD">
        <w:t xml:space="preserve"> </w:t>
      </w:r>
      <w:r>
        <w:t xml:space="preserve">the </w:t>
      </w:r>
      <w:hyperlink r:id="rId7" w:history="1">
        <w:r w:rsidRPr="000E6F08">
          <w:t>right to social securit</w:t>
        </w:r>
        <w:r w:rsidR="008530C1">
          <w:t xml:space="preserve">y contained in Article 9 of the </w:t>
        </w:r>
        <w:hyperlink r:id="rId8" w:history="1">
          <w:r w:rsidRPr="000E6F08">
            <w:t>International Covenant on Economic Social and Cultural Rights</w:t>
          </w:r>
        </w:hyperlink>
      </w:hyperlink>
      <w:r w:rsidRPr="000E6F08">
        <w:t>.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w:t>
      </w:r>
      <w:r w:rsidR="000E6F08" w:rsidRPr="000E6F08">
        <w:t xml:space="preserve"> most basic forms of education.</w:t>
      </w:r>
    </w:p>
    <w:p w14:paraId="77EF3AAB" w14:textId="1FF65572" w:rsidR="0069295C" w:rsidRDefault="0069295C" w:rsidP="00FB3FCB">
      <w:pPr>
        <w:pStyle w:val="Default"/>
        <w:spacing w:after="120"/>
      </w:pPr>
      <w:r>
        <w:t>Under the V</w:t>
      </w:r>
      <w:r w:rsidRPr="0084217B">
        <w:t>EA</w:t>
      </w:r>
      <w:r>
        <w:t>,</w:t>
      </w:r>
      <w:r w:rsidRPr="00366DAB">
        <w:t xml:space="preserve"> </w:t>
      </w:r>
      <w:r w:rsidR="00403544">
        <w:t>income support payments</w:t>
      </w:r>
      <w:r>
        <w:t xml:space="preserve"> are subject to a means test which assesses the income and assets of the pensioner to determine the level of p</w:t>
      </w:r>
      <w:r w:rsidR="00403544">
        <w:t>ayment</w:t>
      </w:r>
      <w:r>
        <w:t xml:space="preserve"> the person is entitled to.  Where a</w:t>
      </w:r>
      <w:r w:rsidR="00403544">
        <w:t xml:space="preserve">n income support recipient </w:t>
      </w:r>
      <w:r>
        <w:t xml:space="preserve">receives a lump sum, the </w:t>
      </w:r>
      <w:r w:rsidR="00403544">
        <w:t xml:space="preserve">whole or part of the </w:t>
      </w:r>
      <w:r>
        <w:t xml:space="preserve">payment is generally treated as income and would be assessed </w:t>
      </w:r>
      <w:r w:rsidR="00403544">
        <w:t xml:space="preserve">under </w:t>
      </w:r>
      <w:r>
        <w:t>the means test for the p</w:t>
      </w:r>
      <w:r w:rsidR="00403544">
        <w:t>ayment</w:t>
      </w:r>
      <w:r>
        <w:t xml:space="preserve"> which could result in </w:t>
      </w:r>
      <w:r w:rsidR="00403544">
        <w:t>the payment being reduced</w:t>
      </w:r>
      <w:r w:rsidR="0060248C">
        <w:t>.</w:t>
      </w:r>
    </w:p>
    <w:p w14:paraId="4220708E" w14:textId="6D186F8D" w:rsidR="0069295C" w:rsidRDefault="0069295C" w:rsidP="00FB3FCB">
      <w:pPr>
        <w:pStyle w:val="Normal1"/>
        <w:spacing w:before="0" w:beforeAutospacing="0" w:after="120" w:afterAutospacing="0"/>
        <w:rPr>
          <w:lang w:val="en-AU" w:eastAsia="en-AU"/>
        </w:rPr>
      </w:pPr>
      <w:r>
        <w:rPr>
          <w:lang w:val="en-AU" w:eastAsia="en-AU"/>
        </w:rPr>
        <w:t xml:space="preserve">The determination will operate beneficially as </w:t>
      </w:r>
      <w:r w:rsidR="00CD737C">
        <w:rPr>
          <w:lang w:val="en-AU" w:eastAsia="en-AU"/>
        </w:rPr>
        <w:t xml:space="preserve">it has the effect that </w:t>
      </w:r>
      <w:r>
        <w:rPr>
          <w:lang w:val="en-AU" w:eastAsia="en-AU"/>
        </w:rPr>
        <w:t xml:space="preserve">a payment </w:t>
      </w:r>
      <w:r w:rsidR="00914FA4">
        <w:rPr>
          <w:lang w:val="en-AU" w:eastAsia="en-AU"/>
        </w:rPr>
        <w:t>under</w:t>
      </w:r>
      <w:r w:rsidR="0060248C">
        <w:rPr>
          <w:lang w:val="en-AU" w:eastAsia="en-AU"/>
        </w:rPr>
        <w:t xml:space="preserve"> the </w:t>
      </w:r>
      <w:r w:rsidR="00914FA4">
        <w:rPr>
          <w:lang w:val="en-AU" w:eastAsia="en-AU"/>
        </w:rPr>
        <w:t xml:space="preserve">Territories Stolen Generations Redress </w:t>
      </w:r>
      <w:r w:rsidR="0060248C">
        <w:rPr>
          <w:lang w:val="en-AU" w:eastAsia="en-AU"/>
        </w:rPr>
        <w:t xml:space="preserve">Scheme </w:t>
      </w:r>
      <w:r>
        <w:rPr>
          <w:lang w:val="en-AU" w:eastAsia="en-AU"/>
        </w:rPr>
        <w:t>will not be taken into account when assessing a person’s rate of p</w:t>
      </w:r>
      <w:r w:rsidR="00403544">
        <w:rPr>
          <w:lang w:val="en-AU" w:eastAsia="en-AU"/>
        </w:rPr>
        <w:t>ayment</w:t>
      </w:r>
      <w:r>
        <w:rPr>
          <w:lang w:val="en-AU" w:eastAsia="en-AU"/>
        </w:rPr>
        <w:t xml:space="preserve"> under the VEA income test.  If </w:t>
      </w:r>
      <w:r w:rsidR="003E6FDF">
        <w:rPr>
          <w:lang w:val="en-AU" w:eastAsia="en-AU"/>
        </w:rPr>
        <w:t xml:space="preserve">a </w:t>
      </w:r>
      <w:r>
        <w:rPr>
          <w:lang w:val="en-AU" w:eastAsia="en-AU"/>
        </w:rPr>
        <w:t xml:space="preserve">payment is not exempted, a person in receipt of </w:t>
      </w:r>
      <w:r w:rsidR="00FB264A">
        <w:rPr>
          <w:lang w:val="en-AU" w:eastAsia="en-AU"/>
        </w:rPr>
        <w:t xml:space="preserve">that </w:t>
      </w:r>
      <w:r w:rsidR="003E6FDF">
        <w:rPr>
          <w:lang w:val="en-AU" w:eastAsia="en-AU"/>
        </w:rPr>
        <w:t xml:space="preserve">payment </w:t>
      </w:r>
      <w:r>
        <w:rPr>
          <w:lang w:val="en-AU" w:eastAsia="en-AU"/>
        </w:rPr>
        <w:t>may not be eligible for a</w:t>
      </w:r>
      <w:r w:rsidR="00403544">
        <w:rPr>
          <w:lang w:val="en-AU" w:eastAsia="en-AU"/>
        </w:rPr>
        <w:t>n income support</w:t>
      </w:r>
      <w:r>
        <w:rPr>
          <w:lang w:val="en-AU" w:eastAsia="en-AU"/>
        </w:rPr>
        <w:t xml:space="preserve"> payment under the VEA or, if they are eligible, their rate of payment might be reduced.</w:t>
      </w:r>
    </w:p>
    <w:p w14:paraId="75C7B1CF" w14:textId="07C190BB" w:rsidR="0069295C" w:rsidRDefault="0069295C" w:rsidP="00FB3FCB">
      <w:pPr>
        <w:pStyle w:val="Normal1"/>
        <w:spacing w:before="0" w:beforeAutospacing="0" w:after="120" w:afterAutospacing="0"/>
        <w:rPr>
          <w:i/>
          <w:lang w:val="en-AU" w:eastAsia="en-AU"/>
        </w:rPr>
      </w:pPr>
      <w:r>
        <w:t xml:space="preserve">The right to social security is promoted by the attached instrument in that it ensures </w:t>
      </w:r>
      <w:r w:rsidR="003E6FDF">
        <w:t xml:space="preserve">payments under </w:t>
      </w:r>
      <w:r w:rsidR="0060248C">
        <w:t xml:space="preserve">the </w:t>
      </w:r>
      <w:r w:rsidR="004F5D18" w:rsidRPr="00A7233C">
        <w:rPr>
          <w:bCs/>
          <w:color w:val="000000"/>
        </w:rPr>
        <w:t>Territories Stolen Generations Redress Scheme</w:t>
      </w:r>
      <w:r w:rsidR="004F5D18">
        <w:rPr>
          <w:bCs/>
          <w:color w:val="000000"/>
        </w:rPr>
        <w:t xml:space="preserve"> </w:t>
      </w:r>
      <w:r w:rsidR="00CD737C">
        <w:rPr>
          <w:bCs/>
          <w:color w:val="000000"/>
        </w:rPr>
        <w:t>are</w:t>
      </w:r>
      <w:r>
        <w:t xml:space="preserve"> not treated as income for the purposes of the means test </w:t>
      </w:r>
      <w:r w:rsidRPr="003E4625">
        <w:t xml:space="preserve">for establishing </w:t>
      </w:r>
      <w:r>
        <w:t>whether certain pensions a</w:t>
      </w:r>
      <w:r w:rsidR="0060248C">
        <w:t>nd other payments are payable.</w:t>
      </w:r>
    </w:p>
    <w:p w14:paraId="79044E86" w14:textId="55535025" w:rsidR="0069295C" w:rsidRDefault="0069295C" w:rsidP="00FB3FCB">
      <w:pPr>
        <w:pStyle w:val="Normal1"/>
        <w:spacing w:before="0" w:beforeAutospacing="0" w:after="120" w:afterAutospacing="0"/>
        <w:rPr>
          <w:lang w:val="en-AU" w:eastAsia="en-AU"/>
        </w:rPr>
      </w:pPr>
      <w:r>
        <w:rPr>
          <w:lang w:val="en-AU" w:eastAsia="en-AU"/>
        </w:rPr>
        <w:t xml:space="preserve">The attached instrument is compatible with human rights because it supports a person’s right </w:t>
      </w:r>
      <w:r w:rsidRPr="00A507AA">
        <w:rPr>
          <w:lang w:val="en-AU" w:eastAsia="en-AU"/>
        </w:rPr>
        <w:t xml:space="preserve">to </w:t>
      </w:r>
      <w:r>
        <w:rPr>
          <w:lang w:val="en-AU" w:eastAsia="en-AU"/>
        </w:rPr>
        <w:t>s</w:t>
      </w:r>
      <w:r w:rsidRPr="00A507AA">
        <w:rPr>
          <w:lang w:val="en-AU" w:eastAsia="en-AU"/>
        </w:rPr>
        <w:t xml:space="preserve">ocial </w:t>
      </w:r>
      <w:r>
        <w:rPr>
          <w:lang w:val="en-AU" w:eastAsia="en-AU"/>
        </w:rPr>
        <w:t>s</w:t>
      </w:r>
      <w:r w:rsidRPr="00A507AA">
        <w:rPr>
          <w:lang w:val="en-AU" w:eastAsia="en-AU"/>
        </w:rPr>
        <w:t>ecurity.</w:t>
      </w:r>
    </w:p>
    <w:p w14:paraId="78366E62" w14:textId="5B35A8BA" w:rsidR="00FB264A" w:rsidRDefault="00FB264A" w:rsidP="00FB3FCB">
      <w:pPr>
        <w:pStyle w:val="Normal1"/>
        <w:spacing w:before="0" w:beforeAutospacing="0" w:after="120" w:afterAutospacing="0"/>
        <w:rPr>
          <w:lang w:val="en-AU" w:eastAsia="en-AU"/>
        </w:rPr>
      </w:pPr>
    </w:p>
    <w:p w14:paraId="3496BC9D" w14:textId="77777777" w:rsidR="00FB264A" w:rsidRDefault="00FB264A" w:rsidP="00FB3FCB">
      <w:pPr>
        <w:pStyle w:val="Normal1"/>
        <w:spacing w:before="0" w:beforeAutospacing="0" w:after="120" w:afterAutospacing="0"/>
        <w:rPr>
          <w:lang w:val="en-AU" w:eastAsia="en-AU"/>
        </w:rPr>
      </w:pPr>
    </w:p>
    <w:p w14:paraId="62A27665" w14:textId="39668017" w:rsidR="0069295C" w:rsidRDefault="003B5B2F" w:rsidP="00FB3FCB">
      <w:pPr>
        <w:pStyle w:val="Default"/>
        <w:spacing w:after="120"/>
        <w:rPr>
          <w:bCs/>
          <w:color w:val="auto"/>
        </w:rPr>
      </w:pPr>
      <w:r>
        <w:rPr>
          <w:bCs/>
          <w:color w:val="auto"/>
        </w:rPr>
        <w:t>Simon Hill</w:t>
      </w:r>
    </w:p>
    <w:p w14:paraId="0DA4EE2A" w14:textId="1FFCC49E" w:rsidR="0069295C" w:rsidRDefault="0069295C" w:rsidP="00FB3FCB">
      <w:pPr>
        <w:pStyle w:val="Default"/>
        <w:spacing w:after="120"/>
        <w:rPr>
          <w:bCs/>
          <w:color w:val="auto"/>
        </w:rPr>
      </w:pPr>
      <w:r w:rsidRPr="00184E0D">
        <w:rPr>
          <w:bCs/>
          <w:color w:val="auto"/>
        </w:rPr>
        <w:t xml:space="preserve">Assistant Secretary, </w:t>
      </w:r>
      <w:r w:rsidR="003B5B2F">
        <w:rPr>
          <w:bCs/>
          <w:color w:val="auto"/>
        </w:rPr>
        <w:t xml:space="preserve">Policy Development Branch, </w:t>
      </w:r>
      <w:r w:rsidRPr="00184E0D">
        <w:rPr>
          <w:bCs/>
          <w:color w:val="auto"/>
        </w:rPr>
        <w:t xml:space="preserve">as delegate of </w:t>
      </w:r>
      <w:r>
        <w:rPr>
          <w:bCs/>
          <w:color w:val="auto"/>
        </w:rPr>
        <w:t>t</w:t>
      </w:r>
      <w:r w:rsidRPr="00184E0D">
        <w:rPr>
          <w:bCs/>
          <w:color w:val="auto"/>
        </w:rPr>
        <w:t>he Repatriation Commission</w:t>
      </w:r>
    </w:p>
    <w:p w14:paraId="5122E902" w14:textId="15CEB319" w:rsidR="0069295C" w:rsidRDefault="0069295C" w:rsidP="00FB3FCB">
      <w:pPr>
        <w:pStyle w:val="Default"/>
        <w:spacing w:after="120"/>
        <w:rPr>
          <w:bCs/>
        </w:rPr>
      </w:pPr>
      <w:r>
        <w:rPr>
          <w:bCs/>
        </w:rPr>
        <w:t>Rule-Maker</w:t>
      </w:r>
    </w:p>
    <w:p w14:paraId="7B7622FC" w14:textId="77777777" w:rsidR="0069295C" w:rsidRDefault="0069295C" w:rsidP="00FB3FCB">
      <w:pPr>
        <w:spacing w:after="120"/>
        <w:rPr>
          <w:sz w:val="24"/>
          <w:szCs w:val="24"/>
        </w:rPr>
      </w:pPr>
      <w:r>
        <w:rPr>
          <w:sz w:val="24"/>
          <w:szCs w:val="24"/>
        </w:rPr>
        <w:br w:type="page"/>
      </w:r>
    </w:p>
    <w:p w14:paraId="07FD1C3B" w14:textId="77777777" w:rsidR="0069295C" w:rsidRPr="00FB3FCB" w:rsidRDefault="0069295C" w:rsidP="0069295C">
      <w:pPr>
        <w:pStyle w:val="Default"/>
        <w:autoSpaceDE/>
        <w:autoSpaceDN/>
        <w:adjustRightInd/>
        <w:jc w:val="right"/>
        <w:rPr>
          <w:b/>
          <w:u w:val="single"/>
        </w:rPr>
      </w:pPr>
      <w:r w:rsidRPr="00FB3FCB">
        <w:rPr>
          <w:b/>
          <w:u w:val="single"/>
        </w:rPr>
        <w:lastRenderedPageBreak/>
        <w:t>Attachment A</w:t>
      </w:r>
    </w:p>
    <w:p w14:paraId="1430BA36" w14:textId="77777777" w:rsidR="0069295C" w:rsidRDefault="0069295C" w:rsidP="0069295C">
      <w:pPr>
        <w:jc w:val="right"/>
        <w:rPr>
          <w:sz w:val="24"/>
          <w:szCs w:val="24"/>
        </w:rPr>
      </w:pPr>
    </w:p>
    <w:p w14:paraId="15FF479A" w14:textId="623432EB" w:rsidR="0069295C" w:rsidRDefault="0069295C">
      <w:pPr>
        <w:rPr>
          <w:b/>
          <w:color w:val="000000"/>
          <w:sz w:val="24"/>
          <w:szCs w:val="24"/>
        </w:rPr>
      </w:pPr>
      <w:r w:rsidRPr="000A51A1">
        <w:rPr>
          <w:b/>
          <w:color w:val="000000"/>
          <w:sz w:val="24"/>
          <w:szCs w:val="24"/>
        </w:rPr>
        <w:t>FURTHER EXPLANATION OF PROVISIONS</w:t>
      </w:r>
    </w:p>
    <w:p w14:paraId="07925E21" w14:textId="1531DC07" w:rsidR="00FB264A" w:rsidRDefault="00FB264A">
      <w:pPr>
        <w:rPr>
          <w:b/>
          <w:color w:val="000000"/>
          <w:sz w:val="24"/>
          <w:szCs w:val="24"/>
        </w:rPr>
      </w:pPr>
    </w:p>
    <w:p w14:paraId="10B69226" w14:textId="77777777" w:rsidR="00FB264A" w:rsidRPr="00FB264A" w:rsidRDefault="00FB264A" w:rsidP="00FB3FCB">
      <w:pPr>
        <w:autoSpaceDE w:val="0"/>
        <w:autoSpaceDN w:val="0"/>
        <w:adjustRightInd w:val="0"/>
        <w:spacing w:after="120"/>
        <w:rPr>
          <w:b/>
          <w:bCs/>
          <w:color w:val="000000"/>
          <w:sz w:val="24"/>
          <w:szCs w:val="24"/>
        </w:rPr>
      </w:pPr>
      <w:r w:rsidRPr="00FB264A">
        <w:rPr>
          <w:b/>
          <w:bCs/>
          <w:color w:val="000000"/>
          <w:sz w:val="24"/>
          <w:szCs w:val="24"/>
        </w:rPr>
        <w:t xml:space="preserve">Section 1  </w:t>
      </w:r>
    </w:p>
    <w:p w14:paraId="66BFD968" w14:textId="1285A5B5" w:rsidR="0060248C" w:rsidRPr="00F22E27" w:rsidRDefault="00FB264A" w:rsidP="0060248C">
      <w:pPr>
        <w:autoSpaceDE w:val="0"/>
        <w:autoSpaceDN w:val="0"/>
        <w:adjustRightInd w:val="0"/>
        <w:spacing w:after="120"/>
        <w:rPr>
          <w:i/>
          <w:sz w:val="24"/>
        </w:rPr>
      </w:pPr>
      <w:r w:rsidRPr="00FB264A">
        <w:rPr>
          <w:bCs/>
          <w:color w:val="000000"/>
          <w:sz w:val="24"/>
          <w:szCs w:val="24"/>
        </w:rPr>
        <w:t>This determination</w:t>
      </w:r>
      <w:r w:rsidRPr="00FB264A">
        <w:rPr>
          <w:b/>
          <w:bCs/>
          <w:color w:val="000000"/>
          <w:sz w:val="24"/>
          <w:szCs w:val="24"/>
        </w:rPr>
        <w:t xml:space="preserve"> </w:t>
      </w:r>
      <w:r w:rsidRPr="00FB264A">
        <w:rPr>
          <w:bCs/>
          <w:color w:val="000000"/>
          <w:sz w:val="24"/>
          <w:szCs w:val="24"/>
        </w:rPr>
        <w:t xml:space="preserve">sets out the name of the instrument – </w:t>
      </w:r>
      <w:r w:rsidR="00F22E27" w:rsidRPr="00F22E27">
        <w:rPr>
          <w:i/>
          <w:sz w:val="24"/>
        </w:rPr>
        <w:t xml:space="preserve">Veterans’ Entitlements (Exempt Lump Sum – Payments </w:t>
      </w:r>
      <w:r w:rsidR="00914FA4">
        <w:rPr>
          <w:i/>
          <w:sz w:val="24"/>
        </w:rPr>
        <w:t xml:space="preserve">under the </w:t>
      </w:r>
      <w:r w:rsidR="00914FA4" w:rsidRPr="00914FA4">
        <w:rPr>
          <w:i/>
          <w:sz w:val="24"/>
        </w:rPr>
        <w:t>Territories Stolen Generations Redress Scheme</w:t>
      </w:r>
      <w:r w:rsidR="00F22E27" w:rsidRPr="00F22E27">
        <w:rPr>
          <w:i/>
          <w:sz w:val="24"/>
        </w:rPr>
        <w:t>) Determination 202</w:t>
      </w:r>
      <w:r w:rsidR="00D378A7">
        <w:rPr>
          <w:i/>
          <w:sz w:val="24"/>
        </w:rPr>
        <w:t>2</w:t>
      </w:r>
      <w:r w:rsidR="00F22E27" w:rsidRPr="00F22E27">
        <w:rPr>
          <w:i/>
          <w:sz w:val="24"/>
        </w:rPr>
        <w:t>.</w:t>
      </w:r>
    </w:p>
    <w:p w14:paraId="100A7880" w14:textId="333A82FC" w:rsidR="00FB264A" w:rsidRPr="00FB264A" w:rsidRDefault="00FB264A" w:rsidP="00FB3FCB">
      <w:pPr>
        <w:autoSpaceDE w:val="0"/>
        <w:autoSpaceDN w:val="0"/>
        <w:adjustRightInd w:val="0"/>
        <w:spacing w:after="120"/>
        <w:rPr>
          <w:b/>
          <w:bCs/>
          <w:color w:val="000000"/>
          <w:sz w:val="24"/>
          <w:szCs w:val="24"/>
        </w:rPr>
      </w:pPr>
      <w:r w:rsidRPr="00FB264A">
        <w:rPr>
          <w:b/>
          <w:bCs/>
          <w:color w:val="000000"/>
          <w:sz w:val="24"/>
          <w:szCs w:val="24"/>
        </w:rPr>
        <w:t xml:space="preserve">Section 2  </w:t>
      </w:r>
    </w:p>
    <w:p w14:paraId="7CBD7900" w14:textId="6BD7E1C1" w:rsidR="00FB264A" w:rsidRDefault="00FB264A" w:rsidP="00FB3FCB">
      <w:pPr>
        <w:autoSpaceDE w:val="0"/>
        <w:autoSpaceDN w:val="0"/>
        <w:adjustRightInd w:val="0"/>
        <w:spacing w:after="120"/>
        <w:rPr>
          <w:bCs/>
          <w:color w:val="000000"/>
          <w:sz w:val="24"/>
          <w:szCs w:val="24"/>
        </w:rPr>
      </w:pPr>
      <w:r w:rsidRPr="00FB264A">
        <w:rPr>
          <w:bCs/>
          <w:color w:val="000000"/>
          <w:sz w:val="24"/>
          <w:szCs w:val="24"/>
        </w:rPr>
        <w:t>This</w:t>
      </w:r>
      <w:r w:rsidRPr="00FB264A">
        <w:rPr>
          <w:b/>
          <w:bCs/>
          <w:color w:val="000000"/>
          <w:sz w:val="24"/>
          <w:szCs w:val="24"/>
        </w:rPr>
        <w:t xml:space="preserve"> </w:t>
      </w:r>
      <w:r w:rsidRPr="00FB264A">
        <w:rPr>
          <w:bCs/>
          <w:color w:val="000000"/>
          <w:sz w:val="24"/>
          <w:szCs w:val="24"/>
        </w:rPr>
        <w:t>is the commencement provision. It prov</w:t>
      </w:r>
      <w:r w:rsidRPr="007A4F8A">
        <w:rPr>
          <w:bCs/>
          <w:color w:val="000000"/>
          <w:sz w:val="24"/>
          <w:szCs w:val="24"/>
        </w:rPr>
        <w:t xml:space="preserve">ides that </w:t>
      </w:r>
      <w:r w:rsidR="00914FA4" w:rsidRPr="007A4F8A">
        <w:rPr>
          <w:bCs/>
          <w:color w:val="000000"/>
          <w:sz w:val="24"/>
          <w:szCs w:val="24"/>
        </w:rPr>
        <w:t>the determination commences</w:t>
      </w:r>
      <w:r w:rsidR="0060248C" w:rsidRPr="007A4F8A">
        <w:rPr>
          <w:bCs/>
          <w:color w:val="000000"/>
          <w:sz w:val="24"/>
          <w:szCs w:val="24"/>
        </w:rPr>
        <w:t xml:space="preserve"> </w:t>
      </w:r>
      <w:r w:rsidR="00DB5B37">
        <w:rPr>
          <w:bCs/>
          <w:color w:val="000000"/>
          <w:sz w:val="24"/>
          <w:szCs w:val="24"/>
        </w:rPr>
        <w:t xml:space="preserve">either </w:t>
      </w:r>
      <w:r w:rsidR="00837CEE">
        <w:rPr>
          <w:bCs/>
          <w:color w:val="000000"/>
          <w:sz w:val="24"/>
          <w:szCs w:val="24"/>
        </w:rPr>
        <w:t xml:space="preserve">at the same time as </w:t>
      </w:r>
      <w:r w:rsidR="00CD737C">
        <w:rPr>
          <w:bCs/>
          <w:color w:val="000000"/>
          <w:sz w:val="24"/>
          <w:szCs w:val="24"/>
        </w:rPr>
        <w:t xml:space="preserve">Part 2 of </w:t>
      </w:r>
      <w:r w:rsidR="00837CEE">
        <w:rPr>
          <w:bCs/>
          <w:color w:val="000000"/>
          <w:sz w:val="24"/>
          <w:szCs w:val="24"/>
        </w:rPr>
        <w:t xml:space="preserve">Schedule 1 </w:t>
      </w:r>
      <w:r w:rsidR="00CD737C">
        <w:rPr>
          <w:bCs/>
          <w:color w:val="000000"/>
          <w:sz w:val="24"/>
          <w:szCs w:val="24"/>
        </w:rPr>
        <w:t>to</w:t>
      </w:r>
      <w:r w:rsidR="00837CEE">
        <w:rPr>
          <w:bCs/>
          <w:color w:val="000000"/>
          <w:sz w:val="24"/>
          <w:szCs w:val="24"/>
        </w:rPr>
        <w:t xml:space="preserve"> the </w:t>
      </w:r>
      <w:r w:rsidR="00837CEE" w:rsidRPr="00CD737C">
        <w:rPr>
          <w:bCs/>
          <w:i/>
          <w:color w:val="000000"/>
          <w:sz w:val="24"/>
          <w:szCs w:val="24"/>
        </w:rPr>
        <w:t>Territories Stolen Generations Redress Scheme (Consequential Amendments) Act 2021</w:t>
      </w:r>
      <w:r w:rsidR="00CD737C">
        <w:rPr>
          <w:bCs/>
          <w:color w:val="000000"/>
          <w:sz w:val="24"/>
          <w:szCs w:val="24"/>
        </w:rPr>
        <w:t xml:space="preserve"> (the </w:t>
      </w:r>
      <w:r w:rsidR="00CD737C" w:rsidRPr="00CD737C">
        <w:rPr>
          <w:b/>
          <w:bCs/>
          <w:i/>
          <w:color w:val="000000"/>
          <w:sz w:val="24"/>
          <w:szCs w:val="24"/>
        </w:rPr>
        <w:t>Consequentials Act</w:t>
      </w:r>
      <w:r w:rsidR="00DB5B37">
        <w:rPr>
          <w:bCs/>
          <w:color w:val="000000"/>
          <w:sz w:val="24"/>
          <w:szCs w:val="24"/>
        </w:rPr>
        <w:t>), or the day after the instrument is registered, whichever occurs later.</w:t>
      </w:r>
      <w:r w:rsidR="00837CEE">
        <w:rPr>
          <w:bCs/>
          <w:color w:val="000000"/>
          <w:sz w:val="24"/>
          <w:szCs w:val="24"/>
        </w:rPr>
        <w:t xml:space="preserve">  </w:t>
      </w:r>
      <w:r w:rsidR="00CD737C">
        <w:rPr>
          <w:bCs/>
          <w:color w:val="000000"/>
          <w:sz w:val="24"/>
          <w:szCs w:val="24"/>
        </w:rPr>
        <w:t>It also provides that if Part 2 of Schedule 1 to that Act does not commence, the instrument does not commence.</w:t>
      </w:r>
    </w:p>
    <w:p w14:paraId="39FEB0CE" w14:textId="03E4C412" w:rsidR="00CD737C" w:rsidRPr="00FB264A" w:rsidRDefault="00CD737C" w:rsidP="00FB3FCB">
      <w:pPr>
        <w:autoSpaceDE w:val="0"/>
        <w:autoSpaceDN w:val="0"/>
        <w:adjustRightInd w:val="0"/>
        <w:spacing w:after="120"/>
        <w:rPr>
          <w:bCs/>
          <w:color w:val="000000"/>
          <w:sz w:val="24"/>
          <w:szCs w:val="24"/>
        </w:rPr>
      </w:pPr>
      <w:r>
        <w:rPr>
          <w:bCs/>
          <w:color w:val="000000"/>
          <w:sz w:val="24"/>
          <w:szCs w:val="24"/>
        </w:rPr>
        <w:t xml:space="preserve">Part 2 of Schedule 1 to the Consequentials Act </w:t>
      </w:r>
      <w:r w:rsidR="00B23248">
        <w:rPr>
          <w:bCs/>
          <w:color w:val="000000"/>
          <w:sz w:val="24"/>
          <w:szCs w:val="24"/>
        </w:rPr>
        <w:t xml:space="preserve">amends the </w:t>
      </w:r>
      <w:r w:rsidR="00B23248" w:rsidRPr="00963336">
        <w:rPr>
          <w:bCs/>
          <w:i/>
          <w:color w:val="000000"/>
          <w:sz w:val="24"/>
          <w:szCs w:val="24"/>
        </w:rPr>
        <w:t>Veterans’ Entitlements Act 1986</w:t>
      </w:r>
      <w:r w:rsidR="00B23248">
        <w:rPr>
          <w:bCs/>
          <w:color w:val="000000"/>
          <w:sz w:val="24"/>
          <w:szCs w:val="24"/>
        </w:rPr>
        <w:t xml:space="preserve"> (</w:t>
      </w:r>
      <w:r w:rsidR="00B23248" w:rsidRPr="00FB264A">
        <w:rPr>
          <w:bCs/>
          <w:color w:val="000000"/>
          <w:sz w:val="24"/>
          <w:szCs w:val="24"/>
        </w:rPr>
        <w:t>VEA</w:t>
      </w:r>
      <w:r w:rsidR="00B23248">
        <w:rPr>
          <w:bCs/>
          <w:color w:val="000000"/>
          <w:sz w:val="24"/>
          <w:szCs w:val="24"/>
        </w:rPr>
        <w:t>) to insert</w:t>
      </w:r>
      <w:r>
        <w:rPr>
          <w:bCs/>
          <w:color w:val="000000"/>
          <w:sz w:val="24"/>
          <w:szCs w:val="24"/>
        </w:rPr>
        <w:t xml:space="preserve"> new paragraph (mc) into subsection</w:t>
      </w:r>
      <w:r w:rsidR="00B23248">
        <w:rPr>
          <w:bCs/>
          <w:color w:val="000000"/>
          <w:sz w:val="24"/>
          <w:szCs w:val="24"/>
        </w:rPr>
        <w:t> </w:t>
      </w:r>
      <w:r>
        <w:rPr>
          <w:bCs/>
          <w:color w:val="000000"/>
          <w:sz w:val="24"/>
          <w:szCs w:val="24"/>
        </w:rPr>
        <w:t xml:space="preserve">5H(8). </w:t>
      </w:r>
      <w:r w:rsidR="00B23248">
        <w:rPr>
          <w:bCs/>
          <w:color w:val="000000"/>
          <w:sz w:val="24"/>
          <w:szCs w:val="24"/>
        </w:rPr>
        <w:t>The commencement provision in the determination ensures the determination will commence at the same time as that amendment to the VEA.</w:t>
      </w:r>
    </w:p>
    <w:p w14:paraId="770BFBE1" w14:textId="77777777" w:rsidR="00FB264A" w:rsidRPr="00FB264A" w:rsidRDefault="00FB264A" w:rsidP="00FB3FCB">
      <w:pPr>
        <w:autoSpaceDE w:val="0"/>
        <w:autoSpaceDN w:val="0"/>
        <w:adjustRightInd w:val="0"/>
        <w:spacing w:after="120"/>
        <w:rPr>
          <w:bCs/>
          <w:color w:val="000000"/>
          <w:sz w:val="24"/>
          <w:szCs w:val="24"/>
        </w:rPr>
      </w:pPr>
      <w:r w:rsidRPr="00FB264A">
        <w:rPr>
          <w:b/>
          <w:bCs/>
          <w:color w:val="000000"/>
          <w:sz w:val="24"/>
          <w:szCs w:val="24"/>
        </w:rPr>
        <w:t>Section 3</w:t>
      </w:r>
      <w:r w:rsidRPr="00FB264A">
        <w:rPr>
          <w:bCs/>
          <w:color w:val="000000"/>
          <w:sz w:val="24"/>
          <w:szCs w:val="24"/>
        </w:rPr>
        <w:t xml:space="preserve"> </w:t>
      </w:r>
    </w:p>
    <w:p w14:paraId="21CAD748" w14:textId="10731C0E" w:rsidR="00FB264A" w:rsidRDefault="00FB264A" w:rsidP="00FB3FCB">
      <w:pPr>
        <w:autoSpaceDE w:val="0"/>
        <w:autoSpaceDN w:val="0"/>
        <w:adjustRightInd w:val="0"/>
        <w:spacing w:after="120"/>
        <w:rPr>
          <w:bCs/>
          <w:color w:val="000000"/>
          <w:sz w:val="24"/>
          <w:szCs w:val="24"/>
        </w:rPr>
      </w:pPr>
      <w:r w:rsidRPr="00FB264A">
        <w:rPr>
          <w:bCs/>
          <w:color w:val="000000"/>
          <w:sz w:val="24"/>
          <w:szCs w:val="24"/>
        </w:rPr>
        <w:t xml:space="preserve">This section sets out the primary legislation that authorises the making of the determination, namely paragraph 5H(12)(c) of the </w:t>
      </w:r>
      <w:r w:rsidR="00963336" w:rsidRPr="00963336">
        <w:rPr>
          <w:bCs/>
          <w:i/>
          <w:color w:val="000000"/>
          <w:sz w:val="24"/>
          <w:szCs w:val="24"/>
        </w:rPr>
        <w:t>Veterans’ Entitlements Act 1986</w:t>
      </w:r>
      <w:r w:rsidR="00963336">
        <w:rPr>
          <w:bCs/>
          <w:color w:val="000000"/>
          <w:sz w:val="24"/>
          <w:szCs w:val="24"/>
        </w:rPr>
        <w:t xml:space="preserve"> (</w:t>
      </w:r>
      <w:r w:rsidRPr="00FB264A">
        <w:rPr>
          <w:bCs/>
          <w:color w:val="000000"/>
          <w:sz w:val="24"/>
          <w:szCs w:val="24"/>
        </w:rPr>
        <w:t>VEA</w:t>
      </w:r>
      <w:r w:rsidR="00963336">
        <w:rPr>
          <w:bCs/>
          <w:color w:val="000000"/>
          <w:sz w:val="24"/>
          <w:szCs w:val="24"/>
        </w:rPr>
        <w:t>)</w:t>
      </w:r>
      <w:r w:rsidRPr="00FB264A">
        <w:rPr>
          <w:bCs/>
          <w:color w:val="000000"/>
          <w:sz w:val="24"/>
          <w:szCs w:val="24"/>
        </w:rPr>
        <w:t>.</w:t>
      </w:r>
    </w:p>
    <w:p w14:paraId="2B0805FA" w14:textId="215A3C57" w:rsidR="000B1BD3" w:rsidRPr="00C32946" w:rsidRDefault="00D84834" w:rsidP="00FB3FCB">
      <w:pPr>
        <w:autoSpaceDE w:val="0"/>
        <w:autoSpaceDN w:val="0"/>
        <w:adjustRightInd w:val="0"/>
        <w:spacing w:after="120"/>
        <w:rPr>
          <w:b/>
          <w:bCs/>
          <w:color w:val="000000"/>
          <w:sz w:val="24"/>
          <w:szCs w:val="24"/>
        </w:rPr>
      </w:pPr>
      <w:r w:rsidRPr="00C32946">
        <w:rPr>
          <w:b/>
          <w:bCs/>
          <w:color w:val="000000"/>
          <w:sz w:val="24"/>
          <w:szCs w:val="24"/>
        </w:rPr>
        <w:t>Section 4</w:t>
      </w:r>
    </w:p>
    <w:p w14:paraId="2FA79A92" w14:textId="732972C0" w:rsidR="000B1BD3" w:rsidRDefault="000B1BD3" w:rsidP="000B1BD3">
      <w:pPr>
        <w:autoSpaceDE w:val="0"/>
        <w:autoSpaceDN w:val="0"/>
        <w:adjustRightInd w:val="0"/>
        <w:spacing w:after="120"/>
        <w:rPr>
          <w:bCs/>
          <w:color w:val="000000"/>
          <w:sz w:val="24"/>
          <w:szCs w:val="24"/>
        </w:rPr>
      </w:pPr>
      <w:r w:rsidRPr="00FB264A">
        <w:rPr>
          <w:bCs/>
          <w:color w:val="000000"/>
          <w:sz w:val="24"/>
          <w:szCs w:val="24"/>
        </w:rPr>
        <w:t>This section defines terms used in section 5 of the determination.</w:t>
      </w:r>
    </w:p>
    <w:p w14:paraId="4BE1AA08" w14:textId="77777777" w:rsidR="000B1BD3" w:rsidRPr="00D56F6E" w:rsidRDefault="000B1BD3" w:rsidP="000B1BD3">
      <w:pPr>
        <w:autoSpaceDE w:val="0"/>
        <w:autoSpaceDN w:val="0"/>
        <w:adjustRightInd w:val="0"/>
        <w:spacing w:after="120"/>
        <w:rPr>
          <w:sz w:val="24"/>
          <w:szCs w:val="24"/>
        </w:rPr>
      </w:pPr>
      <w:r w:rsidRPr="00C32946">
        <w:rPr>
          <w:sz w:val="24"/>
          <w:szCs w:val="24"/>
        </w:rPr>
        <w:t xml:space="preserve">Act </w:t>
      </w:r>
      <w:r w:rsidRPr="00D56F6E">
        <w:rPr>
          <w:sz w:val="24"/>
          <w:szCs w:val="24"/>
        </w:rPr>
        <w:t xml:space="preserve">is defined to mean the </w:t>
      </w:r>
      <w:r w:rsidRPr="00D56F6E">
        <w:rPr>
          <w:i/>
          <w:sz w:val="24"/>
          <w:szCs w:val="24"/>
        </w:rPr>
        <w:t>Veterans’ Entitlements Act 1986</w:t>
      </w:r>
      <w:r>
        <w:rPr>
          <w:i/>
          <w:sz w:val="24"/>
          <w:szCs w:val="24"/>
        </w:rPr>
        <w:t>.</w:t>
      </w:r>
    </w:p>
    <w:p w14:paraId="34D1B518" w14:textId="1B905FF5" w:rsidR="00C32946" w:rsidRDefault="00C32946" w:rsidP="00C32946">
      <w:pPr>
        <w:spacing w:after="120"/>
        <w:rPr>
          <w:sz w:val="24"/>
          <w:szCs w:val="24"/>
        </w:rPr>
      </w:pPr>
      <w:r>
        <w:rPr>
          <w:sz w:val="24"/>
          <w:szCs w:val="24"/>
        </w:rPr>
        <w:t>The term “p</w:t>
      </w:r>
      <w:r w:rsidRPr="00C32946">
        <w:rPr>
          <w:sz w:val="24"/>
          <w:szCs w:val="24"/>
        </w:rPr>
        <w:t xml:space="preserve">ayment </w:t>
      </w:r>
      <w:r w:rsidR="000B1BD3" w:rsidRPr="00C32946">
        <w:rPr>
          <w:sz w:val="24"/>
          <w:szCs w:val="24"/>
        </w:rPr>
        <w:t>under the Territories Stolen Generations Redress Scheme</w:t>
      </w:r>
      <w:r>
        <w:rPr>
          <w:sz w:val="24"/>
          <w:szCs w:val="24"/>
        </w:rPr>
        <w:t>”</w:t>
      </w:r>
      <w:r w:rsidR="000B1BD3">
        <w:rPr>
          <w:i/>
          <w:sz w:val="24"/>
          <w:szCs w:val="24"/>
        </w:rPr>
        <w:t xml:space="preserve"> </w:t>
      </w:r>
      <w:r w:rsidR="000B1BD3" w:rsidRPr="00FB264A">
        <w:rPr>
          <w:sz w:val="24"/>
          <w:szCs w:val="24"/>
        </w:rPr>
        <w:t xml:space="preserve">is defined as </w:t>
      </w:r>
      <w:r w:rsidR="000B1BD3" w:rsidRPr="0039441F">
        <w:rPr>
          <w:sz w:val="24"/>
          <w:szCs w:val="24"/>
        </w:rPr>
        <w:t>a payment</w:t>
      </w:r>
      <w:r>
        <w:rPr>
          <w:sz w:val="24"/>
          <w:szCs w:val="24"/>
        </w:rPr>
        <w:t xml:space="preserve"> </w:t>
      </w:r>
      <w:r w:rsidR="000B1BD3">
        <w:rPr>
          <w:sz w:val="24"/>
          <w:szCs w:val="24"/>
        </w:rPr>
        <w:t xml:space="preserve">received by a person </w:t>
      </w:r>
      <w:r w:rsidR="000B1BD3" w:rsidRPr="00D17CEE">
        <w:rPr>
          <w:sz w:val="24"/>
          <w:szCs w:val="24"/>
        </w:rPr>
        <w:t>under the</w:t>
      </w:r>
      <w:r w:rsidR="000B1BD3">
        <w:rPr>
          <w:sz w:val="24"/>
          <w:szCs w:val="24"/>
        </w:rPr>
        <w:t xml:space="preserve"> </w:t>
      </w:r>
      <w:r w:rsidR="000B1BD3" w:rsidRPr="00914FA4">
        <w:rPr>
          <w:sz w:val="24"/>
          <w:szCs w:val="24"/>
        </w:rPr>
        <w:t>Territories Stolen Generations Redress Scheme</w:t>
      </w:r>
      <w:r w:rsidR="000B1BD3" w:rsidRPr="0039441F">
        <w:rPr>
          <w:sz w:val="24"/>
          <w:szCs w:val="24"/>
        </w:rPr>
        <w:t>.</w:t>
      </w:r>
      <w:r>
        <w:rPr>
          <w:sz w:val="24"/>
          <w:szCs w:val="24"/>
        </w:rPr>
        <w:t xml:space="preserve">  The definition of the Scheme adopts the same meaning as provided for under section 3 of the </w:t>
      </w:r>
      <w:r w:rsidRPr="006C3955">
        <w:rPr>
          <w:i/>
          <w:sz w:val="24"/>
          <w:szCs w:val="24"/>
        </w:rPr>
        <w:t>Territories Stolen Generations Redress Scheme (Facilitation) Act 2021</w:t>
      </w:r>
      <w:r>
        <w:rPr>
          <w:sz w:val="24"/>
          <w:szCs w:val="24"/>
        </w:rPr>
        <w:t>.</w:t>
      </w:r>
    </w:p>
    <w:p w14:paraId="0912AEB1" w14:textId="5E817747" w:rsidR="000B1BD3" w:rsidRPr="00FB3FCB" w:rsidRDefault="000B1BD3" w:rsidP="000B1BD3">
      <w:pPr>
        <w:spacing w:after="120"/>
        <w:rPr>
          <w:i/>
          <w:sz w:val="24"/>
          <w:szCs w:val="24"/>
        </w:rPr>
      </w:pPr>
      <w:r>
        <w:rPr>
          <w:sz w:val="24"/>
          <w:szCs w:val="24"/>
        </w:rPr>
        <w:t xml:space="preserve">The other terms that are defined - </w:t>
      </w:r>
      <w:r w:rsidRPr="00C32946">
        <w:rPr>
          <w:sz w:val="24"/>
          <w:szCs w:val="24"/>
        </w:rPr>
        <w:t>income support supplement, service pension and veteran paymen</w:t>
      </w:r>
      <w:r w:rsidRPr="00FB3FCB">
        <w:rPr>
          <w:i/>
          <w:sz w:val="24"/>
          <w:szCs w:val="24"/>
        </w:rPr>
        <w:t xml:space="preserve">t </w:t>
      </w:r>
      <w:r w:rsidRPr="00B72F6E">
        <w:rPr>
          <w:sz w:val="24"/>
          <w:szCs w:val="24"/>
        </w:rPr>
        <w:t>all refer to their VEA</w:t>
      </w:r>
      <w:r w:rsidR="00C32946">
        <w:rPr>
          <w:sz w:val="24"/>
          <w:szCs w:val="24"/>
        </w:rPr>
        <w:t xml:space="preserve"> definitions</w:t>
      </w:r>
      <w:r w:rsidRPr="00B72F6E">
        <w:rPr>
          <w:sz w:val="24"/>
          <w:szCs w:val="24"/>
        </w:rPr>
        <w:t>.</w:t>
      </w:r>
    </w:p>
    <w:p w14:paraId="09F8804C" w14:textId="27C9C080" w:rsidR="00FB264A" w:rsidRPr="00FB264A" w:rsidRDefault="00FB264A" w:rsidP="00FB3FCB">
      <w:pPr>
        <w:spacing w:after="120"/>
        <w:rPr>
          <w:b/>
          <w:sz w:val="24"/>
          <w:szCs w:val="24"/>
        </w:rPr>
      </w:pPr>
      <w:r w:rsidRPr="00FB264A">
        <w:rPr>
          <w:b/>
          <w:sz w:val="24"/>
          <w:szCs w:val="24"/>
        </w:rPr>
        <w:t xml:space="preserve">Section </w:t>
      </w:r>
      <w:r w:rsidR="00830980">
        <w:rPr>
          <w:b/>
          <w:sz w:val="24"/>
          <w:szCs w:val="24"/>
        </w:rPr>
        <w:t>5</w:t>
      </w:r>
      <w:r w:rsidRPr="00FB264A">
        <w:rPr>
          <w:b/>
          <w:sz w:val="24"/>
          <w:szCs w:val="24"/>
        </w:rPr>
        <w:t xml:space="preserve"> </w:t>
      </w:r>
    </w:p>
    <w:p w14:paraId="680FDDA4" w14:textId="26458C97" w:rsidR="00B23248" w:rsidRDefault="00FB264A" w:rsidP="00FB3FCB">
      <w:pPr>
        <w:spacing w:after="120"/>
        <w:rPr>
          <w:sz w:val="24"/>
          <w:szCs w:val="24"/>
        </w:rPr>
      </w:pPr>
      <w:r w:rsidRPr="00FB264A">
        <w:rPr>
          <w:sz w:val="24"/>
          <w:szCs w:val="24"/>
        </w:rPr>
        <w:t xml:space="preserve">This is the operative provision of the determination. It provides that if a person receives </w:t>
      </w:r>
      <w:r w:rsidR="001369E1" w:rsidRPr="00CD737C">
        <w:rPr>
          <w:sz w:val="24"/>
          <w:szCs w:val="24"/>
        </w:rPr>
        <w:t xml:space="preserve">a </w:t>
      </w:r>
      <w:r w:rsidR="0060248C" w:rsidRPr="00CD737C">
        <w:rPr>
          <w:sz w:val="24"/>
          <w:szCs w:val="24"/>
        </w:rPr>
        <w:t xml:space="preserve">payment </w:t>
      </w:r>
      <w:r w:rsidR="00914FA4" w:rsidRPr="00CD737C">
        <w:rPr>
          <w:sz w:val="24"/>
          <w:szCs w:val="24"/>
        </w:rPr>
        <w:t>under</w:t>
      </w:r>
      <w:r w:rsidR="00B23248">
        <w:rPr>
          <w:sz w:val="24"/>
          <w:szCs w:val="24"/>
        </w:rPr>
        <w:t xml:space="preserve"> the</w:t>
      </w:r>
      <w:r w:rsidR="0060248C" w:rsidRPr="00CD737C">
        <w:rPr>
          <w:sz w:val="24"/>
          <w:szCs w:val="24"/>
        </w:rPr>
        <w:t xml:space="preserve"> </w:t>
      </w:r>
      <w:r w:rsidR="00CD737C">
        <w:rPr>
          <w:sz w:val="24"/>
          <w:szCs w:val="24"/>
        </w:rPr>
        <w:t xml:space="preserve">scheme known as </w:t>
      </w:r>
      <w:r w:rsidR="0060248C" w:rsidRPr="00CD737C">
        <w:rPr>
          <w:sz w:val="24"/>
          <w:szCs w:val="24"/>
        </w:rPr>
        <w:t xml:space="preserve">the </w:t>
      </w:r>
      <w:r w:rsidR="00914FA4" w:rsidRPr="00CD737C">
        <w:rPr>
          <w:sz w:val="24"/>
          <w:szCs w:val="24"/>
        </w:rPr>
        <w:t>Territories Stolen Generations Redress Scheme</w:t>
      </w:r>
      <w:r w:rsidR="000B1BD3">
        <w:rPr>
          <w:sz w:val="24"/>
          <w:szCs w:val="24"/>
        </w:rPr>
        <w:t xml:space="preserve"> and the person s eligible for, or in receipt of, a service pension, income support supplement or veteran payment,</w:t>
      </w:r>
      <w:r w:rsidR="00830980">
        <w:rPr>
          <w:sz w:val="24"/>
          <w:szCs w:val="24"/>
        </w:rPr>
        <w:t xml:space="preserve"> </w:t>
      </w:r>
      <w:r w:rsidRPr="00FB264A">
        <w:rPr>
          <w:sz w:val="24"/>
          <w:szCs w:val="24"/>
        </w:rPr>
        <w:t xml:space="preserve">then </w:t>
      </w:r>
      <w:r w:rsidR="001369E1">
        <w:rPr>
          <w:sz w:val="24"/>
          <w:szCs w:val="24"/>
        </w:rPr>
        <w:t>that</w:t>
      </w:r>
      <w:r w:rsidR="001369E1" w:rsidRPr="00FB264A">
        <w:rPr>
          <w:sz w:val="24"/>
          <w:szCs w:val="24"/>
        </w:rPr>
        <w:t xml:space="preserve"> </w:t>
      </w:r>
      <w:r w:rsidRPr="00FB264A">
        <w:rPr>
          <w:sz w:val="24"/>
          <w:szCs w:val="24"/>
        </w:rPr>
        <w:t xml:space="preserve">amount </w:t>
      </w:r>
      <w:r w:rsidR="0060248C">
        <w:rPr>
          <w:sz w:val="24"/>
          <w:szCs w:val="24"/>
        </w:rPr>
        <w:t>is an exempt lump sum.</w:t>
      </w:r>
      <w:r w:rsidR="00CD737C">
        <w:rPr>
          <w:sz w:val="24"/>
          <w:szCs w:val="24"/>
        </w:rPr>
        <w:t xml:space="preserve">  </w:t>
      </w:r>
    </w:p>
    <w:p w14:paraId="1D5E9DFB" w14:textId="7A4299B6" w:rsidR="00FB264A" w:rsidRDefault="00CD737C" w:rsidP="00FB3FCB">
      <w:pPr>
        <w:spacing w:after="120"/>
        <w:rPr>
          <w:sz w:val="24"/>
          <w:szCs w:val="24"/>
        </w:rPr>
      </w:pPr>
      <w:r>
        <w:rPr>
          <w:sz w:val="24"/>
          <w:szCs w:val="24"/>
        </w:rPr>
        <w:t>The expression ‘the scheme known as the Territories Stolen Generation Redress Scheme’ mirrors the wording used to describe the scheme in new paragraph 5H(8)(mc) to be inserted into the VEA by the Consequentials Act.</w:t>
      </w:r>
    </w:p>
    <w:p w14:paraId="74BA4576" w14:textId="552F4C0E" w:rsidR="00CD737C" w:rsidRPr="00FB264A" w:rsidRDefault="00B23248" w:rsidP="00FB3FCB">
      <w:pPr>
        <w:spacing w:after="120"/>
        <w:rPr>
          <w:sz w:val="24"/>
          <w:szCs w:val="24"/>
        </w:rPr>
      </w:pPr>
      <w:r>
        <w:rPr>
          <w:sz w:val="24"/>
          <w:szCs w:val="24"/>
        </w:rPr>
        <w:t xml:space="preserve">Section </w:t>
      </w:r>
      <w:r w:rsidR="00830980">
        <w:rPr>
          <w:sz w:val="24"/>
          <w:szCs w:val="24"/>
        </w:rPr>
        <w:t>5</w:t>
      </w:r>
      <w:r>
        <w:rPr>
          <w:sz w:val="24"/>
          <w:szCs w:val="24"/>
        </w:rPr>
        <w:t xml:space="preserve"> </w:t>
      </w:r>
      <w:r w:rsidR="00CD737C">
        <w:rPr>
          <w:sz w:val="24"/>
          <w:szCs w:val="24"/>
        </w:rPr>
        <w:t>has the effect that payments received under t</w:t>
      </w:r>
      <w:r>
        <w:rPr>
          <w:sz w:val="24"/>
          <w:szCs w:val="24"/>
        </w:rPr>
        <w:t>he Scheme will not be counted</w:t>
      </w:r>
      <w:r w:rsidR="00CD737C">
        <w:rPr>
          <w:sz w:val="24"/>
          <w:szCs w:val="24"/>
        </w:rPr>
        <w:t xml:space="preserve"> in determining a person’s ‘ordinary income’ for the</w:t>
      </w:r>
      <w:r>
        <w:rPr>
          <w:sz w:val="24"/>
          <w:szCs w:val="24"/>
        </w:rPr>
        <w:t xml:space="preserve"> purposes of </w:t>
      </w:r>
      <w:r w:rsidR="000B1BD3">
        <w:rPr>
          <w:sz w:val="24"/>
          <w:szCs w:val="24"/>
        </w:rPr>
        <w:t xml:space="preserve">subsection 5H(1) of </w:t>
      </w:r>
      <w:r>
        <w:rPr>
          <w:sz w:val="24"/>
          <w:szCs w:val="24"/>
        </w:rPr>
        <w:t>the</w:t>
      </w:r>
      <w:r w:rsidR="00CD737C">
        <w:rPr>
          <w:sz w:val="24"/>
          <w:szCs w:val="24"/>
        </w:rPr>
        <w:t xml:space="preserve"> VEA. </w:t>
      </w:r>
    </w:p>
    <w:p w14:paraId="34D2A953" w14:textId="77777777" w:rsidR="00FB264A" w:rsidRDefault="00FB264A">
      <w:pPr>
        <w:rPr>
          <w:b/>
          <w:color w:val="000000"/>
          <w:sz w:val="24"/>
          <w:szCs w:val="24"/>
        </w:rPr>
      </w:pPr>
    </w:p>
    <w:p w14:paraId="2E0E319E" w14:textId="719236F0" w:rsidR="00FB264A" w:rsidRDefault="00FB264A">
      <w:pPr>
        <w:rPr>
          <w:b/>
          <w:color w:val="000000"/>
          <w:sz w:val="24"/>
          <w:szCs w:val="24"/>
        </w:rPr>
      </w:pPr>
    </w:p>
    <w:p w14:paraId="11528C67" w14:textId="77777777" w:rsidR="00FB264A" w:rsidRPr="005F4824" w:rsidRDefault="00FB264A">
      <w:pPr>
        <w:rPr>
          <w:b/>
          <w:color w:val="000000"/>
          <w:sz w:val="24"/>
          <w:szCs w:val="24"/>
        </w:rPr>
      </w:pPr>
    </w:p>
    <w:sectPr w:rsidR="00FB264A" w:rsidRPr="005F482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B2803" w14:textId="77777777" w:rsidR="00DE2BC9" w:rsidRDefault="00DE2BC9" w:rsidP="004425E2">
      <w:r>
        <w:separator/>
      </w:r>
    </w:p>
  </w:endnote>
  <w:endnote w:type="continuationSeparator" w:id="0">
    <w:p w14:paraId="513200DB" w14:textId="77777777" w:rsidR="00DE2BC9" w:rsidRDefault="00DE2BC9" w:rsidP="0044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0636" w14:textId="77777777" w:rsidR="004425E2" w:rsidRDefault="00442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41F7" w14:textId="77777777" w:rsidR="004425E2" w:rsidRDefault="00442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154C9" w14:textId="77777777" w:rsidR="004425E2" w:rsidRDefault="00442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0BD3F" w14:textId="77777777" w:rsidR="00DE2BC9" w:rsidRDefault="00DE2BC9" w:rsidP="004425E2">
      <w:r>
        <w:separator/>
      </w:r>
    </w:p>
  </w:footnote>
  <w:footnote w:type="continuationSeparator" w:id="0">
    <w:p w14:paraId="7F07855C" w14:textId="77777777" w:rsidR="00DE2BC9" w:rsidRDefault="00DE2BC9" w:rsidP="00442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B888B" w14:textId="77777777" w:rsidR="004425E2" w:rsidRDefault="00442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7D625" w14:textId="6A633956" w:rsidR="004425E2" w:rsidRDefault="00442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A962" w14:textId="77777777" w:rsidR="004425E2" w:rsidRDefault="00442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1CB1"/>
    <w:multiLevelType w:val="hybridMultilevel"/>
    <w:tmpl w:val="A6BC0F1E"/>
    <w:lvl w:ilvl="0" w:tplc="2CEA75BE">
      <w:start w:val="1"/>
      <w:numFmt w:val="decimal"/>
      <w:lvlText w:val="%1."/>
      <w:lvlJc w:val="left"/>
      <w:pPr>
        <w:ind w:left="720" w:hanging="360"/>
      </w:pPr>
      <w:rPr>
        <w:rFonts w:ascii="Times New Roman" w:hAnsi="Times New Roman" w:cs="Times New Roman" w:hint="default"/>
        <w:color w:val="000000" w:themeColor="text1"/>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5C"/>
    <w:rsid w:val="00002A99"/>
    <w:rsid w:val="00003003"/>
    <w:rsid w:val="00040A98"/>
    <w:rsid w:val="000905D6"/>
    <w:rsid w:val="000B1BD3"/>
    <w:rsid w:val="000C15C6"/>
    <w:rsid w:val="000E3457"/>
    <w:rsid w:val="000E6F08"/>
    <w:rsid w:val="001136AC"/>
    <w:rsid w:val="001226AC"/>
    <w:rsid w:val="0012472A"/>
    <w:rsid w:val="00127C8B"/>
    <w:rsid w:val="001339AB"/>
    <w:rsid w:val="001369E1"/>
    <w:rsid w:val="001707E7"/>
    <w:rsid w:val="001A4F1F"/>
    <w:rsid w:val="001D1794"/>
    <w:rsid w:val="001F2D63"/>
    <w:rsid w:val="00203994"/>
    <w:rsid w:val="002055A9"/>
    <w:rsid w:val="00251C92"/>
    <w:rsid w:val="00267CAE"/>
    <w:rsid w:val="00294DE0"/>
    <w:rsid w:val="002A3154"/>
    <w:rsid w:val="00327485"/>
    <w:rsid w:val="00332617"/>
    <w:rsid w:val="00337EED"/>
    <w:rsid w:val="003505BD"/>
    <w:rsid w:val="00377F9E"/>
    <w:rsid w:val="0039441F"/>
    <w:rsid w:val="003B5B2F"/>
    <w:rsid w:val="003E5F1C"/>
    <w:rsid w:val="003E6FDF"/>
    <w:rsid w:val="003F67BB"/>
    <w:rsid w:val="00403544"/>
    <w:rsid w:val="00406B2D"/>
    <w:rsid w:val="0042137C"/>
    <w:rsid w:val="00425FA7"/>
    <w:rsid w:val="004271DA"/>
    <w:rsid w:val="004425E2"/>
    <w:rsid w:val="00452F67"/>
    <w:rsid w:val="00477488"/>
    <w:rsid w:val="004D7E26"/>
    <w:rsid w:val="004E20AA"/>
    <w:rsid w:val="004E7B4F"/>
    <w:rsid w:val="004F5D18"/>
    <w:rsid w:val="00541426"/>
    <w:rsid w:val="005600AE"/>
    <w:rsid w:val="005823DF"/>
    <w:rsid w:val="00584B54"/>
    <w:rsid w:val="00585304"/>
    <w:rsid w:val="00592989"/>
    <w:rsid w:val="00596D7B"/>
    <w:rsid w:val="005D3290"/>
    <w:rsid w:val="005E01FD"/>
    <w:rsid w:val="005F23E6"/>
    <w:rsid w:val="005F4824"/>
    <w:rsid w:val="0060248C"/>
    <w:rsid w:val="0062332C"/>
    <w:rsid w:val="006543B5"/>
    <w:rsid w:val="006555B5"/>
    <w:rsid w:val="0069295C"/>
    <w:rsid w:val="006E1F34"/>
    <w:rsid w:val="006F38C3"/>
    <w:rsid w:val="006F60DF"/>
    <w:rsid w:val="007526D0"/>
    <w:rsid w:val="00752C9D"/>
    <w:rsid w:val="00755433"/>
    <w:rsid w:val="007A4F8A"/>
    <w:rsid w:val="007A56BE"/>
    <w:rsid w:val="008262C6"/>
    <w:rsid w:val="00830980"/>
    <w:rsid w:val="00837CEE"/>
    <w:rsid w:val="008530C1"/>
    <w:rsid w:val="00853456"/>
    <w:rsid w:val="008644EC"/>
    <w:rsid w:val="00875F95"/>
    <w:rsid w:val="008B5958"/>
    <w:rsid w:val="008B6364"/>
    <w:rsid w:val="008E3B13"/>
    <w:rsid w:val="00914FA4"/>
    <w:rsid w:val="00921AC5"/>
    <w:rsid w:val="00963336"/>
    <w:rsid w:val="0099017F"/>
    <w:rsid w:val="00990AAB"/>
    <w:rsid w:val="009A3A6C"/>
    <w:rsid w:val="00A16EC6"/>
    <w:rsid w:val="00A41598"/>
    <w:rsid w:val="00A56123"/>
    <w:rsid w:val="00A7233C"/>
    <w:rsid w:val="00AB5D3C"/>
    <w:rsid w:val="00AD10B1"/>
    <w:rsid w:val="00B23248"/>
    <w:rsid w:val="00B254F9"/>
    <w:rsid w:val="00B57408"/>
    <w:rsid w:val="00B72F6E"/>
    <w:rsid w:val="00B80D5A"/>
    <w:rsid w:val="00C32946"/>
    <w:rsid w:val="00C8775D"/>
    <w:rsid w:val="00CA1436"/>
    <w:rsid w:val="00CA293C"/>
    <w:rsid w:val="00CD737C"/>
    <w:rsid w:val="00CE05FA"/>
    <w:rsid w:val="00CF0A53"/>
    <w:rsid w:val="00D17CEE"/>
    <w:rsid w:val="00D22791"/>
    <w:rsid w:val="00D348EE"/>
    <w:rsid w:val="00D378A7"/>
    <w:rsid w:val="00D45D43"/>
    <w:rsid w:val="00D56F6E"/>
    <w:rsid w:val="00D60AAA"/>
    <w:rsid w:val="00D752B3"/>
    <w:rsid w:val="00D84834"/>
    <w:rsid w:val="00DB5B37"/>
    <w:rsid w:val="00DE2BC9"/>
    <w:rsid w:val="00DF0FC4"/>
    <w:rsid w:val="00E5677F"/>
    <w:rsid w:val="00E92DC0"/>
    <w:rsid w:val="00E9411C"/>
    <w:rsid w:val="00EA177B"/>
    <w:rsid w:val="00EE49AC"/>
    <w:rsid w:val="00EF1625"/>
    <w:rsid w:val="00F21919"/>
    <w:rsid w:val="00F22E27"/>
    <w:rsid w:val="00F36EAA"/>
    <w:rsid w:val="00F64C9D"/>
    <w:rsid w:val="00F92B99"/>
    <w:rsid w:val="00FB264A"/>
    <w:rsid w:val="00FB3A38"/>
    <w:rsid w:val="00FB3FCB"/>
    <w:rsid w:val="00FB7350"/>
    <w:rsid w:val="00FC0707"/>
    <w:rsid w:val="00FF3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6AEBEB"/>
  <w15:chartTrackingRefBased/>
  <w15:docId w15:val="{E3A7AAB9-A2BA-41E7-AB30-AEF44BB2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95C"/>
    <w:pPr>
      <w:spacing w:after="0" w:line="240" w:lineRule="auto"/>
    </w:pPr>
    <w:rPr>
      <w:rFonts w:ascii="Times New Roman" w:eastAsia="Times New Roman" w:hAnsi="Times New Roman" w:cs="Times New Roman"/>
      <w:sz w:val="20"/>
      <w:szCs w:val="20"/>
      <w:lang w:eastAsia="en-AU"/>
    </w:rPr>
  </w:style>
  <w:style w:type="paragraph" w:styleId="Heading5">
    <w:name w:val="heading 5"/>
    <w:basedOn w:val="Normal"/>
    <w:next w:val="Normal"/>
    <w:link w:val="Heading5Char"/>
    <w:qFormat/>
    <w:rsid w:val="0069295C"/>
    <w:pPr>
      <w:keepNext/>
      <w:ind w:left="720" w:firstLine="840"/>
      <w:outlineLvl w:val="4"/>
    </w:pPr>
    <w:rPr>
      <w:b/>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9295C"/>
    <w:rPr>
      <w:rFonts w:ascii="Times New Roman" w:eastAsia="Times New Roman" w:hAnsi="Times New Roman" w:cs="Times New Roman"/>
      <w:b/>
      <w:color w:val="000000"/>
      <w:sz w:val="32"/>
      <w:szCs w:val="32"/>
      <w:lang w:eastAsia="en-AU"/>
    </w:rPr>
  </w:style>
  <w:style w:type="paragraph" w:styleId="NormalWeb">
    <w:name w:val="Normal (Web)"/>
    <w:basedOn w:val="Normal"/>
    <w:uiPriority w:val="99"/>
    <w:rsid w:val="0069295C"/>
    <w:pPr>
      <w:spacing w:before="100" w:beforeAutospacing="1" w:after="100" w:afterAutospacing="1"/>
    </w:pPr>
    <w:rPr>
      <w:sz w:val="24"/>
      <w:szCs w:val="24"/>
    </w:rPr>
  </w:style>
  <w:style w:type="paragraph" w:customStyle="1" w:styleId="Normal1">
    <w:name w:val="Normal1"/>
    <w:basedOn w:val="Normal"/>
    <w:link w:val="normalChar"/>
    <w:rsid w:val="0069295C"/>
    <w:pPr>
      <w:spacing w:before="100" w:beforeAutospacing="1" w:after="100" w:afterAutospacing="1"/>
    </w:pPr>
    <w:rPr>
      <w:sz w:val="24"/>
      <w:szCs w:val="24"/>
      <w:lang w:val="en-US" w:eastAsia="en-US"/>
    </w:rPr>
  </w:style>
  <w:style w:type="character" w:customStyle="1" w:styleId="normalChar">
    <w:name w:val="normal Char"/>
    <w:link w:val="Normal1"/>
    <w:locked/>
    <w:rsid w:val="0069295C"/>
    <w:rPr>
      <w:rFonts w:ascii="Times New Roman" w:eastAsia="Times New Roman" w:hAnsi="Times New Roman" w:cs="Times New Roman"/>
      <w:sz w:val="24"/>
      <w:szCs w:val="24"/>
      <w:lang w:val="en-US"/>
    </w:rPr>
  </w:style>
  <w:style w:type="paragraph" w:customStyle="1" w:styleId="Default">
    <w:name w:val="Default"/>
    <w:rsid w:val="0069295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rsid w:val="0069295C"/>
    <w:rPr>
      <w:strike w:val="0"/>
      <w:dstrike w:val="0"/>
      <w:color w:val="0072BC"/>
      <w:u w:val="none"/>
      <w:effect w:val="none"/>
    </w:rPr>
  </w:style>
  <w:style w:type="character" w:styleId="CommentReference">
    <w:name w:val="annotation reference"/>
    <w:basedOn w:val="DefaultParagraphFont"/>
    <w:uiPriority w:val="99"/>
    <w:semiHidden/>
    <w:unhideWhenUsed/>
    <w:rsid w:val="000E6F08"/>
    <w:rPr>
      <w:sz w:val="16"/>
      <w:szCs w:val="16"/>
    </w:rPr>
  </w:style>
  <w:style w:type="paragraph" w:styleId="CommentText">
    <w:name w:val="annotation text"/>
    <w:basedOn w:val="Normal"/>
    <w:link w:val="CommentTextChar"/>
    <w:uiPriority w:val="99"/>
    <w:semiHidden/>
    <w:unhideWhenUsed/>
    <w:rsid w:val="000E6F08"/>
  </w:style>
  <w:style w:type="character" w:customStyle="1" w:styleId="CommentTextChar">
    <w:name w:val="Comment Text Char"/>
    <w:basedOn w:val="DefaultParagraphFont"/>
    <w:link w:val="CommentText"/>
    <w:uiPriority w:val="99"/>
    <w:semiHidden/>
    <w:rsid w:val="000E6F0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E6F08"/>
    <w:rPr>
      <w:b/>
      <w:bCs/>
    </w:rPr>
  </w:style>
  <w:style w:type="character" w:customStyle="1" w:styleId="CommentSubjectChar">
    <w:name w:val="Comment Subject Char"/>
    <w:basedOn w:val="CommentTextChar"/>
    <w:link w:val="CommentSubject"/>
    <w:uiPriority w:val="99"/>
    <w:semiHidden/>
    <w:rsid w:val="000E6F08"/>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E6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F08"/>
    <w:rPr>
      <w:rFonts w:ascii="Segoe UI" w:eastAsia="Times New Roman" w:hAnsi="Segoe UI" w:cs="Segoe UI"/>
      <w:sz w:val="18"/>
      <w:szCs w:val="18"/>
      <w:lang w:eastAsia="en-AU"/>
    </w:rPr>
  </w:style>
  <w:style w:type="paragraph" w:styleId="ListParagraph">
    <w:name w:val="List Paragraph"/>
    <w:basedOn w:val="Normal"/>
    <w:uiPriority w:val="34"/>
    <w:qFormat/>
    <w:rsid w:val="003E5F1C"/>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4425E2"/>
    <w:pPr>
      <w:tabs>
        <w:tab w:val="center" w:pos="4513"/>
        <w:tab w:val="right" w:pos="9026"/>
      </w:tabs>
    </w:pPr>
  </w:style>
  <w:style w:type="character" w:customStyle="1" w:styleId="HeaderChar">
    <w:name w:val="Header Char"/>
    <w:basedOn w:val="DefaultParagraphFont"/>
    <w:link w:val="Header"/>
    <w:uiPriority w:val="99"/>
    <w:rsid w:val="004425E2"/>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4425E2"/>
    <w:pPr>
      <w:tabs>
        <w:tab w:val="center" w:pos="4513"/>
        <w:tab w:val="right" w:pos="9026"/>
      </w:tabs>
    </w:pPr>
  </w:style>
  <w:style w:type="character" w:customStyle="1" w:styleId="FooterChar">
    <w:name w:val="Footer Char"/>
    <w:basedOn w:val="DefaultParagraphFont"/>
    <w:link w:val="Footer"/>
    <w:uiPriority w:val="99"/>
    <w:rsid w:val="004425E2"/>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dfat.gov.au/Info/Treaties/treaties.nsf/AllDocIDs/CFB1E23A1297FFE8CA256B4C000C26B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nfo.dfat.gov.au/Info/Treaties/treaties.nsf/AllDocIDs/CFB1E23A1297FFE8CA256B4C000C26B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7419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Halifax</dc:creator>
  <cp:keywords/>
  <dc:description/>
  <cp:lastModifiedBy>De Wolfe, Paul</cp:lastModifiedBy>
  <cp:revision>2</cp:revision>
  <cp:lastPrinted>2021-02-01T22:06:00Z</cp:lastPrinted>
  <dcterms:created xsi:type="dcterms:W3CDTF">2022-02-10T03:56:00Z</dcterms:created>
  <dcterms:modified xsi:type="dcterms:W3CDTF">2022-02-10T03:56:00Z</dcterms:modified>
</cp:coreProperties>
</file>