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AFF60" w14:textId="77777777" w:rsidR="008F5CFE" w:rsidRPr="00253D8F" w:rsidRDefault="008F5CFE" w:rsidP="008F5CFE">
      <w:pPr>
        <w:jc w:val="center"/>
        <w:rPr>
          <w:szCs w:val="24"/>
          <w:u w:val="single"/>
        </w:rPr>
      </w:pPr>
      <w:r w:rsidRPr="00253D8F">
        <w:rPr>
          <w:szCs w:val="24"/>
          <w:u w:val="single"/>
        </w:rPr>
        <w:t>EXPLANATORY STATEMENT</w:t>
      </w:r>
    </w:p>
    <w:p w14:paraId="4DE3C6D6" w14:textId="77777777" w:rsidR="008F5CFE" w:rsidRPr="00253D8F" w:rsidRDefault="008F5CFE" w:rsidP="006910FE">
      <w:pPr>
        <w:rPr>
          <w:szCs w:val="24"/>
        </w:rPr>
      </w:pPr>
    </w:p>
    <w:p w14:paraId="364FEC17" w14:textId="77777777" w:rsidR="003A149A" w:rsidRPr="00253D8F" w:rsidRDefault="003A149A" w:rsidP="006910FE">
      <w:pPr>
        <w:jc w:val="center"/>
        <w:rPr>
          <w:i/>
          <w:szCs w:val="24"/>
        </w:rPr>
      </w:pPr>
      <w:r w:rsidRPr="00253D8F">
        <w:rPr>
          <w:i/>
          <w:szCs w:val="24"/>
        </w:rPr>
        <w:t>Biosecurity Act 2015</w:t>
      </w:r>
    </w:p>
    <w:p w14:paraId="3320FADC" w14:textId="77777777" w:rsidR="003A149A" w:rsidRPr="00253D8F" w:rsidRDefault="003A149A" w:rsidP="006910FE">
      <w:pPr>
        <w:jc w:val="center"/>
        <w:rPr>
          <w:i/>
          <w:szCs w:val="24"/>
        </w:rPr>
      </w:pPr>
    </w:p>
    <w:p w14:paraId="13448EDC" w14:textId="75F635FD" w:rsidR="003A149A" w:rsidRPr="00253D8F" w:rsidRDefault="003A149A" w:rsidP="00193E7B">
      <w:pPr>
        <w:jc w:val="center"/>
        <w:rPr>
          <w:b/>
          <w:i/>
          <w:szCs w:val="24"/>
        </w:rPr>
      </w:pPr>
      <w:r w:rsidRPr="00253D8F">
        <w:rPr>
          <w:b/>
          <w:i/>
          <w:szCs w:val="24"/>
        </w:rPr>
        <w:t xml:space="preserve">Biosecurity (Human Biosecurity Emergency) (Human Coronavirus with Pandemic Potential) </w:t>
      </w:r>
      <w:r w:rsidR="00F249F1" w:rsidRPr="00253D8F">
        <w:rPr>
          <w:b/>
          <w:i/>
          <w:szCs w:val="24"/>
        </w:rPr>
        <w:t>Variation (Extension</w:t>
      </w:r>
      <w:r w:rsidR="007B162F" w:rsidRPr="00253D8F">
        <w:rPr>
          <w:b/>
          <w:i/>
          <w:szCs w:val="24"/>
        </w:rPr>
        <w:t xml:space="preserve"> No.</w:t>
      </w:r>
      <w:r w:rsidR="004D77A9" w:rsidRPr="00253D8F">
        <w:rPr>
          <w:b/>
          <w:i/>
          <w:szCs w:val="24"/>
        </w:rPr>
        <w:t> 1</w:t>
      </w:r>
      <w:r w:rsidR="00F249F1" w:rsidRPr="00253D8F">
        <w:rPr>
          <w:b/>
          <w:i/>
          <w:szCs w:val="24"/>
        </w:rPr>
        <w:t>) Instrument</w:t>
      </w:r>
      <w:r w:rsidR="008C7B12" w:rsidRPr="00253D8F">
        <w:rPr>
          <w:b/>
          <w:i/>
          <w:szCs w:val="24"/>
        </w:rPr>
        <w:t xml:space="preserve"> </w:t>
      </w:r>
      <w:r w:rsidR="005A6DDC" w:rsidRPr="00253D8F">
        <w:rPr>
          <w:b/>
          <w:i/>
          <w:szCs w:val="24"/>
        </w:rPr>
        <w:t>202</w:t>
      </w:r>
      <w:r w:rsidR="004D77A9" w:rsidRPr="00253D8F">
        <w:rPr>
          <w:b/>
          <w:i/>
          <w:szCs w:val="24"/>
        </w:rPr>
        <w:t>2</w:t>
      </w:r>
    </w:p>
    <w:p w14:paraId="48294598" w14:textId="77777777" w:rsidR="00A03819" w:rsidRPr="00253D8F" w:rsidRDefault="00A03819" w:rsidP="003A149A">
      <w:pPr>
        <w:jc w:val="center"/>
        <w:rPr>
          <w:b/>
          <w:szCs w:val="24"/>
        </w:rPr>
      </w:pPr>
    </w:p>
    <w:p w14:paraId="725FB07B" w14:textId="77777777" w:rsidR="00562A47" w:rsidRPr="00253D8F" w:rsidRDefault="00FA15B3" w:rsidP="00074036">
      <w:pPr>
        <w:pStyle w:val="NoSpacing"/>
        <w:rPr>
          <w:szCs w:val="24"/>
        </w:rPr>
      </w:pPr>
      <w:r w:rsidRPr="00253D8F">
        <w:rPr>
          <w:szCs w:val="24"/>
        </w:rPr>
        <w:t xml:space="preserve">The </w:t>
      </w:r>
      <w:r w:rsidRPr="00253D8F">
        <w:rPr>
          <w:i/>
          <w:szCs w:val="24"/>
        </w:rPr>
        <w:t>Biosecurity (Human Biosecurity Emergency) (Human Coronavirus with Pandemic Potential) Declaration 2020</w:t>
      </w:r>
      <w:r w:rsidRPr="00253D8F">
        <w:rPr>
          <w:szCs w:val="24"/>
        </w:rPr>
        <w:t xml:space="preserve"> (the Declaration) </w:t>
      </w:r>
      <w:r w:rsidR="008C7B12" w:rsidRPr="00253D8F">
        <w:rPr>
          <w:szCs w:val="24"/>
        </w:rPr>
        <w:t>was</w:t>
      </w:r>
      <w:r w:rsidRPr="00253D8F">
        <w:rPr>
          <w:szCs w:val="24"/>
        </w:rPr>
        <w:t xml:space="preserve"> made </w:t>
      </w:r>
      <w:r w:rsidR="00562A47" w:rsidRPr="00253D8F">
        <w:rPr>
          <w:szCs w:val="24"/>
        </w:rPr>
        <w:t xml:space="preserve">on 18 March 2020 </w:t>
      </w:r>
      <w:r w:rsidRPr="00253D8F">
        <w:rPr>
          <w:szCs w:val="24"/>
        </w:rPr>
        <w:t xml:space="preserve">pursuant to section 475 of the </w:t>
      </w:r>
      <w:r w:rsidRPr="00253D8F">
        <w:rPr>
          <w:i/>
          <w:szCs w:val="24"/>
        </w:rPr>
        <w:t>Biosecurity Act 2015</w:t>
      </w:r>
      <w:r w:rsidRPr="00253D8F">
        <w:rPr>
          <w:szCs w:val="24"/>
        </w:rPr>
        <w:t xml:space="preserve"> (the Act), and declares that a human biosecurity emergency exists regarding the listed human disease ‘human coronavirus with pandemic potential’ (COVID</w:t>
      </w:r>
      <w:r w:rsidR="006B5AC9" w:rsidRPr="00253D8F">
        <w:rPr>
          <w:szCs w:val="24"/>
        </w:rPr>
        <w:t>-</w:t>
      </w:r>
      <w:r w:rsidRPr="00253D8F">
        <w:rPr>
          <w:szCs w:val="24"/>
        </w:rPr>
        <w:t xml:space="preserve">19). </w:t>
      </w:r>
      <w:r w:rsidR="00562A47" w:rsidRPr="00253D8F">
        <w:rPr>
          <w:szCs w:val="24"/>
        </w:rPr>
        <w:t xml:space="preserve">COVID-19 is a ‘declaration listed human disease’ for the purposes of the Act. </w:t>
      </w:r>
    </w:p>
    <w:p w14:paraId="5C025DD6" w14:textId="77777777" w:rsidR="00562A47" w:rsidRPr="00253D8F" w:rsidRDefault="00562A47" w:rsidP="00074036">
      <w:pPr>
        <w:pStyle w:val="NoSpacing"/>
        <w:rPr>
          <w:szCs w:val="24"/>
        </w:rPr>
      </w:pPr>
    </w:p>
    <w:p w14:paraId="61D6BE05" w14:textId="7AAD91AF" w:rsidR="00057791" w:rsidRPr="00253D8F" w:rsidRDefault="00057791" w:rsidP="00074036">
      <w:pPr>
        <w:pStyle w:val="NoSpacing"/>
      </w:pPr>
      <w:r w:rsidRPr="00253D8F">
        <w:rPr>
          <w:szCs w:val="24"/>
        </w:rPr>
        <w:t xml:space="preserve">Section 476 of the </w:t>
      </w:r>
      <w:r w:rsidR="00396481" w:rsidRPr="00253D8F">
        <w:rPr>
          <w:szCs w:val="24"/>
        </w:rPr>
        <w:t>Act</w:t>
      </w:r>
      <w:r w:rsidRPr="00253D8F">
        <w:rPr>
          <w:szCs w:val="24"/>
        </w:rPr>
        <w:t xml:space="preserve"> provides that the Governor-General may vary a human biosecurity emergency declaration to extend the human biosecurity emergency period for a period of up to </w:t>
      </w:r>
      <w:r w:rsidR="00575D0E" w:rsidRPr="00253D8F">
        <w:rPr>
          <w:szCs w:val="24"/>
        </w:rPr>
        <w:t>three</w:t>
      </w:r>
      <w:r w:rsidRPr="00253D8F">
        <w:t xml:space="preserve"> </w:t>
      </w:r>
      <w:r w:rsidRPr="00253D8F">
        <w:rPr>
          <w:szCs w:val="24"/>
        </w:rPr>
        <w:t xml:space="preserve">months if the </w:t>
      </w:r>
      <w:r w:rsidR="00345A40" w:rsidRPr="00253D8F">
        <w:rPr>
          <w:szCs w:val="24"/>
        </w:rPr>
        <w:t>Health Minister</w:t>
      </w:r>
      <w:r w:rsidRPr="00253D8F">
        <w:rPr>
          <w:szCs w:val="24"/>
        </w:rPr>
        <w:t xml:space="preserve"> is satisfied </w:t>
      </w:r>
      <w:r w:rsidR="001D77AC" w:rsidRPr="00253D8F">
        <w:rPr>
          <w:szCs w:val="24"/>
        </w:rPr>
        <w:t xml:space="preserve">the </w:t>
      </w:r>
      <w:r w:rsidRPr="00253D8F">
        <w:rPr>
          <w:szCs w:val="24"/>
        </w:rPr>
        <w:t>listed human disease is continuing to pose a severe and immediate threat, or is continuing to cause harm, to human health on a nationally significant scale, and the extension is necessary to prevent or control the entry</w:t>
      </w:r>
      <w:r w:rsidR="001C454E" w:rsidRPr="00253D8F">
        <w:rPr>
          <w:szCs w:val="24"/>
        </w:rPr>
        <w:t xml:space="preserve"> into</w:t>
      </w:r>
      <w:r w:rsidRPr="00253D8F">
        <w:rPr>
          <w:szCs w:val="24"/>
        </w:rPr>
        <w:t>,</w:t>
      </w:r>
      <w:r w:rsidR="00D56E2D" w:rsidRPr="00253D8F">
        <w:rPr>
          <w:szCs w:val="24"/>
        </w:rPr>
        <w:t xml:space="preserve"> </w:t>
      </w:r>
      <w:r w:rsidR="000A549D" w:rsidRPr="00253D8F">
        <w:rPr>
          <w:szCs w:val="24"/>
        </w:rPr>
        <w:t xml:space="preserve">or the </w:t>
      </w:r>
      <w:r w:rsidRPr="00253D8F">
        <w:rPr>
          <w:szCs w:val="24"/>
        </w:rPr>
        <w:t>emergence, establishment or spread of the</w:t>
      </w:r>
      <w:r w:rsidR="001D77AC" w:rsidRPr="00253D8F">
        <w:rPr>
          <w:szCs w:val="24"/>
        </w:rPr>
        <w:t xml:space="preserve"> </w:t>
      </w:r>
      <w:r w:rsidRPr="00253D8F">
        <w:rPr>
          <w:szCs w:val="24"/>
        </w:rPr>
        <w:t>listed human disease in Australian territory or a part of Australian territory.</w:t>
      </w:r>
      <w:r w:rsidR="008C7B12" w:rsidRPr="00253D8F">
        <w:rPr>
          <w:szCs w:val="24"/>
        </w:rPr>
        <w:t xml:space="preserve"> The Governor-General may extend a human biosecurity emergency period more</w:t>
      </w:r>
      <w:r w:rsidR="008C7B12" w:rsidRPr="00253D8F">
        <w:t xml:space="preserve"> than once. </w:t>
      </w:r>
      <w:r w:rsidR="00562A47" w:rsidRPr="00253D8F">
        <w:rPr>
          <w:szCs w:val="24"/>
        </w:rPr>
        <w:t xml:space="preserve">On </w:t>
      </w:r>
      <w:r w:rsidR="004D77A9" w:rsidRPr="00253D8F">
        <w:rPr>
          <w:szCs w:val="24"/>
        </w:rPr>
        <w:t>11 December </w:t>
      </w:r>
      <w:r w:rsidR="00562A47" w:rsidRPr="00253D8F">
        <w:rPr>
          <w:szCs w:val="24"/>
        </w:rPr>
        <w:t xml:space="preserve">2021, the Governor-General extended the human biosecurity emergency period for a further </w:t>
      </w:r>
      <w:r w:rsidR="004D77A9" w:rsidRPr="00253D8F">
        <w:rPr>
          <w:szCs w:val="24"/>
        </w:rPr>
        <w:t>two</w:t>
      </w:r>
      <w:r w:rsidR="00562A47" w:rsidRPr="00253D8F">
        <w:rPr>
          <w:szCs w:val="24"/>
        </w:rPr>
        <w:t xml:space="preserve"> months to 17</w:t>
      </w:r>
      <w:r w:rsidR="004D77A9" w:rsidRPr="00253D8F">
        <w:rPr>
          <w:szCs w:val="24"/>
        </w:rPr>
        <w:t> February </w:t>
      </w:r>
      <w:r w:rsidR="00562A47" w:rsidRPr="00253D8F">
        <w:rPr>
          <w:szCs w:val="24"/>
        </w:rPr>
        <w:t>202</w:t>
      </w:r>
      <w:r w:rsidR="004D77A9" w:rsidRPr="00253D8F">
        <w:rPr>
          <w:szCs w:val="24"/>
        </w:rPr>
        <w:t>2</w:t>
      </w:r>
      <w:r w:rsidR="00562A47" w:rsidRPr="00253D8F">
        <w:rPr>
          <w:szCs w:val="24"/>
        </w:rPr>
        <w:t>.</w:t>
      </w:r>
    </w:p>
    <w:p w14:paraId="0644B982" w14:textId="77777777" w:rsidR="00057791" w:rsidRPr="00253D8F" w:rsidRDefault="00057791" w:rsidP="00BB3148">
      <w:pPr>
        <w:pStyle w:val="NoSpacing"/>
        <w:jc w:val="both"/>
      </w:pPr>
    </w:p>
    <w:p w14:paraId="158D7517" w14:textId="25932227" w:rsidR="00057791" w:rsidRPr="00253D8F" w:rsidRDefault="00057791" w:rsidP="00074036">
      <w:pPr>
        <w:pStyle w:val="NoSpacing"/>
        <w:rPr>
          <w:szCs w:val="24"/>
        </w:rPr>
      </w:pPr>
      <w:r w:rsidRPr="00253D8F">
        <w:rPr>
          <w:szCs w:val="24"/>
        </w:rPr>
        <w:t>The Minister</w:t>
      </w:r>
      <w:r w:rsidR="00F02396" w:rsidRPr="00253D8F">
        <w:rPr>
          <w:szCs w:val="24"/>
        </w:rPr>
        <w:t xml:space="preserve"> for Health and Aged Care</w:t>
      </w:r>
      <w:r w:rsidR="00345A40" w:rsidRPr="00253D8F">
        <w:rPr>
          <w:szCs w:val="24"/>
        </w:rPr>
        <w:t xml:space="preserve"> </w:t>
      </w:r>
      <w:r w:rsidRPr="00253D8F">
        <w:rPr>
          <w:szCs w:val="24"/>
        </w:rPr>
        <w:t>is satisfied, as required by subsection</w:t>
      </w:r>
      <w:r w:rsidR="004D77A9" w:rsidRPr="00253D8F">
        <w:rPr>
          <w:szCs w:val="24"/>
        </w:rPr>
        <w:t> </w:t>
      </w:r>
      <w:r w:rsidRPr="00253D8F">
        <w:rPr>
          <w:szCs w:val="24"/>
        </w:rPr>
        <w:t xml:space="preserve">476(1) of the Act, </w:t>
      </w:r>
      <w:r w:rsidR="00345A40" w:rsidRPr="00253D8F">
        <w:rPr>
          <w:szCs w:val="24"/>
        </w:rPr>
        <w:t xml:space="preserve">that </w:t>
      </w:r>
      <w:r w:rsidR="00562A47" w:rsidRPr="00253D8F">
        <w:rPr>
          <w:szCs w:val="24"/>
        </w:rPr>
        <w:t>COVID-</w:t>
      </w:r>
      <w:r w:rsidR="001D77AC" w:rsidRPr="00253D8F">
        <w:rPr>
          <w:szCs w:val="24"/>
        </w:rPr>
        <w:t>19</w:t>
      </w:r>
      <w:r w:rsidR="00562A47" w:rsidRPr="00253D8F">
        <w:rPr>
          <w:szCs w:val="24"/>
        </w:rPr>
        <w:t xml:space="preserve"> </w:t>
      </w:r>
      <w:r w:rsidRPr="00253D8F">
        <w:rPr>
          <w:szCs w:val="24"/>
        </w:rPr>
        <w:t>is continuing to pose a severe and immediate threat to human health on a nationally significant scale, and the extension of the human biosecurity emergency period is necessary to prevent or control the entry</w:t>
      </w:r>
      <w:r w:rsidR="001C454E" w:rsidRPr="00253D8F">
        <w:rPr>
          <w:szCs w:val="24"/>
        </w:rPr>
        <w:t xml:space="preserve"> into</w:t>
      </w:r>
      <w:r w:rsidRPr="00253D8F">
        <w:rPr>
          <w:szCs w:val="24"/>
        </w:rPr>
        <w:t xml:space="preserve">, </w:t>
      </w:r>
      <w:r w:rsidR="001C454E" w:rsidRPr="00253D8F">
        <w:rPr>
          <w:szCs w:val="24"/>
        </w:rPr>
        <w:t xml:space="preserve">or the </w:t>
      </w:r>
      <w:r w:rsidRPr="00253D8F">
        <w:rPr>
          <w:szCs w:val="24"/>
        </w:rPr>
        <w:t xml:space="preserve">emergence, establishment or spread of COVID-19 in Australian territory. </w:t>
      </w:r>
    </w:p>
    <w:p w14:paraId="6ED1A40E" w14:textId="77777777" w:rsidR="00083501" w:rsidRPr="00253D8F" w:rsidRDefault="00083501" w:rsidP="00BB3148">
      <w:pPr>
        <w:pStyle w:val="NoSpacing"/>
        <w:jc w:val="both"/>
        <w:rPr>
          <w:szCs w:val="24"/>
        </w:rPr>
      </w:pPr>
    </w:p>
    <w:p w14:paraId="7B8FAFD5" w14:textId="77777777" w:rsidR="007A134E" w:rsidRPr="00253D8F" w:rsidRDefault="007A134E" w:rsidP="006B5AC9">
      <w:pPr>
        <w:pStyle w:val="NoSpacing"/>
        <w:spacing w:after="120"/>
        <w:jc w:val="both"/>
        <w:rPr>
          <w:b/>
          <w:szCs w:val="24"/>
        </w:rPr>
      </w:pPr>
      <w:r w:rsidRPr="00253D8F">
        <w:rPr>
          <w:b/>
          <w:szCs w:val="24"/>
        </w:rPr>
        <w:t>Purpose</w:t>
      </w:r>
    </w:p>
    <w:p w14:paraId="52597D3B" w14:textId="55634F5E" w:rsidR="006C0786" w:rsidRPr="00253D8F" w:rsidRDefault="00834BC1" w:rsidP="00074036">
      <w:pPr>
        <w:pStyle w:val="NoSpacing"/>
        <w:rPr>
          <w:szCs w:val="24"/>
        </w:rPr>
      </w:pPr>
      <w:r w:rsidRPr="00253D8F">
        <w:rPr>
          <w:iCs/>
          <w:szCs w:val="24"/>
        </w:rPr>
        <w:t xml:space="preserve">The purpose of the </w:t>
      </w:r>
      <w:r w:rsidR="00057791" w:rsidRPr="00253D8F">
        <w:rPr>
          <w:i/>
        </w:rPr>
        <w:t xml:space="preserve">Biosecurity (Human Biosecurity Emergency) (Human Coronavirus with Pandemic Potential) </w:t>
      </w:r>
      <w:r w:rsidR="00057791" w:rsidRPr="00253D8F">
        <w:rPr>
          <w:i/>
          <w:szCs w:val="24"/>
        </w:rPr>
        <w:t>Variation (Extension</w:t>
      </w:r>
      <w:r w:rsidR="007B162F" w:rsidRPr="00253D8F">
        <w:rPr>
          <w:i/>
          <w:szCs w:val="24"/>
        </w:rPr>
        <w:t xml:space="preserve"> No.</w:t>
      </w:r>
      <w:r w:rsidR="004D77A9" w:rsidRPr="00253D8F">
        <w:rPr>
          <w:i/>
          <w:szCs w:val="24"/>
        </w:rPr>
        <w:t> 1</w:t>
      </w:r>
      <w:r w:rsidR="00057791" w:rsidRPr="00253D8F">
        <w:rPr>
          <w:i/>
          <w:szCs w:val="24"/>
        </w:rPr>
        <w:t>) Instrument 202</w:t>
      </w:r>
      <w:r w:rsidR="004D77A9" w:rsidRPr="00253D8F">
        <w:rPr>
          <w:i/>
          <w:szCs w:val="24"/>
        </w:rPr>
        <w:t>2</w:t>
      </w:r>
      <w:r w:rsidR="00057791" w:rsidRPr="00253D8F">
        <w:t xml:space="preserve"> (the Instrument)</w:t>
      </w:r>
      <w:r w:rsidR="003A149A" w:rsidRPr="00253D8F">
        <w:rPr>
          <w:szCs w:val="24"/>
        </w:rPr>
        <w:t xml:space="preserve"> is to </w:t>
      </w:r>
      <w:r w:rsidR="00057791" w:rsidRPr="00253D8F">
        <w:rPr>
          <w:szCs w:val="24"/>
        </w:rPr>
        <w:t xml:space="preserve">vary the Declaration to extend the human biosecurity emergency period for a further </w:t>
      </w:r>
      <w:r w:rsidR="001261B8" w:rsidRPr="00253D8F">
        <w:rPr>
          <w:szCs w:val="24"/>
        </w:rPr>
        <w:t>two</w:t>
      </w:r>
      <w:r w:rsidR="00D82233" w:rsidRPr="00253D8F">
        <w:rPr>
          <w:szCs w:val="24"/>
        </w:rPr>
        <w:t xml:space="preserve"> </w:t>
      </w:r>
      <w:r w:rsidR="00057791" w:rsidRPr="00253D8F">
        <w:rPr>
          <w:szCs w:val="24"/>
        </w:rPr>
        <w:t>months until</w:t>
      </w:r>
      <w:r w:rsidR="007B162F" w:rsidRPr="00253D8F">
        <w:rPr>
          <w:szCs w:val="24"/>
        </w:rPr>
        <w:t xml:space="preserve"> </w:t>
      </w:r>
      <w:r w:rsidR="004E6038" w:rsidRPr="00253D8F">
        <w:rPr>
          <w:szCs w:val="24"/>
        </w:rPr>
        <w:t>17</w:t>
      </w:r>
      <w:r w:rsidR="004D77A9" w:rsidRPr="00253D8F">
        <w:rPr>
          <w:szCs w:val="24"/>
        </w:rPr>
        <w:t> </w:t>
      </w:r>
      <w:r w:rsidR="001261B8" w:rsidRPr="00253D8F">
        <w:rPr>
          <w:szCs w:val="24"/>
        </w:rPr>
        <w:t>April</w:t>
      </w:r>
      <w:r w:rsidR="004D77A9" w:rsidRPr="00253D8F">
        <w:rPr>
          <w:szCs w:val="24"/>
        </w:rPr>
        <w:t> </w:t>
      </w:r>
      <w:r w:rsidR="009E1BCD" w:rsidRPr="00253D8F">
        <w:rPr>
          <w:szCs w:val="24"/>
        </w:rPr>
        <w:t>2022</w:t>
      </w:r>
      <w:r w:rsidR="00057791" w:rsidRPr="00253D8F">
        <w:rPr>
          <w:szCs w:val="24"/>
        </w:rPr>
        <w:t>.</w:t>
      </w:r>
    </w:p>
    <w:p w14:paraId="4E262E34" w14:textId="77777777" w:rsidR="00057791" w:rsidRPr="00253D8F" w:rsidRDefault="00057791" w:rsidP="00057791">
      <w:pPr>
        <w:pStyle w:val="NoSpacing"/>
        <w:jc w:val="both"/>
      </w:pPr>
    </w:p>
    <w:p w14:paraId="29C75EB4" w14:textId="5D82FE16" w:rsidR="007A134E" w:rsidRPr="00253D8F" w:rsidRDefault="007A134E" w:rsidP="00345A40">
      <w:pPr>
        <w:pStyle w:val="ListParagraph"/>
        <w:spacing w:after="160" w:line="252" w:lineRule="auto"/>
        <w:ind w:left="0"/>
        <w:contextualSpacing/>
        <w:rPr>
          <w:szCs w:val="24"/>
        </w:rPr>
      </w:pPr>
      <w:r w:rsidRPr="00253D8F">
        <w:rPr>
          <w:szCs w:val="24"/>
        </w:rPr>
        <w:t xml:space="preserve">The Act provides that the Director of Human Biosecurity is the </w:t>
      </w:r>
      <w:r w:rsidR="001C454E" w:rsidRPr="00253D8F">
        <w:rPr>
          <w:szCs w:val="24"/>
        </w:rPr>
        <w:t xml:space="preserve">person who occupies or is acting in, the position of </w:t>
      </w:r>
      <w:r w:rsidRPr="00253D8F">
        <w:rPr>
          <w:szCs w:val="24"/>
        </w:rPr>
        <w:t>Commonwealth Chief Medical Officer in the Commonwealth Department of Health</w:t>
      </w:r>
      <w:r w:rsidR="001D77AC" w:rsidRPr="00253D8F">
        <w:rPr>
          <w:szCs w:val="24"/>
        </w:rPr>
        <w:t xml:space="preserve"> (s</w:t>
      </w:r>
      <w:r w:rsidR="00155416" w:rsidRPr="00253D8F">
        <w:rPr>
          <w:szCs w:val="24"/>
        </w:rPr>
        <w:t>ubsection</w:t>
      </w:r>
      <w:r w:rsidR="004D77A9" w:rsidRPr="00253D8F">
        <w:rPr>
          <w:szCs w:val="24"/>
        </w:rPr>
        <w:t> </w:t>
      </w:r>
      <w:r w:rsidR="001D77AC" w:rsidRPr="00253D8F">
        <w:rPr>
          <w:szCs w:val="24"/>
        </w:rPr>
        <w:t>544(1))</w:t>
      </w:r>
      <w:r w:rsidRPr="00253D8F">
        <w:rPr>
          <w:szCs w:val="24"/>
        </w:rPr>
        <w:t xml:space="preserve">. </w:t>
      </w:r>
      <w:r w:rsidR="00BC6AE0" w:rsidRPr="00253D8F">
        <w:t>On advice from the Director of Human Biosecurity, the Minister for Health and Aged Care is satisfied that the human biosecurity emergency period should be extended</w:t>
      </w:r>
      <w:r w:rsidR="00017015" w:rsidRPr="00253D8F">
        <w:t xml:space="preserve"> </w:t>
      </w:r>
      <w:r w:rsidR="00017015" w:rsidRPr="00253D8F">
        <w:rPr>
          <w:color w:val="000000"/>
          <w:shd w:val="clear" w:color="auto" w:fill="FFFFFF"/>
        </w:rPr>
        <w:t>as:</w:t>
      </w:r>
    </w:p>
    <w:p w14:paraId="6088E2C0" w14:textId="77777777" w:rsidR="007A134E" w:rsidRPr="00253D8F" w:rsidRDefault="007A134E" w:rsidP="007A134E">
      <w:pPr>
        <w:pStyle w:val="ListParagraph"/>
        <w:spacing w:after="160" w:line="252" w:lineRule="auto"/>
        <w:ind w:left="0"/>
        <w:contextualSpacing/>
        <w:rPr>
          <w:szCs w:val="24"/>
        </w:rPr>
      </w:pPr>
    </w:p>
    <w:p w14:paraId="7E6FC4E6" w14:textId="77777777" w:rsidR="007A134E" w:rsidRPr="00253D8F" w:rsidRDefault="007A134E" w:rsidP="007A134E">
      <w:pPr>
        <w:pStyle w:val="ListParagraph"/>
        <w:numPr>
          <w:ilvl w:val="0"/>
          <w:numId w:val="27"/>
        </w:numPr>
        <w:spacing w:after="160" w:line="252" w:lineRule="auto"/>
        <w:contextualSpacing/>
        <w:rPr>
          <w:szCs w:val="24"/>
        </w:rPr>
      </w:pPr>
      <w:r w:rsidRPr="00253D8F">
        <w:rPr>
          <w:szCs w:val="24"/>
        </w:rPr>
        <w:t xml:space="preserve">COVID-19 is continuing to pose a severe and immediate threat to human health on a nationally significant scale; and </w:t>
      </w:r>
    </w:p>
    <w:p w14:paraId="20E1B400" w14:textId="464854BB" w:rsidR="007A134E" w:rsidRPr="00253D8F" w:rsidRDefault="009A0F90" w:rsidP="007A134E">
      <w:pPr>
        <w:pStyle w:val="ListParagraph"/>
        <w:numPr>
          <w:ilvl w:val="0"/>
          <w:numId w:val="27"/>
        </w:numPr>
        <w:spacing w:after="160" w:line="252" w:lineRule="auto"/>
        <w:contextualSpacing/>
        <w:rPr>
          <w:szCs w:val="24"/>
        </w:rPr>
      </w:pPr>
      <w:r w:rsidRPr="00253D8F">
        <w:rPr>
          <w:szCs w:val="24"/>
        </w:rPr>
        <w:t>t</w:t>
      </w:r>
      <w:r w:rsidR="007A134E" w:rsidRPr="00253D8F">
        <w:rPr>
          <w:szCs w:val="24"/>
        </w:rPr>
        <w:t>he extension of the human biosecurity emergency period is necessary to prevent or control:</w:t>
      </w:r>
    </w:p>
    <w:p w14:paraId="0DC33500" w14:textId="26399356" w:rsidR="007A134E" w:rsidRPr="00253D8F" w:rsidRDefault="001261B8" w:rsidP="007A134E">
      <w:pPr>
        <w:pStyle w:val="ListParagraph"/>
        <w:numPr>
          <w:ilvl w:val="1"/>
          <w:numId w:val="27"/>
        </w:numPr>
        <w:spacing w:after="160" w:line="252" w:lineRule="auto"/>
        <w:contextualSpacing/>
        <w:rPr>
          <w:szCs w:val="24"/>
        </w:rPr>
      </w:pPr>
      <w:r w:rsidRPr="00253D8F">
        <w:rPr>
          <w:szCs w:val="24"/>
        </w:rPr>
        <w:t xml:space="preserve">the </w:t>
      </w:r>
      <w:r w:rsidR="007A134E" w:rsidRPr="00253D8F">
        <w:rPr>
          <w:szCs w:val="24"/>
        </w:rPr>
        <w:t>entry of COVID-19 into Australian territory</w:t>
      </w:r>
      <w:r w:rsidR="00404254" w:rsidRPr="00253D8F">
        <w:rPr>
          <w:szCs w:val="24"/>
        </w:rPr>
        <w:t xml:space="preserve"> or a part of Australian territory</w:t>
      </w:r>
      <w:r w:rsidR="007A134E" w:rsidRPr="00253D8F">
        <w:rPr>
          <w:szCs w:val="24"/>
        </w:rPr>
        <w:t xml:space="preserve">; </w:t>
      </w:r>
      <w:r w:rsidR="00047D2C" w:rsidRPr="00253D8F">
        <w:rPr>
          <w:szCs w:val="24"/>
        </w:rPr>
        <w:t>or</w:t>
      </w:r>
    </w:p>
    <w:p w14:paraId="14D5020A" w14:textId="5E39F613" w:rsidR="007A134E" w:rsidRPr="00253D8F" w:rsidRDefault="001261B8" w:rsidP="007A134E">
      <w:pPr>
        <w:pStyle w:val="ListParagraph"/>
        <w:numPr>
          <w:ilvl w:val="1"/>
          <w:numId w:val="27"/>
        </w:numPr>
        <w:spacing w:after="160" w:line="252" w:lineRule="auto"/>
        <w:contextualSpacing/>
        <w:rPr>
          <w:szCs w:val="24"/>
        </w:rPr>
      </w:pPr>
      <w:r w:rsidRPr="00253D8F">
        <w:rPr>
          <w:szCs w:val="24"/>
        </w:rPr>
        <w:t xml:space="preserve">the </w:t>
      </w:r>
      <w:r w:rsidR="007A134E" w:rsidRPr="00253D8F">
        <w:rPr>
          <w:szCs w:val="24"/>
        </w:rPr>
        <w:t>emergence</w:t>
      </w:r>
      <w:r w:rsidR="00404254" w:rsidRPr="00253D8F">
        <w:rPr>
          <w:szCs w:val="24"/>
        </w:rPr>
        <w:t xml:space="preserve">, </w:t>
      </w:r>
      <w:r w:rsidR="007A134E" w:rsidRPr="00253D8F">
        <w:rPr>
          <w:szCs w:val="24"/>
        </w:rPr>
        <w:t>establishment or spread of COVID-19 in Australian territory</w:t>
      </w:r>
      <w:r w:rsidR="003D0B6A" w:rsidRPr="00253D8F">
        <w:t xml:space="preserve"> or a part of Australian territory</w:t>
      </w:r>
      <w:r w:rsidR="007A134E" w:rsidRPr="00253D8F">
        <w:rPr>
          <w:szCs w:val="24"/>
        </w:rPr>
        <w:t>.</w:t>
      </w:r>
    </w:p>
    <w:p w14:paraId="4ABC0695" w14:textId="01823468" w:rsidR="00C40C41" w:rsidRPr="00253D8F" w:rsidRDefault="00A4689D" w:rsidP="002669DE">
      <w:pPr>
        <w:pStyle w:val="ListParagraph"/>
        <w:ind w:left="0"/>
        <w:rPr>
          <w:szCs w:val="24"/>
        </w:rPr>
      </w:pPr>
      <w:r w:rsidRPr="00253D8F">
        <w:rPr>
          <w:szCs w:val="24"/>
        </w:rPr>
        <w:t> </w:t>
      </w:r>
    </w:p>
    <w:p w14:paraId="2A5570E0" w14:textId="77777777" w:rsidR="0037205A" w:rsidRPr="00253D8F" w:rsidRDefault="00B05911" w:rsidP="00074036">
      <w:pPr>
        <w:pStyle w:val="NoSpacing"/>
      </w:pPr>
      <w:r w:rsidRPr="00253D8F">
        <w:lastRenderedPageBreak/>
        <w:t>In accordance with sections 477 and 478 of the Act, d</w:t>
      </w:r>
      <w:r w:rsidR="0037205A" w:rsidRPr="00253D8F">
        <w:t>uring a human biosecuri</w:t>
      </w:r>
      <w:r w:rsidR="00345A40" w:rsidRPr="00253D8F">
        <w:t>ty emergency period the Health Minister</w:t>
      </w:r>
      <w:r w:rsidR="0037205A" w:rsidRPr="00253D8F">
        <w:t xml:space="preserve"> may</w:t>
      </w:r>
      <w:r w:rsidRPr="00253D8F">
        <w:t xml:space="preserve"> </w:t>
      </w:r>
      <w:r w:rsidR="0037205A" w:rsidRPr="00253D8F">
        <w:t>determine emergency requireme</w:t>
      </w:r>
      <w:r w:rsidR="00BC03D1" w:rsidRPr="00253D8F">
        <w:t>nts, or give directions, that the Minister</w:t>
      </w:r>
      <w:r w:rsidR="0037205A" w:rsidRPr="00253D8F">
        <w:t xml:space="preserve"> is satisfied are necessary to prevent or control the entry</w:t>
      </w:r>
      <w:r w:rsidR="001C454E" w:rsidRPr="00253D8F">
        <w:t xml:space="preserve"> into</w:t>
      </w:r>
      <w:r w:rsidR="000A549D" w:rsidRPr="00253D8F">
        <w:t xml:space="preserve">, or </w:t>
      </w:r>
      <w:r w:rsidR="001C454E" w:rsidRPr="00253D8F">
        <w:t xml:space="preserve">the </w:t>
      </w:r>
      <w:r w:rsidR="0037205A" w:rsidRPr="00253D8F">
        <w:t xml:space="preserve">emergence, establishment or spread of the listed human disease in Australian territory. A person who fails to comply with a requirement or direction may commit a criminal offence (imprisonment for </w:t>
      </w:r>
      <w:r w:rsidR="00785A3C" w:rsidRPr="00253D8F">
        <w:t xml:space="preserve">a </w:t>
      </w:r>
      <w:r w:rsidR="0037205A" w:rsidRPr="00253D8F">
        <w:t xml:space="preserve">maximum </w:t>
      </w:r>
      <w:r w:rsidR="00785A3C" w:rsidRPr="00253D8F">
        <w:t xml:space="preserve">of </w:t>
      </w:r>
      <w:r w:rsidR="0037205A" w:rsidRPr="00253D8F">
        <w:t>5 years, or 300 penalty units</w:t>
      </w:r>
      <w:r w:rsidR="00785A3C" w:rsidRPr="00253D8F">
        <w:t>, or both</w:t>
      </w:r>
      <w:r w:rsidR="0037205A" w:rsidRPr="00253D8F">
        <w:t>).</w:t>
      </w:r>
    </w:p>
    <w:p w14:paraId="2AD806AF" w14:textId="77777777" w:rsidR="0037205A" w:rsidRPr="00253D8F" w:rsidRDefault="0037205A" w:rsidP="00074036">
      <w:pPr>
        <w:pStyle w:val="NoSpacing"/>
      </w:pPr>
    </w:p>
    <w:p w14:paraId="3C854217" w14:textId="77777777" w:rsidR="001A1221" w:rsidRPr="00253D8F" w:rsidRDefault="001A1221" w:rsidP="00074036">
      <w:pPr>
        <w:pStyle w:val="NoSpacing"/>
      </w:pPr>
      <w:r w:rsidRPr="00253D8F">
        <w:t>The extension of the human biosecurity period is necessary to ensure that the</w:t>
      </w:r>
      <w:r w:rsidR="00377603" w:rsidRPr="00253D8F">
        <w:t xml:space="preserve"> </w:t>
      </w:r>
      <w:r w:rsidRPr="00253D8F">
        <w:t>Minister</w:t>
      </w:r>
      <w:r w:rsidR="00F02396" w:rsidRPr="00253D8F">
        <w:t xml:space="preserve"> for Health and Aged Care </w:t>
      </w:r>
      <w:r w:rsidRPr="00253D8F">
        <w:t>can continue to exercise the emergency powers under the Act to determine requirements or give directions necessary to prevent or control the entry, emergence, establishment or spread of CO</w:t>
      </w:r>
      <w:r w:rsidR="001C2805" w:rsidRPr="00253D8F">
        <w:t>VID-19 in Australian territory.</w:t>
      </w:r>
      <w:r w:rsidR="009227F1" w:rsidRPr="00253D8F">
        <w:t xml:space="preserve"> </w:t>
      </w:r>
    </w:p>
    <w:p w14:paraId="5F453004" w14:textId="77777777" w:rsidR="0037205A" w:rsidRPr="00253D8F" w:rsidRDefault="0037205A" w:rsidP="00074036">
      <w:pPr>
        <w:pStyle w:val="NoSpacing"/>
        <w:rPr>
          <w:szCs w:val="24"/>
        </w:rPr>
      </w:pPr>
    </w:p>
    <w:p w14:paraId="7C4FE41D" w14:textId="15F4B8DB" w:rsidR="00190732" w:rsidRPr="00253D8F" w:rsidRDefault="00190732" w:rsidP="00190732">
      <w:pPr>
        <w:pStyle w:val="NoSpacing"/>
        <w:rPr>
          <w:color w:val="FF0000"/>
          <w:szCs w:val="24"/>
        </w:rPr>
      </w:pPr>
      <w:r w:rsidRPr="00253D8F">
        <w:rPr>
          <w:szCs w:val="24"/>
        </w:rPr>
        <w:t>The Instrument commences the day after it is registered on the Federal Register of Legislation. The Instrument amends the Declaration so that the Declaration, and the human biosecurity emergency period, finishes at the end of 17</w:t>
      </w:r>
      <w:r w:rsidR="004D77A9" w:rsidRPr="00253D8F">
        <w:rPr>
          <w:szCs w:val="24"/>
        </w:rPr>
        <w:t> </w:t>
      </w:r>
      <w:r w:rsidR="001261B8" w:rsidRPr="00253D8F">
        <w:rPr>
          <w:szCs w:val="24"/>
        </w:rPr>
        <w:t>April</w:t>
      </w:r>
      <w:r w:rsidR="004D77A9" w:rsidRPr="00253D8F">
        <w:rPr>
          <w:szCs w:val="24"/>
        </w:rPr>
        <w:t> </w:t>
      </w:r>
      <w:r w:rsidR="009E1BCD" w:rsidRPr="00253D8F">
        <w:rPr>
          <w:szCs w:val="24"/>
        </w:rPr>
        <w:t>2022</w:t>
      </w:r>
      <w:r w:rsidRPr="00253D8F">
        <w:rPr>
          <w:szCs w:val="24"/>
        </w:rPr>
        <w:t>.</w:t>
      </w:r>
      <w:r w:rsidRPr="00253D8F">
        <w:rPr>
          <w:color w:val="FF0000"/>
          <w:szCs w:val="24"/>
        </w:rPr>
        <w:t xml:space="preserve"> </w:t>
      </w:r>
    </w:p>
    <w:p w14:paraId="1FEF247F" w14:textId="77777777" w:rsidR="00190732" w:rsidRPr="00253D8F" w:rsidRDefault="00190732" w:rsidP="00345A40">
      <w:pPr>
        <w:rPr>
          <w:szCs w:val="24"/>
        </w:rPr>
      </w:pPr>
    </w:p>
    <w:p w14:paraId="3457EEA2" w14:textId="7903231A" w:rsidR="00345A40" w:rsidRPr="00253D8F" w:rsidRDefault="00345A40" w:rsidP="00345A40">
      <w:pPr>
        <w:rPr>
          <w:szCs w:val="24"/>
        </w:rPr>
      </w:pPr>
      <w:r w:rsidRPr="00253D8F">
        <w:rPr>
          <w:szCs w:val="24"/>
        </w:rPr>
        <w:t xml:space="preserve">Subsection 476(2) of the Act provides that a variation made under subsection </w:t>
      </w:r>
      <w:r w:rsidR="009E1BCD" w:rsidRPr="00253D8F">
        <w:rPr>
          <w:szCs w:val="24"/>
        </w:rPr>
        <w:t>476</w:t>
      </w:r>
      <w:r w:rsidRPr="00253D8F">
        <w:rPr>
          <w:szCs w:val="24"/>
        </w:rPr>
        <w:t xml:space="preserve">(1) is a legislative instrument, but also provides that section 42 (disallowance) of the </w:t>
      </w:r>
      <w:r w:rsidRPr="00253D8F">
        <w:rPr>
          <w:i/>
          <w:szCs w:val="24"/>
        </w:rPr>
        <w:t>Legislation</w:t>
      </w:r>
      <w:r w:rsidR="004D77A9" w:rsidRPr="00253D8F">
        <w:rPr>
          <w:i/>
          <w:szCs w:val="24"/>
        </w:rPr>
        <w:t> </w:t>
      </w:r>
      <w:r w:rsidRPr="00253D8F">
        <w:rPr>
          <w:i/>
          <w:szCs w:val="24"/>
        </w:rPr>
        <w:t>Act</w:t>
      </w:r>
      <w:r w:rsidR="004D77A9" w:rsidRPr="00253D8F">
        <w:rPr>
          <w:i/>
          <w:szCs w:val="24"/>
        </w:rPr>
        <w:t> </w:t>
      </w:r>
      <w:r w:rsidRPr="00253D8F">
        <w:rPr>
          <w:i/>
          <w:szCs w:val="24"/>
        </w:rPr>
        <w:t xml:space="preserve">2003 </w:t>
      </w:r>
      <w:r w:rsidRPr="00253D8F">
        <w:rPr>
          <w:szCs w:val="24"/>
        </w:rPr>
        <w:t xml:space="preserve">does not apply to the </w:t>
      </w:r>
      <w:r w:rsidR="009348FC" w:rsidRPr="00253D8F">
        <w:rPr>
          <w:szCs w:val="24"/>
        </w:rPr>
        <w:t>variation</w:t>
      </w:r>
      <w:r w:rsidRPr="00253D8F">
        <w:rPr>
          <w:szCs w:val="24"/>
        </w:rPr>
        <w:t xml:space="preserve">. </w:t>
      </w:r>
    </w:p>
    <w:p w14:paraId="2C6A962B" w14:textId="77777777" w:rsidR="00345A40" w:rsidRPr="00253D8F" w:rsidRDefault="00345A40" w:rsidP="00345A40">
      <w:pPr>
        <w:pStyle w:val="NoSpacing"/>
        <w:rPr>
          <w:szCs w:val="24"/>
        </w:rPr>
      </w:pPr>
    </w:p>
    <w:p w14:paraId="100FB6E2" w14:textId="77777777" w:rsidR="00345A40" w:rsidRPr="00253D8F" w:rsidRDefault="00345A40" w:rsidP="00345A40">
      <w:pPr>
        <w:rPr>
          <w:szCs w:val="24"/>
        </w:rPr>
      </w:pPr>
      <w:r w:rsidRPr="00253D8F">
        <w:rPr>
          <w:szCs w:val="24"/>
        </w:rPr>
        <w:t>The Act provides for the Instrument to be non-disallowable to ensure that the Australian Government is able to take the urgent action necessary to manage a nationally significant threat or harm to Australia’s human health. The risk of such disallowance would inhibit the Government’s ability to act urgently on public health advice to manage a human biosecurity risk that could threaten or harm human health as it would create uncertainty as to whether the instrument might be disallowed.</w:t>
      </w:r>
    </w:p>
    <w:p w14:paraId="45E7A59D" w14:textId="77777777" w:rsidR="00A9311C" w:rsidRPr="00253D8F" w:rsidRDefault="00A9311C" w:rsidP="00BB3148">
      <w:pPr>
        <w:pStyle w:val="NoSpacing"/>
        <w:jc w:val="both"/>
        <w:rPr>
          <w:b/>
          <w:szCs w:val="24"/>
        </w:rPr>
      </w:pPr>
    </w:p>
    <w:p w14:paraId="62C943A3" w14:textId="77777777" w:rsidR="0091687B" w:rsidRPr="00253D8F" w:rsidRDefault="00CE274D" w:rsidP="00562A47">
      <w:pPr>
        <w:pStyle w:val="NoSpacing"/>
        <w:spacing w:after="120"/>
        <w:jc w:val="both"/>
        <w:rPr>
          <w:b/>
          <w:szCs w:val="24"/>
        </w:rPr>
      </w:pPr>
      <w:r w:rsidRPr="00253D8F">
        <w:rPr>
          <w:b/>
          <w:szCs w:val="24"/>
        </w:rPr>
        <w:t>Background</w:t>
      </w:r>
    </w:p>
    <w:p w14:paraId="5E34A89E" w14:textId="77777777" w:rsidR="006F7A92" w:rsidRPr="00253D8F" w:rsidRDefault="0091687B" w:rsidP="00074036">
      <w:pPr>
        <w:pStyle w:val="NoSpacing"/>
        <w:rPr>
          <w:szCs w:val="24"/>
          <w:lang w:val="en-US"/>
        </w:rPr>
      </w:pPr>
      <w:r w:rsidRPr="00253D8F">
        <w:rPr>
          <w:szCs w:val="24"/>
          <w:lang w:val="en-US"/>
        </w:rPr>
        <w:t xml:space="preserve">On 5 January 2020, the </w:t>
      </w:r>
      <w:r w:rsidR="00FF4758" w:rsidRPr="00253D8F">
        <w:rPr>
          <w:szCs w:val="24"/>
          <w:lang w:val="en-US"/>
        </w:rPr>
        <w:t>World Health Organization (</w:t>
      </w:r>
      <w:r w:rsidR="001F6E1A" w:rsidRPr="00253D8F">
        <w:rPr>
          <w:szCs w:val="24"/>
          <w:lang w:val="en-US"/>
        </w:rPr>
        <w:t>WHO</w:t>
      </w:r>
      <w:r w:rsidR="00FF4758" w:rsidRPr="00253D8F">
        <w:rPr>
          <w:szCs w:val="24"/>
          <w:lang w:val="en-US"/>
        </w:rPr>
        <w:t>)</w:t>
      </w:r>
      <w:r w:rsidRPr="00253D8F">
        <w:rPr>
          <w:szCs w:val="24"/>
          <w:lang w:val="en-US"/>
        </w:rPr>
        <w:t xml:space="preserve"> notified Member States under the </w:t>
      </w:r>
      <w:r w:rsidRPr="00253D8F">
        <w:rPr>
          <w:i/>
          <w:iCs/>
          <w:szCs w:val="24"/>
          <w:lang w:val="en-US"/>
        </w:rPr>
        <w:t>International Health Regulations (2005)</w:t>
      </w:r>
      <w:r w:rsidR="004C1A70" w:rsidRPr="00253D8F">
        <w:rPr>
          <w:i/>
          <w:iCs/>
          <w:szCs w:val="24"/>
          <w:lang w:val="en-US"/>
        </w:rPr>
        <w:t xml:space="preserve"> </w:t>
      </w:r>
      <w:r w:rsidR="004C1A70" w:rsidRPr="00253D8F">
        <w:rPr>
          <w:iCs/>
          <w:szCs w:val="24"/>
          <w:lang w:val="en-US"/>
        </w:rPr>
        <w:t>(IHR)</w:t>
      </w:r>
      <w:r w:rsidRPr="00253D8F">
        <w:rPr>
          <w:i/>
          <w:iCs/>
          <w:szCs w:val="24"/>
          <w:lang w:val="en-US"/>
        </w:rPr>
        <w:t xml:space="preserve"> </w:t>
      </w:r>
      <w:r w:rsidRPr="00253D8F">
        <w:rPr>
          <w:szCs w:val="24"/>
          <w:lang w:val="en-US"/>
        </w:rPr>
        <w:t xml:space="preserve">of an outbreak of pneumonia of unknown cause in Wuhan city, China. </w:t>
      </w:r>
      <w:r w:rsidR="006F7A92" w:rsidRPr="00253D8F">
        <w:rPr>
          <w:szCs w:val="24"/>
          <w:lang w:val="en-US"/>
        </w:rPr>
        <w:t>On 21 January 2020</w:t>
      </w:r>
      <w:r w:rsidR="00785A3C" w:rsidRPr="00253D8F">
        <w:rPr>
          <w:szCs w:val="24"/>
          <w:lang w:val="en-US"/>
        </w:rPr>
        <w:t>,</w:t>
      </w:r>
      <w:r w:rsidR="006F7A92" w:rsidRPr="00253D8F">
        <w:rPr>
          <w:szCs w:val="24"/>
          <w:lang w:val="en-US"/>
        </w:rPr>
        <w:t xml:space="preserve"> ‘</w:t>
      </w:r>
      <w:r w:rsidR="00785A3C" w:rsidRPr="00253D8F">
        <w:rPr>
          <w:szCs w:val="24"/>
          <w:lang w:val="en-US"/>
        </w:rPr>
        <w:t>h</w:t>
      </w:r>
      <w:r w:rsidR="006F7A92" w:rsidRPr="00253D8F">
        <w:rPr>
          <w:szCs w:val="24"/>
          <w:lang w:val="en-US"/>
        </w:rPr>
        <w:t xml:space="preserve">uman coronavirus with pandemic potential’ became a ‘listed human disease’ </w:t>
      </w:r>
      <w:r w:rsidR="00562A47" w:rsidRPr="00253D8F">
        <w:rPr>
          <w:szCs w:val="24"/>
          <w:lang w:val="en-US"/>
        </w:rPr>
        <w:t>by legislative instrument made by the Director of Human Biosecurity</w:t>
      </w:r>
      <w:r w:rsidR="006F7A92" w:rsidRPr="00253D8F">
        <w:rPr>
          <w:szCs w:val="24"/>
          <w:lang w:val="en-US"/>
        </w:rPr>
        <w:t xml:space="preserve">. </w:t>
      </w:r>
    </w:p>
    <w:p w14:paraId="25359E86" w14:textId="77777777" w:rsidR="00162206" w:rsidRPr="00253D8F" w:rsidRDefault="00162206" w:rsidP="00074036">
      <w:pPr>
        <w:pStyle w:val="NoSpacing"/>
        <w:rPr>
          <w:szCs w:val="24"/>
          <w:lang w:val="en-US"/>
        </w:rPr>
      </w:pPr>
    </w:p>
    <w:p w14:paraId="150F4E74" w14:textId="77777777" w:rsidR="00562A47" w:rsidRPr="00253D8F" w:rsidRDefault="00162206" w:rsidP="00074036">
      <w:pPr>
        <w:pStyle w:val="NoSpacing"/>
        <w:rPr>
          <w:szCs w:val="24"/>
          <w:lang w:val="en-US"/>
        </w:rPr>
      </w:pPr>
      <w:r w:rsidRPr="00253D8F">
        <w:rPr>
          <w:szCs w:val="24"/>
          <w:lang w:val="en-US"/>
        </w:rPr>
        <w:t>On 30 January 2020, the outbreak was declared by the WHO International Regulations Emergency Committee to constitute a Public Health Emergency of International Concern.</w:t>
      </w:r>
    </w:p>
    <w:p w14:paraId="07416E78" w14:textId="77777777" w:rsidR="00562A47" w:rsidRPr="00253D8F" w:rsidRDefault="00562A47" w:rsidP="00074036">
      <w:pPr>
        <w:pStyle w:val="NoSpacing"/>
        <w:rPr>
          <w:szCs w:val="24"/>
          <w:lang w:val="en-US"/>
        </w:rPr>
      </w:pPr>
    </w:p>
    <w:p w14:paraId="74379927" w14:textId="246736A6" w:rsidR="0091687B" w:rsidRPr="00253D8F" w:rsidRDefault="00325D23" w:rsidP="00074036">
      <w:pPr>
        <w:pStyle w:val="NoSpacing"/>
        <w:rPr>
          <w:szCs w:val="24"/>
          <w:lang w:val="en-US"/>
        </w:rPr>
      </w:pPr>
      <w:r w:rsidRPr="00253D8F">
        <w:rPr>
          <w:szCs w:val="24"/>
          <w:lang w:val="en-US"/>
        </w:rPr>
        <w:t>On</w:t>
      </w:r>
      <w:r w:rsidR="00CB2D6B" w:rsidRPr="00253D8F">
        <w:rPr>
          <w:szCs w:val="24"/>
          <w:lang w:val="en-US"/>
        </w:rPr>
        <w:t> </w:t>
      </w:r>
      <w:r w:rsidRPr="00253D8F">
        <w:rPr>
          <w:szCs w:val="24"/>
          <w:lang w:val="en-US"/>
        </w:rPr>
        <w:t xml:space="preserve">11 February 2020, WHO announced </w:t>
      </w:r>
      <w:r w:rsidR="00C11691" w:rsidRPr="00253D8F">
        <w:rPr>
          <w:szCs w:val="24"/>
          <w:lang w:val="en-US"/>
        </w:rPr>
        <w:t xml:space="preserve">that </w:t>
      </w:r>
      <w:r w:rsidR="00CB0BD9" w:rsidRPr="00253D8F">
        <w:rPr>
          <w:szCs w:val="24"/>
          <w:lang w:val="en-US"/>
        </w:rPr>
        <w:t>t</w:t>
      </w:r>
      <w:r w:rsidR="00B8282F" w:rsidRPr="00253D8F">
        <w:rPr>
          <w:szCs w:val="24"/>
          <w:lang w:val="en-US"/>
        </w:rPr>
        <w:t>he</w:t>
      </w:r>
      <w:r w:rsidRPr="00253D8F">
        <w:rPr>
          <w:szCs w:val="24"/>
          <w:lang w:val="en-US"/>
        </w:rPr>
        <w:t xml:space="preserve"> International Committee on Taxonomy of</w:t>
      </w:r>
      <w:r w:rsidR="00B909A1" w:rsidRPr="00253D8F">
        <w:rPr>
          <w:szCs w:val="24"/>
          <w:lang w:val="en-US"/>
        </w:rPr>
        <w:t> </w:t>
      </w:r>
      <w:r w:rsidRPr="00253D8F">
        <w:rPr>
          <w:szCs w:val="24"/>
          <w:lang w:val="en-US"/>
        </w:rPr>
        <w:t>Viruses</w:t>
      </w:r>
      <w:r w:rsidR="00B8282F" w:rsidRPr="00253D8F">
        <w:rPr>
          <w:szCs w:val="24"/>
          <w:lang w:val="en-US"/>
        </w:rPr>
        <w:t xml:space="preserve"> named the </w:t>
      </w:r>
      <w:r w:rsidRPr="00253D8F">
        <w:rPr>
          <w:szCs w:val="24"/>
          <w:lang w:val="en-US"/>
        </w:rPr>
        <w:t xml:space="preserve">pathogen </w:t>
      </w:r>
      <w:r w:rsidR="00B8282F" w:rsidRPr="00253D8F">
        <w:rPr>
          <w:szCs w:val="24"/>
          <w:lang w:val="en-US"/>
        </w:rPr>
        <w:t xml:space="preserve">virus </w:t>
      </w:r>
      <w:r w:rsidRPr="00253D8F">
        <w:rPr>
          <w:szCs w:val="24"/>
          <w:lang w:val="en-US"/>
        </w:rPr>
        <w:t>‘</w:t>
      </w:r>
      <w:r w:rsidR="00B8282F" w:rsidRPr="00253D8F">
        <w:rPr>
          <w:szCs w:val="24"/>
          <w:lang w:val="en-US"/>
        </w:rPr>
        <w:t>severe acute respiratory syndrome coronavirus (SARS</w:t>
      </w:r>
      <w:r w:rsidR="00B909A1" w:rsidRPr="00253D8F">
        <w:rPr>
          <w:szCs w:val="24"/>
          <w:lang w:val="en-US"/>
        </w:rPr>
        <w:noBreakHyphen/>
      </w:r>
      <w:r w:rsidR="00B8282F" w:rsidRPr="00253D8F">
        <w:rPr>
          <w:szCs w:val="24"/>
          <w:lang w:val="en-US"/>
        </w:rPr>
        <w:t>CoV-2)</w:t>
      </w:r>
      <w:r w:rsidR="00D56E2D" w:rsidRPr="00253D8F">
        <w:rPr>
          <w:szCs w:val="24"/>
          <w:lang w:val="en-US"/>
        </w:rPr>
        <w:t>’.</w:t>
      </w:r>
      <w:r w:rsidRPr="00253D8F">
        <w:rPr>
          <w:szCs w:val="24"/>
          <w:lang w:val="en"/>
        </w:rPr>
        <w:t xml:space="preserve"> </w:t>
      </w:r>
      <w:r w:rsidR="006F7A92" w:rsidRPr="00253D8F">
        <w:rPr>
          <w:szCs w:val="24"/>
          <w:lang w:val="en"/>
        </w:rPr>
        <w:t xml:space="preserve">The international name given by WHO </w:t>
      </w:r>
      <w:r w:rsidRPr="00253D8F">
        <w:rPr>
          <w:szCs w:val="24"/>
          <w:lang w:val="en"/>
        </w:rPr>
        <w:t>to the disease caused by SARS</w:t>
      </w:r>
      <w:r w:rsidR="00B909A1" w:rsidRPr="00253D8F">
        <w:rPr>
          <w:szCs w:val="24"/>
          <w:lang w:val="en"/>
        </w:rPr>
        <w:noBreakHyphen/>
      </w:r>
      <w:r w:rsidRPr="00253D8F">
        <w:rPr>
          <w:szCs w:val="24"/>
          <w:lang w:val="en"/>
        </w:rPr>
        <w:t>CoV</w:t>
      </w:r>
      <w:r w:rsidR="00B909A1" w:rsidRPr="00253D8F">
        <w:rPr>
          <w:szCs w:val="24"/>
          <w:lang w:val="en"/>
        </w:rPr>
        <w:noBreakHyphen/>
      </w:r>
      <w:r w:rsidRPr="00253D8F">
        <w:rPr>
          <w:szCs w:val="24"/>
          <w:lang w:val="en"/>
        </w:rPr>
        <w:t xml:space="preserve">2 </w:t>
      </w:r>
      <w:r w:rsidR="006F7A92" w:rsidRPr="00253D8F">
        <w:rPr>
          <w:szCs w:val="24"/>
          <w:lang w:val="en"/>
        </w:rPr>
        <w:t xml:space="preserve">is </w:t>
      </w:r>
      <w:r w:rsidRPr="00253D8F">
        <w:rPr>
          <w:szCs w:val="24"/>
          <w:lang w:val="en"/>
        </w:rPr>
        <w:t>Coronavirus disease 2019 (COVID</w:t>
      </w:r>
      <w:r w:rsidR="00B909A1" w:rsidRPr="00253D8F">
        <w:rPr>
          <w:szCs w:val="24"/>
          <w:lang w:val="en"/>
        </w:rPr>
        <w:noBreakHyphen/>
      </w:r>
      <w:r w:rsidRPr="00253D8F">
        <w:rPr>
          <w:szCs w:val="24"/>
          <w:lang w:val="en"/>
        </w:rPr>
        <w:t>19).</w:t>
      </w:r>
      <w:r w:rsidR="00562A47" w:rsidRPr="00253D8F">
        <w:rPr>
          <w:szCs w:val="24"/>
          <w:lang w:val="en"/>
        </w:rPr>
        <w:t xml:space="preserve"> On 11 March 2020, the WHO declared the outbreak of COVID-19 a pandemic.</w:t>
      </w:r>
    </w:p>
    <w:p w14:paraId="13FB69C7" w14:textId="77777777" w:rsidR="00083501" w:rsidRPr="00253D8F" w:rsidRDefault="00083501" w:rsidP="00074036">
      <w:pPr>
        <w:pStyle w:val="NoSpacing"/>
        <w:rPr>
          <w:szCs w:val="24"/>
        </w:rPr>
      </w:pPr>
    </w:p>
    <w:p w14:paraId="2F15AD78" w14:textId="3D9590FD" w:rsidR="0037205A" w:rsidRPr="00253D8F" w:rsidRDefault="0037205A" w:rsidP="00074036">
      <w:pPr>
        <w:pStyle w:val="NoSpacing"/>
        <w:rPr>
          <w:szCs w:val="24"/>
        </w:rPr>
      </w:pPr>
      <w:r w:rsidRPr="00253D8F">
        <w:rPr>
          <w:szCs w:val="24"/>
        </w:rPr>
        <w:t>On 18 March 2020, the Governor-General</w:t>
      </w:r>
      <w:r w:rsidR="00396481" w:rsidRPr="00253D8F">
        <w:rPr>
          <w:szCs w:val="24"/>
        </w:rPr>
        <w:t xml:space="preserve">, on the recommendation of the </w:t>
      </w:r>
      <w:r w:rsidR="00CB2D6B" w:rsidRPr="00253D8F">
        <w:rPr>
          <w:szCs w:val="24"/>
        </w:rPr>
        <w:t>Minister for Health,</w:t>
      </w:r>
      <w:r w:rsidRPr="00253D8F">
        <w:rPr>
          <w:szCs w:val="24"/>
        </w:rPr>
        <w:t xml:space="preserve"> made the Declaration pursuant to section 475 of the Act declaring that a human biosecurity emergency exists </w:t>
      </w:r>
      <w:r w:rsidR="00396481" w:rsidRPr="00253D8F">
        <w:rPr>
          <w:szCs w:val="24"/>
        </w:rPr>
        <w:t xml:space="preserve">in relation to the </w:t>
      </w:r>
      <w:r w:rsidRPr="00253D8F">
        <w:rPr>
          <w:szCs w:val="24"/>
        </w:rPr>
        <w:t>listed human disease ‘human coronavirus with</w:t>
      </w:r>
      <w:r w:rsidR="00CB2D6B" w:rsidRPr="00253D8F">
        <w:rPr>
          <w:szCs w:val="24"/>
        </w:rPr>
        <w:t xml:space="preserve"> pandemic potential’ (COVID-</w:t>
      </w:r>
      <w:r w:rsidRPr="00253D8F">
        <w:rPr>
          <w:szCs w:val="24"/>
        </w:rPr>
        <w:t>19).</w:t>
      </w:r>
      <w:r w:rsidR="00396481" w:rsidRPr="00253D8F">
        <w:rPr>
          <w:szCs w:val="24"/>
        </w:rPr>
        <w:t xml:space="preserve"> </w:t>
      </w:r>
    </w:p>
    <w:p w14:paraId="6DAC9494" w14:textId="77777777" w:rsidR="00A74E1A" w:rsidRPr="00253D8F" w:rsidRDefault="00A74E1A" w:rsidP="00674A15">
      <w:pPr>
        <w:pStyle w:val="NoSpacing"/>
        <w:rPr>
          <w:szCs w:val="24"/>
        </w:rPr>
      </w:pPr>
    </w:p>
    <w:p w14:paraId="221DC0D3" w14:textId="77777777" w:rsidR="00A74E1A" w:rsidRPr="00253D8F" w:rsidRDefault="00A74E1A" w:rsidP="00B909A1">
      <w:pPr>
        <w:pStyle w:val="NoSpacing"/>
        <w:keepNext/>
        <w:rPr>
          <w:i/>
          <w:szCs w:val="24"/>
        </w:rPr>
      </w:pPr>
      <w:r w:rsidRPr="00253D8F">
        <w:rPr>
          <w:i/>
          <w:szCs w:val="24"/>
        </w:rPr>
        <w:t>Emergency requirements and directions</w:t>
      </w:r>
      <w:r w:rsidR="00216931" w:rsidRPr="00253D8F">
        <w:rPr>
          <w:i/>
          <w:szCs w:val="24"/>
        </w:rPr>
        <w:br/>
      </w:r>
    </w:p>
    <w:p w14:paraId="6A7B25AF" w14:textId="77777777" w:rsidR="00E00420" w:rsidRPr="00253D8F" w:rsidRDefault="00E00420" w:rsidP="00074036">
      <w:pPr>
        <w:pStyle w:val="NoSpacing"/>
        <w:rPr>
          <w:szCs w:val="24"/>
        </w:rPr>
      </w:pPr>
      <w:r w:rsidRPr="00253D8F">
        <w:rPr>
          <w:szCs w:val="24"/>
        </w:rPr>
        <w:t xml:space="preserve">Part 2 of Chapter 8 of the Act provides powers to deal with human biosecurity emergencies of national significance during a human biosecurity emergency period. </w:t>
      </w:r>
    </w:p>
    <w:p w14:paraId="11618BE9" w14:textId="77777777" w:rsidR="00E00420" w:rsidRPr="00253D8F" w:rsidRDefault="00E00420" w:rsidP="00074036">
      <w:pPr>
        <w:pStyle w:val="NoSpacing"/>
        <w:rPr>
          <w:szCs w:val="24"/>
        </w:rPr>
      </w:pPr>
    </w:p>
    <w:p w14:paraId="66411B3F" w14:textId="77777777" w:rsidR="00AB71B0" w:rsidRPr="00253D8F" w:rsidRDefault="00E00420" w:rsidP="00074036">
      <w:pPr>
        <w:pStyle w:val="NoSpacing"/>
        <w:rPr>
          <w:szCs w:val="24"/>
        </w:rPr>
      </w:pPr>
      <w:r w:rsidRPr="00253D8F">
        <w:rPr>
          <w:szCs w:val="24"/>
        </w:rPr>
        <w:t>This includes the power</w:t>
      </w:r>
      <w:r w:rsidR="00396481" w:rsidRPr="00253D8F">
        <w:rPr>
          <w:szCs w:val="24"/>
        </w:rPr>
        <w:t>s</w:t>
      </w:r>
      <w:r w:rsidRPr="00253D8F">
        <w:rPr>
          <w:szCs w:val="24"/>
        </w:rPr>
        <w:t xml:space="preserve"> conferred on the </w:t>
      </w:r>
      <w:r w:rsidR="00345A40" w:rsidRPr="00253D8F">
        <w:rPr>
          <w:szCs w:val="24"/>
        </w:rPr>
        <w:t>Health Minister</w:t>
      </w:r>
      <w:r w:rsidRPr="00253D8F">
        <w:rPr>
          <w:szCs w:val="24"/>
        </w:rPr>
        <w:t xml:space="preserve"> under subsections 477(1) and 478(1) of the Act to determine emergency requirements or issue directions during a human biosecurity emergency period that the </w:t>
      </w:r>
      <w:r w:rsidR="00345A40" w:rsidRPr="00253D8F">
        <w:rPr>
          <w:szCs w:val="24"/>
        </w:rPr>
        <w:t>Health Minister</w:t>
      </w:r>
      <w:r w:rsidRPr="00253D8F">
        <w:rPr>
          <w:szCs w:val="24"/>
        </w:rPr>
        <w:t xml:space="preserve"> </w:t>
      </w:r>
      <w:r w:rsidR="00345A40" w:rsidRPr="00253D8F">
        <w:rPr>
          <w:szCs w:val="24"/>
        </w:rPr>
        <w:t>is</w:t>
      </w:r>
      <w:r w:rsidRPr="00253D8F">
        <w:rPr>
          <w:szCs w:val="24"/>
        </w:rPr>
        <w:t xml:space="preserve"> satisfied are necessary to prevent or control the entry</w:t>
      </w:r>
      <w:r w:rsidR="00F351C8" w:rsidRPr="00253D8F">
        <w:rPr>
          <w:szCs w:val="24"/>
        </w:rPr>
        <w:t xml:space="preserve"> into</w:t>
      </w:r>
      <w:r w:rsidRPr="00253D8F">
        <w:rPr>
          <w:szCs w:val="24"/>
        </w:rPr>
        <w:t xml:space="preserve">, </w:t>
      </w:r>
      <w:r w:rsidR="00F351C8" w:rsidRPr="00253D8F">
        <w:rPr>
          <w:szCs w:val="24"/>
        </w:rPr>
        <w:t xml:space="preserve">or the </w:t>
      </w:r>
      <w:r w:rsidRPr="00253D8F">
        <w:rPr>
          <w:szCs w:val="24"/>
        </w:rPr>
        <w:t>emergenc</w:t>
      </w:r>
      <w:r w:rsidR="00DA4895" w:rsidRPr="00253D8F">
        <w:rPr>
          <w:szCs w:val="24"/>
        </w:rPr>
        <w:t>e</w:t>
      </w:r>
      <w:r w:rsidRPr="00253D8F">
        <w:rPr>
          <w:szCs w:val="24"/>
        </w:rPr>
        <w:t xml:space="preserve">, establishment or spread of a </w:t>
      </w:r>
      <w:r w:rsidR="00785A3C" w:rsidRPr="00253D8F">
        <w:rPr>
          <w:szCs w:val="24"/>
        </w:rPr>
        <w:t xml:space="preserve">declaration </w:t>
      </w:r>
      <w:r w:rsidRPr="00253D8F">
        <w:rPr>
          <w:szCs w:val="24"/>
        </w:rPr>
        <w:t xml:space="preserve">listed human disease in Australian territory or a part of Australian territory. The </w:t>
      </w:r>
      <w:r w:rsidR="00345A40" w:rsidRPr="00253D8F">
        <w:rPr>
          <w:szCs w:val="24"/>
        </w:rPr>
        <w:t>Health Minister’s</w:t>
      </w:r>
      <w:r w:rsidRPr="00253D8F">
        <w:rPr>
          <w:szCs w:val="24"/>
        </w:rPr>
        <w:t xml:space="preserve"> exercise of </w:t>
      </w:r>
      <w:r w:rsidR="00785A3C" w:rsidRPr="00253D8F">
        <w:rPr>
          <w:szCs w:val="24"/>
        </w:rPr>
        <w:t xml:space="preserve">these </w:t>
      </w:r>
      <w:r w:rsidRPr="00253D8F">
        <w:rPr>
          <w:szCs w:val="24"/>
        </w:rPr>
        <w:t>powers is subject to</w:t>
      </w:r>
      <w:r w:rsidR="00DA4895" w:rsidRPr="00253D8F">
        <w:rPr>
          <w:szCs w:val="24"/>
        </w:rPr>
        <w:t xml:space="preserve"> further</w:t>
      </w:r>
      <w:r w:rsidRPr="00253D8F">
        <w:rPr>
          <w:szCs w:val="24"/>
        </w:rPr>
        <w:t xml:space="preserve"> conditions and limitations under the Act. </w:t>
      </w:r>
    </w:p>
    <w:p w14:paraId="6ABF232A" w14:textId="77777777" w:rsidR="00AB71B0" w:rsidRPr="00253D8F" w:rsidRDefault="00AB71B0" w:rsidP="00E00420">
      <w:pPr>
        <w:pStyle w:val="NoSpacing"/>
        <w:rPr>
          <w:szCs w:val="24"/>
        </w:rPr>
      </w:pPr>
    </w:p>
    <w:p w14:paraId="41B4F5F3" w14:textId="6D1E3644" w:rsidR="00D9158C" w:rsidRPr="00253D8F" w:rsidRDefault="00AB71B0" w:rsidP="00074036">
      <w:pPr>
        <w:pStyle w:val="NoSpacing"/>
        <w:rPr>
          <w:szCs w:val="24"/>
        </w:rPr>
      </w:pPr>
      <w:r w:rsidRPr="00253D8F">
        <w:rPr>
          <w:szCs w:val="24"/>
        </w:rPr>
        <w:t xml:space="preserve">The requirements that the </w:t>
      </w:r>
      <w:r w:rsidR="00345A40" w:rsidRPr="00253D8F">
        <w:rPr>
          <w:szCs w:val="24"/>
        </w:rPr>
        <w:t>Health Minister</w:t>
      </w:r>
      <w:r w:rsidRPr="00253D8F">
        <w:rPr>
          <w:szCs w:val="24"/>
        </w:rPr>
        <w:t xml:space="preserve"> may determine</w:t>
      </w:r>
      <w:r w:rsidR="00E00420" w:rsidRPr="00253D8F">
        <w:rPr>
          <w:szCs w:val="24"/>
        </w:rPr>
        <w:t xml:space="preserve"> under section 477</w:t>
      </w:r>
      <w:r w:rsidRPr="00253D8F">
        <w:rPr>
          <w:szCs w:val="24"/>
        </w:rPr>
        <w:t xml:space="preserve"> include</w:t>
      </w:r>
      <w:r w:rsidR="00FA2BF1" w:rsidRPr="00253D8F">
        <w:rPr>
          <w:szCs w:val="24"/>
        </w:rPr>
        <w:t>,</w:t>
      </w:r>
      <w:r w:rsidR="001261B8" w:rsidRPr="00253D8F">
        <w:rPr>
          <w:szCs w:val="24"/>
        </w:rPr>
        <w:t xml:space="preserve"> </w:t>
      </w:r>
      <w:r w:rsidR="00FA2BF1" w:rsidRPr="00253D8F">
        <w:rPr>
          <w:szCs w:val="24"/>
        </w:rPr>
        <w:t>but are not limited to</w:t>
      </w:r>
      <w:r w:rsidRPr="00253D8F">
        <w:rPr>
          <w:szCs w:val="24"/>
        </w:rPr>
        <w:t>: requirements that apply to persons, goods or conveyances when entering or leaving specified places; requirements that restrict or prevent the movement of persons, goods or conveyances in or between specified places; and requirements for specified plac</w:t>
      </w:r>
      <w:r w:rsidR="00E00420" w:rsidRPr="00253D8F">
        <w:rPr>
          <w:szCs w:val="24"/>
        </w:rPr>
        <w:t xml:space="preserve">es to be evacuated. </w:t>
      </w:r>
    </w:p>
    <w:p w14:paraId="564C3023" w14:textId="77777777" w:rsidR="001A1221" w:rsidRPr="00253D8F" w:rsidRDefault="001A1221" w:rsidP="00074036">
      <w:pPr>
        <w:pStyle w:val="NoSpacing"/>
        <w:rPr>
          <w:szCs w:val="24"/>
        </w:rPr>
      </w:pPr>
    </w:p>
    <w:p w14:paraId="43DF85C8" w14:textId="77777777" w:rsidR="001A1221" w:rsidRPr="00253D8F" w:rsidRDefault="00784165" w:rsidP="00074036">
      <w:pPr>
        <w:pStyle w:val="NoSpacing"/>
        <w:rPr>
          <w:szCs w:val="24"/>
        </w:rPr>
      </w:pPr>
      <w:r w:rsidRPr="00253D8F">
        <w:rPr>
          <w:szCs w:val="24"/>
        </w:rPr>
        <w:t>T</w:t>
      </w:r>
      <w:r w:rsidR="001A1221" w:rsidRPr="00253D8F">
        <w:rPr>
          <w:szCs w:val="24"/>
        </w:rPr>
        <w:t>he Minister</w:t>
      </w:r>
      <w:r w:rsidR="00F02396" w:rsidRPr="00253D8F">
        <w:rPr>
          <w:szCs w:val="24"/>
        </w:rPr>
        <w:t xml:space="preserve"> for Health and Aged Care</w:t>
      </w:r>
      <w:r w:rsidR="00345A40" w:rsidRPr="00253D8F">
        <w:rPr>
          <w:szCs w:val="24"/>
        </w:rPr>
        <w:t xml:space="preserve"> </w:t>
      </w:r>
      <w:r w:rsidR="001A1221" w:rsidRPr="00253D8F">
        <w:rPr>
          <w:szCs w:val="24"/>
        </w:rPr>
        <w:t>has exercised the power under section 477 to determine various emergency requirements during the human biosecurity emergency period for COVID-19. An effect of extending the human biosecurity emergency period is that those determinations</w:t>
      </w:r>
      <w:r w:rsidR="00800668" w:rsidRPr="00253D8F">
        <w:rPr>
          <w:szCs w:val="24"/>
        </w:rPr>
        <w:t xml:space="preserve"> that are still in effect</w:t>
      </w:r>
      <w:r w:rsidR="001A1221" w:rsidRPr="00253D8F">
        <w:rPr>
          <w:szCs w:val="24"/>
        </w:rPr>
        <w:t xml:space="preserve"> </w:t>
      </w:r>
      <w:r w:rsidR="00F41622" w:rsidRPr="00253D8F">
        <w:rPr>
          <w:szCs w:val="24"/>
        </w:rPr>
        <w:t>will</w:t>
      </w:r>
      <w:r w:rsidR="00D079ED" w:rsidRPr="00253D8F">
        <w:rPr>
          <w:szCs w:val="24"/>
        </w:rPr>
        <w:t>,</w:t>
      </w:r>
      <w:r w:rsidR="001A1221" w:rsidRPr="00253D8F">
        <w:rPr>
          <w:szCs w:val="24"/>
        </w:rPr>
        <w:t xml:space="preserve"> according to their terms and consistent with subsection 477(7) of the Act, continue to apply for the further duration of the period. </w:t>
      </w:r>
    </w:p>
    <w:p w14:paraId="711C260A" w14:textId="77777777" w:rsidR="00E00420" w:rsidRPr="00253D8F" w:rsidRDefault="00E00420" w:rsidP="00074036">
      <w:pPr>
        <w:pStyle w:val="NoSpacing"/>
        <w:rPr>
          <w:szCs w:val="24"/>
        </w:rPr>
      </w:pPr>
    </w:p>
    <w:p w14:paraId="5FEC4C69" w14:textId="77777777" w:rsidR="00E00420" w:rsidRPr="00253D8F" w:rsidRDefault="00E60197" w:rsidP="00E00420">
      <w:pPr>
        <w:pStyle w:val="NoSpacing"/>
        <w:rPr>
          <w:szCs w:val="24"/>
        </w:rPr>
      </w:pPr>
      <w:r w:rsidRPr="00253D8F">
        <w:rPr>
          <w:szCs w:val="24"/>
        </w:rPr>
        <w:t xml:space="preserve">The directions that the </w:t>
      </w:r>
      <w:r w:rsidR="00345A40" w:rsidRPr="00253D8F">
        <w:rPr>
          <w:szCs w:val="24"/>
        </w:rPr>
        <w:t>Health Minister</w:t>
      </w:r>
      <w:r w:rsidR="00CB2D6B" w:rsidRPr="00253D8F">
        <w:rPr>
          <w:szCs w:val="24"/>
        </w:rPr>
        <w:t xml:space="preserve"> </w:t>
      </w:r>
      <w:r w:rsidRPr="00253D8F">
        <w:rPr>
          <w:szCs w:val="24"/>
        </w:rPr>
        <w:t xml:space="preserve">may give </w:t>
      </w:r>
      <w:r w:rsidR="00E00420" w:rsidRPr="00253D8F">
        <w:rPr>
          <w:szCs w:val="24"/>
        </w:rPr>
        <w:t xml:space="preserve">under section 478 </w:t>
      </w:r>
      <w:r w:rsidRPr="00253D8F">
        <w:rPr>
          <w:szCs w:val="24"/>
        </w:rPr>
        <w:t>include</w:t>
      </w:r>
      <w:r w:rsidR="00FA2BF1" w:rsidRPr="00253D8F">
        <w:rPr>
          <w:szCs w:val="24"/>
        </w:rPr>
        <w:t>, but are not limited to</w:t>
      </w:r>
      <w:r w:rsidRPr="00253D8F">
        <w:rPr>
          <w:szCs w:val="24"/>
        </w:rPr>
        <w:t>: a direction to a person who is in a position to close premises, or prevent access to premises</w:t>
      </w:r>
      <w:r w:rsidR="009348FC" w:rsidRPr="00253D8F">
        <w:rPr>
          <w:szCs w:val="24"/>
        </w:rPr>
        <w:t>, to do so</w:t>
      </w:r>
      <w:r w:rsidRPr="00253D8F">
        <w:rPr>
          <w:szCs w:val="24"/>
        </w:rPr>
        <w:t>; a direction for the purpose of giving effect to or enforcing an emergency requirement determined under s</w:t>
      </w:r>
      <w:r w:rsidR="00E00420" w:rsidRPr="00253D8F">
        <w:rPr>
          <w:szCs w:val="24"/>
        </w:rPr>
        <w:t>ection</w:t>
      </w:r>
      <w:r w:rsidRPr="00253D8F">
        <w:rPr>
          <w:szCs w:val="24"/>
        </w:rPr>
        <w:t xml:space="preserve"> 477; and directions to give effect to a recommendation made to the Health Minister by the </w:t>
      </w:r>
      <w:r w:rsidR="00892BAB" w:rsidRPr="00253D8F">
        <w:rPr>
          <w:szCs w:val="24"/>
        </w:rPr>
        <w:t>WHO</w:t>
      </w:r>
      <w:r w:rsidRPr="00253D8F">
        <w:rPr>
          <w:szCs w:val="24"/>
        </w:rPr>
        <w:t xml:space="preserve"> under Part III of the </w:t>
      </w:r>
      <w:r w:rsidR="004C1A70" w:rsidRPr="00253D8F">
        <w:rPr>
          <w:szCs w:val="24"/>
        </w:rPr>
        <w:t>IHR</w:t>
      </w:r>
      <w:r w:rsidRPr="00253D8F">
        <w:rPr>
          <w:szCs w:val="24"/>
        </w:rPr>
        <w:t>.</w:t>
      </w:r>
    </w:p>
    <w:p w14:paraId="073C3EE0" w14:textId="77777777" w:rsidR="00E60197" w:rsidRPr="00253D8F" w:rsidRDefault="00E60197" w:rsidP="00BB3148">
      <w:pPr>
        <w:pStyle w:val="NoSpacing"/>
        <w:jc w:val="both"/>
        <w:rPr>
          <w:b/>
          <w:szCs w:val="24"/>
        </w:rPr>
      </w:pPr>
    </w:p>
    <w:p w14:paraId="2D44CBFA" w14:textId="77777777" w:rsidR="0096736B" w:rsidRPr="00253D8F" w:rsidRDefault="0096736B" w:rsidP="00BB3148">
      <w:pPr>
        <w:pStyle w:val="NoSpacing"/>
        <w:jc w:val="both"/>
        <w:rPr>
          <w:szCs w:val="24"/>
        </w:rPr>
      </w:pPr>
      <w:r w:rsidRPr="00253D8F">
        <w:rPr>
          <w:b/>
          <w:szCs w:val="24"/>
        </w:rPr>
        <w:t>Consultation</w:t>
      </w:r>
    </w:p>
    <w:p w14:paraId="4351FCED" w14:textId="77777777" w:rsidR="00396481" w:rsidRPr="00253D8F" w:rsidRDefault="008F3FB5" w:rsidP="00074036">
      <w:pPr>
        <w:pStyle w:val="NoSpacing"/>
      </w:pPr>
      <w:r w:rsidRPr="00253D8F">
        <w:t xml:space="preserve">The Instrument is supported by the </w:t>
      </w:r>
      <w:r w:rsidR="000B2091" w:rsidRPr="00253D8F">
        <w:t>Director of Human Biosecurity (</w:t>
      </w:r>
      <w:r w:rsidRPr="00253D8F">
        <w:t>the Comm</w:t>
      </w:r>
      <w:r w:rsidR="00CB2D6B" w:rsidRPr="00253D8F">
        <w:t>onwealth Chief Medical Officer)</w:t>
      </w:r>
      <w:r w:rsidRPr="00253D8F">
        <w:t xml:space="preserve"> and </w:t>
      </w:r>
      <w:r w:rsidR="000B2091" w:rsidRPr="00253D8F">
        <w:t>the Director of Biosecurity (</w:t>
      </w:r>
      <w:r w:rsidR="00CB2D6B" w:rsidRPr="00253D8F">
        <w:t xml:space="preserve">the Secretary of the Department of Agriculture, Water and the Environment). </w:t>
      </w:r>
    </w:p>
    <w:p w14:paraId="3B60F866" w14:textId="77777777" w:rsidR="00FA2BF1" w:rsidRPr="00253D8F" w:rsidRDefault="00FA2BF1" w:rsidP="00074036">
      <w:pPr>
        <w:pStyle w:val="NoSpacing"/>
        <w:rPr>
          <w:szCs w:val="24"/>
        </w:rPr>
      </w:pPr>
    </w:p>
    <w:p w14:paraId="122634E7" w14:textId="77777777" w:rsidR="009049A4" w:rsidRPr="00253D8F" w:rsidRDefault="00834BC1" w:rsidP="00074036">
      <w:pPr>
        <w:pStyle w:val="NoSpacing"/>
        <w:rPr>
          <w:szCs w:val="24"/>
        </w:rPr>
      </w:pPr>
      <w:r w:rsidRPr="00253D8F">
        <w:rPr>
          <w:szCs w:val="24"/>
        </w:rPr>
        <w:t>A provision by provision description of the</w:t>
      </w:r>
      <w:r w:rsidR="00235075" w:rsidRPr="00253D8F">
        <w:rPr>
          <w:szCs w:val="24"/>
        </w:rPr>
        <w:t xml:space="preserve"> </w:t>
      </w:r>
      <w:r w:rsidR="007A134E" w:rsidRPr="00253D8F">
        <w:rPr>
          <w:szCs w:val="24"/>
        </w:rPr>
        <w:t>Instrument</w:t>
      </w:r>
      <w:r w:rsidR="005A3C2F" w:rsidRPr="00253D8F">
        <w:rPr>
          <w:szCs w:val="24"/>
        </w:rPr>
        <w:t xml:space="preserve"> </w:t>
      </w:r>
      <w:r w:rsidRPr="00253D8F">
        <w:rPr>
          <w:szCs w:val="24"/>
        </w:rPr>
        <w:t>is contained in the Attachment.</w:t>
      </w:r>
      <w:r w:rsidR="009227F1" w:rsidRPr="00253D8F">
        <w:rPr>
          <w:szCs w:val="24"/>
        </w:rPr>
        <w:t xml:space="preserve"> </w:t>
      </w:r>
    </w:p>
    <w:p w14:paraId="5EC83F35" w14:textId="77777777" w:rsidR="006910FE" w:rsidRPr="00253D8F" w:rsidRDefault="00892BAB" w:rsidP="00E90D23">
      <w:pPr>
        <w:jc w:val="right"/>
        <w:rPr>
          <w:i/>
          <w:szCs w:val="24"/>
        </w:rPr>
      </w:pPr>
      <w:r w:rsidRPr="00253D8F">
        <w:rPr>
          <w:b/>
          <w:szCs w:val="24"/>
        </w:rPr>
        <w:br w:type="page"/>
      </w:r>
      <w:r w:rsidR="006910FE" w:rsidRPr="00253D8F">
        <w:rPr>
          <w:b/>
          <w:szCs w:val="24"/>
        </w:rPr>
        <w:lastRenderedPageBreak/>
        <w:t>ATTACHMENT</w:t>
      </w:r>
    </w:p>
    <w:p w14:paraId="432DC46C" w14:textId="77777777" w:rsidR="006910FE" w:rsidRPr="00253D8F" w:rsidRDefault="006910FE" w:rsidP="006910FE">
      <w:pPr>
        <w:jc w:val="right"/>
        <w:rPr>
          <w:b/>
          <w:szCs w:val="24"/>
        </w:rPr>
      </w:pPr>
    </w:p>
    <w:p w14:paraId="4DD539DA" w14:textId="195F017B" w:rsidR="006910FE" w:rsidRPr="00253D8F" w:rsidRDefault="0042218F" w:rsidP="006910FE">
      <w:pPr>
        <w:rPr>
          <w:b/>
          <w:i/>
          <w:szCs w:val="24"/>
          <w:u w:val="single"/>
        </w:rPr>
      </w:pPr>
      <w:r w:rsidRPr="00253D8F">
        <w:rPr>
          <w:b/>
          <w:i/>
          <w:szCs w:val="24"/>
          <w:u w:val="single"/>
        </w:rPr>
        <w:t>Biosecurity (Human Biosecurity Emergency) (Human Coronavirus with Pandemic Potential) Variation (Extension</w:t>
      </w:r>
      <w:r w:rsidR="006C4208" w:rsidRPr="00253D8F">
        <w:rPr>
          <w:b/>
          <w:i/>
          <w:szCs w:val="24"/>
          <w:u w:val="single"/>
        </w:rPr>
        <w:t xml:space="preserve"> No.</w:t>
      </w:r>
      <w:r w:rsidR="00B909A1" w:rsidRPr="00253D8F">
        <w:rPr>
          <w:b/>
          <w:i/>
          <w:szCs w:val="24"/>
          <w:u w:val="single"/>
        </w:rPr>
        <w:t> 1</w:t>
      </w:r>
      <w:r w:rsidRPr="00253D8F">
        <w:rPr>
          <w:b/>
          <w:i/>
          <w:szCs w:val="24"/>
          <w:u w:val="single"/>
        </w:rPr>
        <w:t>) Instrument 202</w:t>
      </w:r>
      <w:r w:rsidR="00B909A1" w:rsidRPr="00253D8F">
        <w:rPr>
          <w:b/>
          <w:i/>
          <w:szCs w:val="24"/>
          <w:u w:val="single"/>
        </w:rPr>
        <w:t>2</w:t>
      </w:r>
    </w:p>
    <w:p w14:paraId="08193924" w14:textId="77777777" w:rsidR="0042218F" w:rsidRPr="00253D8F" w:rsidRDefault="0042218F" w:rsidP="006910FE">
      <w:pPr>
        <w:rPr>
          <w:b/>
          <w:szCs w:val="24"/>
          <w:u w:val="single"/>
        </w:rPr>
      </w:pPr>
    </w:p>
    <w:p w14:paraId="4AB1BE7E" w14:textId="77777777" w:rsidR="006910FE" w:rsidRPr="00253D8F" w:rsidRDefault="006910FE" w:rsidP="006910FE">
      <w:pPr>
        <w:numPr>
          <w:ilvl w:val="0"/>
          <w:numId w:val="18"/>
        </w:numPr>
        <w:tabs>
          <w:tab w:val="clear" w:pos="1080"/>
        </w:tabs>
        <w:ind w:left="0" w:firstLine="0"/>
        <w:rPr>
          <w:b/>
          <w:szCs w:val="24"/>
        </w:rPr>
      </w:pPr>
      <w:r w:rsidRPr="00253D8F">
        <w:rPr>
          <w:b/>
          <w:szCs w:val="24"/>
        </w:rPr>
        <w:t xml:space="preserve">Name </w:t>
      </w:r>
    </w:p>
    <w:p w14:paraId="1FE5CC41" w14:textId="73097736" w:rsidR="00EC75FB" w:rsidRPr="00253D8F" w:rsidRDefault="006910FE" w:rsidP="006910FE">
      <w:pPr>
        <w:rPr>
          <w:szCs w:val="24"/>
        </w:rPr>
      </w:pPr>
      <w:r w:rsidRPr="00253D8F">
        <w:rPr>
          <w:szCs w:val="24"/>
        </w:rPr>
        <w:t>Section 1 provides for the</w:t>
      </w:r>
      <w:r w:rsidR="0042218F" w:rsidRPr="00253D8F">
        <w:rPr>
          <w:szCs w:val="24"/>
        </w:rPr>
        <w:t xml:space="preserve"> Instrument</w:t>
      </w:r>
      <w:r w:rsidR="00EC75FB" w:rsidRPr="00253D8F">
        <w:rPr>
          <w:szCs w:val="24"/>
        </w:rPr>
        <w:t xml:space="preserve"> </w:t>
      </w:r>
      <w:r w:rsidRPr="00253D8F">
        <w:rPr>
          <w:szCs w:val="24"/>
        </w:rPr>
        <w:t xml:space="preserve">to be referred to as </w:t>
      </w:r>
      <w:r w:rsidR="00EC75FB" w:rsidRPr="00253D8F">
        <w:rPr>
          <w:szCs w:val="24"/>
        </w:rPr>
        <w:t xml:space="preserve">the </w:t>
      </w:r>
      <w:r w:rsidR="0042218F" w:rsidRPr="00253D8F">
        <w:rPr>
          <w:i/>
          <w:szCs w:val="24"/>
        </w:rPr>
        <w:t>Biosecurity (Human Biosecurity Emergency) (Human Coronavirus with Pandemic Potential) Variation (Extension</w:t>
      </w:r>
      <w:r w:rsidR="006C4208" w:rsidRPr="00253D8F">
        <w:rPr>
          <w:i/>
          <w:szCs w:val="24"/>
        </w:rPr>
        <w:t xml:space="preserve"> No.</w:t>
      </w:r>
      <w:r w:rsidR="00B909A1" w:rsidRPr="00253D8F">
        <w:rPr>
          <w:i/>
          <w:szCs w:val="24"/>
        </w:rPr>
        <w:t> 1</w:t>
      </w:r>
      <w:r w:rsidR="0042218F" w:rsidRPr="00253D8F">
        <w:rPr>
          <w:i/>
          <w:szCs w:val="24"/>
        </w:rPr>
        <w:t>) Instrument 202</w:t>
      </w:r>
      <w:r w:rsidR="00B909A1" w:rsidRPr="00253D8F">
        <w:rPr>
          <w:i/>
          <w:szCs w:val="24"/>
        </w:rPr>
        <w:t>2</w:t>
      </w:r>
      <w:r w:rsidR="00903F67" w:rsidRPr="00253D8F">
        <w:rPr>
          <w:szCs w:val="24"/>
        </w:rPr>
        <w:t>.</w:t>
      </w:r>
    </w:p>
    <w:p w14:paraId="4DD9A358" w14:textId="77777777" w:rsidR="006910FE" w:rsidRPr="00253D8F" w:rsidRDefault="006910FE" w:rsidP="006910FE">
      <w:pPr>
        <w:rPr>
          <w:b/>
          <w:szCs w:val="24"/>
        </w:rPr>
      </w:pPr>
    </w:p>
    <w:p w14:paraId="315C369E" w14:textId="77777777" w:rsidR="006910FE" w:rsidRPr="00253D8F" w:rsidRDefault="006910FE" w:rsidP="006910FE">
      <w:pPr>
        <w:numPr>
          <w:ilvl w:val="0"/>
          <w:numId w:val="18"/>
        </w:numPr>
        <w:tabs>
          <w:tab w:val="clear" w:pos="1080"/>
        </w:tabs>
        <w:ind w:left="0" w:firstLine="0"/>
        <w:rPr>
          <w:b/>
          <w:szCs w:val="24"/>
        </w:rPr>
      </w:pPr>
      <w:r w:rsidRPr="00253D8F">
        <w:rPr>
          <w:b/>
          <w:szCs w:val="24"/>
        </w:rPr>
        <w:t>Commencement</w:t>
      </w:r>
    </w:p>
    <w:p w14:paraId="39A82876" w14:textId="77777777" w:rsidR="006910FE" w:rsidRPr="00253D8F" w:rsidRDefault="006910FE" w:rsidP="006910FE">
      <w:pPr>
        <w:rPr>
          <w:szCs w:val="24"/>
        </w:rPr>
      </w:pPr>
      <w:r w:rsidRPr="00253D8F">
        <w:rPr>
          <w:szCs w:val="24"/>
        </w:rPr>
        <w:t xml:space="preserve">Section 2 provides that the </w:t>
      </w:r>
      <w:r w:rsidR="009348FC" w:rsidRPr="00253D8F">
        <w:rPr>
          <w:szCs w:val="24"/>
        </w:rPr>
        <w:t>I</w:t>
      </w:r>
      <w:r w:rsidR="0042218F" w:rsidRPr="00253D8F">
        <w:rPr>
          <w:szCs w:val="24"/>
        </w:rPr>
        <w:t>nstrument</w:t>
      </w:r>
      <w:r w:rsidRPr="00253D8F">
        <w:rPr>
          <w:szCs w:val="24"/>
        </w:rPr>
        <w:t xml:space="preserve"> commences </w:t>
      </w:r>
      <w:r w:rsidR="0042218F" w:rsidRPr="00253D8F">
        <w:rPr>
          <w:szCs w:val="24"/>
        </w:rPr>
        <w:t>the day</w:t>
      </w:r>
      <w:r w:rsidR="0049771D" w:rsidRPr="00253D8F">
        <w:rPr>
          <w:szCs w:val="24"/>
        </w:rPr>
        <w:t xml:space="preserve"> after </w:t>
      </w:r>
      <w:r w:rsidR="00142972" w:rsidRPr="00253D8F">
        <w:rPr>
          <w:szCs w:val="24"/>
        </w:rPr>
        <w:t xml:space="preserve">it is registered. </w:t>
      </w:r>
    </w:p>
    <w:p w14:paraId="03250146" w14:textId="77777777" w:rsidR="006910FE" w:rsidRPr="00253D8F" w:rsidRDefault="006910FE" w:rsidP="006910FE">
      <w:pPr>
        <w:rPr>
          <w:b/>
          <w:szCs w:val="24"/>
        </w:rPr>
      </w:pPr>
    </w:p>
    <w:p w14:paraId="3DAE9C11" w14:textId="77777777" w:rsidR="006910FE" w:rsidRPr="00253D8F" w:rsidRDefault="00142972" w:rsidP="006910FE">
      <w:pPr>
        <w:numPr>
          <w:ilvl w:val="0"/>
          <w:numId w:val="18"/>
        </w:numPr>
        <w:tabs>
          <w:tab w:val="clear" w:pos="1080"/>
        </w:tabs>
        <w:ind w:left="0" w:firstLine="0"/>
        <w:rPr>
          <w:b/>
          <w:i/>
          <w:szCs w:val="24"/>
        </w:rPr>
      </w:pPr>
      <w:r w:rsidRPr="00253D8F">
        <w:rPr>
          <w:b/>
          <w:szCs w:val="24"/>
        </w:rPr>
        <w:t>Authority</w:t>
      </w:r>
    </w:p>
    <w:p w14:paraId="6EA61683" w14:textId="4C9AC68F" w:rsidR="006910FE" w:rsidRPr="00253D8F" w:rsidRDefault="006910FE" w:rsidP="006910FE">
      <w:pPr>
        <w:rPr>
          <w:szCs w:val="24"/>
        </w:rPr>
      </w:pPr>
      <w:r w:rsidRPr="00253D8F">
        <w:rPr>
          <w:szCs w:val="24"/>
        </w:rPr>
        <w:t xml:space="preserve">Section 3 provides that the </w:t>
      </w:r>
      <w:r w:rsidR="009348FC" w:rsidRPr="00253D8F">
        <w:rPr>
          <w:szCs w:val="24"/>
        </w:rPr>
        <w:t>I</w:t>
      </w:r>
      <w:r w:rsidR="0042218F" w:rsidRPr="00253D8F">
        <w:rPr>
          <w:szCs w:val="24"/>
        </w:rPr>
        <w:t>nstrument</w:t>
      </w:r>
      <w:r w:rsidRPr="00253D8F">
        <w:rPr>
          <w:szCs w:val="24"/>
        </w:rPr>
        <w:t xml:space="preserve"> is made under </w:t>
      </w:r>
      <w:r w:rsidR="004314FB" w:rsidRPr="00253D8F">
        <w:rPr>
          <w:szCs w:val="24"/>
        </w:rPr>
        <w:t>sub</w:t>
      </w:r>
      <w:r w:rsidR="0042218F" w:rsidRPr="00253D8F">
        <w:rPr>
          <w:szCs w:val="24"/>
        </w:rPr>
        <w:t>section 476</w:t>
      </w:r>
      <w:r w:rsidR="004314FB" w:rsidRPr="00253D8F">
        <w:rPr>
          <w:szCs w:val="24"/>
        </w:rPr>
        <w:t>(1)</w:t>
      </w:r>
      <w:r w:rsidR="00142972" w:rsidRPr="00253D8F">
        <w:rPr>
          <w:szCs w:val="24"/>
        </w:rPr>
        <w:t xml:space="preserve"> of the </w:t>
      </w:r>
      <w:r w:rsidR="005005D5" w:rsidRPr="00253D8F">
        <w:rPr>
          <w:i/>
          <w:szCs w:val="24"/>
        </w:rPr>
        <w:t>Biosecurity</w:t>
      </w:r>
      <w:r w:rsidR="00B909A1" w:rsidRPr="00253D8F">
        <w:rPr>
          <w:i/>
          <w:szCs w:val="24"/>
        </w:rPr>
        <w:t> </w:t>
      </w:r>
      <w:r w:rsidR="005005D5" w:rsidRPr="00253D8F">
        <w:rPr>
          <w:i/>
          <w:szCs w:val="24"/>
        </w:rPr>
        <w:t>Act</w:t>
      </w:r>
      <w:r w:rsidR="00B909A1" w:rsidRPr="00253D8F">
        <w:rPr>
          <w:i/>
          <w:szCs w:val="24"/>
        </w:rPr>
        <w:t> </w:t>
      </w:r>
      <w:r w:rsidR="005005D5" w:rsidRPr="00253D8F">
        <w:rPr>
          <w:i/>
          <w:szCs w:val="24"/>
        </w:rPr>
        <w:t>2015</w:t>
      </w:r>
      <w:r w:rsidR="00903F67" w:rsidRPr="00253D8F">
        <w:rPr>
          <w:szCs w:val="24"/>
        </w:rPr>
        <w:t>.</w:t>
      </w:r>
    </w:p>
    <w:p w14:paraId="74BA845E" w14:textId="77777777" w:rsidR="006910FE" w:rsidRPr="00253D8F" w:rsidRDefault="006910FE" w:rsidP="006910FE">
      <w:pPr>
        <w:rPr>
          <w:szCs w:val="24"/>
        </w:rPr>
      </w:pPr>
    </w:p>
    <w:p w14:paraId="3274EFD4" w14:textId="77777777" w:rsidR="006910FE" w:rsidRPr="00253D8F" w:rsidRDefault="0042218F" w:rsidP="006910FE">
      <w:pPr>
        <w:numPr>
          <w:ilvl w:val="0"/>
          <w:numId w:val="18"/>
        </w:numPr>
        <w:tabs>
          <w:tab w:val="clear" w:pos="1080"/>
        </w:tabs>
        <w:ind w:left="0" w:firstLine="0"/>
        <w:rPr>
          <w:b/>
          <w:szCs w:val="24"/>
        </w:rPr>
      </w:pPr>
      <w:r w:rsidRPr="00253D8F">
        <w:rPr>
          <w:b/>
          <w:szCs w:val="24"/>
        </w:rPr>
        <w:t>Schedules</w:t>
      </w:r>
    </w:p>
    <w:p w14:paraId="4B215E39" w14:textId="77777777" w:rsidR="0042218F" w:rsidRPr="00253D8F" w:rsidRDefault="0042218F" w:rsidP="0042218F">
      <w:r w:rsidRPr="00253D8F">
        <w:t>Section 4 provides that each instrument s</w:t>
      </w:r>
      <w:r w:rsidR="00FA2BF1" w:rsidRPr="00253D8F">
        <w:t>pecified in a Schedule to this i</w:t>
      </w:r>
      <w:r w:rsidRPr="00253D8F">
        <w:t xml:space="preserve">nstrument is amended or repealed as set out in the applicable items in the Schedule concerned, and any other item in a Schedule to this instrument has effect according to its terms. </w:t>
      </w:r>
    </w:p>
    <w:p w14:paraId="5A28921D" w14:textId="77777777" w:rsidR="004F2A87" w:rsidRPr="00253D8F" w:rsidRDefault="004F2A87" w:rsidP="006910FE">
      <w:pPr>
        <w:rPr>
          <w:szCs w:val="24"/>
        </w:rPr>
      </w:pPr>
    </w:p>
    <w:p w14:paraId="617A4178" w14:textId="77777777" w:rsidR="004F2A87" w:rsidRPr="00253D8F" w:rsidRDefault="004C1A70" w:rsidP="00521F06">
      <w:pPr>
        <w:rPr>
          <w:b/>
          <w:szCs w:val="24"/>
        </w:rPr>
      </w:pPr>
      <w:r w:rsidRPr="00253D8F">
        <w:rPr>
          <w:b/>
          <w:szCs w:val="24"/>
        </w:rPr>
        <w:t>Schedule 1</w:t>
      </w:r>
      <w:r w:rsidRPr="00253D8F">
        <w:rPr>
          <w:b/>
          <w:szCs w:val="24"/>
        </w:rPr>
        <w:tab/>
      </w:r>
      <w:r w:rsidR="00DB08BD" w:rsidRPr="00253D8F">
        <w:rPr>
          <w:b/>
          <w:szCs w:val="24"/>
        </w:rPr>
        <w:tab/>
      </w:r>
      <w:r w:rsidR="0042218F" w:rsidRPr="00253D8F">
        <w:rPr>
          <w:b/>
          <w:szCs w:val="24"/>
        </w:rPr>
        <w:t xml:space="preserve">Extension of human biosecurity emergency period </w:t>
      </w:r>
    </w:p>
    <w:p w14:paraId="2A2E77C1" w14:textId="77777777" w:rsidR="004F2A87" w:rsidRPr="00253D8F" w:rsidRDefault="004F2A87" w:rsidP="004F2A87">
      <w:pPr>
        <w:rPr>
          <w:szCs w:val="24"/>
        </w:rPr>
      </w:pPr>
    </w:p>
    <w:p w14:paraId="53B4F4D0" w14:textId="77777777" w:rsidR="00DB08BD" w:rsidRPr="00253D8F" w:rsidRDefault="00DB08BD" w:rsidP="00DB08BD">
      <w:pPr>
        <w:pStyle w:val="Header"/>
        <w:tabs>
          <w:tab w:val="clear" w:pos="4153"/>
          <w:tab w:val="clear" w:pos="8306"/>
          <w:tab w:val="num" w:pos="1080"/>
        </w:tabs>
        <w:rPr>
          <w:szCs w:val="24"/>
        </w:rPr>
      </w:pPr>
      <w:r w:rsidRPr="00253D8F">
        <w:rPr>
          <w:szCs w:val="24"/>
        </w:rPr>
        <w:t xml:space="preserve">This Schedule provides for the </w:t>
      </w:r>
      <w:r w:rsidRPr="00253D8F">
        <w:rPr>
          <w:i/>
          <w:szCs w:val="24"/>
        </w:rPr>
        <w:t>Biosecurity (Human Biosecurity Emergency) (Human Coronavirus with Pandemic Potential) Declaration 202</w:t>
      </w:r>
      <w:r w:rsidR="00D35C1E" w:rsidRPr="00253D8F">
        <w:rPr>
          <w:i/>
          <w:szCs w:val="24"/>
        </w:rPr>
        <w:t>0</w:t>
      </w:r>
      <w:r w:rsidRPr="00253D8F">
        <w:rPr>
          <w:szCs w:val="24"/>
        </w:rPr>
        <w:t xml:space="preserve"> (the Declaration) to be amended. </w:t>
      </w:r>
    </w:p>
    <w:p w14:paraId="6020B743" w14:textId="77777777" w:rsidR="00DB08BD" w:rsidRPr="00253D8F" w:rsidRDefault="00DB08BD" w:rsidP="00DB08BD">
      <w:pPr>
        <w:rPr>
          <w:szCs w:val="24"/>
        </w:rPr>
      </w:pPr>
    </w:p>
    <w:p w14:paraId="62236E2A" w14:textId="77777777" w:rsidR="00DB08BD" w:rsidRPr="00253D8F" w:rsidRDefault="004C1A70" w:rsidP="00521F06">
      <w:pPr>
        <w:rPr>
          <w:b/>
          <w:szCs w:val="24"/>
        </w:rPr>
      </w:pPr>
      <w:r w:rsidRPr="00253D8F">
        <w:rPr>
          <w:b/>
          <w:szCs w:val="24"/>
        </w:rPr>
        <w:t>Item 1</w:t>
      </w:r>
      <w:r w:rsidRPr="00253D8F">
        <w:rPr>
          <w:b/>
          <w:szCs w:val="24"/>
        </w:rPr>
        <w:tab/>
      </w:r>
      <w:r w:rsidR="00DB08BD" w:rsidRPr="00253D8F">
        <w:rPr>
          <w:b/>
          <w:szCs w:val="24"/>
        </w:rPr>
        <w:t>Paragraph 7(b)</w:t>
      </w:r>
    </w:p>
    <w:p w14:paraId="04461F86" w14:textId="3DA7885A" w:rsidR="00DB08BD" w:rsidRPr="00253D8F" w:rsidRDefault="00DB08BD" w:rsidP="00DB08BD">
      <w:pPr>
        <w:rPr>
          <w:szCs w:val="24"/>
        </w:rPr>
      </w:pPr>
      <w:r w:rsidRPr="00253D8F">
        <w:rPr>
          <w:szCs w:val="24"/>
        </w:rPr>
        <w:t>This</w:t>
      </w:r>
      <w:r w:rsidR="000C4361" w:rsidRPr="00253D8F">
        <w:rPr>
          <w:szCs w:val="24"/>
        </w:rPr>
        <w:t xml:space="preserve"> item</w:t>
      </w:r>
      <w:r w:rsidRPr="00253D8F">
        <w:rPr>
          <w:szCs w:val="24"/>
        </w:rPr>
        <w:t xml:space="preserve"> amends paragraph 7(b) of the Declaration to omit “</w:t>
      </w:r>
      <w:r w:rsidR="00B909A1" w:rsidRPr="00253D8F">
        <w:rPr>
          <w:szCs w:val="24"/>
        </w:rPr>
        <w:t>February</w:t>
      </w:r>
      <w:r w:rsidR="008C7B12" w:rsidRPr="00253D8F">
        <w:rPr>
          <w:szCs w:val="24"/>
        </w:rPr>
        <w:t>” and substitute “</w:t>
      </w:r>
      <w:r w:rsidR="001261B8" w:rsidRPr="00253D8F">
        <w:rPr>
          <w:szCs w:val="24"/>
        </w:rPr>
        <w:t>April</w:t>
      </w:r>
      <w:r w:rsidRPr="00253D8F">
        <w:rPr>
          <w:szCs w:val="24"/>
        </w:rPr>
        <w:t xml:space="preserve">”. </w:t>
      </w:r>
    </w:p>
    <w:p w14:paraId="1133F820" w14:textId="77777777" w:rsidR="00DB08BD" w:rsidRPr="00253D8F" w:rsidRDefault="00DB08BD" w:rsidP="00DB08BD">
      <w:pPr>
        <w:rPr>
          <w:szCs w:val="24"/>
        </w:rPr>
      </w:pPr>
    </w:p>
    <w:p w14:paraId="11C2B00E" w14:textId="1CD22D1E" w:rsidR="00DB08BD" w:rsidRPr="000C69B8" w:rsidRDefault="00DB08BD" w:rsidP="00DE0517">
      <w:pPr>
        <w:rPr>
          <w:szCs w:val="24"/>
        </w:rPr>
      </w:pPr>
      <w:r w:rsidRPr="00253D8F">
        <w:rPr>
          <w:szCs w:val="24"/>
        </w:rPr>
        <w:t>As amended, section 7 of the Declaration provides that the Declaration is in force</w:t>
      </w:r>
      <w:r w:rsidR="006C6366" w:rsidRPr="00253D8F">
        <w:rPr>
          <w:szCs w:val="24"/>
        </w:rPr>
        <w:t xml:space="preserve"> from the commencement of the Declaration to its end on </w:t>
      </w:r>
      <w:r w:rsidR="00350E8B" w:rsidRPr="00253D8F">
        <w:rPr>
          <w:szCs w:val="24"/>
        </w:rPr>
        <w:t>17</w:t>
      </w:r>
      <w:r w:rsidR="001261B8" w:rsidRPr="00253D8F">
        <w:rPr>
          <w:szCs w:val="24"/>
        </w:rPr>
        <w:t xml:space="preserve"> April</w:t>
      </w:r>
      <w:r w:rsidR="00B909A1" w:rsidRPr="00253D8F">
        <w:rPr>
          <w:szCs w:val="24"/>
        </w:rPr>
        <w:t> </w:t>
      </w:r>
      <w:r w:rsidR="009E1BCD" w:rsidRPr="00253D8F">
        <w:rPr>
          <w:szCs w:val="24"/>
        </w:rPr>
        <w:t>2022</w:t>
      </w:r>
      <w:r w:rsidR="006C6366" w:rsidRPr="00253D8F">
        <w:rPr>
          <w:szCs w:val="24"/>
        </w:rPr>
        <w:t xml:space="preserve">. </w:t>
      </w:r>
      <w:r w:rsidRPr="00253D8F">
        <w:rPr>
          <w:szCs w:val="24"/>
        </w:rPr>
        <w:t xml:space="preserve">As a result, the human biosecurity emergency period under the Declaration will also </w:t>
      </w:r>
      <w:r w:rsidR="00392D16" w:rsidRPr="00253D8F">
        <w:rPr>
          <w:szCs w:val="24"/>
        </w:rPr>
        <w:t xml:space="preserve">finish </w:t>
      </w:r>
      <w:r w:rsidRPr="00253D8F">
        <w:rPr>
          <w:szCs w:val="24"/>
        </w:rPr>
        <w:t xml:space="preserve">at the end of </w:t>
      </w:r>
      <w:r w:rsidR="00350E8B" w:rsidRPr="00253D8F">
        <w:rPr>
          <w:szCs w:val="24"/>
        </w:rPr>
        <w:t>17</w:t>
      </w:r>
      <w:r w:rsidR="0085489B" w:rsidRPr="00253D8F">
        <w:rPr>
          <w:szCs w:val="24"/>
        </w:rPr>
        <w:t xml:space="preserve"> April</w:t>
      </w:r>
      <w:r w:rsidR="00DE0517" w:rsidRPr="00253D8F">
        <w:rPr>
          <w:szCs w:val="24"/>
        </w:rPr>
        <w:t> </w:t>
      </w:r>
      <w:r w:rsidR="009E1BCD" w:rsidRPr="00253D8F">
        <w:rPr>
          <w:szCs w:val="24"/>
        </w:rPr>
        <w:t>2022</w:t>
      </w:r>
      <w:r w:rsidRPr="00253D8F">
        <w:rPr>
          <w:szCs w:val="24"/>
        </w:rPr>
        <w:t>.</w:t>
      </w:r>
      <w:r w:rsidRPr="00FA2BF1">
        <w:rPr>
          <w:szCs w:val="24"/>
        </w:rPr>
        <w:t xml:space="preserve"> </w:t>
      </w:r>
    </w:p>
    <w:p w14:paraId="74E8C70C" w14:textId="77777777" w:rsidR="00DB08BD" w:rsidRDefault="00DB08BD" w:rsidP="00DB08BD">
      <w:pPr>
        <w:pStyle w:val="Header"/>
        <w:tabs>
          <w:tab w:val="clear" w:pos="4153"/>
          <w:tab w:val="clear" w:pos="8306"/>
          <w:tab w:val="num" w:pos="1080"/>
        </w:tabs>
        <w:rPr>
          <w:szCs w:val="24"/>
        </w:rPr>
      </w:pPr>
    </w:p>
    <w:sectPr w:rsidR="00DB08BD" w:rsidSect="00C31B7C">
      <w:pgSz w:w="11906" w:h="16838"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84F88" w14:textId="77777777" w:rsidR="00F17304" w:rsidRDefault="00F17304" w:rsidP="001D77AC">
      <w:r>
        <w:separator/>
      </w:r>
    </w:p>
  </w:endnote>
  <w:endnote w:type="continuationSeparator" w:id="0">
    <w:p w14:paraId="4FA910BA" w14:textId="77777777" w:rsidR="00F17304" w:rsidRDefault="00F17304" w:rsidP="001D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03F73" w14:textId="77777777" w:rsidR="00F17304" w:rsidRDefault="00F17304" w:rsidP="001D77AC">
      <w:r>
        <w:separator/>
      </w:r>
    </w:p>
  </w:footnote>
  <w:footnote w:type="continuationSeparator" w:id="0">
    <w:p w14:paraId="6576BA3F" w14:textId="77777777" w:rsidR="00F17304" w:rsidRDefault="00F17304" w:rsidP="001D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D2706F"/>
    <w:multiLevelType w:val="multilevel"/>
    <w:tmpl w:val="D3120E10"/>
    <w:lvl w:ilvl="0">
      <w:start w:val="1"/>
      <w:numFmt w:val="decimal"/>
      <w:pStyle w:val="3Bodyparagraph"/>
      <w:lvlText w:val="%1."/>
      <w:lvlJc w:val="left"/>
      <w:pPr>
        <w:ind w:left="1080" w:hanging="360"/>
      </w:pPr>
    </w:lvl>
    <w:lvl w:ilvl="1">
      <w:start w:val="1"/>
      <w:numFmt w:val="lowerLetter"/>
      <w:pStyle w:val="4Subparagrapha"/>
      <w:lvlText w:val="(%2)"/>
      <w:lvlJc w:val="left"/>
      <w:pPr>
        <w:ind w:left="1512" w:hanging="432"/>
      </w:pPr>
    </w:lvl>
    <w:lvl w:ilvl="2">
      <w:start w:val="1"/>
      <w:numFmt w:val="lowerRoman"/>
      <w:pStyle w:val="5Subparagraphi"/>
      <w:lvlText w:val="(%3)"/>
      <w:lvlJc w:val="left"/>
      <w:pPr>
        <w:ind w:left="1944" w:hanging="504"/>
      </w:pPr>
    </w:lvl>
    <w:lvl w:ilvl="3">
      <w:start w:val="1"/>
      <w:numFmt w:val="lowerRoman"/>
      <w:lvlText w:val="(%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DAF7142"/>
    <w:multiLevelType w:val="hybridMultilevel"/>
    <w:tmpl w:val="7004E1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95283"/>
    <w:multiLevelType w:val="hybridMultilevel"/>
    <w:tmpl w:val="640813DA"/>
    <w:lvl w:ilvl="0" w:tplc="94E45FA2">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64F0B"/>
    <w:multiLevelType w:val="hybridMultilevel"/>
    <w:tmpl w:val="224C01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7490A"/>
    <w:multiLevelType w:val="hybridMultilevel"/>
    <w:tmpl w:val="180627A2"/>
    <w:lvl w:ilvl="0" w:tplc="BF106E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C4259E"/>
    <w:multiLevelType w:val="hybridMultilevel"/>
    <w:tmpl w:val="BBC0438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5A20F5"/>
    <w:multiLevelType w:val="hybridMultilevel"/>
    <w:tmpl w:val="ED602EE2"/>
    <w:lvl w:ilvl="0" w:tplc="0C090001">
      <w:start w:val="1"/>
      <w:numFmt w:val="bullet"/>
      <w:lvlText w:val=""/>
      <w:lvlJc w:val="left"/>
      <w:pPr>
        <w:ind w:left="927" w:hanging="360"/>
      </w:pPr>
      <w:rPr>
        <w:rFonts w:ascii="Symbol" w:hAnsi="Symbol" w:hint="default"/>
      </w:rPr>
    </w:lvl>
    <w:lvl w:ilvl="1" w:tplc="0C090005">
      <w:start w:val="1"/>
      <w:numFmt w:val="bullet"/>
      <w:lvlText w:val=""/>
      <w:lvlJc w:val="left"/>
      <w:pPr>
        <w:ind w:left="1647" w:hanging="360"/>
      </w:pPr>
      <w:rPr>
        <w:rFonts w:ascii="Wingdings" w:hAnsi="Wingding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304C149B"/>
    <w:multiLevelType w:val="hybridMultilevel"/>
    <w:tmpl w:val="4A66C1F0"/>
    <w:lvl w:ilvl="0" w:tplc="94E45FA2">
      <w:start w:val="1"/>
      <w:numFmt w:val="bullet"/>
      <w:lvlText w:val="­"/>
      <w:lvlJc w:val="left"/>
      <w:pPr>
        <w:ind w:left="927" w:hanging="360"/>
      </w:pPr>
      <w:rPr>
        <w:rFonts w:ascii="Courier New" w:hAnsi="Courier New" w:cs="Times New Roman"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9" w15:restartNumberingAfterBreak="0">
    <w:nsid w:val="317C2E01"/>
    <w:multiLevelType w:val="hybridMultilevel"/>
    <w:tmpl w:val="FA3A20AA"/>
    <w:lvl w:ilvl="0" w:tplc="0C090001">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0" w15:restartNumberingAfterBreak="0">
    <w:nsid w:val="31D5068C"/>
    <w:multiLevelType w:val="hybridMultilevel"/>
    <w:tmpl w:val="CAB2C9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B33C97"/>
    <w:multiLevelType w:val="multilevel"/>
    <w:tmpl w:val="C43E100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BB5AFF"/>
    <w:multiLevelType w:val="hybridMultilevel"/>
    <w:tmpl w:val="9B1AB1BC"/>
    <w:lvl w:ilvl="0" w:tplc="30324092">
      <w:numFmt w:val="bullet"/>
      <w:lvlText w:val="-"/>
      <w:lvlJc w:val="left"/>
      <w:pPr>
        <w:ind w:left="720" w:hanging="360"/>
      </w:pPr>
      <w:rPr>
        <w:rFonts w:ascii="Calibri Light" w:eastAsia="Calibr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99D7D5F"/>
    <w:multiLevelType w:val="hybridMultilevel"/>
    <w:tmpl w:val="05748862"/>
    <w:lvl w:ilvl="0" w:tplc="94E45FA2">
      <w:start w:val="1"/>
      <w:numFmt w:val="bullet"/>
      <w:lvlText w:val="­"/>
      <w:lvlJc w:val="left"/>
      <w:pPr>
        <w:tabs>
          <w:tab w:val="num" w:pos="720"/>
        </w:tabs>
        <w:ind w:left="720" w:hanging="360"/>
      </w:pPr>
      <w:rPr>
        <w:rFonts w:ascii="Courier New" w:hAnsi="Courier New"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E77537"/>
    <w:multiLevelType w:val="hybridMultilevel"/>
    <w:tmpl w:val="C43E100A"/>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20680D"/>
    <w:multiLevelType w:val="hybridMultilevel"/>
    <w:tmpl w:val="2FB6D7E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BBB4575"/>
    <w:multiLevelType w:val="multilevel"/>
    <w:tmpl w:val="B9385130"/>
    <w:lvl w:ilvl="0">
      <w:start w:val="1"/>
      <w:numFmt w:val="decimal"/>
      <w:lvlText w:val="%1"/>
      <w:lvlJc w:val="left"/>
      <w:pPr>
        <w:ind w:left="360" w:hanging="360"/>
      </w:pPr>
      <w:rPr>
        <w:sz w:val="28"/>
      </w:rPr>
    </w:lvl>
    <w:lvl w:ilvl="1">
      <w:start w:val="1"/>
      <w:numFmt w:val="decimal"/>
      <w:lvlText w:val="%1.%2"/>
      <w:lvlJc w:val="left"/>
      <w:pPr>
        <w:tabs>
          <w:tab w:val="num" w:pos="340"/>
        </w:tabs>
        <w:ind w:left="34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A96BD4"/>
    <w:multiLevelType w:val="multilevel"/>
    <w:tmpl w:val="640813D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C35A3"/>
    <w:multiLevelType w:val="multilevel"/>
    <w:tmpl w:val="F9F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4D26E7"/>
    <w:multiLevelType w:val="hybridMultilevel"/>
    <w:tmpl w:val="5E94D2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D9A48CD"/>
    <w:multiLevelType w:val="hybridMultilevel"/>
    <w:tmpl w:val="31C492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834F6"/>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6985088"/>
    <w:multiLevelType w:val="hybridMultilevel"/>
    <w:tmpl w:val="68B0AF86"/>
    <w:lvl w:ilvl="0" w:tplc="0C090001">
      <w:start w:val="1"/>
      <w:numFmt w:val="bullet"/>
      <w:lvlText w:val=""/>
      <w:lvlJc w:val="left"/>
      <w:pPr>
        <w:tabs>
          <w:tab w:val="num" w:pos="360"/>
        </w:tabs>
        <w:ind w:left="360" w:hanging="360"/>
      </w:pPr>
      <w:rPr>
        <w:rFonts w:ascii="Symbol" w:hAnsi="Symbol" w:hint="default"/>
      </w:rPr>
    </w:lvl>
    <w:lvl w:ilvl="1" w:tplc="7D6AE3D2">
      <w:start w:val="11"/>
      <w:numFmt w:val="bullet"/>
      <w:lvlText w:val="-"/>
      <w:lvlJc w:val="left"/>
      <w:pPr>
        <w:tabs>
          <w:tab w:val="num" w:pos="1080"/>
        </w:tabs>
        <w:ind w:left="1080" w:hanging="360"/>
      </w:pPr>
      <w:rPr>
        <w:rFonts w:ascii="Times New Roman" w:eastAsia="Times New Roman" w:hAnsi="Times New Roman"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443A9C"/>
    <w:multiLevelType w:val="hybridMultilevel"/>
    <w:tmpl w:val="53C66702"/>
    <w:lvl w:ilvl="0" w:tplc="94E45FA2">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C24E3C"/>
    <w:multiLevelType w:val="hybridMultilevel"/>
    <w:tmpl w:val="7B20F24C"/>
    <w:lvl w:ilvl="0" w:tplc="CE90F6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C6719D"/>
    <w:multiLevelType w:val="hybridMultilevel"/>
    <w:tmpl w:val="AD02C55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F5D6B"/>
    <w:multiLevelType w:val="hybridMultilevel"/>
    <w:tmpl w:val="91004A18"/>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4582E3C"/>
    <w:multiLevelType w:val="hybridMultilevel"/>
    <w:tmpl w:val="EE9A30B6"/>
    <w:lvl w:ilvl="0" w:tplc="384C415A">
      <w:start w:val="1"/>
      <w:numFmt w:val="decimal"/>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B209F6"/>
    <w:multiLevelType w:val="hybridMultilevel"/>
    <w:tmpl w:val="DC924EC4"/>
    <w:lvl w:ilvl="0" w:tplc="7BCEEDB6">
      <w:start w:val="47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A85A4B"/>
    <w:multiLevelType w:val="hybridMultilevel"/>
    <w:tmpl w:val="4BE05FD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8"/>
  </w:num>
  <w:num w:numId="2">
    <w:abstractNumId w:val="21"/>
  </w:num>
  <w:num w:numId="3">
    <w:abstractNumId w:val="19"/>
  </w:num>
  <w:num w:numId="4">
    <w:abstractNumId w:val="2"/>
  </w:num>
  <w:num w:numId="5">
    <w:abstractNumId w:val="20"/>
  </w:num>
  <w:num w:numId="6">
    <w:abstractNumId w:val="4"/>
  </w:num>
  <w:num w:numId="7">
    <w:abstractNumId w:val="22"/>
  </w:num>
  <w:num w:numId="8">
    <w:abstractNumId w:val="6"/>
  </w:num>
  <w:num w:numId="9">
    <w:abstractNumId w:val="14"/>
  </w:num>
  <w:num w:numId="10">
    <w:abstractNumId w:val="11"/>
  </w:num>
  <w:num w:numId="11">
    <w:abstractNumId w:val="13"/>
  </w:num>
  <w:num w:numId="12">
    <w:abstractNumId w:val="23"/>
  </w:num>
  <w:num w:numId="13">
    <w:abstractNumId w:val="3"/>
  </w:num>
  <w:num w:numId="14">
    <w:abstractNumId w:val="17"/>
  </w:num>
  <w:num w:numId="15">
    <w:abstractNumId w:val="25"/>
  </w:num>
  <w:num w:numId="16">
    <w:abstractNumId w:val="10"/>
  </w:num>
  <w:num w:numId="17">
    <w:abstractNumId w:val="26"/>
  </w:num>
  <w:num w:numId="18">
    <w:abstractNumId w:val="27"/>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8"/>
  </w:num>
  <w:num w:numId="23">
    <w:abstractNumId w:val="24"/>
  </w:num>
  <w:num w:numId="24">
    <w:abstractNumId w:val="12"/>
  </w:num>
  <w:num w:numId="25">
    <w:abstractNumId w:val="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5"/>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1B"/>
    <w:rsid w:val="0000026E"/>
    <w:rsid w:val="0000291D"/>
    <w:rsid w:val="000043F4"/>
    <w:rsid w:val="000051B3"/>
    <w:rsid w:val="000111AA"/>
    <w:rsid w:val="000132B0"/>
    <w:rsid w:val="00017015"/>
    <w:rsid w:val="000217A4"/>
    <w:rsid w:val="00021BD8"/>
    <w:rsid w:val="00022354"/>
    <w:rsid w:val="00031967"/>
    <w:rsid w:val="000321FE"/>
    <w:rsid w:val="00033EC4"/>
    <w:rsid w:val="0003650E"/>
    <w:rsid w:val="00037C97"/>
    <w:rsid w:val="00041392"/>
    <w:rsid w:val="00041646"/>
    <w:rsid w:val="00041A46"/>
    <w:rsid w:val="00041C02"/>
    <w:rsid w:val="00041C5F"/>
    <w:rsid w:val="000453F9"/>
    <w:rsid w:val="00047D2C"/>
    <w:rsid w:val="000511D9"/>
    <w:rsid w:val="00051AB7"/>
    <w:rsid w:val="00054457"/>
    <w:rsid w:val="00056665"/>
    <w:rsid w:val="0005676C"/>
    <w:rsid w:val="00057791"/>
    <w:rsid w:val="00057BED"/>
    <w:rsid w:val="00063443"/>
    <w:rsid w:val="00065304"/>
    <w:rsid w:val="00065B56"/>
    <w:rsid w:val="00066CAC"/>
    <w:rsid w:val="0006721F"/>
    <w:rsid w:val="00067B96"/>
    <w:rsid w:val="0007016C"/>
    <w:rsid w:val="00070A38"/>
    <w:rsid w:val="00071270"/>
    <w:rsid w:val="00071FA0"/>
    <w:rsid w:val="0007342E"/>
    <w:rsid w:val="0007394C"/>
    <w:rsid w:val="00074036"/>
    <w:rsid w:val="00081978"/>
    <w:rsid w:val="00081F93"/>
    <w:rsid w:val="0008259C"/>
    <w:rsid w:val="00082A46"/>
    <w:rsid w:val="00083501"/>
    <w:rsid w:val="00083635"/>
    <w:rsid w:val="00083D2C"/>
    <w:rsid w:val="00083D53"/>
    <w:rsid w:val="00084E3B"/>
    <w:rsid w:val="00086230"/>
    <w:rsid w:val="0008664B"/>
    <w:rsid w:val="000944FF"/>
    <w:rsid w:val="0009504A"/>
    <w:rsid w:val="00095821"/>
    <w:rsid w:val="00097C57"/>
    <w:rsid w:val="000A0129"/>
    <w:rsid w:val="000A1E2E"/>
    <w:rsid w:val="000A3A1C"/>
    <w:rsid w:val="000A47B7"/>
    <w:rsid w:val="000A549D"/>
    <w:rsid w:val="000A71A1"/>
    <w:rsid w:val="000A71DD"/>
    <w:rsid w:val="000A7850"/>
    <w:rsid w:val="000B0EA9"/>
    <w:rsid w:val="000B2091"/>
    <w:rsid w:val="000B369E"/>
    <w:rsid w:val="000B422B"/>
    <w:rsid w:val="000B48E0"/>
    <w:rsid w:val="000B5062"/>
    <w:rsid w:val="000C0CA2"/>
    <w:rsid w:val="000C1251"/>
    <w:rsid w:val="000C4361"/>
    <w:rsid w:val="000C69B8"/>
    <w:rsid w:val="000D0F96"/>
    <w:rsid w:val="000D11A9"/>
    <w:rsid w:val="000D51DE"/>
    <w:rsid w:val="000D5201"/>
    <w:rsid w:val="000D56B8"/>
    <w:rsid w:val="000E012C"/>
    <w:rsid w:val="000E5D6B"/>
    <w:rsid w:val="000E688D"/>
    <w:rsid w:val="000F0E8A"/>
    <w:rsid w:val="000F2007"/>
    <w:rsid w:val="000F4534"/>
    <w:rsid w:val="000F65B2"/>
    <w:rsid w:val="001008FE"/>
    <w:rsid w:val="00101794"/>
    <w:rsid w:val="001047FB"/>
    <w:rsid w:val="001055A9"/>
    <w:rsid w:val="00111740"/>
    <w:rsid w:val="0011381E"/>
    <w:rsid w:val="00114421"/>
    <w:rsid w:val="00114FE8"/>
    <w:rsid w:val="00116022"/>
    <w:rsid w:val="001170AE"/>
    <w:rsid w:val="001213EF"/>
    <w:rsid w:val="0012484F"/>
    <w:rsid w:val="0012556A"/>
    <w:rsid w:val="001261B8"/>
    <w:rsid w:val="00126B68"/>
    <w:rsid w:val="001274E8"/>
    <w:rsid w:val="00127F8F"/>
    <w:rsid w:val="00131690"/>
    <w:rsid w:val="0013197A"/>
    <w:rsid w:val="00131F14"/>
    <w:rsid w:val="00136E9D"/>
    <w:rsid w:val="00136F0B"/>
    <w:rsid w:val="00140F2B"/>
    <w:rsid w:val="0014109B"/>
    <w:rsid w:val="00142630"/>
    <w:rsid w:val="00142972"/>
    <w:rsid w:val="00143F8F"/>
    <w:rsid w:val="00144537"/>
    <w:rsid w:val="001457F6"/>
    <w:rsid w:val="00150345"/>
    <w:rsid w:val="00150BD8"/>
    <w:rsid w:val="00151535"/>
    <w:rsid w:val="001535A5"/>
    <w:rsid w:val="0015431D"/>
    <w:rsid w:val="00155416"/>
    <w:rsid w:val="00155D94"/>
    <w:rsid w:val="001561C0"/>
    <w:rsid w:val="00161F26"/>
    <w:rsid w:val="00162206"/>
    <w:rsid w:val="0016524E"/>
    <w:rsid w:val="00165D11"/>
    <w:rsid w:val="00166C4E"/>
    <w:rsid w:val="00167EB3"/>
    <w:rsid w:val="00171D3F"/>
    <w:rsid w:val="00176A5F"/>
    <w:rsid w:val="0018350C"/>
    <w:rsid w:val="00184A3F"/>
    <w:rsid w:val="00184EF7"/>
    <w:rsid w:val="00185FE2"/>
    <w:rsid w:val="0018639D"/>
    <w:rsid w:val="0018656C"/>
    <w:rsid w:val="00190732"/>
    <w:rsid w:val="00190F53"/>
    <w:rsid w:val="00191F71"/>
    <w:rsid w:val="001920DC"/>
    <w:rsid w:val="00193E7B"/>
    <w:rsid w:val="001A1221"/>
    <w:rsid w:val="001A1EC6"/>
    <w:rsid w:val="001A2F47"/>
    <w:rsid w:val="001B0639"/>
    <w:rsid w:val="001B1A15"/>
    <w:rsid w:val="001C2805"/>
    <w:rsid w:val="001C454E"/>
    <w:rsid w:val="001C4E8B"/>
    <w:rsid w:val="001C5D74"/>
    <w:rsid w:val="001C5E73"/>
    <w:rsid w:val="001C5F2B"/>
    <w:rsid w:val="001D1CC1"/>
    <w:rsid w:val="001D5967"/>
    <w:rsid w:val="001D77AC"/>
    <w:rsid w:val="001E18D6"/>
    <w:rsid w:val="001E20CA"/>
    <w:rsid w:val="001E3224"/>
    <w:rsid w:val="001E4327"/>
    <w:rsid w:val="001E5E24"/>
    <w:rsid w:val="001E7230"/>
    <w:rsid w:val="001E7D06"/>
    <w:rsid w:val="001F025C"/>
    <w:rsid w:val="001F0DDD"/>
    <w:rsid w:val="001F1CDF"/>
    <w:rsid w:val="001F660A"/>
    <w:rsid w:val="001F6E1A"/>
    <w:rsid w:val="001F7E36"/>
    <w:rsid w:val="002016FB"/>
    <w:rsid w:val="002057E2"/>
    <w:rsid w:val="002058B0"/>
    <w:rsid w:val="00207BD3"/>
    <w:rsid w:val="00213B07"/>
    <w:rsid w:val="00213B8D"/>
    <w:rsid w:val="00213F90"/>
    <w:rsid w:val="002158C8"/>
    <w:rsid w:val="00215D59"/>
    <w:rsid w:val="00215DE0"/>
    <w:rsid w:val="00216931"/>
    <w:rsid w:val="0022045F"/>
    <w:rsid w:val="0022071D"/>
    <w:rsid w:val="002244DA"/>
    <w:rsid w:val="00225571"/>
    <w:rsid w:val="00227B34"/>
    <w:rsid w:val="002309D6"/>
    <w:rsid w:val="002319CF"/>
    <w:rsid w:val="002328D6"/>
    <w:rsid w:val="00232D1E"/>
    <w:rsid w:val="00235075"/>
    <w:rsid w:val="0023690D"/>
    <w:rsid w:val="00236B63"/>
    <w:rsid w:val="002404A4"/>
    <w:rsid w:val="0024411F"/>
    <w:rsid w:val="002442EA"/>
    <w:rsid w:val="0024658A"/>
    <w:rsid w:val="00247618"/>
    <w:rsid w:val="002477AF"/>
    <w:rsid w:val="00252F44"/>
    <w:rsid w:val="002530EC"/>
    <w:rsid w:val="00253105"/>
    <w:rsid w:val="00253D8F"/>
    <w:rsid w:val="00260379"/>
    <w:rsid w:val="00260553"/>
    <w:rsid w:val="002669DE"/>
    <w:rsid w:val="00266E42"/>
    <w:rsid w:val="002676C3"/>
    <w:rsid w:val="00270B7E"/>
    <w:rsid w:val="00270DF0"/>
    <w:rsid w:val="00270F7A"/>
    <w:rsid w:val="0027158F"/>
    <w:rsid w:val="002722FD"/>
    <w:rsid w:val="0027421B"/>
    <w:rsid w:val="00274D52"/>
    <w:rsid w:val="00282D8C"/>
    <w:rsid w:val="002830DB"/>
    <w:rsid w:val="00285BBB"/>
    <w:rsid w:val="0029173C"/>
    <w:rsid w:val="0029244B"/>
    <w:rsid w:val="00293018"/>
    <w:rsid w:val="002950F0"/>
    <w:rsid w:val="0029698A"/>
    <w:rsid w:val="00297202"/>
    <w:rsid w:val="0029756E"/>
    <w:rsid w:val="00297BB4"/>
    <w:rsid w:val="002A2309"/>
    <w:rsid w:val="002A619B"/>
    <w:rsid w:val="002A7D81"/>
    <w:rsid w:val="002B0A09"/>
    <w:rsid w:val="002B286C"/>
    <w:rsid w:val="002B3836"/>
    <w:rsid w:val="002B555A"/>
    <w:rsid w:val="002B5BF3"/>
    <w:rsid w:val="002C08EB"/>
    <w:rsid w:val="002C2369"/>
    <w:rsid w:val="002C2B34"/>
    <w:rsid w:val="002C304A"/>
    <w:rsid w:val="002C3EB8"/>
    <w:rsid w:val="002C4953"/>
    <w:rsid w:val="002C5AC5"/>
    <w:rsid w:val="002C5B0F"/>
    <w:rsid w:val="002C5F52"/>
    <w:rsid w:val="002C7A14"/>
    <w:rsid w:val="002C7C2A"/>
    <w:rsid w:val="002D1C9E"/>
    <w:rsid w:val="002D386F"/>
    <w:rsid w:val="002D531E"/>
    <w:rsid w:val="002D5358"/>
    <w:rsid w:val="002E0245"/>
    <w:rsid w:val="002E02D1"/>
    <w:rsid w:val="002E03B4"/>
    <w:rsid w:val="002E05AE"/>
    <w:rsid w:val="002E22FB"/>
    <w:rsid w:val="002E36C6"/>
    <w:rsid w:val="002E38E2"/>
    <w:rsid w:val="002E4022"/>
    <w:rsid w:val="002F212C"/>
    <w:rsid w:val="002F78B8"/>
    <w:rsid w:val="00304528"/>
    <w:rsid w:val="0031335C"/>
    <w:rsid w:val="00313456"/>
    <w:rsid w:val="003138B7"/>
    <w:rsid w:val="00316004"/>
    <w:rsid w:val="003167DA"/>
    <w:rsid w:val="00317D0E"/>
    <w:rsid w:val="00322207"/>
    <w:rsid w:val="00323C78"/>
    <w:rsid w:val="00323DA9"/>
    <w:rsid w:val="00325403"/>
    <w:rsid w:val="00325D23"/>
    <w:rsid w:val="00327792"/>
    <w:rsid w:val="0033171D"/>
    <w:rsid w:val="0033175F"/>
    <w:rsid w:val="003324B7"/>
    <w:rsid w:val="003355B3"/>
    <w:rsid w:val="003362CB"/>
    <w:rsid w:val="0034014F"/>
    <w:rsid w:val="003427E7"/>
    <w:rsid w:val="00345A40"/>
    <w:rsid w:val="00350E8B"/>
    <w:rsid w:val="0035199F"/>
    <w:rsid w:val="003521FE"/>
    <w:rsid w:val="003559AC"/>
    <w:rsid w:val="00355D14"/>
    <w:rsid w:val="003576C2"/>
    <w:rsid w:val="00360281"/>
    <w:rsid w:val="00360424"/>
    <w:rsid w:val="00361D4E"/>
    <w:rsid w:val="00367576"/>
    <w:rsid w:val="00367F8A"/>
    <w:rsid w:val="00367FD9"/>
    <w:rsid w:val="00370057"/>
    <w:rsid w:val="0037205A"/>
    <w:rsid w:val="00372860"/>
    <w:rsid w:val="0037369E"/>
    <w:rsid w:val="00373864"/>
    <w:rsid w:val="00374FFD"/>
    <w:rsid w:val="00375833"/>
    <w:rsid w:val="00376599"/>
    <w:rsid w:val="00377603"/>
    <w:rsid w:val="003848AE"/>
    <w:rsid w:val="00385AE4"/>
    <w:rsid w:val="00386D1E"/>
    <w:rsid w:val="003907FF"/>
    <w:rsid w:val="00392D16"/>
    <w:rsid w:val="00393DA8"/>
    <w:rsid w:val="0039480B"/>
    <w:rsid w:val="00395656"/>
    <w:rsid w:val="00396481"/>
    <w:rsid w:val="00396E4B"/>
    <w:rsid w:val="00397069"/>
    <w:rsid w:val="00397A6E"/>
    <w:rsid w:val="003A06F5"/>
    <w:rsid w:val="003A149A"/>
    <w:rsid w:val="003A1F52"/>
    <w:rsid w:val="003A2317"/>
    <w:rsid w:val="003A242F"/>
    <w:rsid w:val="003A2490"/>
    <w:rsid w:val="003A2AE8"/>
    <w:rsid w:val="003A4898"/>
    <w:rsid w:val="003A4F3C"/>
    <w:rsid w:val="003A623C"/>
    <w:rsid w:val="003A6C7F"/>
    <w:rsid w:val="003A7461"/>
    <w:rsid w:val="003B1DA4"/>
    <w:rsid w:val="003B1F82"/>
    <w:rsid w:val="003B208B"/>
    <w:rsid w:val="003B23D7"/>
    <w:rsid w:val="003B312A"/>
    <w:rsid w:val="003B3182"/>
    <w:rsid w:val="003B4B04"/>
    <w:rsid w:val="003B4FF5"/>
    <w:rsid w:val="003B65D8"/>
    <w:rsid w:val="003B7136"/>
    <w:rsid w:val="003C02FD"/>
    <w:rsid w:val="003C0BFA"/>
    <w:rsid w:val="003C4F23"/>
    <w:rsid w:val="003C5B20"/>
    <w:rsid w:val="003C7A21"/>
    <w:rsid w:val="003D0B6A"/>
    <w:rsid w:val="003D2023"/>
    <w:rsid w:val="003D2D5B"/>
    <w:rsid w:val="003D3557"/>
    <w:rsid w:val="003D48F3"/>
    <w:rsid w:val="003D4BAC"/>
    <w:rsid w:val="003D5541"/>
    <w:rsid w:val="003E0725"/>
    <w:rsid w:val="003E0E91"/>
    <w:rsid w:val="003E2B1F"/>
    <w:rsid w:val="003E2EDB"/>
    <w:rsid w:val="003E329B"/>
    <w:rsid w:val="003E4DC0"/>
    <w:rsid w:val="003E4F46"/>
    <w:rsid w:val="003E537C"/>
    <w:rsid w:val="003E74BC"/>
    <w:rsid w:val="003E7DA5"/>
    <w:rsid w:val="003F4FB0"/>
    <w:rsid w:val="003F6383"/>
    <w:rsid w:val="00401379"/>
    <w:rsid w:val="00401BE1"/>
    <w:rsid w:val="00401E88"/>
    <w:rsid w:val="004021EE"/>
    <w:rsid w:val="004029C5"/>
    <w:rsid w:val="0040371F"/>
    <w:rsid w:val="00403DF8"/>
    <w:rsid w:val="00404254"/>
    <w:rsid w:val="00404E5D"/>
    <w:rsid w:val="0040706E"/>
    <w:rsid w:val="0041164D"/>
    <w:rsid w:val="00413636"/>
    <w:rsid w:val="00414852"/>
    <w:rsid w:val="0042040A"/>
    <w:rsid w:val="0042217E"/>
    <w:rsid w:val="0042218F"/>
    <w:rsid w:val="004237AD"/>
    <w:rsid w:val="00425889"/>
    <w:rsid w:val="0042688D"/>
    <w:rsid w:val="004274E4"/>
    <w:rsid w:val="004314FB"/>
    <w:rsid w:val="00431697"/>
    <w:rsid w:val="00435BFC"/>
    <w:rsid w:val="00436077"/>
    <w:rsid w:val="00437C45"/>
    <w:rsid w:val="00440F52"/>
    <w:rsid w:val="004410E3"/>
    <w:rsid w:val="004418CA"/>
    <w:rsid w:val="0044390C"/>
    <w:rsid w:val="004450FC"/>
    <w:rsid w:val="00445863"/>
    <w:rsid w:val="00445E6E"/>
    <w:rsid w:val="00452466"/>
    <w:rsid w:val="00452B8E"/>
    <w:rsid w:val="0045355F"/>
    <w:rsid w:val="00453B08"/>
    <w:rsid w:val="00453B6E"/>
    <w:rsid w:val="00455801"/>
    <w:rsid w:val="004565A2"/>
    <w:rsid w:val="00460110"/>
    <w:rsid w:val="00462435"/>
    <w:rsid w:val="00462DDB"/>
    <w:rsid w:val="00463026"/>
    <w:rsid w:val="00464518"/>
    <w:rsid w:val="00464E6D"/>
    <w:rsid w:val="0046630A"/>
    <w:rsid w:val="00470603"/>
    <w:rsid w:val="00470A68"/>
    <w:rsid w:val="004719B7"/>
    <w:rsid w:val="00476451"/>
    <w:rsid w:val="004800A1"/>
    <w:rsid w:val="0048306A"/>
    <w:rsid w:val="0048426F"/>
    <w:rsid w:val="00486931"/>
    <w:rsid w:val="00486C4D"/>
    <w:rsid w:val="00490901"/>
    <w:rsid w:val="00491D31"/>
    <w:rsid w:val="0049571C"/>
    <w:rsid w:val="0049771D"/>
    <w:rsid w:val="004977F5"/>
    <w:rsid w:val="004A0116"/>
    <w:rsid w:val="004A1221"/>
    <w:rsid w:val="004A4C7F"/>
    <w:rsid w:val="004A665E"/>
    <w:rsid w:val="004A772F"/>
    <w:rsid w:val="004B05E9"/>
    <w:rsid w:val="004B285D"/>
    <w:rsid w:val="004B2C73"/>
    <w:rsid w:val="004B3DF0"/>
    <w:rsid w:val="004B4675"/>
    <w:rsid w:val="004B4D14"/>
    <w:rsid w:val="004C11D8"/>
    <w:rsid w:val="004C1A70"/>
    <w:rsid w:val="004C3B28"/>
    <w:rsid w:val="004C687A"/>
    <w:rsid w:val="004D09A3"/>
    <w:rsid w:val="004D22FF"/>
    <w:rsid w:val="004D2443"/>
    <w:rsid w:val="004D2730"/>
    <w:rsid w:val="004D5D9A"/>
    <w:rsid w:val="004D77A9"/>
    <w:rsid w:val="004D7BDA"/>
    <w:rsid w:val="004E1612"/>
    <w:rsid w:val="004E1A0F"/>
    <w:rsid w:val="004E6038"/>
    <w:rsid w:val="004E7232"/>
    <w:rsid w:val="004E74A8"/>
    <w:rsid w:val="004F16EC"/>
    <w:rsid w:val="004F2A87"/>
    <w:rsid w:val="004F4A58"/>
    <w:rsid w:val="004F54BF"/>
    <w:rsid w:val="004F71FC"/>
    <w:rsid w:val="004F7FEE"/>
    <w:rsid w:val="005005D5"/>
    <w:rsid w:val="00500EC1"/>
    <w:rsid w:val="005018D0"/>
    <w:rsid w:val="00502428"/>
    <w:rsid w:val="00503752"/>
    <w:rsid w:val="00504748"/>
    <w:rsid w:val="00506DCE"/>
    <w:rsid w:val="0051150B"/>
    <w:rsid w:val="005147C1"/>
    <w:rsid w:val="00515C36"/>
    <w:rsid w:val="0052189F"/>
    <w:rsid w:val="00521F06"/>
    <w:rsid w:val="00523510"/>
    <w:rsid w:val="00525B3F"/>
    <w:rsid w:val="0052777F"/>
    <w:rsid w:val="00536730"/>
    <w:rsid w:val="00540048"/>
    <w:rsid w:val="00543151"/>
    <w:rsid w:val="00543B96"/>
    <w:rsid w:val="005471B4"/>
    <w:rsid w:val="00547556"/>
    <w:rsid w:val="0055024E"/>
    <w:rsid w:val="0055114E"/>
    <w:rsid w:val="0055118D"/>
    <w:rsid w:val="00553317"/>
    <w:rsid w:val="00553E04"/>
    <w:rsid w:val="0055474B"/>
    <w:rsid w:val="00556281"/>
    <w:rsid w:val="00557AB1"/>
    <w:rsid w:val="00562A47"/>
    <w:rsid w:val="00563891"/>
    <w:rsid w:val="0056719B"/>
    <w:rsid w:val="00567CA2"/>
    <w:rsid w:val="00573894"/>
    <w:rsid w:val="00575089"/>
    <w:rsid w:val="00575278"/>
    <w:rsid w:val="0057539E"/>
    <w:rsid w:val="00575D0E"/>
    <w:rsid w:val="00580230"/>
    <w:rsid w:val="00580346"/>
    <w:rsid w:val="00580792"/>
    <w:rsid w:val="0058116C"/>
    <w:rsid w:val="005865A8"/>
    <w:rsid w:val="00595508"/>
    <w:rsid w:val="00595BCF"/>
    <w:rsid w:val="00595EAE"/>
    <w:rsid w:val="005974F7"/>
    <w:rsid w:val="005A1883"/>
    <w:rsid w:val="005A3C2F"/>
    <w:rsid w:val="005A4023"/>
    <w:rsid w:val="005A46A9"/>
    <w:rsid w:val="005A4E48"/>
    <w:rsid w:val="005A5805"/>
    <w:rsid w:val="005A6839"/>
    <w:rsid w:val="005A6DDC"/>
    <w:rsid w:val="005A7319"/>
    <w:rsid w:val="005B002B"/>
    <w:rsid w:val="005B367A"/>
    <w:rsid w:val="005B59A2"/>
    <w:rsid w:val="005B5BC6"/>
    <w:rsid w:val="005B5BFB"/>
    <w:rsid w:val="005B660F"/>
    <w:rsid w:val="005C3D97"/>
    <w:rsid w:val="005D0325"/>
    <w:rsid w:val="005D1F57"/>
    <w:rsid w:val="005D24E2"/>
    <w:rsid w:val="005D2BCD"/>
    <w:rsid w:val="005D2C3D"/>
    <w:rsid w:val="005D5774"/>
    <w:rsid w:val="005D5B9B"/>
    <w:rsid w:val="005E2211"/>
    <w:rsid w:val="005E43B7"/>
    <w:rsid w:val="005E62C7"/>
    <w:rsid w:val="005E6CFE"/>
    <w:rsid w:val="005E7815"/>
    <w:rsid w:val="005F1024"/>
    <w:rsid w:val="005F10D4"/>
    <w:rsid w:val="005F12F4"/>
    <w:rsid w:val="005F1591"/>
    <w:rsid w:val="005F32B1"/>
    <w:rsid w:val="005F3F55"/>
    <w:rsid w:val="005F4A95"/>
    <w:rsid w:val="006002A4"/>
    <w:rsid w:val="00600DEC"/>
    <w:rsid w:val="0060135E"/>
    <w:rsid w:val="0060708A"/>
    <w:rsid w:val="00607189"/>
    <w:rsid w:val="00613A8C"/>
    <w:rsid w:val="006145E8"/>
    <w:rsid w:val="0061480B"/>
    <w:rsid w:val="00615E21"/>
    <w:rsid w:val="00616900"/>
    <w:rsid w:val="00616982"/>
    <w:rsid w:val="006203E0"/>
    <w:rsid w:val="00621478"/>
    <w:rsid w:val="006234C0"/>
    <w:rsid w:val="00623B9B"/>
    <w:rsid w:val="006240FF"/>
    <w:rsid w:val="0062699B"/>
    <w:rsid w:val="0062740C"/>
    <w:rsid w:val="006305C9"/>
    <w:rsid w:val="0063273A"/>
    <w:rsid w:val="006358EB"/>
    <w:rsid w:val="0064280D"/>
    <w:rsid w:val="0064380F"/>
    <w:rsid w:val="006541F8"/>
    <w:rsid w:val="00656027"/>
    <w:rsid w:val="006569B8"/>
    <w:rsid w:val="006607B4"/>
    <w:rsid w:val="00661152"/>
    <w:rsid w:val="0066478B"/>
    <w:rsid w:val="00666892"/>
    <w:rsid w:val="00666D8A"/>
    <w:rsid w:val="00670529"/>
    <w:rsid w:val="00674A15"/>
    <w:rsid w:val="00676931"/>
    <w:rsid w:val="00677740"/>
    <w:rsid w:val="00680290"/>
    <w:rsid w:val="00680340"/>
    <w:rsid w:val="006808F0"/>
    <w:rsid w:val="00682C5E"/>
    <w:rsid w:val="0069101A"/>
    <w:rsid w:val="006910FE"/>
    <w:rsid w:val="00691450"/>
    <w:rsid w:val="006926C4"/>
    <w:rsid w:val="00693828"/>
    <w:rsid w:val="006941B3"/>
    <w:rsid w:val="006966E6"/>
    <w:rsid w:val="00696C68"/>
    <w:rsid w:val="006A4782"/>
    <w:rsid w:val="006A4D2B"/>
    <w:rsid w:val="006A64B6"/>
    <w:rsid w:val="006A68A8"/>
    <w:rsid w:val="006A69AB"/>
    <w:rsid w:val="006A69FE"/>
    <w:rsid w:val="006A6F67"/>
    <w:rsid w:val="006A7AB8"/>
    <w:rsid w:val="006B3CE1"/>
    <w:rsid w:val="006B5AC9"/>
    <w:rsid w:val="006B5FB3"/>
    <w:rsid w:val="006B6F3F"/>
    <w:rsid w:val="006C0612"/>
    <w:rsid w:val="006C0786"/>
    <w:rsid w:val="006C1FB8"/>
    <w:rsid w:val="006C2C2E"/>
    <w:rsid w:val="006C4208"/>
    <w:rsid w:val="006C57A5"/>
    <w:rsid w:val="006C5A5D"/>
    <w:rsid w:val="006C6366"/>
    <w:rsid w:val="006D0A45"/>
    <w:rsid w:val="006D1EBB"/>
    <w:rsid w:val="006D2F07"/>
    <w:rsid w:val="006D53BB"/>
    <w:rsid w:val="006D596A"/>
    <w:rsid w:val="006D778A"/>
    <w:rsid w:val="006E2A6A"/>
    <w:rsid w:val="006E3414"/>
    <w:rsid w:val="006E412C"/>
    <w:rsid w:val="006E57B6"/>
    <w:rsid w:val="006E64A6"/>
    <w:rsid w:val="006E7C2E"/>
    <w:rsid w:val="006F0797"/>
    <w:rsid w:val="006F1DF6"/>
    <w:rsid w:val="006F2796"/>
    <w:rsid w:val="006F49EF"/>
    <w:rsid w:val="006F61A6"/>
    <w:rsid w:val="006F72AE"/>
    <w:rsid w:val="006F7A92"/>
    <w:rsid w:val="00705EA7"/>
    <w:rsid w:val="00707039"/>
    <w:rsid w:val="00707263"/>
    <w:rsid w:val="00707318"/>
    <w:rsid w:val="00712F1B"/>
    <w:rsid w:val="00715F2B"/>
    <w:rsid w:val="007168F7"/>
    <w:rsid w:val="00716B69"/>
    <w:rsid w:val="00717428"/>
    <w:rsid w:val="00717977"/>
    <w:rsid w:val="00717E54"/>
    <w:rsid w:val="00721AE8"/>
    <w:rsid w:val="0072498A"/>
    <w:rsid w:val="00724A39"/>
    <w:rsid w:val="00724BFA"/>
    <w:rsid w:val="00725BEE"/>
    <w:rsid w:val="00732466"/>
    <w:rsid w:val="00734CE4"/>
    <w:rsid w:val="00735264"/>
    <w:rsid w:val="0074144C"/>
    <w:rsid w:val="00743A13"/>
    <w:rsid w:val="00743C13"/>
    <w:rsid w:val="00746BC7"/>
    <w:rsid w:val="00747F2B"/>
    <w:rsid w:val="007503F6"/>
    <w:rsid w:val="00750FF8"/>
    <w:rsid w:val="007528AD"/>
    <w:rsid w:val="00756CA1"/>
    <w:rsid w:val="007608AB"/>
    <w:rsid w:val="007608E1"/>
    <w:rsid w:val="00762BD5"/>
    <w:rsid w:val="007655AF"/>
    <w:rsid w:val="0076706B"/>
    <w:rsid w:val="00767B80"/>
    <w:rsid w:val="00770F96"/>
    <w:rsid w:val="00771C08"/>
    <w:rsid w:val="00771FB7"/>
    <w:rsid w:val="00773662"/>
    <w:rsid w:val="007775EE"/>
    <w:rsid w:val="0078388D"/>
    <w:rsid w:val="00784165"/>
    <w:rsid w:val="00784615"/>
    <w:rsid w:val="00785A3C"/>
    <w:rsid w:val="007910D2"/>
    <w:rsid w:val="00791AF4"/>
    <w:rsid w:val="00791E18"/>
    <w:rsid w:val="00793796"/>
    <w:rsid w:val="00794322"/>
    <w:rsid w:val="007958DF"/>
    <w:rsid w:val="00795D7C"/>
    <w:rsid w:val="0079730E"/>
    <w:rsid w:val="007A134E"/>
    <w:rsid w:val="007A15EF"/>
    <w:rsid w:val="007A6723"/>
    <w:rsid w:val="007A6BA5"/>
    <w:rsid w:val="007A6EFA"/>
    <w:rsid w:val="007A7991"/>
    <w:rsid w:val="007B0349"/>
    <w:rsid w:val="007B0EA2"/>
    <w:rsid w:val="007B162F"/>
    <w:rsid w:val="007B43D9"/>
    <w:rsid w:val="007B7562"/>
    <w:rsid w:val="007C24C9"/>
    <w:rsid w:val="007C2A67"/>
    <w:rsid w:val="007C32F8"/>
    <w:rsid w:val="007C51F7"/>
    <w:rsid w:val="007C6584"/>
    <w:rsid w:val="007D1CB5"/>
    <w:rsid w:val="007D21A1"/>
    <w:rsid w:val="007D2745"/>
    <w:rsid w:val="007D331D"/>
    <w:rsid w:val="007D7CCA"/>
    <w:rsid w:val="007E046E"/>
    <w:rsid w:val="007E0C57"/>
    <w:rsid w:val="007E0CFA"/>
    <w:rsid w:val="007E12BC"/>
    <w:rsid w:val="007E1BB7"/>
    <w:rsid w:val="007E1DFF"/>
    <w:rsid w:val="007E218B"/>
    <w:rsid w:val="007E2C2A"/>
    <w:rsid w:val="007E425A"/>
    <w:rsid w:val="007E5F33"/>
    <w:rsid w:val="007F1D42"/>
    <w:rsid w:val="007F4CC9"/>
    <w:rsid w:val="007F58E4"/>
    <w:rsid w:val="007F5D7E"/>
    <w:rsid w:val="007F6BC1"/>
    <w:rsid w:val="007F6E21"/>
    <w:rsid w:val="00800340"/>
    <w:rsid w:val="00800668"/>
    <w:rsid w:val="008013CB"/>
    <w:rsid w:val="008054B2"/>
    <w:rsid w:val="00817CE6"/>
    <w:rsid w:val="008233C4"/>
    <w:rsid w:val="00823A81"/>
    <w:rsid w:val="00824D33"/>
    <w:rsid w:val="00824DF8"/>
    <w:rsid w:val="00824F30"/>
    <w:rsid w:val="008253A5"/>
    <w:rsid w:val="00825961"/>
    <w:rsid w:val="0083070F"/>
    <w:rsid w:val="008321C2"/>
    <w:rsid w:val="008348AB"/>
    <w:rsid w:val="00834BC1"/>
    <w:rsid w:val="00842C4C"/>
    <w:rsid w:val="008434EE"/>
    <w:rsid w:val="00844148"/>
    <w:rsid w:val="00845047"/>
    <w:rsid w:val="0084506E"/>
    <w:rsid w:val="00845CBF"/>
    <w:rsid w:val="008509E3"/>
    <w:rsid w:val="00850EDE"/>
    <w:rsid w:val="008510A5"/>
    <w:rsid w:val="00851687"/>
    <w:rsid w:val="00852997"/>
    <w:rsid w:val="0085426A"/>
    <w:rsid w:val="0085489B"/>
    <w:rsid w:val="00855ADD"/>
    <w:rsid w:val="00857D2F"/>
    <w:rsid w:val="00865310"/>
    <w:rsid w:val="00865B2A"/>
    <w:rsid w:val="00870F91"/>
    <w:rsid w:val="008710C0"/>
    <w:rsid w:val="008712A3"/>
    <w:rsid w:val="00873440"/>
    <w:rsid w:val="00875013"/>
    <w:rsid w:val="0087604D"/>
    <w:rsid w:val="0087614F"/>
    <w:rsid w:val="00876ACD"/>
    <w:rsid w:val="00876FEF"/>
    <w:rsid w:val="00877424"/>
    <w:rsid w:val="00880131"/>
    <w:rsid w:val="00880AC2"/>
    <w:rsid w:val="0088363B"/>
    <w:rsid w:val="0088628C"/>
    <w:rsid w:val="0088640B"/>
    <w:rsid w:val="00887099"/>
    <w:rsid w:val="008925DA"/>
    <w:rsid w:val="00892BAB"/>
    <w:rsid w:val="00894FBB"/>
    <w:rsid w:val="008A0148"/>
    <w:rsid w:val="008A22AD"/>
    <w:rsid w:val="008A3CD7"/>
    <w:rsid w:val="008A44F8"/>
    <w:rsid w:val="008B5A3B"/>
    <w:rsid w:val="008B6B3B"/>
    <w:rsid w:val="008C3430"/>
    <w:rsid w:val="008C590A"/>
    <w:rsid w:val="008C7B12"/>
    <w:rsid w:val="008D0E7B"/>
    <w:rsid w:val="008D1558"/>
    <w:rsid w:val="008D270E"/>
    <w:rsid w:val="008D276D"/>
    <w:rsid w:val="008D4282"/>
    <w:rsid w:val="008D4B5E"/>
    <w:rsid w:val="008D7194"/>
    <w:rsid w:val="008D726C"/>
    <w:rsid w:val="008D7CDA"/>
    <w:rsid w:val="008E16BB"/>
    <w:rsid w:val="008E2094"/>
    <w:rsid w:val="008E571A"/>
    <w:rsid w:val="008E7D91"/>
    <w:rsid w:val="008F05F1"/>
    <w:rsid w:val="008F18F5"/>
    <w:rsid w:val="008F3FB5"/>
    <w:rsid w:val="008F515D"/>
    <w:rsid w:val="008F5CFE"/>
    <w:rsid w:val="008F76E6"/>
    <w:rsid w:val="008F7A44"/>
    <w:rsid w:val="009003FE"/>
    <w:rsid w:val="00902304"/>
    <w:rsid w:val="0090272C"/>
    <w:rsid w:val="0090347E"/>
    <w:rsid w:val="00903F67"/>
    <w:rsid w:val="009049A4"/>
    <w:rsid w:val="0090565D"/>
    <w:rsid w:val="009065FA"/>
    <w:rsid w:val="00906778"/>
    <w:rsid w:val="0091131B"/>
    <w:rsid w:val="00912514"/>
    <w:rsid w:val="0091639B"/>
    <w:rsid w:val="0091687B"/>
    <w:rsid w:val="0092030D"/>
    <w:rsid w:val="009214FD"/>
    <w:rsid w:val="00921671"/>
    <w:rsid w:val="009227F1"/>
    <w:rsid w:val="0092455B"/>
    <w:rsid w:val="00925B53"/>
    <w:rsid w:val="00931825"/>
    <w:rsid w:val="00932DA9"/>
    <w:rsid w:val="00933362"/>
    <w:rsid w:val="00933E99"/>
    <w:rsid w:val="0093462D"/>
    <w:rsid w:val="009348FC"/>
    <w:rsid w:val="00936AF3"/>
    <w:rsid w:val="0094036F"/>
    <w:rsid w:val="00943F15"/>
    <w:rsid w:val="009452FD"/>
    <w:rsid w:val="00946164"/>
    <w:rsid w:val="009467DC"/>
    <w:rsid w:val="0094695E"/>
    <w:rsid w:val="00946D4D"/>
    <w:rsid w:val="00950C57"/>
    <w:rsid w:val="009542A8"/>
    <w:rsid w:val="00954AE3"/>
    <w:rsid w:val="00956816"/>
    <w:rsid w:val="0095711E"/>
    <w:rsid w:val="00957459"/>
    <w:rsid w:val="009578F7"/>
    <w:rsid w:val="00963ABE"/>
    <w:rsid w:val="009645F5"/>
    <w:rsid w:val="0096572D"/>
    <w:rsid w:val="0096736B"/>
    <w:rsid w:val="00975331"/>
    <w:rsid w:val="00976D6B"/>
    <w:rsid w:val="00976DCF"/>
    <w:rsid w:val="00977934"/>
    <w:rsid w:val="0098002C"/>
    <w:rsid w:val="00980453"/>
    <w:rsid w:val="0098111D"/>
    <w:rsid w:val="00984060"/>
    <w:rsid w:val="00986597"/>
    <w:rsid w:val="00986B5C"/>
    <w:rsid w:val="009900A0"/>
    <w:rsid w:val="00990372"/>
    <w:rsid w:val="0099093E"/>
    <w:rsid w:val="009911CE"/>
    <w:rsid w:val="00992408"/>
    <w:rsid w:val="009945B7"/>
    <w:rsid w:val="00994AB6"/>
    <w:rsid w:val="009957DD"/>
    <w:rsid w:val="009A0F90"/>
    <w:rsid w:val="009A20AE"/>
    <w:rsid w:val="009A3CAE"/>
    <w:rsid w:val="009A4A8C"/>
    <w:rsid w:val="009A50DB"/>
    <w:rsid w:val="009A5D38"/>
    <w:rsid w:val="009B0587"/>
    <w:rsid w:val="009B1648"/>
    <w:rsid w:val="009B232B"/>
    <w:rsid w:val="009B240B"/>
    <w:rsid w:val="009B2CDF"/>
    <w:rsid w:val="009B683B"/>
    <w:rsid w:val="009B7393"/>
    <w:rsid w:val="009B74CC"/>
    <w:rsid w:val="009C1E93"/>
    <w:rsid w:val="009C7FFA"/>
    <w:rsid w:val="009D09F3"/>
    <w:rsid w:val="009D0C7E"/>
    <w:rsid w:val="009D226D"/>
    <w:rsid w:val="009D3842"/>
    <w:rsid w:val="009D41C4"/>
    <w:rsid w:val="009D5CB0"/>
    <w:rsid w:val="009D74E1"/>
    <w:rsid w:val="009E1BCD"/>
    <w:rsid w:val="009E369C"/>
    <w:rsid w:val="009E5C0E"/>
    <w:rsid w:val="009E6598"/>
    <w:rsid w:val="009E7AB3"/>
    <w:rsid w:val="009F1821"/>
    <w:rsid w:val="009F1DB2"/>
    <w:rsid w:val="009F213B"/>
    <w:rsid w:val="009F51FE"/>
    <w:rsid w:val="009F556C"/>
    <w:rsid w:val="009F6EC4"/>
    <w:rsid w:val="009F75E0"/>
    <w:rsid w:val="00A00549"/>
    <w:rsid w:val="00A01C43"/>
    <w:rsid w:val="00A03819"/>
    <w:rsid w:val="00A053AC"/>
    <w:rsid w:val="00A07E4F"/>
    <w:rsid w:val="00A10524"/>
    <w:rsid w:val="00A1072A"/>
    <w:rsid w:val="00A1370E"/>
    <w:rsid w:val="00A15431"/>
    <w:rsid w:val="00A17578"/>
    <w:rsid w:val="00A21776"/>
    <w:rsid w:val="00A23360"/>
    <w:rsid w:val="00A2618A"/>
    <w:rsid w:val="00A343F5"/>
    <w:rsid w:val="00A34DD0"/>
    <w:rsid w:val="00A4021C"/>
    <w:rsid w:val="00A41DF4"/>
    <w:rsid w:val="00A43584"/>
    <w:rsid w:val="00A44013"/>
    <w:rsid w:val="00A451EB"/>
    <w:rsid w:val="00A454BC"/>
    <w:rsid w:val="00A4689D"/>
    <w:rsid w:val="00A55FCE"/>
    <w:rsid w:val="00A6048A"/>
    <w:rsid w:val="00A61E90"/>
    <w:rsid w:val="00A627B0"/>
    <w:rsid w:val="00A6288E"/>
    <w:rsid w:val="00A65F6D"/>
    <w:rsid w:val="00A74088"/>
    <w:rsid w:val="00A7417C"/>
    <w:rsid w:val="00A74E1A"/>
    <w:rsid w:val="00A80F94"/>
    <w:rsid w:val="00A85200"/>
    <w:rsid w:val="00A86B39"/>
    <w:rsid w:val="00A86E44"/>
    <w:rsid w:val="00A8720B"/>
    <w:rsid w:val="00A87624"/>
    <w:rsid w:val="00A87EAB"/>
    <w:rsid w:val="00A90D15"/>
    <w:rsid w:val="00A9311C"/>
    <w:rsid w:val="00A94AA0"/>
    <w:rsid w:val="00A95DBE"/>
    <w:rsid w:val="00AA1EEC"/>
    <w:rsid w:val="00AA30A8"/>
    <w:rsid w:val="00AA6624"/>
    <w:rsid w:val="00AB144A"/>
    <w:rsid w:val="00AB29AA"/>
    <w:rsid w:val="00AB38D0"/>
    <w:rsid w:val="00AB5F77"/>
    <w:rsid w:val="00AB71B0"/>
    <w:rsid w:val="00AC3385"/>
    <w:rsid w:val="00AC4D6D"/>
    <w:rsid w:val="00AC59C0"/>
    <w:rsid w:val="00AC72DE"/>
    <w:rsid w:val="00AC778E"/>
    <w:rsid w:val="00AD113D"/>
    <w:rsid w:val="00AD19D2"/>
    <w:rsid w:val="00AD388F"/>
    <w:rsid w:val="00AD4622"/>
    <w:rsid w:val="00AD6610"/>
    <w:rsid w:val="00AD6615"/>
    <w:rsid w:val="00AE0668"/>
    <w:rsid w:val="00AE16CF"/>
    <w:rsid w:val="00AE3A4C"/>
    <w:rsid w:val="00AE4D0A"/>
    <w:rsid w:val="00AF0490"/>
    <w:rsid w:val="00AF28AE"/>
    <w:rsid w:val="00AF3808"/>
    <w:rsid w:val="00AF4792"/>
    <w:rsid w:val="00AF4A93"/>
    <w:rsid w:val="00AF67EA"/>
    <w:rsid w:val="00B05911"/>
    <w:rsid w:val="00B0790B"/>
    <w:rsid w:val="00B11754"/>
    <w:rsid w:val="00B1303C"/>
    <w:rsid w:val="00B135D5"/>
    <w:rsid w:val="00B169DE"/>
    <w:rsid w:val="00B21C85"/>
    <w:rsid w:val="00B248CF"/>
    <w:rsid w:val="00B25F50"/>
    <w:rsid w:val="00B2709E"/>
    <w:rsid w:val="00B277E3"/>
    <w:rsid w:val="00B303B7"/>
    <w:rsid w:val="00B358EE"/>
    <w:rsid w:val="00B37B4F"/>
    <w:rsid w:val="00B47EE6"/>
    <w:rsid w:val="00B50A6E"/>
    <w:rsid w:val="00B50DA9"/>
    <w:rsid w:val="00B53C24"/>
    <w:rsid w:val="00B579D2"/>
    <w:rsid w:val="00B6050A"/>
    <w:rsid w:val="00B60CE5"/>
    <w:rsid w:val="00B619C8"/>
    <w:rsid w:val="00B61B80"/>
    <w:rsid w:val="00B67F65"/>
    <w:rsid w:val="00B7066C"/>
    <w:rsid w:val="00B7573C"/>
    <w:rsid w:val="00B75EB0"/>
    <w:rsid w:val="00B77EC9"/>
    <w:rsid w:val="00B80C83"/>
    <w:rsid w:val="00B8177B"/>
    <w:rsid w:val="00B82258"/>
    <w:rsid w:val="00B827A2"/>
    <w:rsid w:val="00B8282F"/>
    <w:rsid w:val="00B83CD2"/>
    <w:rsid w:val="00B87A9B"/>
    <w:rsid w:val="00B9089D"/>
    <w:rsid w:val="00B909A1"/>
    <w:rsid w:val="00B91301"/>
    <w:rsid w:val="00B91A30"/>
    <w:rsid w:val="00B94696"/>
    <w:rsid w:val="00B955C2"/>
    <w:rsid w:val="00B97053"/>
    <w:rsid w:val="00B97701"/>
    <w:rsid w:val="00BA0637"/>
    <w:rsid w:val="00BA6688"/>
    <w:rsid w:val="00BA6A5F"/>
    <w:rsid w:val="00BB09CE"/>
    <w:rsid w:val="00BB22F7"/>
    <w:rsid w:val="00BB27AC"/>
    <w:rsid w:val="00BB3148"/>
    <w:rsid w:val="00BB3341"/>
    <w:rsid w:val="00BB5961"/>
    <w:rsid w:val="00BB61B4"/>
    <w:rsid w:val="00BC03D1"/>
    <w:rsid w:val="00BC2EF2"/>
    <w:rsid w:val="00BC44A5"/>
    <w:rsid w:val="00BC48FE"/>
    <w:rsid w:val="00BC6AE0"/>
    <w:rsid w:val="00BD6413"/>
    <w:rsid w:val="00BD6E76"/>
    <w:rsid w:val="00BE1169"/>
    <w:rsid w:val="00BE24A7"/>
    <w:rsid w:val="00BE2679"/>
    <w:rsid w:val="00BE2A81"/>
    <w:rsid w:val="00BE339E"/>
    <w:rsid w:val="00BE3E86"/>
    <w:rsid w:val="00BE5E35"/>
    <w:rsid w:val="00BF07AB"/>
    <w:rsid w:val="00BF132C"/>
    <w:rsid w:val="00BF3563"/>
    <w:rsid w:val="00BF6398"/>
    <w:rsid w:val="00BF66B2"/>
    <w:rsid w:val="00BF795C"/>
    <w:rsid w:val="00BF7D87"/>
    <w:rsid w:val="00C02143"/>
    <w:rsid w:val="00C057E1"/>
    <w:rsid w:val="00C05A42"/>
    <w:rsid w:val="00C079A1"/>
    <w:rsid w:val="00C07CD7"/>
    <w:rsid w:val="00C1001A"/>
    <w:rsid w:val="00C113F8"/>
    <w:rsid w:val="00C11691"/>
    <w:rsid w:val="00C11F69"/>
    <w:rsid w:val="00C1477B"/>
    <w:rsid w:val="00C1518C"/>
    <w:rsid w:val="00C16AE5"/>
    <w:rsid w:val="00C2091D"/>
    <w:rsid w:val="00C21441"/>
    <w:rsid w:val="00C27966"/>
    <w:rsid w:val="00C319B7"/>
    <w:rsid w:val="00C31A08"/>
    <w:rsid w:val="00C31B7C"/>
    <w:rsid w:val="00C34C0B"/>
    <w:rsid w:val="00C35E1E"/>
    <w:rsid w:val="00C369CC"/>
    <w:rsid w:val="00C36E15"/>
    <w:rsid w:val="00C37D12"/>
    <w:rsid w:val="00C40C41"/>
    <w:rsid w:val="00C41346"/>
    <w:rsid w:val="00C42CFB"/>
    <w:rsid w:val="00C437AD"/>
    <w:rsid w:val="00C45337"/>
    <w:rsid w:val="00C45FC2"/>
    <w:rsid w:val="00C51F91"/>
    <w:rsid w:val="00C52D29"/>
    <w:rsid w:val="00C535F2"/>
    <w:rsid w:val="00C53B0C"/>
    <w:rsid w:val="00C54435"/>
    <w:rsid w:val="00C54FB1"/>
    <w:rsid w:val="00C55A0E"/>
    <w:rsid w:val="00C5708F"/>
    <w:rsid w:val="00C62553"/>
    <w:rsid w:val="00C62EE2"/>
    <w:rsid w:val="00C63B1D"/>
    <w:rsid w:val="00C646BF"/>
    <w:rsid w:val="00C6555E"/>
    <w:rsid w:val="00C659A4"/>
    <w:rsid w:val="00C65BDB"/>
    <w:rsid w:val="00C65BF2"/>
    <w:rsid w:val="00C67E39"/>
    <w:rsid w:val="00C711CE"/>
    <w:rsid w:val="00C73DEA"/>
    <w:rsid w:val="00C75B55"/>
    <w:rsid w:val="00C77269"/>
    <w:rsid w:val="00C8116D"/>
    <w:rsid w:val="00C81DEB"/>
    <w:rsid w:val="00C83FA9"/>
    <w:rsid w:val="00C8427D"/>
    <w:rsid w:val="00C86055"/>
    <w:rsid w:val="00C877D5"/>
    <w:rsid w:val="00C90687"/>
    <w:rsid w:val="00C92637"/>
    <w:rsid w:val="00C93C34"/>
    <w:rsid w:val="00C95F24"/>
    <w:rsid w:val="00C965B1"/>
    <w:rsid w:val="00CA2445"/>
    <w:rsid w:val="00CA26D3"/>
    <w:rsid w:val="00CA28DA"/>
    <w:rsid w:val="00CA47D7"/>
    <w:rsid w:val="00CA6315"/>
    <w:rsid w:val="00CA66DC"/>
    <w:rsid w:val="00CA7831"/>
    <w:rsid w:val="00CB0BD9"/>
    <w:rsid w:val="00CB2B41"/>
    <w:rsid w:val="00CB2D6B"/>
    <w:rsid w:val="00CB34BD"/>
    <w:rsid w:val="00CB4CB9"/>
    <w:rsid w:val="00CC060E"/>
    <w:rsid w:val="00CC3A9B"/>
    <w:rsid w:val="00CC721F"/>
    <w:rsid w:val="00CD187C"/>
    <w:rsid w:val="00CD3530"/>
    <w:rsid w:val="00CD6333"/>
    <w:rsid w:val="00CE091B"/>
    <w:rsid w:val="00CE1041"/>
    <w:rsid w:val="00CE274D"/>
    <w:rsid w:val="00CE2A2A"/>
    <w:rsid w:val="00CE3D58"/>
    <w:rsid w:val="00CE7D1E"/>
    <w:rsid w:val="00CF2C48"/>
    <w:rsid w:val="00CF3259"/>
    <w:rsid w:val="00CF4ACD"/>
    <w:rsid w:val="00D003A5"/>
    <w:rsid w:val="00D01417"/>
    <w:rsid w:val="00D02457"/>
    <w:rsid w:val="00D03165"/>
    <w:rsid w:val="00D03D2D"/>
    <w:rsid w:val="00D04779"/>
    <w:rsid w:val="00D079ED"/>
    <w:rsid w:val="00D106C9"/>
    <w:rsid w:val="00D12F06"/>
    <w:rsid w:val="00D1347B"/>
    <w:rsid w:val="00D14AF8"/>
    <w:rsid w:val="00D1532E"/>
    <w:rsid w:val="00D22205"/>
    <w:rsid w:val="00D27395"/>
    <w:rsid w:val="00D30A2B"/>
    <w:rsid w:val="00D31DA2"/>
    <w:rsid w:val="00D35C1E"/>
    <w:rsid w:val="00D36031"/>
    <w:rsid w:val="00D363E4"/>
    <w:rsid w:val="00D37E55"/>
    <w:rsid w:val="00D436F3"/>
    <w:rsid w:val="00D44270"/>
    <w:rsid w:val="00D44EB2"/>
    <w:rsid w:val="00D4627E"/>
    <w:rsid w:val="00D47A83"/>
    <w:rsid w:val="00D50378"/>
    <w:rsid w:val="00D54712"/>
    <w:rsid w:val="00D54B89"/>
    <w:rsid w:val="00D5602A"/>
    <w:rsid w:val="00D56E2D"/>
    <w:rsid w:val="00D572AA"/>
    <w:rsid w:val="00D57C2C"/>
    <w:rsid w:val="00D63FFD"/>
    <w:rsid w:val="00D64A5D"/>
    <w:rsid w:val="00D67806"/>
    <w:rsid w:val="00D7410B"/>
    <w:rsid w:val="00D75120"/>
    <w:rsid w:val="00D7583D"/>
    <w:rsid w:val="00D7663A"/>
    <w:rsid w:val="00D7712E"/>
    <w:rsid w:val="00D81938"/>
    <w:rsid w:val="00D82147"/>
    <w:rsid w:val="00D82233"/>
    <w:rsid w:val="00D84B48"/>
    <w:rsid w:val="00D8511F"/>
    <w:rsid w:val="00D879AE"/>
    <w:rsid w:val="00D9158C"/>
    <w:rsid w:val="00D92A32"/>
    <w:rsid w:val="00D92AD4"/>
    <w:rsid w:val="00D93D50"/>
    <w:rsid w:val="00D96855"/>
    <w:rsid w:val="00DA1C21"/>
    <w:rsid w:val="00DA2C93"/>
    <w:rsid w:val="00DA46C4"/>
    <w:rsid w:val="00DA4895"/>
    <w:rsid w:val="00DA4E49"/>
    <w:rsid w:val="00DA50A4"/>
    <w:rsid w:val="00DA768D"/>
    <w:rsid w:val="00DB08BD"/>
    <w:rsid w:val="00DB11A8"/>
    <w:rsid w:val="00DB130B"/>
    <w:rsid w:val="00DB140F"/>
    <w:rsid w:val="00DB1D84"/>
    <w:rsid w:val="00DB23AF"/>
    <w:rsid w:val="00DB268F"/>
    <w:rsid w:val="00DB28EA"/>
    <w:rsid w:val="00DB48DE"/>
    <w:rsid w:val="00DB6645"/>
    <w:rsid w:val="00DB6671"/>
    <w:rsid w:val="00DB7CCB"/>
    <w:rsid w:val="00DC07B0"/>
    <w:rsid w:val="00DC180E"/>
    <w:rsid w:val="00DC2318"/>
    <w:rsid w:val="00DD082C"/>
    <w:rsid w:val="00DD3B10"/>
    <w:rsid w:val="00DD58E8"/>
    <w:rsid w:val="00DE0517"/>
    <w:rsid w:val="00DE1181"/>
    <w:rsid w:val="00DE2417"/>
    <w:rsid w:val="00DE5644"/>
    <w:rsid w:val="00DE6012"/>
    <w:rsid w:val="00DE6CA4"/>
    <w:rsid w:val="00DE7226"/>
    <w:rsid w:val="00DF1E40"/>
    <w:rsid w:val="00DF2078"/>
    <w:rsid w:val="00DF385F"/>
    <w:rsid w:val="00DF4F6A"/>
    <w:rsid w:val="00DF50F0"/>
    <w:rsid w:val="00E00350"/>
    <w:rsid w:val="00E00420"/>
    <w:rsid w:val="00E00AF8"/>
    <w:rsid w:val="00E03426"/>
    <w:rsid w:val="00E05162"/>
    <w:rsid w:val="00E15C93"/>
    <w:rsid w:val="00E165CE"/>
    <w:rsid w:val="00E16AA0"/>
    <w:rsid w:val="00E17C0D"/>
    <w:rsid w:val="00E2038B"/>
    <w:rsid w:val="00E24857"/>
    <w:rsid w:val="00E31B06"/>
    <w:rsid w:val="00E33CDC"/>
    <w:rsid w:val="00E415FB"/>
    <w:rsid w:val="00E42E61"/>
    <w:rsid w:val="00E43F64"/>
    <w:rsid w:val="00E50289"/>
    <w:rsid w:val="00E5044D"/>
    <w:rsid w:val="00E52B95"/>
    <w:rsid w:val="00E52F79"/>
    <w:rsid w:val="00E531A3"/>
    <w:rsid w:val="00E53398"/>
    <w:rsid w:val="00E578C3"/>
    <w:rsid w:val="00E60197"/>
    <w:rsid w:val="00E61482"/>
    <w:rsid w:val="00E61DF6"/>
    <w:rsid w:val="00E62290"/>
    <w:rsid w:val="00E63ED1"/>
    <w:rsid w:val="00E668FB"/>
    <w:rsid w:val="00E66EE4"/>
    <w:rsid w:val="00E74C0C"/>
    <w:rsid w:val="00E75589"/>
    <w:rsid w:val="00E76E98"/>
    <w:rsid w:val="00E775FD"/>
    <w:rsid w:val="00E77B58"/>
    <w:rsid w:val="00E801E1"/>
    <w:rsid w:val="00E80D60"/>
    <w:rsid w:val="00E8163F"/>
    <w:rsid w:val="00E81A43"/>
    <w:rsid w:val="00E85273"/>
    <w:rsid w:val="00E86461"/>
    <w:rsid w:val="00E86EA2"/>
    <w:rsid w:val="00E8795D"/>
    <w:rsid w:val="00E90D23"/>
    <w:rsid w:val="00E91ED4"/>
    <w:rsid w:val="00E92566"/>
    <w:rsid w:val="00E92B73"/>
    <w:rsid w:val="00E9493C"/>
    <w:rsid w:val="00E95C13"/>
    <w:rsid w:val="00EA0FDE"/>
    <w:rsid w:val="00EA2A97"/>
    <w:rsid w:val="00EA2F7E"/>
    <w:rsid w:val="00EA632D"/>
    <w:rsid w:val="00EA6BCE"/>
    <w:rsid w:val="00EA70E1"/>
    <w:rsid w:val="00EB08CC"/>
    <w:rsid w:val="00EB24B0"/>
    <w:rsid w:val="00EB2D30"/>
    <w:rsid w:val="00EB556E"/>
    <w:rsid w:val="00EB60E6"/>
    <w:rsid w:val="00EB68D8"/>
    <w:rsid w:val="00EB7D2C"/>
    <w:rsid w:val="00EB7DCD"/>
    <w:rsid w:val="00EC091A"/>
    <w:rsid w:val="00EC0965"/>
    <w:rsid w:val="00EC09B5"/>
    <w:rsid w:val="00EC0C90"/>
    <w:rsid w:val="00EC4637"/>
    <w:rsid w:val="00EC4CA7"/>
    <w:rsid w:val="00EC5527"/>
    <w:rsid w:val="00EC568E"/>
    <w:rsid w:val="00EC6858"/>
    <w:rsid w:val="00EC6F9F"/>
    <w:rsid w:val="00EC75FB"/>
    <w:rsid w:val="00EC7A29"/>
    <w:rsid w:val="00EC7B76"/>
    <w:rsid w:val="00ED0BF6"/>
    <w:rsid w:val="00ED374E"/>
    <w:rsid w:val="00EE10ED"/>
    <w:rsid w:val="00EE1DDE"/>
    <w:rsid w:val="00EE3D70"/>
    <w:rsid w:val="00EE6575"/>
    <w:rsid w:val="00EE697B"/>
    <w:rsid w:val="00EF29F6"/>
    <w:rsid w:val="00EF2DB3"/>
    <w:rsid w:val="00F01E81"/>
    <w:rsid w:val="00F02396"/>
    <w:rsid w:val="00F078D9"/>
    <w:rsid w:val="00F14E6D"/>
    <w:rsid w:val="00F15CC6"/>
    <w:rsid w:val="00F16EFD"/>
    <w:rsid w:val="00F17304"/>
    <w:rsid w:val="00F208C3"/>
    <w:rsid w:val="00F249F1"/>
    <w:rsid w:val="00F31333"/>
    <w:rsid w:val="00F32391"/>
    <w:rsid w:val="00F351C8"/>
    <w:rsid w:val="00F36D43"/>
    <w:rsid w:val="00F36E20"/>
    <w:rsid w:val="00F3787A"/>
    <w:rsid w:val="00F41622"/>
    <w:rsid w:val="00F4225C"/>
    <w:rsid w:val="00F44F99"/>
    <w:rsid w:val="00F4606E"/>
    <w:rsid w:val="00F5279A"/>
    <w:rsid w:val="00F532F3"/>
    <w:rsid w:val="00F563EF"/>
    <w:rsid w:val="00F573E4"/>
    <w:rsid w:val="00F604B7"/>
    <w:rsid w:val="00F64495"/>
    <w:rsid w:val="00F65088"/>
    <w:rsid w:val="00F66C8B"/>
    <w:rsid w:val="00F711E2"/>
    <w:rsid w:val="00F715B0"/>
    <w:rsid w:val="00F72D76"/>
    <w:rsid w:val="00F7638E"/>
    <w:rsid w:val="00F77178"/>
    <w:rsid w:val="00F802D9"/>
    <w:rsid w:val="00F80827"/>
    <w:rsid w:val="00F80FD9"/>
    <w:rsid w:val="00F81F55"/>
    <w:rsid w:val="00F82DD6"/>
    <w:rsid w:val="00F85E89"/>
    <w:rsid w:val="00F900EE"/>
    <w:rsid w:val="00F91598"/>
    <w:rsid w:val="00F91D12"/>
    <w:rsid w:val="00F96255"/>
    <w:rsid w:val="00FA15B3"/>
    <w:rsid w:val="00FA196E"/>
    <w:rsid w:val="00FA2BF1"/>
    <w:rsid w:val="00FA5666"/>
    <w:rsid w:val="00FA7054"/>
    <w:rsid w:val="00FA709A"/>
    <w:rsid w:val="00FB0366"/>
    <w:rsid w:val="00FB1330"/>
    <w:rsid w:val="00FB7E6D"/>
    <w:rsid w:val="00FC335F"/>
    <w:rsid w:val="00FC3EF2"/>
    <w:rsid w:val="00FC5772"/>
    <w:rsid w:val="00FC5782"/>
    <w:rsid w:val="00FC586A"/>
    <w:rsid w:val="00FC7F2A"/>
    <w:rsid w:val="00FD205C"/>
    <w:rsid w:val="00FD35B4"/>
    <w:rsid w:val="00FD3764"/>
    <w:rsid w:val="00FD38C7"/>
    <w:rsid w:val="00FD6F04"/>
    <w:rsid w:val="00FD79A7"/>
    <w:rsid w:val="00FE0AC9"/>
    <w:rsid w:val="00FE4F95"/>
    <w:rsid w:val="00FE5644"/>
    <w:rsid w:val="00FE5AFD"/>
    <w:rsid w:val="00FE6557"/>
    <w:rsid w:val="00FF0374"/>
    <w:rsid w:val="00FF4758"/>
    <w:rsid w:val="00FF4833"/>
    <w:rsid w:val="00FF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521C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aliases w:val="Heading 1 Cab"/>
    <w:basedOn w:val="Normal"/>
    <w:next w:val="Normal"/>
    <w:uiPriority w:val="4"/>
    <w:qFormat/>
    <w:rsid w:val="008F5CFE"/>
    <w:pPr>
      <w:keepNext/>
      <w:widowControl w:val="0"/>
      <w:jc w:val="center"/>
      <w:outlineLvl w:val="0"/>
    </w:pPr>
    <w:rPr>
      <w:i/>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1131B"/>
    <w:rPr>
      <w:i/>
      <w:iCs/>
    </w:rPr>
  </w:style>
  <w:style w:type="paragraph" w:customStyle="1" w:styleId="paragraph">
    <w:name w:val="paragraph"/>
    <w:aliases w:val="a"/>
    <w:rsid w:val="0091131B"/>
    <w:pPr>
      <w:tabs>
        <w:tab w:val="right" w:pos="1531"/>
      </w:tabs>
      <w:spacing w:before="40"/>
      <w:ind w:left="1644" w:hanging="1644"/>
    </w:pPr>
    <w:rPr>
      <w:sz w:val="22"/>
      <w:szCs w:val="24"/>
    </w:rPr>
  </w:style>
  <w:style w:type="paragraph" w:customStyle="1" w:styleId="subsection">
    <w:name w:val="subsection"/>
    <w:aliases w:val="ss"/>
    <w:rsid w:val="0091131B"/>
    <w:pPr>
      <w:tabs>
        <w:tab w:val="right" w:pos="1021"/>
      </w:tabs>
      <w:spacing w:before="180"/>
      <w:ind w:left="1134" w:hanging="1134"/>
    </w:pPr>
    <w:rPr>
      <w:sz w:val="22"/>
      <w:szCs w:val="24"/>
    </w:rPr>
  </w:style>
  <w:style w:type="paragraph" w:customStyle="1" w:styleId="PFParaNumLevel1">
    <w:name w:val="PF (ParaNum) Level 1"/>
    <w:basedOn w:val="Normal"/>
    <w:rsid w:val="001457F6"/>
    <w:pPr>
      <w:numPr>
        <w:numId w:val="2"/>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2">
    <w:name w:val="PF (ParaNum) Level 2"/>
    <w:basedOn w:val="Normal"/>
    <w:rsid w:val="001457F6"/>
    <w:pPr>
      <w:numPr>
        <w:ilvl w:val="1"/>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3">
    <w:name w:val="PF (ParaNum) Level 3"/>
    <w:basedOn w:val="Normal"/>
    <w:rsid w:val="001457F6"/>
    <w:pPr>
      <w:numPr>
        <w:ilvl w:val="2"/>
        <w:numId w:val="2"/>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4">
    <w:name w:val="PF (ParaNum) Level 4"/>
    <w:basedOn w:val="Normal"/>
    <w:rsid w:val="001457F6"/>
    <w:pPr>
      <w:numPr>
        <w:ilvl w:val="3"/>
        <w:numId w:val="2"/>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ParaNumLevel5">
    <w:name w:val="PF (ParaNum) Level 5"/>
    <w:basedOn w:val="Normal"/>
    <w:rsid w:val="001457F6"/>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a">
    <w:basedOn w:val="Normal"/>
    <w:rsid w:val="00EB7DCD"/>
    <w:pPr>
      <w:spacing w:after="160" w:line="240" w:lineRule="exact"/>
    </w:pPr>
    <w:rPr>
      <w:rFonts w:ascii="Verdana" w:hAnsi="Verdana" w:cs="Verdana"/>
      <w:sz w:val="20"/>
      <w:szCs w:val="24"/>
      <w:lang w:val="en-US" w:eastAsia="en-US"/>
    </w:rPr>
  </w:style>
  <w:style w:type="character" w:styleId="CommentReference">
    <w:name w:val="annotation reference"/>
    <w:uiPriority w:val="99"/>
    <w:rsid w:val="000217A4"/>
    <w:rPr>
      <w:sz w:val="16"/>
      <w:szCs w:val="16"/>
    </w:rPr>
  </w:style>
  <w:style w:type="paragraph" w:styleId="CommentText">
    <w:name w:val="annotation text"/>
    <w:basedOn w:val="Normal"/>
    <w:link w:val="CommentTextChar"/>
    <w:uiPriority w:val="99"/>
    <w:rsid w:val="000217A4"/>
    <w:rPr>
      <w:sz w:val="20"/>
    </w:rPr>
  </w:style>
  <w:style w:type="paragraph" w:styleId="CommentSubject">
    <w:name w:val="annotation subject"/>
    <w:basedOn w:val="CommentText"/>
    <w:next w:val="CommentText"/>
    <w:semiHidden/>
    <w:rsid w:val="000217A4"/>
    <w:rPr>
      <w:b/>
      <w:bCs/>
    </w:rPr>
  </w:style>
  <w:style w:type="paragraph" w:styleId="BalloonText">
    <w:name w:val="Balloon Text"/>
    <w:basedOn w:val="Normal"/>
    <w:semiHidden/>
    <w:rsid w:val="000217A4"/>
    <w:rPr>
      <w:rFonts w:ascii="Tahoma" w:hAnsi="Tahoma" w:cs="Tahoma"/>
      <w:sz w:val="16"/>
      <w:szCs w:val="16"/>
    </w:rPr>
  </w:style>
  <w:style w:type="paragraph" w:customStyle="1" w:styleId="CharCharCharCharCharCharCharCharCharCharCharCharCharCharCharCharCharCharCharCharCharCharCharCharCharCharCharCharCharChar1CharCharCharCharCharCharChar">
    <w:name w:val="Char Char Char Char Char Char Char Char Char Char Char Char Char Char Char Char Char Char Char Char Char Char Char Char Char Char Char Char Char Char1 Char Char Char Char Char Char Char"/>
    <w:basedOn w:val="Normal"/>
    <w:rsid w:val="00DC2318"/>
    <w:pPr>
      <w:spacing w:after="160" w:line="240" w:lineRule="exact"/>
    </w:pPr>
    <w:rPr>
      <w:rFonts w:ascii="Verdana" w:hAnsi="Verdana" w:cs="Verdana"/>
      <w:sz w:val="20"/>
      <w:lang w:val="en-US" w:eastAsia="en-US"/>
    </w:rPr>
  </w:style>
  <w:style w:type="paragraph" w:customStyle="1" w:styleId="ActHead9">
    <w:name w:val="ActHead 9"/>
    <w:aliases w:val="aat"/>
    <w:basedOn w:val="Normal"/>
    <w:next w:val="Normal"/>
    <w:qFormat/>
    <w:rsid w:val="007E0CFA"/>
    <w:pPr>
      <w:keepNext/>
      <w:keepLines/>
      <w:spacing w:before="280"/>
      <w:ind w:left="1134" w:hanging="1134"/>
      <w:outlineLvl w:val="8"/>
    </w:pPr>
    <w:rPr>
      <w:b/>
      <w:i/>
      <w:kern w:val="28"/>
      <w:sz w:val="28"/>
    </w:rPr>
  </w:style>
  <w:style w:type="paragraph" w:styleId="BodyText">
    <w:name w:val="Body Text"/>
    <w:basedOn w:val="Normal"/>
    <w:link w:val="BodyTextChar"/>
    <w:rsid w:val="005A3C2F"/>
    <w:rPr>
      <w:b/>
    </w:rPr>
  </w:style>
  <w:style w:type="character" w:customStyle="1" w:styleId="BodyTextChar">
    <w:name w:val="Body Text Char"/>
    <w:link w:val="BodyText"/>
    <w:rsid w:val="005A3C2F"/>
    <w:rPr>
      <w:b/>
      <w:sz w:val="24"/>
    </w:rPr>
  </w:style>
  <w:style w:type="paragraph" w:styleId="NoSpacing">
    <w:name w:val="No Spacing"/>
    <w:uiPriority w:val="1"/>
    <w:qFormat/>
    <w:rsid w:val="00DD082C"/>
    <w:rPr>
      <w:sz w:val="24"/>
    </w:rPr>
  </w:style>
  <w:style w:type="paragraph" w:customStyle="1" w:styleId="BodyText1">
    <w:name w:val="Body Text1"/>
    <w:basedOn w:val="ListParagraph"/>
    <w:link w:val="BodytextChar0"/>
    <w:qFormat/>
    <w:rsid w:val="00BB3148"/>
    <w:pPr>
      <w:spacing w:before="120" w:after="240"/>
      <w:ind w:left="0"/>
    </w:pPr>
    <w:rPr>
      <w:szCs w:val="24"/>
    </w:rPr>
  </w:style>
  <w:style w:type="character" w:customStyle="1" w:styleId="BodytextChar0">
    <w:name w:val="Body text Char"/>
    <w:link w:val="BodyText1"/>
    <w:rsid w:val="00BB3148"/>
    <w:rPr>
      <w:sz w:val="24"/>
      <w:szCs w:val="24"/>
    </w:rPr>
  </w:style>
  <w:style w:type="paragraph" w:styleId="ListParagraph">
    <w:name w:val="List Paragraph"/>
    <w:basedOn w:val="Normal"/>
    <w:uiPriority w:val="34"/>
    <w:qFormat/>
    <w:rsid w:val="00BB3148"/>
    <w:pPr>
      <w:ind w:left="720"/>
    </w:pPr>
  </w:style>
  <w:style w:type="paragraph" w:customStyle="1" w:styleId="3Bodyparagraph">
    <w:name w:val="3. Body paragraph"/>
    <w:basedOn w:val="Normal"/>
    <w:qFormat/>
    <w:rsid w:val="00921671"/>
    <w:pPr>
      <w:numPr>
        <w:numId w:val="20"/>
      </w:numPr>
      <w:tabs>
        <w:tab w:val="num" w:pos="720"/>
      </w:tabs>
      <w:snapToGrid w:val="0"/>
      <w:spacing w:before="240" w:line="240" w:lineRule="atLeast"/>
      <w:ind w:left="720"/>
    </w:pPr>
    <w:rPr>
      <w:rFonts w:ascii="Calibri" w:eastAsia="Calibri" w:hAnsi="Calibri" w:cs="Calibri"/>
      <w:sz w:val="22"/>
      <w:szCs w:val="22"/>
      <w:lang w:eastAsia="ja-JP"/>
    </w:rPr>
  </w:style>
  <w:style w:type="paragraph" w:customStyle="1" w:styleId="4Subparagrapha">
    <w:name w:val="4. Subparagraph (a)"/>
    <w:basedOn w:val="Normal"/>
    <w:qFormat/>
    <w:rsid w:val="00921671"/>
    <w:pPr>
      <w:numPr>
        <w:ilvl w:val="1"/>
        <w:numId w:val="20"/>
      </w:numPr>
      <w:tabs>
        <w:tab w:val="num" w:pos="1440"/>
      </w:tabs>
      <w:snapToGrid w:val="0"/>
      <w:spacing w:before="240" w:line="240" w:lineRule="atLeast"/>
      <w:ind w:left="1440" w:hanging="360"/>
    </w:pPr>
    <w:rPr>
      <w:rFonts w:ascii="Calibri" w:eastAsia="Calibri" w:hAnsi="Calibri" w:cs="Calibri"/>
      <w:sz w:val="22"/>
      <w:szCs w:val="22"/>
      <w:lang w:eastAsia="ja-JP"/>
    </w:rPr>
  </w:style>
  <w:style w:type="paragraph" w:customStyle="1" w:styleId="5Subparagraphi">
    <w:name w:val="5. Subparagraph (i)"/>
    <w:basedOn w:val="Normal"/>
    <w:qFormat/>
    <w:rsid w:val="00921671"/>
    <w:pPr>
      <w:numPr>
        <w:ilvl w:val="2"/>
        <w:numId w:val="20"/>
      </w:numPr>
      <w:tabs>
        <w:tab w:val="num" w:pos="2160"/>
      </w:tabs>
      <w:snapToGrid w:val="0"/>
      <w:spacing w:before="240" w:line="240" w:lineRule="atLeast"/>
      <w:ind w:left="2160" w:hanging="360"/>
    </w:pPr>
    <w:rPr>
      <w:rFonts w:ascii="Calibri" w:eastAsia="Calibri" w:hAnsi="Calibri" w:cs="Calibri"/>
      <w:sz w:val="22"/>
      <w:szCs w:val="22"/>
      <w:lang w:eastAsia="ja-JP"/>
    </w:rPr>
  </w:style>
  <w:style w:type="character" w:styleId="Hyperlink">
    <w:name w:val="Hyperlink"/>
    <w:uiPriority w:val="99"/>
    <w:semiHidden/>
    <w:unhideWhenUsed/>
    <w:rsid w:val="00083501"/>
    <w:rPr>
      <w:color w:val="0563C1"/>
      <w:u w:val="single"/>
    </w:rPr>
  </w:style>
  <w:style w:type="paragraph" w:customStyle="1" w:styleId="notetext">
    <w:name w:val="note(text)"/>
    <w:aliases w:val="n"/>
    <w:basedOn w:val="Normal"/>
    <w:link w:val="notetextChar"/>
    <w:rsid w:val="00325D23"/>
    <w:pPr>
      <w:spacing w:before="122"/>
      <w:ind w:left="1985" w:hanging="851"/>
    </w:pPr>
    <w:rPr>
      <w:sz w:val="18"/>
    </w:rPr>
  </w:style>
  <w:style w:type="character" w:customStyle="1" w:styleId="notetextChar">
    <w:name w:val="note(text) Char"/>
    <w:aliases w:val="n Char"/>
    <w:link w:val="notetext"/>
    <w:rsid w:val="00325D23"/>
    <w:rPr>
      <w:sz w:val="18"/>
    </w:rPr>
  </w:style>
  <w:style w:type="paragraph" w:customStyle="1" w:styleId="CAB-NumberedParagraph">
    <w:name w:val="CAB - Numbered Paragraph"/>
    <w:basedOn w:val="Normal"/>
    <w:uiPriority w:val="98"/>
    <w:rsid w:val="00595508"/>
    <w:pPr>
      <w:tabs>
        <w:tab w:val="num" w:pos="1440"/>
      </w:tabs>
      <w:spacing w:after="200" w:line="276" w:lineRule="auto"/>
      <w:ind w:left="1440" w:hanging="360"/>
    </w:pPr>
    <w:rPr>
      <w:rFonts w:ascii="Arial" w:eastAsia="Calibri" w:hAnsi="Arial" w:cs="Arial"/>
      <w:sz w:val="22"/>
      <w:szCs w:val="22"/>
      <w:lang w:eastAsia="en-US"/>
    </w:rPr>
  </w:style>
  <w:style w:type="character" w:customStyle="1" w:styleId="CommentTextChar">
    <w:name w:val="Comment Text Char"/>
    <w:link w:val="CommentText"/>
    <w:uiPriority w:val="99"/>
    <w:rsid w:val="00E00420"/>
  </w:style>
  <w:style w:type="paragraph" w:styleId="Header">
    <w:name w:val="header"/>
    <w:basedOn w:val="Normal"/>
    <w:link w:val="HeaderChar"/>
    <w:rsid w:val="00DB08BD"/>
    <w:pPr>
      <w:tabs>
        <w:tab w:val="center" w:pos="4153"/>
        <w:tab w:val="right" w:pos="8306"/>
      </w:tabs>
    </w:pPr>
  </w:style>
  <w:style w:type="character" w:customStyle="1" w:styleId="HeaderChar">
    <w:name w:val="Header Char"/>
    <w:link w:val="Header"/>
    <w:rsid w:val="00DB08BD"/>
    <w:rPr>
      <w:sz w:val="24"/>
    </w:rPr>
  </w:style>
  <w:style w:type="paragraph" w:styleId="Footer">
    <w:name w:val="footer"/>
    <w:basedOn w:val="Normal"/>
    <w:link w:val="FooterChar"/>
    <w:uiPriority w:val="99"/>
    <w:unhideWhenUsed/>
    <w:rsid w:val="001D77AC"/>
    <w:pPr>
      <w:tabs>
        <w:tab w:val="center" w:pos="4513"/>
        <w:tab w:val="right" w:pos="9026"/>
      </w:tabs>
    </w:pPr>
  </w:style>
  <w:style w:type="character" w:customStyle="1" w:styleId="FooterChar">
    <w:name w:val="Footer Char"/>
    <w:link w:val="Footer"/>
    <w:uiPriority w:val="99"/>
    <w:rsid w:val="001D77AC"/>
    <w:rPr>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8219">
      <w:bodyDiv w:val="1"/>
      <w:marLeft w:val="0"/>
      <w:marRight w:val="0"/>
      <w:marTop w:val="0"/>
      <w:marBottom w:val="0"/>
      <w:divBdr>
        <w:top w:val="none" w:sz="0" w:space="0" w:color="auto"/>
        <w:left w:val="none" w:sz="0" w:space="0" w:color="auto"/>
        <w:bottom w:val="none" w:sz="0" w:space="0" w:color="auto"/>
        <w:right w:val="none" w:sz="0" w:space="0" w:color="auto"/>
      </w:divBdr>
    </w:div>
    <w:div w:id="150027011">
      <w:bodyDiv w:val="1"/>
      <w:marLeft w:val="0"/>
      <w:marRight w:val="0"/>
      <w:marTop w:val="0"/>
      <w:marBottom w:val="0"/>
      <w:divBdr>
        <w:top w:val="none" w:sz="0" w:space="0" w:color="auto"/>
        <w:left w:val="none" w:sz="0" w:space="0" w:color="auto"/>
        <w:bottom w:val="none" w:sz="0" w:space="0" w:color="auto"/>
        <w:right w:val="none" w:sz="0" w:space="0" w:color="auto"/>
      </w:divBdr>
      <w:divsChild>
        <w:div w:id="123935703">
          <w:marLeft w:val="0"/>
          <w:marRight w:val="0"/>
          <w:marTop w:val="0"/>
          <w:marBottom w:val="0"/>
          <w:divBdr>
            <w:top w:val="none" w:sz="0" w:space="0" w:color="auto"/>
            <w:left w:val="none" w:sz="0" w:space="0" w:color="auto"/>
            <w:bottom w:val="none" w:sz="0" w:space="0" w:color="auto"/>
            <w:right w:val="none" w:sz="0" w:space="0" w:color="auto"/>
          </w:divBdr>
          <w:divsChild>
            <w:div w:id="1491292015">
              <w:marLeft w:val="0"/>
              <w:marRight w:val="0"/>
              <w:marTop w:val="0"/>
              <w:marBottom w:val="0"/>
              <w:divBdr>
                <w:top w:val="none" w:sz="0" w:space="0" w:color="auto"/>
                <w:left w:val="none" w:sz="0" w:space="0" w:color="auto"/>
                <w:bottom w:val="none" w:sz="0" w:space="0" w:color="auto"/>
                <w:right w:val="none" w:sz="0" w:space="0" w:color="auto"/>
              </w:divBdr>
              <w:divsChild>
                <w:div w:id="1918322145">
                  <w:marLeft w:val="0"/>
                  <w:marRight w:val="0"/>
                  <w:marTop w:val="0"/>
                  <w:marBottom w:val="0"/>
                  <w:divBdr>
                    <w:top w:val="none" w:sz="0" w:space="0" w:color="auto"/>
                    <w:left w:val="none" w:sz="0" w:space="0" w:color="auto"/>
                    <w:bottom w:val="none" w:sz="0" w:space="0" w:color="auto"/>
                    <w:right w:val="none" w:sz="0" w:space="0" w:color="auto"/>
                  </w:divBdr>
                  <w:divsChild>
                    <w:div w:id="1692298070">
                      <w:marLeft w:val="0"/>
                      <w:marRight w:val="0"/>
                      <w:marTop w:val="0"/>
                      <w:marBottom w:val="0"/>
                      <w:divBdr>
                        <w:top w:val="none" w:sz="0" w:space="0" w:color="auto"/>
                        <w:left w:val="none" w:sz="0" w:space="0" w:color="auto"/>
                        <w:bottom w:val="none" w:sz="0" w:space="0" w:color="auto"/>
                        <w:right w:val="none" w:sz="0" w:space="0" w:color="auto"/>
                      </w:divBdr>
                      <w:divsChild>
                        <w:div w:id="30812192">
                          <w:marLeft w:val="0"/>
                          <w:marRight w:val="0"/>
                          <w:marTop w:val="0"/>
                          <w:marBottom w:val="0"/>
                          <w:divBdr>
                            <w:top w:val="none" w:sz="0" w:space="0" w:color="auto"/>
                            <w:left w:val="none" w:sz="0" w:space="0" w:color="auto"/>
                            <w:bottom w:val="none" w:sz="0" w:space="0" w:color="auto"/>
                            <w:right w:val="none" w:sz="0" w:space="0" w:color="auto"/>
                          </w:divBdr>
                          <w:divsChild>
                            <w:div w:id="1729575840">
                              <w:marLeft w:val="0"/>
                              <w:marRight w:val="0"/>
                              <w:marTop w:val="0"/>
                              <w:marBottom w:val="0"/>
                              <w:divBdr>
                                <w:top w:val="none" w:sz="0" w:space="0" w:color="auto"/>
                                <w:left w:val="none" w:sz="0" w:space="0" w:color="auto"/>
                                <w:bottom w:val="none" w:sz="0" w:space="0" w:color="auto"/>
                                <w:right w:val="none" w:sz="0" w:space="0" w:color="auto"/>
                              </w:divBdr>
                              <w:divsChild>
                                <w:div w:id="1144354780">
                                  <w:marLeft w:val="0"/>
                                  <w:marRight w:val="0"/>
                                  <w:marTop w:val="0"/>
                                  <w:marBottom w:val="0"/>
                                  <w:divBdr>
                                    <w:top w:val="none" w:sz="0" w:space="0" w:color="auto"/>
                                    <w:left w:val="none" w:sz="0" w:space="0" w:color="auto"/>
                                    <w:bottom w:val="none" w:sz="0" w:space="0" w:color="auto"/>
                                    <w:right w:val="none" w:sz="0" w:space="0" w:color="auto"/>
                                  </w:divBdr>
                                  <w:divsChild>
                                    <w:div w:id="256716628">
                                      <w:marLeft w:val="0"/>
                                      <w:marRight w:val="0"/>
                                      <w:marTop w:val="0"/>
                                      <w:marBottom w:val="0"/>
                                      <w:divBdr>
                                        <w:top w:val="none" w:sz="0" w:space="0" w:color="auto"/>
                                        <w:left w:val="none" w:sz="0" w:space="0" w:color="auto"/>
                                        <w:bottom w:val="none" w:sz="0" w:space="0" w:color="auto"/>
                                        <w:right w:val="none" w:sz="0" w:space="0" w:color="auto"/>
                                      </w:divBdr>
                                      <w:divsChild>
                                        <w:div w:id="391512238">
                                          <w:marLeft w:val="0"/>
                                          <w:marRight w:val="0"/>
                                          <w:marTop w:val="0"/>
                                          <w:marBottom w:val="0"/>
                                          <w:divBdr>
                                            <w:top w:val="none" w:sz="0" w:space="0" w:color="auto"/>
                                            <w:left w:val="none" w:sz="0" w:space="0" w:color="auto"/>
                                            <w:bottom w:val="none" w:sz="0" w:space="0" w:color="auto"/>
                                            <w:right w:val="none" w:sz="0" w:space="0" w:color="auto"/>
                                          </w:divBdr>
                                          <w:divsChild>
                                            <w:div w:id="432476845">
                                              <w:marLeft w:val="0"/>
                                              <w:marRight w:val="0"/>
                                              <w:marTop w:val="0"/>
                                              <w:marBottom w:val="0"/>
                                              <w:divBdr>
                                                <w:top w:val="none" w:sz="0" w:space="0" w:color="auto"/>
                                                <w:left w:val="none" w:sz="0" w:space="0" w:color="auto"/>
                                                <w:bottom w:val="none" w:sz="0" w:space="0" w:color="auto"/>
                                                <w:right w:val="none" w:sz="0" w:space="0" w:color="auto"/>
                                              </w:divBdr>
                                              <w:divsChild>
                                                <w:div w:id="342098124">
                                                  <w:marLeft w:val="0"/>
                                                  <w:marRight w:val="0"/>
                                                  <w:marTop w:val="0"/>
                                                  <w:marBottom w:val="0"/>
                                                  <w:divBdr>
                                                    <w:top w:val="none" w:sz="0" w:space="0" w:color="auto"/>
                                                    <w:left w:val="none" w:sz="0" w:space="0" w:color="auto"/>
                                                    <w:bottom w:val="none" w:sz="0" w:space="0" w:color="auto"/>
                                                    <w:right w:val="none" w:sz="0" w:space="0" w:color="auto"/>
                                                  </w:divBdr>
                                                  <w:divsChild>
                                                    <w:div w:id="240146235">
                                                      <w:marLeft w:val="0"/>
                                                      <w:marRight w:val="0"/>
                                                      <w:marTop w:val="0"/>
                                                      <w:marBottom w:val="0"/>
                                                      <w:divBdr>
                                                        <w:top w:val="none" w:sz="0" w:space="0" w:color="auto"/>
                                                        <w:left w:val="none" w:sz="0" w:space="0" w:color="auto"/>
                                                        <w:bottom w:val="none" w:sz="0" w:space="0" w:color="auto"/>
                                                        <w:right w:val="none" w:sz="0" w:space="0" w:color="auto"/>
                                                      </w:divBdr>
                                                      <w:divsChild>
                                                        <w:div w:id="12389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545345">
      <w:bodyDiv w:val="1"/>
      <w:marLeft w:val="0"/>
      <w:marRight w:val="0"/>
      <w:marTop w:val="0"/>
      <w:marBottom w:val="0"/>
      <w:divBdr>
        <w:top w:val="none" w:sz="0" w:space="0" w:color="auto"/>
        <w:left w:val="none" w:sz="0" w:space="0" w:color="auto"/>
        <w:bottom w:val="none" w:sz="0" w:space="0" w:color="auto"/>
        <w:right w:val="none" w:sz="0" w:space="0" w:color="auto"/>
      </w:divBdr>
      <w:divsChild>
        <w:div w:id="2031951664">
          <w:marLeft w:val="0"/>
          <w:marRight w:val="0"/>
          <w:marTop w:val="0"/>
          <w:marBottom w:val="0"/>
          <w:divBdr>
            <w:top w:val="none" w:sz="0" w:space="0" w:color="auto"/>
            <w:left w:val="none" w:sz="0" w:space="0" w:color="auto"/>
            <w:bottom w:val="none" w:sz="0" w:space="0" w:color="auto"/>
            <w:right w:val="none" w:sz="0" w:space="0" w:color="auto"/>
          </w:divBdr>
          <w:divsChild>
            <w:div w:id="696740608">
              <w:marLeft w:val="0"/>
              <w:marRight w:val="0"/>
              <w:marTop w:val="0"/>
              <w:marBottom w:val="0"/>
              <w:divBdr>
                <w:top w:val="none" w:sz="0" w:space="0" w:color="auto"/>
                <w:left w:val="none" w:sz="0" w:space="0" w:color="auto"/>
                <w:bottom w:val="none" w:sz="0" w:space="0" w:color="auto"/>
                <w:right w:val="none" w:sz="0" w:space="0" w:color="auto"/>
              </w:divBdr>
              <w:divsChild>
                <w:div w:id="1485968663">
                  <w:marLeft w:val="0"/>
                  <w:marRight w:val="0"/>
                  <w:marTop w:val="0"/>
                  <w:marBottom w:val="0"/>
                  <w:divBdr>
                    <w:top w:val="none" w:sz="0" w:space="0" w:color="auto"/>
                    <w:left w:val="none" w:sz="0" w:space="0" w:color="auto"/>
                    <w:bottom w:val="none" w:sz="0" w:space="0" w:color="auto"/>
                    <w:right w:val="none" w:sz="0" w:space="0" w:color="auto"/>
                  </w:divBdr>
                  <w:divsChild>
                    <w:div w:id="2090344980">
                      <w:marLeft w:val="0"/>
                      <w:marRight w:val="0"/>
                      <w:marTop w:val="0"/>
                      <w:marBottom w:val="0"/>
                      <w:divBdr>
                        <w:top w:val="none" w:sz="0" w:space="0" w:color="auto"/>
                        <w:left w:val="none" w:sz="0" w:space="0" w:color="auto"/>
                        <w:bottom w:val="none" w:sz="0" w:space="0" w:color="auto"/>
                        <w:right w:val="none" w:sz="0" w:space="0" w:color="auto"/>
                      </w:divBdr>
                      <w:divsChild>
                        <w:div w:id="1904825587">
                          <w:marLeft w:val="0"/>
                          <w:marRight w:val="0"/>
                          <w:marTop w:val="0"/>
                          <w:marBottom w:val="0"/>
                          <w:divBdr>
                            <w:top w:val="none" w:sz="0" w:space="0" w:color="auto"/>
                            <w:left w:val="none" w:sz="0" w:space="0" w:color="auto"/>
                            <w:bottom w:val="none" w:sz="0" w:space="0" w:color="auto"/>
                            <w:right w:val="none" w:sz="0" w:space="0" w:color="auto"/>
                          </w:divBdr>
                          <w:divsChild>
                            <w:div w:id="1743985705">
                              <w:marLeft w:val="0"/>
                              <w:marRight w:val="0"/>
                              <w:marTop w:val="0"/>
                              <w:marBottom w:val="0"/>
                              <w:divBdr>
                                <w:top w:val="none" w:sz="0" w:space="0" w:color="auto"/>
                                <w:left w:val="none" w:sz="0" w:space="0" w:color="auto"/>
                                <w:bottom w:val="none" w:sz="0" w:space="0" w:color="auto"/>
                                <w:right w:val="none" w:sz="0" w:space="0" w:color="auto"/>
                              </w:divBdr>
                              <w:divsChild>
                                <w:div w:id="1851293617">
                                  <w:marLeft w:val="0"/>
                                  <w:marRight w:val="0"/>
                                  <w:marTop w:val="0"/>
                                  <w:marBottom w:val="0"/>
                                  <w:divBdr>
                                    <w:top w:val="none" w:sz="0" w:space="0" w:color="auto"/>
                                    <w:left w:val="none" w:sz="0" w:space="0" w:color="auto"/>
                                    <w:bottom w:val="none" w:sz="0" w:space="0" w:color="auto"/>
                                    <w:right w:val="none" w:sz="0" w:space="0" w:color="auto"/>
                                  </w:divBdr>
                                  <w:divsChild>
                                    <w:div w:id="1082750680">
                                      <w:marLeft w:val="0"/>
                                      <w:marRight w:val="0"/>
                                      <w:marTop w:val="0"/>
                                      <w:marBottom w:val="0"/>
                                      <w:divBdr>
                                        <w:top w:val="none" w:sz="0" w:space="0" w:color="auto"/>
                                        <w:left w:val="none" w:sz="0" w:space="0" w:color="auto"/>
                                        <w:bottom w:val="none" w:sz="0" w:space="0" w:color="auto"/>
                                        <w:right w:val="none" w:sz="0" w:space="0" w:color="auto"/>
                                      </w:divBdr>
                                      <w:divsChild>
                                        <w:div w:id="1132406895">
                                          <w:marLeft w:val="0"/>
                                          <w:marRight w:val="0"/>
                                          <w:marTop w:val="0"/>
                                          <w:marBottom w:val="0"/>
                                          <w:divBdr>
                                            <w:top w:val="none" w:sz="0" w:space="0" w:color="auto"/>
                                            <w:left w:val="none" w:sz="0" w:space="0" w:color="auto"/>
                                            <w:bottom w:val="none" w:sz="0" w:space="0" w:color="auto"/>
                                            <w:right w:val="none" w:sz="0" w:space="0" w:color="auto"/>
                                          </w:divBdr>
                                          <w:divsChild>
                                            <w:div w:id="809521016">
                                              <w:marLeft w:val="0"/>
                                              <w:marRight w:val="0"/>
                                              <w:marTop w:val="0"/>
                                              <w:marBottom w:val="0"/>
                                              <w:divBdr>
                                                <w:top w:val="none" w:sz="0" w:space="0" w:color="auto"/>
                                                <w:left w:val="none" w:sz="0" w:space="0" w:color="auto"/>
                                                <w:bottom w:val="none" w:sz="0" w:space="0" w:color="auto"/>
                                                <w:right w:val="none" w:sz="0" w:space="0" w:color="auto"/>
                                              </w:divBdr>
                                              <w:divsChild>
                                                <w:div w:id="1254704377">
                                                  <w:marLeft w:val="0"/>
                                                  <w:marRight w:val="0"/>
                                                  <w:marTop w:val="0"/>
                                                  <w:marBottom w:val="0"/>
                                                  <w:divBdr>
                                                    <w:top w:val="none" w:sz="0" w:space="0" w:color="auto"/>
                                                    <w:left w:val="none" w:sz="0" w:space="0" w:color="auto"/>
                                                    <w:bottom w:val="none" w:sz="0" w:space="0" w:color="auto"/>
                                                    <w:right w:val="none" w:sz="0" w:space="0" w:color="auto"/>
                                                  </w:divBdr>
                                                  <w:divsChild>
                                                    <w:div w:id="1903100543">
                                                      <w:marLeft w:val="0"/>
                                                      <w:marRight w:val="0"/>
                                                      <w:marTop w:val="0"/>
                                                      <w:marBottom w:val="0"/>
                                                      <w:divBdr>
                                                        <w:top w:val="none" w:sz="0" w:space="0" w:color="auto"/>
                                                        <w:left w:val="none" w:sz="0" w:space="0" w:color="auto"/>
                                                        <w:bottom w:val="none" w:sz="0" w:space="0" w:color="auto"/>
                                                        <w:right w:val="none" w:sz="0" w:space="0" w:color="auto"/>
                                                      </w:divBdr>
                                                      <w:divsChild>
                                                        <w:div w:id="19302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383394">
      <w:bodyDiv w:val="1"/>
      <w:marLeft w:val="0"/>
      <w:marRight w:val="0"/>
      <w:marTop w:val="0"/>
      <w:marBottom w:val="0"/>
      <w:divBdr>
        <w:top w:val="none" w:sz="0" w:space="0" w:color="auto"/>
        <w:left w:val="none" w:sz="0" w:space="0" w:color="auto"/>
        <w:bottom w:val="none" w:sz="0" w:space="0" w:color="auto"/>
        <w:right w:val="none" w:sz="0" w:space="0" w:color="auto"/>
      </w:divBdr>
      <w:divsChild>
        <w:div w:id="876695181">
          <w:marLeft w:val="0"/>
          <w:marRight w:val="0"/>
          <w:marTop w:val="0"/>
          <w:marBottom w:val="0"/>
          <w:divBdr>
            <w:top w:val="none" w:sz="0" w:space="0" w:color="auto"/>
            <w:left w:val="none" w:sz="0" w:space="0" w:color="auto"/>
            <w:bottom w:val="none" w:sz="0" w:space="0" w:color="auto"/>
            <w:right w:val="none" w:sz="0" w:space="0" w:color="auto"/>
          </w:divBdr>
          <w:divsChild>
            <w:div w:id="1159661333">
              <w:marLeft w:val="0"/>
              <w:marRight w:val="0"/>
              <w:marTop w:val="0"/>
              <w:marBottom w:val="0"/>
              <w:divBdr>
                <w:top w:val="none" w:sz="0" w:space="0" w:color="auto"/>
                <w:left w:val="none" w:sz="0" w:space="0" w:color="auto"/>
                <w:bottom w:val="none" w:sz="0" w:space="0" w:color="auto"/>
                <w:right w:val="none" w:sz="0" w:space="0" w:color="auto"/>
              </w:divBdr>
              <w:divsChild>
                <w:div w:id="1934894318">
                  <w:marLeft w:val="0"/>
                  <w:marRight w:val="0"/>
                  <w:marTop w:val="0"/>
                  <w:marBottom w:val="0"/>
                  <w:divBdr>
                    <w:top w:val="none" w:sz="0" w:space="0" w:color="auto"/>
                    <w:left w:val="none" w:sz="0" w:space="0" w:color="auto"/>
                    <w:bottom w:val="none" w:sz="0" w:space="0" w:color="auto"/>
                    <w:right w:val="none" w:sz="0" w:space="0" w:color="auto"/>
                  </w:divBdr>
                  <w:divsChild>
                    <w:div w:id="164904630">
                      <w:marLeft w:val="0"/>
                      <w:marRight w:val="0"/>
                      <w:marTop w:val="0"/>
                      <w:marBottom w:val="0"/>
                      <w:divBdr>
                        <w:top w:val="none" w:sz="0" w:space="0" w:color="auto"/>
                        <w:left w:val="none" w:sz="0" w:space="0" w:color="auto"/>
                        <w:bottom w:val="none" w:sz="0" w:space="0" w:color="auto"/>
                        <w:right w:val="none" w:sz="0" w:space="0" w:color="auto"/>
                      </w:divBdr>
                      <w:divsChild>
                        <w:div w:id="413363311">
                          <w:marLeft w:val="0"/>
                          <w:marRight w:val="0"/>
                          <w:marTop w:val="0"/>
                          <w:marBottom w:val="0"/>
                          <w:divBdr>
                            <w:top w:val="none" w:sz="0" w:space="0" w:color="auto"/>
                            <w:left w:val="none" w:sz="0" w:space="0" w:color="auto"/>
                            <w:bottom w:val="none" w:sz="0" w:space="0" w:color="auto"/>
                            <w:right w:val="none" w:sz="0" w:space="0" w:color="auto"/>
                          </w:divBdr>
                          <w:divsChild>
                            <w:div w:id="2111198548">
                              <w:marLeft w:val="0"/>
                              <w:marRight w:val="0"/>
                              <w:marTop w:val="0"/>
                              <w:marBottom w:val="0"/>
                              <w:divBdr>
                                <w:top w:val="none" w:sz="0" w:space="0" w:color="auto"/>
                                <w:left w:val="none" w:sz="0" w:space="0" w:color="auto"/>
                                <w:bottom w:val="none" w:sz="0" w:space="0" w:color="auto"/>
                                <w:right w:val="none" w:sz="0" w:space="0" w:color="auto"/>
                              </w:divBdr>
                              <w:divsChild>
                                <w:div w:id="307127757">
                                  <w:marLeft w:val="0"/>
                                  <w:marRight w:val="0"/>
                                  <w:marTop w:val="0"/>
                                  <w:marBottom w:val="0"/>
                                  <w:divBdr>
                                    <w:top w:val="none" w:sz="0" w:space="0" w:color="auto"/>
                                    <w:left w:val="none" w:sz="0" w:space="0" w:color="auto"/>
                                    <w:bottom w:val="none" w:sz="0" w:space="0" w:color="auto"/>
                                    <w:right w:val="none" w:sz="0" w:space="0" w:color="auto"/>
                                  </w:divBdr>
                                  <w:divsChild>
                                    <w:div w:id="298149345">
                                      <w:marLeft w:val="0"/>
                                      <w:marRight w:val="0"/>
                                      <w:marTop w:val="0"/>
                                      <w:marBottom w:val="0"/>
                                      <w:divBdr>
                                        <w:top w:val="none" w:sz="0" w:space="0" w:color="auto"/>
                                        <w:left w:val="none" w:sz="0" w:space="0" w:color="auto"/>
                                        <w:bottom w:val="none" w:sz="0" w:space="0" w:color="auto"/>
                                        <w:right w:val="none" w:sz="0" w:space="0" w:color="auto"/>
                                      </w:divBdr>
                                      <w:divsChild>
                                        <w:div w:id="1702320098">
                                          <w:marLeft w:val="0"/>
                                          <w:marRight w:val="0"/>
                                          <w:marTop w:val="0"/>
                                          <w:marBottom w:val="0"/>
                                          <w:divBdr>
                                            <w:top w:val="none" w:sz="0" w:space="0" w:color="auto"/>
                                            <w:left w:val="none" w:sz="0" w:space="0" w:color="auto"/>
                                            <w:bottom w:val="none" w:sz="0" w:space="0" w:color="auto"/>
                                            <w:right w:val="none" w:sz="0" w:space="0" w:color="auto"/>
                                          </w:divBdr>
                                          <w:divsChild>
                                            <w:div w:id="1087921421">
                                              <w:marLeft w:val="0"/>
                                              <w:marRight w:val="0"/>
                                              <w:marTop w:val="0"/>
                                              <w:marBottom w:val="0"/>
                                              <w:divBdr>
                                                <w:top w:val="none" w:sz="0" w:space="0" w:color="auto"/>
                                                <w:left w:val="none" w:sz="0" w:space="0" w:color="auto"/>
                                                <w:bottom w:val="none" w:sz="0" w:space="0" w:color="auto"/>
                                                <w:right w:val="none" w:sz="0" w:space="0" w:color="auto"/>
                                              </w:divBdr>
                                              <w:divsChild>
                                                <w:div w:id="1897206520">
                                                  <w:marLeft w:val="0"/>
                                                  <w:marRight w:val="0"/>
                                                  <w:marTop w:val="0"/>
                                                  <w:marBottom w:val="0"/>
                                                  <w:divBdr>
                                                    <w:top w:val="none" w:sz="0" w:space="0" w:color="auto"/>
                                                    <w:left w:val="none" w:sz="0" w:space="0" w:color="auto"/>
                                                    <w:bottom w:val="none" w:sz="0" w:space="0" w:color="auto"/>
                                                    <w:right w:val="none" w:sz="0" w:space="0" w:color="auto"/>
                                                  </w:divBdr>
                                                  <w:divsChild>
                                                    <w:div w:id="1236667746">
                                                      <w:marLeft w:val="0"/>
                                                      <w:marRight w:val="0"/>
                                                      <w:marTop w:val="0"/>
                                                      <w:marBottom w:val="0"/>
                                                      <w:divBdr>
                                                        <w:top w:val="none" w:sz="0" w:space="0" w:color="auto"/>
                                                        <w:left w:val="none" w:sz="0" w:space="0" w:color="auto"/>
                                                        <w:bottom w:val="none" w:sz="0" w:space="0" w:color="auto"/>
                                                        <w:right w:val="none" w:sz="0" w:space="0" w:color="auto"/>
                                                      </w:divBdr>
                                                      <w:divsChild>
                                                        <w:div w:id="3356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090288">
      <w:bodyDiv w:val="1"/>
      <w:marLeft w:val="0"/>
      <w:marRight w:val="0"/>
      <w:marTop w:val="0"/>
      <w:marBottom w:val="0"/>
      <w:divBdr>
        <w:top w:val="none" w:sz="0" w:space="0" w:color="auto"/>
        <w:left w:val="none" w:sz="0" w:space="0" w:color="auto"/>
        <w:bottom w:val="none" w:sz="0" w:space="0" w:color="auto"/>
        <w:right w:val="none" w:sz="0" w:space="0" w:color="auto"/>
      </w:divBdr>
    </w:div>
    <w:div w:id="288823058">
      <w:bodyDiv w:val="1"/>
      <w:marLeft w:val="0"/>
      <w:marRight w:val="0"/>
      <w:marTop w:val="0"/>
      <w:marBottom w:val="0"/>
      <w:divBdr>
        <w:top w:val="none" w:sz="0" w:space="0" w:color="auto"/>
        <w:left w:val="none" w:sz="0" w:space="0" w:color="auto"/>
        <w:bottom w:val="none" w:sz="0" w:space="0" w:color="auto"/>
        <w:right w:val="none" w:sz="0" w:space="0" w:color="auto"/>
      </w:divBdr>
    </w:div>
    <w:div w:id="403457282">
      <w:bodyDiv w:val="1"/>
      <w:marLeft w:val="0"/>
      <w:marRight w:val="0"/>
      <w:marTop w:val="0"/>
      <w:marBottom w:val="0"/>
      <w:divBdr>
        <w:top w:val="none" w:sz="0" w:space="0" w:color="auto"/>
        <w:left w:val="none" w:sz="0" w:space="0" w:color="auto"/>
        <w:bottom w:val="none" w:sz="0" w:space="0" w:color="auto"/>
        <w:right w:val="none" w:sz="0" w:space="0" w:color="auto"/>
      </w:divBdr>
    </w:div>
    <w:div w:id="655189362">
      <w:bodyDiv w:val="1"/>
      <w:marLeft w:val="0"/>
      <w:marRight w:val="0"/>
      <w:marTop w:val="0"/>
      <w:marBottom w:val="0"/>
      <w:divBdr>
        <w:top w:val="none" w:sz="0" w:space="0" w:color="auto"/>
        <w:left w:val="none" w:sz="0" w:space="0" w:color="auto"/>
        <w:bottom w:val="none" w:sz="0" w:space="0" w:color="auto"/>
        <w:right w:val="none" w:sz="0" w:space="0" w:color="auto"/>
      </w:divBdr>
      <w:divsChild>
        <w:div w:id="449279245">
          <w:marLeft w:val="0"/>
          <w:marRight w:val="0"/>
          <w:marTop w:val="0"/>
          <w:marBottom w:val="0"/>
          <w:divBdr>
            <w:top w:val="none" w:sz="0" w:space="0" w:color="auto"/>
            <w:left w:val="none" w:sz="0" w:space="0" w:color="auto"/>
            <w:bottom w:val="none" w:sz="0" w:space="0" w:color="auto"/>
            <w:right w:val="none" w:sz="0" w:space="0" w:color="auto"/>
          </w:divBdr>
          <w:divsChild>
            <w:div w:id="1210648941">
              <w:marLeft w:val="0"/>
              <w:marRight w:val="0"/>
              <w:marTop w:val="0"/>
              <w:marBottom w:val="0"/>
              <w:divBdr>
                <w:top w:val="none" w:sz="0" w:space="0" w:color="auto"/>
                <w:left w:val="none" w:sz="0" w:space="0" w:color="auto"/>
                <w:bottom w:val="none" w:sz="0" w:space="0" w:color="auto"/>
                <w:right w:val="none" w:sz="0" w:space="0" w:color="auto"/>
              </w:divBdr>
              <w:divsChild>
                <w:div w:id="11297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2865">
      <w:bodyDiv w:val="1"/>
      <w:marLeft w:val="0"/>
      <w:marRight w:val="0"/>
      <w:marTop w:val="0"/>
      <w:marBottom w:val="0"/>
      <w:divBdr>
        <w:top w:val="none" w:sz="0" w:space="0" w:color="auto"/>
        <w:left w:val="none" w:sz="0" w:space="0" w:color="auto"/>
        <w:bottom w:val="none" w:sz="0" w:space="0" w:color="auto"/>
        <w:right w:val="none" w:sz="0" w:space="0" w:color="auto"/>
      </w:divBdr>
    </w:div>
    <w:div w:id="18968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29C161E1D21E4FAF722D250D762528" ma:contentTypeVersion="0" ma:contentTypeDescription="Create a new document." ma:contentTypeScope="" ma:versionID="67d9a3209b9f5be17fc23e2f8413d93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26A39-077A-4DDB-92E8-11D3EE1B1C88}">
  <ds:schemaRefs>
    <ds:schemaRef ds:uri="http://schemas.microsoft.com/sharepoint/v3/contenttype/forms"/>
  </ds:schemaRefs>
</ds:datastoreItem>
</file>

<file path=customXml/itemProps2.xml><?xml version="1.0" encoding="utf-8"?>
<ds:datastoreItem xmlns:ds="http://schemas.openxmlformats.org/officeDocument/2006/customXml" ds:itemID="{8A180575-3EAD-4C56-9F59-68DC0637488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51D7EE0-B43D-4B72-98F5-0B92A8744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738F27-9740-402E-989D-3A0A7CF1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1486</Words>
  <Characters>8216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
  <cp:keywords/>
  <cp:lastModifiedBy/>
  <cp:revision>1</cp:revision>
  <cp:lastPrinted>2008-02-29T00:26:00Z</cp:lastPrinted>
  <dcterms:created xsi:type="dcterms:W3CDTF">2022-02-09T23:49:00Z</dcterms:created>
  <dcterms:modified xsi:type="dcterms:W3CDTF">2022-02-09T23:49:00Z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heckforsharepointfields">
    <vt:lpwstr>True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y fmtid="{D5CDD505-2E9C-101B-9397-08002B2CF9AE}" pid="7" name="SecurityClassification">
    <vt:lpwstr/>
  </property>
</Properties>
</file>