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2272" w14:textId="77777777" w:rsidR="00045146" w:rsidRPr="002E6211" w:rsidRDefault="00045146" w:rsidP="00045146">
      <w:pPr>
        <w:jc w:val="center"/>
        <w:rPr>
          <w:b/>
        </w:rPr>
      </w:pPr>
      <w:r w:rsidRPr="002E6211">
        <w:rPr>
          <w:b/>
        </w:rPr>
        <w:t>EXPLANATORY STATEMENT</w:t>
      </w:r>
    </w:p>
    <w:p w14:paraId="3B935EAF" w14:textId="77777777" w:rsidR="00045146" w:rsidRPr="002E6211" w:rsidRDefault="00045146" w:rsidP="00045146"/>
    <w:p w14:paraId="1FA42F60" w14:textId="77777777" w:rsidR="00045146" w:rsidRPr="002E6211" w:rsidRDefault="00045146" w:rsidP="00045146">
      <w:pPr>
        <w:spacing w:before="100" w:beforeAutospacing="1" w:after="100" w:afterAutospacing="1"/>
        <w:jc w:val="center"/>
      </w:pPr>
      <w:r w:rsidRPr="002E6211">
        <w:t>Issued by the authority of the Minister for Defence</w:t>
      </w:r>
    </w:p>
    <w:p w14:paraId="78BA3A82" w14:textId="77777777" w:rsidR="00045146" w:rsidRPr="002E6211" w:rsidRDefault="00045146" w:rsidP="00045146">
      <w:pPr>
        <w:spacing w:before="100" w:beforeAutospacing="1" w:after="100" w:afterAutospacing="1"/>
        <w:jc w:val="center"/>
      </w:pPr>
      <w:r w:rsidRPr="002E6211">
        <w:rPr>
          <w:i/>
          <w:iCs/>
        </w:rPr>
        <w:t>Defence Act 1903</w:t>
      </w:r>
    </w:p>
    <w:p w14:paraId="1B6375C1" w14:textId="77777777" w:rsidR="00045146" w:rsidRPr="002E6211" w:rsidRDefault="00045146" w:rsidP="00045146">
      <w:pPr>
        <w:spacing w:before="100" w:beforeAutospacing="1" w:after="100" w:afterAutospacing="1"/>
        <w:jc w:val="center"/>
      </w:pPr>
      <w:bookmarkStart w:id="0" w:name="OLE_LINK2"/>
      <w:bookmarkStart w:id="1" w:name="OLE_LINK1"/>
      <w:r w:rsidRPr="002E6211">
        <w:rPr>
          <w:i/>
          <w:iCs/>
        </w:rPr>
        <w:t xml:space="preserve">Woomera Prohibited Area Amendment </w:t>
      </w:r>
      <w:r w:rsidR="00F847DE" w:rsidRPr="002E6211">
        <w:rPr>
          <w:i/>
          <w:iCs/>
        </w:rPr>
        <w:t xml:space="preserve">Rule </w:t>
      </w:r>
      <w:r w:rsidRPr="002E6211">
        <w:rPr>
          <w:i/>
          <w:iCs/>
        </w:rPr>
        <w:t>(</w:t>
      </w:r>
      <w:r w:rsidR="00F847DE" w:rsidRPr="002E6211">
        <w:rPr>
          <w:i/>
          <w:iCs/>
        </w:rPr>
        <w:t>No.1)</w:t>
      </w:r>
      <w:r w:rsidR="00BC31CB" w:rsidRPr="002E6211">
        <w:rPr>
          <w:i/>
          <w:iCs/>
        </w:rPr>
        <w:t xml:space="preserve"> </w:t>
      </w:r>
      <w:r w:rsidRPr="002E6211">
        <w:rPr>
          <w:i/>
          <w:iCs/>
        </w:rPr>
        <w:t>20</w:t>
      </w:r>
      <w:bookmarkEnd w:id="0"/>
      <w:bookmarkEnd w:id="1"/>
      <w:r w:rsidR="00F847DE" w:rsidRPr="002E6211">
        <w:rPr>
          <w:i/>
          <w:iCs/>
        </w:rPr>
        <w:t>21</w:t>
      </w:r>
    </w:p>
    <w:p w14:paraId="51A92F93" w14:textId="77777777" w:rsidR="00045146" w:rsidRPr="002E6211" w:rsidRDefault="00045146" w:rsidP="00045146"/>
    <w:p w14:paraId="6292F8A9" w14:textId="77777777" w:rsidR="00045146" w:rsidRPr="002E6211" w:rsidRDefault="00D339CC" w:rsidP="00045146">
      <w:pPr>
        <w:rPr>
          <w:b/>
        </w:rPr>
      </w:pPr>
      <w:r w:rsidRPr="002E6211">
        <w:rPr>
          <w:b/>
        </w:rPr>
        <w:t>Authority</w:t>
      </w:r>
    </w:p>
    <w:p w14:paraId="3B5A5891" w14:textId="77777777" w:rsidR="00045146" w:rsidRPr="002E6211" w:rsidRDefault="00045146" w:rsidP="00045146"/>
    <w:p w14:paraId="14047F1B" w14:textId="18E9C4AD" w:rsidR="00045146" w:rsidRPr="002E6211" w:rsidRDefault="00045146" w:rsidP="00AC48A8">
      <w:pPr>
        <w:pStyle w:val="ListParagraph"/>
        <w:tabs>
          <w:tab w:val="left" w:pos="709"/>
        </w:tabs>
        <w:ind w:left="0"/>
      </w:pPr>
      <w:r w:rsidRPr="002E6211">
        <w:t>S</w:t>
      </w:r>
      <w:r w:rsidR="00CB46C8">
        <w:t>u</w:t>
      </w:r>
      <w:bookmarkStart w:id="2" w:name="_GoBack"/>
      <w:bookmarkEnd w:id="2"/>
      <w:r w:rsidRPr="002E6211">
        <w:t xml:space="preserve">bsection 72TP(1) of the </w:t>
      </w:r>
      <w:r w:rsidRPr="002E6211">
        <w:rPr>
          <w:i/>
        </w:rPr>
        <w:t>Defence Act 1903</w:t>
      </w:r>
      <w:r w:rsidRPr="002E6211">
        <w:t xml:space="preserve"> provides that the Minister for Defence may, by legislative instrument and with the agreement of the Industry</w:t>
      </w:r>
      <w:r w:rsidR="00F847DE" w:rsidRPr="002E6211">
        <w:t xml:space="preserve"> Minister</w:t>
      </w:r>
      <w:r w:rsidRPr="002E6211">
        <w:t>, make Woomera Prohibited Area Rule</w:t>
      </w:r>
      <w:r w:rsidR="00F847DE" w:rsidRPr="002E6211">
        <w:t>s</w:t>
      </w:r>
      <w:r w:rsidRPr="002E6211">
        <w:t xml:space="preserve"> prescribing matters:</w:t>
      </w:r>
    </w:p>
    <w:p w14:paraId="0B8CECC7" w14:textId="77777777" w:rsidR="00045146" w:rsidRPr="002E6211" w:rsidRDefault="00045146" w:rsidP="00045146"/>
    <w:p w14:paraId="38644A16" w14:textId="77777777" w:rsidR="00045146" w:rsidRPr="002E6211" w:rsidRDefault="00045146" w:rsidP="00AC48A8">
      <w:pPr>
        <w:numPr>
          <w:ilvl w:val="0"/>
          <w:numId w:val="3"/>
        </w:numPr>
        <w:tabs>
          <w:tab w:val="clear" w:pos="720"/>
          <w:tab w:val="num" w:pos="1134"/>
        </w:tabs>
        <w:ind w:left="1134" w:hanging="567"/>
      </w:pPr>
      <w:r w:rsidRPr="002E6211">
        <w:t xml:space="preserve">required or permitted by Part VIB of the </w:t>
      </w:r>
      <w:r w:rsidRPr="002E6211">
        <w:rPr>
          <w:i/>
        </w:rPr>
        <w:t>Defence Act 1903</w:t>
      </w:r>
      <w:r w:rsidRPr="002E6211">
        <w:t xml:space="preserve"> to be prescribed by the Rule</w:t>
      </w:r>
      <w:r w:rsidR="00F847DE" w:rsidRPr="002E6211">
        <w:t>s</w:t>
      </w:r>
      <w:r w:rsidRPr="002E6211">
        <w:t>; or</w:t>
      </w:r>
    </w:p>
    <w:p w14:paraId="7A7B05E1" w14:textId="77777777" w:rsidR="00045146" w:rsidRPr="002E6211" w:rsidRDefault="00950A49" w:rsidP="00AC48A8">
      <w:pPr>
        <w:numPr>
          <w:ilvl w:val="0"/>
          <w:numId w:val="3"/>
        </w:numPr>
        <w:tabs>
          <w:tab w:val="clear" w:pos="720"/>
          <w:tab w:val="num" w:pos="993"/>
          <w:tab w:val="num" w:pos="1134"/>
        </w:tabs>
        <w:ind w:left="1134" w:hanging="567"/>
      </w:pPr>
      <w:r w:rsidRPr="002E6211">
        <w:t xml:space="preserve">  </w:t>
      </w:r>
      <w:r w:rsidR="00045146" w:rsidRPr="002E6211">
        <w:t>necessary or convenient to be prescribed for carrying out or giving effect to Part VIB.</w:t>
      </w:r>
    </w:p>
    <w:p w14:paraId="5C9D8B69" w14:textId="77777777" w:rsidR="00F847DE" w:rsidRPr="002E6211" w:rsidRDefault="00F847DE" w:rsidP="00045146"/>
    <w:p w14:paraId="22FA32F5" w14:textId="77777777" w:rsidR="001F2E33" w:rsidRPr="002E6211" w:rsidRDefault="001F2E33" w:rsidP="001F2E33">
      <w:pPr>
        <w:rPr>
          <w:iCs/>
        </w:rPr>
      </w:pPr>
      <w:r w:rsidRPr="002E6211">
        <w:t xml:space="preserve">Section 72T of the </w:t>
      </w:r>
      <w:r w:rsidRPr="002E6211">
        <w:rPr>
          <w:i/>
        </w:rPr>
        <w:t>Defence Act 1903</w:t>
      </w:r>
      <w:r w:rsidRPr="002E6211">
        <w:t xml:space="preserve"> defines the term ‘Industry Minister’ to mean the Minister administering the </w:t>
      </w:r>
      <w:r w:rsidRPr="002E6211">
        <w:rPr>
          <w:i/>
          <w:iCs/>
        </w:rPr>
        <w:t>Offshore Petroleum and Greenhouse Gas Storage Act 2006</w:t>
      </w:r>
      <w:r w:rsidRPr="002E6211">
        <w:rPr>
          <w:iCs/>
        </w:rPr>
        <w:t>.</w:t>
      </w:r>
    </w:p>
    <w:p w14:paraId="7381A57C" w14:textId="77777777" w:rsidR="001F2E33" w:rsidRPr="002E6211" w:rsidRDefault="001F2E33" w:rsidP="001F2E33"/>
    <w:p w14:paraId="4FB686FF" w14:textId="77777777" w:rsidR="001F2E33" w:rsidRPr="002E6211" w:rsidRDefault="00F847DE" w:rsidP="001F2E33">
      <w:pPr>
        <w:rPr>
          <w:color w:val="1F497D"/>
        </w:rPr>
      </w:pPr>
      <w:r w:rsidRPr="002E6211">
        <w:t xml:space="preserve">The </w:t>
      </w:r>
      <w:r w:rsidRPr="002E6211">
        <w:rPr>
          <w:i/>
        </w:rPr>
        <w:t>Woomera Prohibited Area Rule 2014</w:t>
      </w:r>
      <w:r w:rsidR="0099015E" w:rsidRPr="002E6211">
        <w:t xml:space="preserve"> </w:t>
      </w:r>
      <w:r w:rsidR="00BC31CB" w:rsidRPr="002E6211">
        <w:t xml:space="preserve">(the Rule) </w:t>
      </w:r>
      <w:r w:rsidR="0099015E" w:rsidRPr="002E6211">
        <w:t xml:space="preserve">was </w:t>
      </w:r>
      <w:r w:rsidR="00D339CC" w:rsidRPr="002E6211">
        <w:t xml:space="preserve">originally </w:t>
      </w:r>
      <w:r w:rsidR="0099015E" w:rsidRPr="002E6211">
        <w:t>made by the Minister for Defence on 25 August 2014</w:t>
      </w:r>
      <w:r w:rsidR="005B08D3" w:rsidRPr="002E6211">
        <w:t xml:space="preserve"> pursuant to subsection 72TP(1) of the </w:t>
      </w:r>
      <w:r w:rsidR="005B08D3" w:rsidRPr="002E6211">
        <w:rPr>
          <w:i/>
        </w:rPr>
        <w:t>Defence Act 1903</w:t>
      </w:r>
      <w:r w:rsidR="0099015E" w:rsidRPr="002E6211">
        <w:t>.</w:t>
      </w:r>
      <w:r w:rsidR="005B08D3" w:rsidRPr="002E6211">
        <w:t xml:space="preserve"> </w:t>
      </w:r>
    </w:p>
    <w:p w14:paraId="2865D5B5" w14:textId="77777777" w:rsidR="001F2E33" w:rsidRPr="002E6211" w:rsidRDefault="001F2E33" w:rsidP="001F2E33">
      <w:pPr>
        <w:rPr>
          <w:color w:val="1F497D"/>
        </w:rPr>
      </w:pPr>
    </w:p>
    <w:p w14:paraId="65C437E6" w14:textId="77777777" w:rsidR="00AC48A8" w:rsidRPr="002E6211" w:rsidRDefault="00AC48A8" w:rsidP="00AC48A8">
      <w:pPr>
        <w:shd w:val="clear" w:color="auto" w:fill="FFFFFF"/>
        <w:rPr>
          <w:color w:val="000000"/>
        </w:rPr>
      </w:pPr>
      <w:r w:rsidRPr="002E6211">
        <w:rPr>
          <w:color w:val="000000"/>
        </w:rPr>
        <w:t>Subsection 33(3) of the </w:t>
      </w:r>
      <w:r w:rsidRPr="002E6211">
        <w:rPr>
          <w:i/>
          <w:iCs/>
          <w:color w:val="000000"/>
        </w:rPr>
        <w:t>Acts Interpretation Act 1901 </w:t>
      </w:r>
      <w:r w:rsidRPr="002E6211">
        <w:rPr>
          <w:color w:val="000000"/>
        </w:rPr>
        <w:t>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33A166C5" w14:textId="77777777" w:rsidR="00AC48A8" w:rsidRPr="002E6211" w:rsidRDefault="00AC48A8" w:rsidP="00AC48A8">
      <w:pPr>
        <w:pStyle w:val="ListParagraph"/>
        <w:ind w:left="0"/>
      </w:pPr>
    </w:p>
    <w:p w14:paraId="51F062D7" w14:textId="77777777" w:rsidR="00045146" w:rsidRPr="002E6211" w:rsidRDefault="00D339CC" w:rsidP="00045146">
      <w:pPr>
        <w:rPr>
          <w:b/>
        </w:rPr>
      </w:pPr>
      <w:r w:rsidRPr="002E6211">
        <w:rPr>
          <w:b/>
          <w:iCs/>
        </w:rPr>
        <w:t xml:space="preserve">Purpose and operation of the </w:t>
      </w:r>
      <w:r w:rsidR="002E6211">
        <w:rPr>
          <w:b/>
          <w:iCs/>
        </w:rPr>
        <w:t>Amending Instrument</w:t>
      </w:r>
    </w:p>
    <w:p w14:paraId="0E0CB2B1" w14:textId="77777777" w:rsidR="00045146" w:rsidRPr="002E6211" w:rsidRDefault="00045146" w:rsidP="00045146">
      <w:pPr>
        <w:autoSpaceDE w:val="0"/>
        <w:autoSpaceDN w:val="0"/>
        <w:adjustRightInd w:val="0"/>
      </w:pPr>
    </w:p>
    <w:p w14:paraId="182FE8F3" w14:textId="77777777" w:rsidR="00D932C0" w:rsidRPr="002E6211" w:rsidRDefault="00D932C0" w:rsidP="005B08D3">
      <w:pPr>
        <w:pStyle w:val="ListParagraph"/>
        <w:autoSpaceDE w:val="0"/>
        <w:autoSpaceDN w:val="0"/>
        <w:adjustRightInd w:val="0"/>
        <w:ind w:left="0"/>
      </w:pPr>
      <w:r w:rsidRPr="002E6211">
        <w:t xml:space="preserve">The purpose of the </w:t>
      </w:r>
      <w:r w:rsidR="005B08D3" w:rsidRPr="002E6211">
        <w:rPr>
          <w:i/>
        </w:rPr>
        <w:t xml:space="preserve">Woomera Prohibited Area Amendment Rule (No.1) 2021 </w:t>
      </w:r>
      <w:r w:rsidR="005B08D3" w:rsidRPr="002E6211">
        <w:t xml:space="preserve">(the </w:t>
      </w:r>
      <w:r w:rsidR="001318E5" w:rsidRPr="002E6211">
        <w:rPr>
          <w:iCs/>
        </w:rPr>
        <w:t xml:space="preserve">Amending </w:t>
      </w:r>
      <w:r w:rsidR="00D14CEB" w:rsidRPr="002E6211">
        <w:rPr>
          <w:iCs/>
        </w:rPr>
        <w:t>Instrument</w:t>
      </w:r>
      <w:r w:rsidR="005B08D3" w:rsidRPr="002E6211">
        <w:rPr>
          <w:iCs/>
        </w:rPr>
        <w:t>)</w:t>
      </w:r>
      <w:r w:rsidR="001318E5" w:rsidRPr="002E6211">
        <w:rPr>
          <w:iCs/>
        </w:rPr>
        <w:t xml:space="preserve"> </w:t>
      </w:r>
      <w:r w:rsidRPr="002E6211">
        <w:t xml:space="preserve">is to permit the Secretary of the Department of Defence to be a person to whom the Minister for Defence may delegate all the Minister’s powers </w:t>
      </w:r>
      <w:r w:rsidR="00BC31CB" w:rsidRPr="002E6211">
        <w:t xml:space="preserve">under the Rule </w:t>
      </w:r>
      <w:r w:rsidRPr="002E6211">
        <w:t xml:space="preserve">other than the power in section 62 to review a decision made under sections 38 or 41. </w:t>
      </w:r>
    </w:p>
    <w:p w14:paraId="0108720C" w14:textId="77777777" w:rsidR="001318E5" w:rsidRPr="002E6211" w:rsidRDefault="001318E5" w:rsidP="00045146">
      <w:pPr>
        <w:autoSpaceDE w:val="0"/>
        <w:autoSpaceDN w:val="0"/>
        <w:adjustRightInd w:val="0"/>
        <w:rPr>
          <w:b/>
        </w:rPr>
      </w:pPr>
    </w:p>
    <w:p w14:paraId="3C0BD994" w14:textId="77777777" w:rsidR="00BA57FC" w:rsidRPr="002E6211" w:rsidRDefault="00BA57FC" w:rsidP="00045146">
      <w:pPr>
        <w:autoSpaceDE w:val="0"/>
        <w:autoSpaceDN w:val="0"/>
        <w:adjustRightInd w:val="0"/>
        <w:rPr>
          <w:b/>
        </w:rPr>
      </w:pPr>
      <w:r w:rsidRPr="002E6211">
        <w:t xml:space="preserve">Currently, the Minister for Defence is unable to delegate the Minister’s powers or functions outlined in section 63 </w:t>
      </w:r>
      <w:r w:rsidR="00CC7738" w:rsidRPr="002E6211">
        <w:t xml:space="preserve">of the Rule </w:t>
      </w:r>
      <w:r w:rsidRPr="002E6211">
        <w:t xml:space="preserve">to the Secretary, notwithstanding that </w:t>
      </w:r>
      <w:r w:rsidR="00CC7738" w:rsidRPr="002E6211">
        <w:t xml:space="preserve">the Minister is able </w:t>
      </w:r>
      <w:r w:rsidRPr="002E6211">
        <w:t xml:space="preserve">to delegate </w:t>
      </w:r>
      <w:r w:rsidR="00CC7738" w:rsidRPr="002E6211">
        <w:t xml:space="preserve">these </w:t>
      </w:r>
      <w:r w:rsidRPr="002E6211">
        <w:t xml:space="preserve">to </w:t>
      </w:r>
      <w:r w:rsidR="00CC7738" w:rsidRPr="002E6211">
        <w:t>prescribed</w:t>
      </w:r>
      <w:r w:rsidRPr="002E6211">
        <w:t xml:space="preserve"> APS employees in the Department</w:t>
      </w:r>
      <w:r w:rsidR="00CC7738" w:rsidRPr="002E6211">
        <w:t xml:space="preserve"> </w:t>
      </w:r>
      <w:r w:rsidR="00430099" w:rsidRPr="002E6211">
        <w:t>or</w:t>
      </w:r>
      <w:r w:rsidR="00CC7738" w:rsidRPr="002E6211">
        <w:t xml:space="preserve"> members of the Australian Defence Force. </w:t>
      </w:r>
      <w:r w:rsidRPr="002E6211">
        <w:t>Th</w:t>
      </w:r>
      <w:r w:rsidR="00CC7738" w:rsidRPr="002E6211">
        <w:t xml:space="preserve">e Amending </w:t>
      </w:r>
      <w:r w:rsidR="002E6211">
        <w:t>Instrument</w:t>
      </w:r>
      <w:r w:rsidRPr="002E6211">
        <w:t xml:space="preserve"> would correct </w:t>
      </w:r>
      <w:r w:rsidR="00CC7738" w:rsidRPr="002E6211">
        <w:t>this</w:t>
      </w:r>
      <w:r w:rsidRPr="002E6211">
        <w:t xml:space="preserve"> anomaly, improving Defence’s efficiency in administering the Woomera </w:t>
      </w:r>
      <w:r w:rsidRPr="002E6211">
        <w:lastRenderedPageBreak/>
        <w:t>Prohibited Area, but would not have any substantive effect on any person’s ability to apply for</w:t>
      </w:r>
      <w:r w:rsidR="00430099" w:rsidRPr="002E6211">
        <w:t>,</w:t>
      </w:r>
      <w:r w:rsidRPr="002E6211">
        <w:t xml:space="preserve"> or be granted</w:t>
      </w:r>
      <w:r w:rsidR="00430099" w:rsidRPr="002E6211">
        <w:t>,</w:t>
      </w:r>
      <w:r w:rsidRPr="002E6211">
        <w:t xml:space="preserve"> access to the </w:t>
      </w:r>
      <w:r w:rsidR="00CC7738" w:rsidRPr="002E6211">
        <w:t>Woomera Prohibited A</w:t>
      </w:r>
      <w:r w:rsidRPr="002E6211">
        <w:t>rea</w:t>
      </w:r>
      <w:r w:rsidR="00CC7738" w:rsidRPr="002E6211">
        <w:t>.</w:t>
      </w:r>
    </w:p>
    <w:p w14:paraId="2DA6C47B" w14:textId="77777777" w:rsidR="00BA57FC" w:rsidRPr="002E6211" w:rsidRDefault="00BA57FC" w:rsidP="00045146">
      <w:pPr>
        <w:autoSpaceDE w:val="0"/>
        <w:autoSpaceDN w:val="0"/>
        <w:adjustRightInd w:val="0"/>
        <w:rPr>
          <w:b/>
        </w:rPr>
      </w:pPr>
    </w:p>
    <w:p w14:paraId="71CC6D16" w14:textId="77777777" w:rsidR="00D932C0" w:rsidRPr="002E6211" w:rsidRDefault="00D932C0" w:rsidP="00045146">
      <w:pPr>
        <w:autoSpaceDE w:val="0"/>
        <w:autoSpaceDN w:val="0"/>
        <w:adjustRightInd w:val="0"/>
        <w:rPr>
          <w:b/>
        </w:rPr>
      </w:pPr>
      <w:r w:rsidRPr="002E6211">
        <w:rPr>
          <w:b/>
        </w:rPr>
        <w:t>Legislative Instrument</w:t>
      </w:r>
    </w:p>
    <w:p w14:paraId="4A81CCFE" w14:textId="77777777" w:rsidR="00045146" w:rsidRPr="002E6211" w:rsidRDefault="00045146" w:rsidP="00045146">
      <w:pPr>
        <w:autoSpaceDE w:val="0"/>
        <w:autoSpaceDN w:val="0"/>
        <w:adjustRightInd w:val="0"/>
      </w:pPr>
    </w:p>
    <w:p w14:paraId="70A20A9B" w14:textId="77777777" w:rsidR="00045146" w:rsidRPr="002E6211" w:rsidRDefault="00045146" w:rsidP="005B08D3">
      <w:pPr>
        <w:pStyle w:val="ListParagraph"/>
        <w:autoSpaceDE w:val="0"/>
        <w:autoSpaceDN w:val="0"/>
        <w:adjustRightInd w:val="0"/>
        <w:ind w:left="0"/>
      </w:pPr>
      <w:r w:rsidRPr="002E6211">
        <w:t>Th</w:t>
      </w:r>
      <w:r w:rsidR="00F847DE" w:rsidRPr="002E6211">
        <w:t xml:space="preserve">e </w:t>
      </w:r>
      <w:r w:rsidR="001318E5" w:rsidRPr="002E6211">
        <w:t xml:space="preserve">Amending </w:t>
      </w:r>
      <w:r w:rsidR="00D14CEB" w:rsidRPr="002E6211">
        <w:t>Instrument</w:t>
      </w:r>
      <w:r w:rsidR="001318E5" w:rsidRPr="002E6211">
        <w:rPr>
          <w:i/>
        </w:rPr>
        <w:t xml:space="preserve"> </w:t>
      </w:r>
      <w:r w:rsidRPr="002E6211">
        <w:t xml:space="preserve">is a legislative instrument for the purposes of the </w:t>
      </w:r>
      <w:r w:rsidR="00D932C0" w:rsidRPr="002E6211">
        <w:rPr>
          <w:i/>
          <w:iCs/>
        </w:rPr>
        <w:t xml:space="preserve">Legislation </w:t>
      </w:r>
      <w:r w:rsidRPr="002E6211">
        <w:rPr>
          <w:i/>
          <w:iCs/>
        </w:rPr>
        <w:t>Act 2003</w:t>
      </w:r>
      <w:r w:rsidRPr="002E6211">
        <w:t>.</w:t>
      </w:r>
    </w:p>
    <w:p w14:paraId="137DD073" w14:textId="77777777" w:rsidR="00BC31CB" w:rsidRPr="002E6211" w:rsidRDefault="00BC31CB" w:rsidP="00045146">
      <w:pPr>
        <w:autoSpaceDE w:val="0"/>
        <w:autoSpaceDN w:val="0"/>
        <w:adjustRightInd w:val="0"/>
        <w:rPr>
          <w:b/>
        </w:rPr>
      </w:pPr>
    </w:p>
    <w:p w14:paraId="5CB2943B" w14:textId="77777777" w:rsidR="00045146" w:rsidRPr="002E6211" w:rsidRDefault="00045146" w:rsidP="00045146">
      <w:pPr>
        <w:autoSpaceDE w:val="0"/>
        <w:autoSpaceDN w:val="0"/>
        <w:adjustRightInd w:val="0"/>
        <w:rPr>
          <w:b/>
        </w:rPr>
      </w:pPr>
      <w:r w:rsidRPr="002E6211">
        <w:rPr>
          <w:b/>
        </w:rPr>
        <w:t>Commencement</w:t>
      </w:r>
    </w:p>
    <w:p w14:paraId="49ED8E13" w14:textId="77777777" w:rsidR="00045146" w:rsidRPr="002E6211" w:rsidRDefault="00045146" w:rsidP="00045146">
      <w:pPr>
        <w:autoSpaceDE w:val="0"/>
        <w:autoSpaceDN w:val="0"/>
        <w:adjustRightInd w:val="0"/>
      </w:pPr>
    </w:p>
    <w:p w14:paraId="3970454C" w14:textId="77777777" w:rsidR="00045146" w:rsidRPr="002E6211" w:rsidRDefault="00045146" w:rsidP="005B08D3">
      <w:pPr>
        <w:pStyle w:val="ListParagraph"/>
        <w:autoSpaceDE w:val="0"/>
        <w:autoSpaceDN w:val="0"/>
        <w:adjustRightInd w:val="0"/>
        <w:ind w:left="0"/>
      </w:pPr>
      <w:r w:rsidRPr="002E6211">
        <w:t>The</w:t>
      </w:r>
      <w:r w:rsidR="001318E5" w:rsidRPr="002E6211">
        <w:t xml:space="preserve"> Amending </w:t>
      </w:r>
      <w:r w:rsidR="00D14CEB" w:rsidRPr="002E6211">
        <w:t>Instrument</w:t>
      </w:r>
      <w:r w:rsidR="001318E5" w:rsidRPr="002E6211">
        <w:t xml:space="preserve"> </w:t>
      </w:r>
      <w:r w:rsidR="00950A49" w:rsidRPr="002E6211">
        <w:t>commences</w:t>
      </w:r>
      <w:r w:rsidRPr="002E6211">
        <w:t xml:space="preserve"> on the day after which it is registered on the Federal Register of Legislati</w:t>
      </w:r>
      <w:r w:rsidR="00950A49" w:rsidRPr="002E6211">
        <w:t>on</w:t>
      </w:r>
      <w:r w:rsidRPr="002E6211">
        <w:t>.</w:t>
      </w:r>
    </w:p>
    <w:p w14:paraId="231F38A5" w14:textId="77777777" w:rsidR="005B08D3" w:rsidRPr="002E6211" w:rsidRDefault="005B08D3" w:rsidP="00950A49">
      <w:pPr>
        <w:autoSpaceDE w:val="0"/>
        <w:autoSpaceDN w:val="0"/>
        <w:adjustRightInd w:val="0"/>
        <w:rPr>
          <w:b/>
        </w:rPr>
      </w:pPr>
    </w:p>
    <w:p w14:paraId="4C8BFB89" w14:textId="77777777" w:rsidR="00450762" w:rsidRPr="004278BC" w:rsidRDefault="00450762" w:rsidP="00450762">
      <w:pPr>
        <w:rPr>
          <w:b/>
        </w:rPr>
      </w:pPr>
      <w:r w:rsidRPr="004278BC">
        <w:rPr>
          <w:b/>
        </w:rPr>
        <w:t>Regulatory Impact Statement</w:t>
      </w:r>
    </w:p>
    <w:p w14:paraId="313D9EEC" w14:textId="5A6E14CA" w:rsidR="00450762" w:rsidRPr="004278BC" w:rsidRDefault="00450762" w:rsidP="00450762">
      <w:pPr>
        <w:pStyle w:val="NormalWeb"/>
        <w:spacing w:before="240" w:beforeAutospacing="0" w:after="240" w:afterAutospacing="0"/>
      </w:pPr>
      <w:r w:rsidRPr="004278BC">
        <w:t xml:space="preserve">The Office of Best Practice Regulation </w:t>
      </w:r>
      <w:r>
        <w:t xml:space="preserve">have </w:t>
      </w:r>
      <w:r w:rsidRPr="004278BC">
        <w:t xml:space="preserve">advised that no regulatory impact statement was required (OBPR ID </w:t>
      </w:r>
      <w:r w:rsidRPr="00450762">
        <w:t>44686</w:t>
      </w:r>
      <w:r w:rsidRPr="004278BC">
        <w:t>).</w:t>
      </w:r>
    </w:p>
    <w:p w14:paraId="7FCCE914" w14:textId="3CE3E293" w:rsidR="00950A49" w:rsidRPr="002E6211" w:rsidRDefault="00950A49" w:rsidP="00950A49">
      <w:pPr>
        <w:autoSpaceDE w:val="0"/>
        <w:autoSpaceDN w:val="0"/>
        <w:adjustRightInd w:val="0"/>
        <w:rPr>
          <w:b/>
        </w:rPr>
      </w:pPr>
      <w:r w:rsidRPr="002E6211">
        <w:rPr>
          <w:b/>
        </w:rPr>
        <w:t>Consultation</w:t>
      </w:r>
    </w:p>
    <w:p w14:paraId="7316ADFB" w14:textId="77777777" w:rsidR="00950A49" w:rsidRPr="002E6211" w:rsidRDefault="00950A49" w:rsidP="00950A49">
      <w:pPr>
        <w:autoSpaceDE w:val="0"/>
        <w:autoSpaceDN w:val="0"/>
        <w:adjustRightInd w:val="0"/>
      </w:pPr>
    </w:p>
    <w:p w14:paraId="481D70FE" w14:textId="77777777" w:rsidR="00950A49" w:rsidRPr="002E6211" w:rsidRDefault="00950A49" w:rsidP="005B08D3">
      <w:pPr>
        <w:pStyle w:val="ListParagraph"/>
        <w:autoSpaceDE w:val="0"/>
        <w:autoSpaceDN w:val="0"/>
        <w:adjustRightInd w:val="0"/>
        <w:ind w:left="0"/>
        <w:rPr>
          <w:iCs/>
        </w:rPr>
      </w:pPr>
      <w:r w:rsidRPr="002E6211">
        <w:t xml:space="preserve">The Industry Minister was consulted in the development of the </w:t>
      </w:r>
      <w:r w:rsidR="001318E5" w:rsidRPr="002E6211">
        <w:t xml:space="preserve">Amending </w:t>
      </w:r>
      <w:r w:rsidR="00D14CEB" w:rsidRPr="002E6211">
        <w:t>Instrument</w:t>
      </w:r>
      <w:r w:rsidRPr="002E6211">
        <w:t xml:space="preserve"> and provided agreement in accordance with the requirement in section 72TP(1) of the </w:t>
      </w:r>
      <w:r w:rsidRPr="002E6211">
        <w:rPr>
          <w:i/>
        </w:rPr>
        <w:t>Defence Act 1903</w:t>
      </w:r>
      <w:r w:rsidRPr="002E6211">
        <w:t>.</w:t>
      </w:r>
    </w:p>
    <w:p w14:paraId="2C848F06" w14:textId="77777777" w:rsidR="001318E5" w:rsidRPr="002E6211" w:rsidRDefault="001318E5" w:rsidP="001318E5">
      <w:pPr>
        <w:pStyle w:val="NormalWeb"/>
        <w:spacing w:before="240" w:beforeAutospacing="0" w:after="240" w:afterAutospacing="0"/>
      </w:pPr>
      <w:r w:rsidRPr="002E6211">
        <w:rPr>
          <w:b/>
        </w:rPr>
        <w:t>Detail</w:t>
      </w:r>
      <w:r w:rsidR="00D14CEB" w:rsidRPr="002E6211">
        <w:rPr>
          <w:b/>
        </w:rPr>
        <w:t>s</w:t>
      </w:r>
      <w:r w:rsidR="00E9143C" w:rsidRPr="002E6211">
        <w:rPr>
          <w:b/>
        </w:rPr>
        <w:t xml:space="preserve"> of Amending </w:t>
      </w:r>
      <w:r w:rsidR="00D14CEB" w:rsidRPr="002E6211">
        <w:rPr>
          <w:b/>
        </w:rPr>
        <w:t>Instrument</w:t>
      </w:r>
    </w:p>
    <w:p w14:paraId="746FAF58" w14:textId="77777777" w:rsidR="001318E5" w:rsidRPr="002E6211" w:rsidRDefault="00D14CEB" w:rsidP="005B08D3">
      <w:pPr>
        <w:pStyle w:val="NormalWeb"/>
        <w:spacing w:before="240" w:beforeAutospacing="0" w:after="240" w:afterAutospacing="0"/>
      </w:pPr>
      <w:r w:rsidRPr="002E6211">
        <w:t>Details</w:t>
      </w:r>
      <w:r w:rsidR="001318E5" w:rsidRPr="002E6211">
        <w:t xml:space="preserve"> of the Amending </w:t>
      </w:r>
      <w:r w:rsidRPr="002E6211">
        <w:t>Instrument</w:t>
      </w:r>
      <w:r w:rsidR="001318E5" w:rsidRPr="002E6211">
        <w:t xml:space="preserve"> </w:t>
      </w:r>
      <w:r w:rsidRPr="002E6211">
        <w:t>are</w:t>
      </w:r>
      <w:r w:rsidR="001318E5" w:rsidRPr="002E6211">
        <w:t xml:space="preserve"> </w:t>
      </w:r>
      <w:r w:rsidR="00210B5A" w:rsidRPr="002E6211">
        <w:t xml:space="preserve">set out </w:t>
      </w:r>
      <w:r w:rsidR="001318E5" w:rsidRPr="002E6211">
        <w:t xml:space="preserve">at Attachment </w:t>
      </w:r>
      <w:r w:rsidR="00E9143C" w:rsidRPr="002E6211">
        <w:t>1</w:t>
      </w:r>
      <w:r w:rsidR="001318E5" w:rsidRPr="002E6211">
        <w:t>.</w:t>
      </w:r>
    </w:p>
    <w:p w14:paraId="7BA6BED2" w14:textId="77777777" w:rsidR="00045146" w:rsidRPr="002E6211" w:rsidRDefault="00045146" w:rsidP="00045146">
      <w:r w:rsidRPr="002E6211">
        <w:rPr>
          <w:b/>
        </w:rPr>
        <w:t>Statement of Compatibility with Human Rights -</w:t>
      </w:r>
      <w:r w:rsidRPr="002E6211">
        <w:t>Prepared in accordance with Part 3 of the</w:t>
      </w:r>
      <w:r w:rsidRPr="002E6211">
        <w:rPr>
          <w:i/>
        </w:rPr>
        <w:t xml:space="preserve"> Human Rights (Parliamentary Scrutiny) Act 2011</w:t>
      </w:r>
      <w:r w:rsidRPr="002E6211">
        <w:t>.</w:t>
      </w:r>
    </w:p>
    <w:p w14:paraId="46F3883B" w14:textId="77777777" w:rsidR="00045146" w:rsidRPr="002E6211" w:rsidRDefault="00045146" w:rsidP="00045146">
      <w:pPr>
        <w:rPr>
          <w:b/>
        </w:rPr>
      </w:pPr>
    </w:p>
    <w:p w14:paraId="07BE28B6" w14:textId="77777777" w:rsidR="00045146" w:rsidRPr="002E6211" w:rsidRDefault="00045146" w:rsidP="005B08D3">
      <w:r w:rsidRPr="002E6211">
        <w:t xml:space="preserve">A statement of compatibility with Human Rights is </w:t>
      </w:r>
      <w:r w:rsidR="00CC7738" w:rsidRPr="002E6211">
        <w:t xml:space="preserve">set out </w:t>
      </w:r>
      <w:r w:rsidRPr="002E6211">
        <w:t>at Attachment 2.</w:t>
      </w:r>
    </w:p>
    <w:p w14:paraId="252C8976" w14:textId="77777777" w:rsidR="00045146" w:rsidRPr="002E6211" w:rsidRDefault="00045146" w:rsidP="00045146"/>
    <w:p w14:paraId="38A24850" w14:textId="77777777" w:rsidR="00045146" w:rsidRPr="002E6211" w:rsidRDefault="00045146" w:rsidP="00045146">
      <w:r w:rsidRPr="002E6211">
        <w:t xml:space="preserve"> </w:t>
      </w:r>
    </w:p>
    <w:p w14:paraId="44BCF3BD" w14:textId="77777777" w:rsidR="00045146" w:rsidRPr="002E6211" w:rsidRDefault="00045146" w:rsidP="00045146">
      <w:pPr>
        <w:jc w:val="right"/>
        <w:rPr>
          <w:b/>
          <w:iCs/>
        </w:rPr>
      </w:pPr>
      <w:r w:rsidRPr="002E6211">
        <w:br w:type="page"/>
      </w:r>
      <w:r w:rsidRPr="002E6211">
        <w:rPr>
          <w:b/>
          <w:iCs/>
        </w:rPr>
        <w:t>Attachment 1</w:t>
      </w:r>
    </w:p>
    <w:p w14:paraId="1FDF68DD" w14:textId="77777777" w:rsidR="00045146" w:rsidRPr="002E6211" w:rsidRDefault="00045146" w:rsidP="00045146">
      <w:pPr>
        <w:rPr>
          <w:iCs/>
        </w:rPr>
      </w:pPr>
    </w:p>
    <w:p w14:paraId="58C69989" w14:textId="77777777" w:rsidR="00045146" w:rsidRPr="002E6211" w:rsidRDefault="00E9143C" w:rsidP="00045146">
      <w:pPr>
        <w:rPr>
          <w:b/>
          <w:iCs/>
        </w:rPr>
      </w:pPr>
      <w:r w:rsidRPr="002E6211">
        <w:rPr>
          <w:b/>
          <w:iCs/>
        </w:rPr>
        <w:t>Detail</w:t>
      </w:r>
      <w:r w:rsidR="00D14CEB" w:rsidRPr="002E6211">
        <w:rPr>
          <w:b/>
          <w:iCs/>
        </w:rPr>
        <w:t>s</w:t>
      </w:r>
      <w:r w:rsidR="00045146" w:rsidRPr="002E6211">
        <w:rPr>
          <w:b/>
          <w:iCs/>
        </w:rPr>
        <w:t xml:space="preserve"> of the </w:t>
      </w:r>
      <w:r w:rsidR="00045146" w:rsidRPr="002E6211">
        <w:rPr>
          <w:b/>
          <w:i/>
          <w:iCs/>
        </w:rPr>
        <w:t>Woomera Prohibited Area Amendment</w:t>
      </w:r>
      <w:r w:rsidRPr="002E6211">
        <w:rPr>
          <w:b/>
          <w:i/>
          <w:iCs/>
        </w:rPr>
        <w:t xml:space="preserve"> Rule (No.1) 2021</w:t>
      </w:r>
    </w:p>
    <w:p w14:paraId="55FCFFE6" w14:textId="77777777" w:rsidR="00045146" w:rsidRPr="002E6211" w:rsidRDefault="00045146" w:rsidP="00045146">
      <w:pPr>
        <w:rPr>
          <w:iCs/>
        </w:rPr>
      </w:pPr>
    </w:p>
    <w:p w14:paraId="65F2004E" w14:textId="77777777" w:rsidR="004F6E7D" w:rsidRPr="002E6211" w:rsidRDefault="004F6E7D" w:rsidP="004F6E7D">
      <w:pPr>
        <w:shd w:val="clear" w:color="auto" w:fill="FFFFFF"/>
        <w:rPr>
          <w:color w:val="000000"/>
        </w:rPr>
      </w:pPr>
      <w:r w:rsidRPr="002E6211">
        <w:rPr>
          <w:b/>
          <w:bCs/>
          <w:color w:val="000000"/>
        </w:rPr>
        <w:t>Section 1 – Name</w:t>
      </w:r>
    </w:p>
    <w:p w14:paraId="1002A3CE" w14:textId="77777777" w:rsidR="004F6E7D" w:rsidRPr="002E6211" w:rsidRDefault="004F6E7D" w:rsidP="004F6E7D">
      <w:pPr>
        <w:shd w:val="clear" w:color="auto" w:fill="FFFFFF"/>
        <w:rPr>
          <w:color w:val="000000"/>
        </w:rPr>
      </w:pPr>
      <w:r w:rsidRPr="002E6211">
        <w:rPr>
          <w:b/>
          <w:bCs/>
          <w:color w:val="000000"/>
        </w:rPr>
        <w:t> </w:t>
      </w:r>
    </w:p>
    <w:p w14:paraId="5052C5CA" w14:textId="77777777" w:rsidR="004F6E7D" w:rsidRPr="002E6211" w:rsidRDefault="004F6E7D" w:rsidP="004F6E7D">
      <w:pPr>
        <w:shd w:val="clear" w:color="auto" w:fill="FFFFFF"/>
        <w:rPr>
          <w:color w:val="000000"/>
        </w:rPr>
      </w:pPr>
      <w:r w:rsidRPr="002E6211">
        <w:rPr>
          <w:color w:val="000000"/>
        </w:rPr>
        <w:t xml:space="preserve">This section provides that the name of the </w:t>
      </w:r>
      <w:r w:rsidR="00D14CEB" w:rsidRPr="002E6211">
        <w:rPr>
          <w:color w:val="000000"/>
        </w:rPr>
        <w:t>Amending I</w:t>
      </w:r>
      <w:r w:rsidRPr="002E6211">
        <w:rPr>
          <w:color w:val="000000"/>
        </w:rPr>
        <w:t>nstrument is the </w:t>
      </w:r>
      <w:r w:rsidR="00D14CEB" w:rsidRPr="002E6211">
        <w:rPr>
          <w:i/>
          <w:color w:val="000000"/>
        </w:rPr>
        <w:t>Woomera Prohibited Area Amendment Rule (No.1) 2021</w:t>
      </w:r>
      <w:r w:rsidRPr="002E6211">
        <w:rPr>
          <w:color w:val="000000"/>
        </w:rPr>
        <w:t>.</w:t>
      </w:r>
    </w:p>
    <w:p w14:paraId="127AB9D1" w14:textId="77777777" w:rsidR="004F6E7D" w:rsidRPr="002E6211" w:rsidRDefault="004F6E7D" w:rsidP="004F6E7D">
      <w:pPr>
        <w:shd w:val="clear" w:color="auto" w:fill="FFFFFF"/>
        <w:rPr>
          <w:color w:val="000000"/>
        </w:rPr>
      </w:pPr>
      <w:r w:rsidRPr="002E6211">
        <w:rPr>
          <w:color w:val="000000"/>
        </w:rPr>
        <w:t> </w:t>
      </w:r>
    </w:p>
    <w:p w14:paraId="09373BD4" w14:textId="77777777" w:rsidR="004F6E7D" w:rsidRPr="002E6211" w:rsidRDefault="004F6E7D" w:rsidP="004F6E7D">
      <w:pPr>
        <w:shd w:val="clear" w:color="auto" w:fill="FFFFFF"/>
        <w:rPr>
          <w:color w:val="000000"/>
        </w:rPr>
      </w:pPr>
      <w:r w:rsidRPr="002E6211">
        <w:rPr>
          <w:b/>
          <w:bCs/>
          <w:color w:val="000000"/>
        </w:rPr>
        <w:t>Section 2 – Commencement</w:t>
      </w:r>
    </w:p>
    <w:p w14:paraId="26FEF0A2" w14:textId="77777777" w:rsidR="004F6E7D" w:rsidRPr="002E6211" w:rsidRDefault="004F6E7D" w:rsidP="004F6E7D">
      <w:pPr>
        <w:shd w:val="clear" w:color="auto" w:fill="FFFFFF"/>
        <w:rPr>
          <w:color w:val="000000"/>
        </w:rPr>
      </w:pPr>
      <w:r w:rsidRPr="002E6211">
        <w:rPr>
          <w:color w:val="000000"/>
        </w:rPr>
        <w:t> </w:t>
      </w:r>
    </w:p>
    <w:p w14:paraId="1D624EAC" w14:textId="77777777" w:rsidR="004F6E7D" w:rsidRPr="002E6211" w:rsidRDefault="004F6E7D" w:rsidP="004F6E7D">
      <w:pPr>
        <w:shd w:val="clear" w:color="auto" w:fill="FFFFFF"/>
        <w:rPr>
          <w:color w:val="000000"/>
        </w:rPr>
      </w:pPr>
      <w:r w:rsidRPr="002E6211">
        <w:rPr>
          <w:color w:val="000000"/>
        </w:rPr>
        <w:t>This section provides that the</w:t>
      </w:r>
      <w:r w:rsidR="00D14CEB" w:rsidRPr="002E6211">
        <w:rPr>
          <w:color w:val="000000"/>
        </w:rPr>
        <w:t xml:space="preserve"> whole of the</w:t>
      </w:r>
      <w:r w:rsidRPr="002E6211">
        <w:rPr>
          <w:color w:val="000000"/>
        </w:rPr>
        <w:t xml:space="preserve"> Amendment Instrument commences on the day after it is registered on the Federal Register of Legislation.</w:t>
      </w:r>
    </w:p>
    <w:p w14:paraId="5F70CB76" w14:textId="77777777" w:rsidR="004F6E7D" w:rsidRPr="002E6211" w:rsidRDefault="004F6E7D" w:rsidP="004F6E7D">
      <w:pPr>
        <w:shd w:val="clear" w:color="auto" w:fill="FFFFFF"/>
        <w:rPr>
          <w:color w:val="000000"/>
        </w:rPr>
      </w:pPr>
      <w:r w:rsidRPr="002E6211">
        <w:rPr>
          <w:color w:val="000000"/>
        </w:rPr>
        <w:t> </w:t>
      </w:r>
    </w:p>
    <w:p w14:paraId="053A69CD" w14:textId="77777777" w:rsidR="004F6E7D" w:rsidRPr="002E6211" w:rsidRDefault="004F6E7D" w:rsidP="004F6E7D">
      <w:pPr>
        <w:shd w:val="clear" w:color="auto" w:fill="FFFFFF"/>
        <w:rPr>
          <w:color w:val="000000"/>
        </w:rPr>
      </w:pPr>
      <w:r w:rsidRPr="002E6211">
        <w:rPr>
          <w:b/>
          <w:bCs/>
          <w:color w:val="000000"/>
        </w:rPr>
        <w:t>Section 3 – Authority</w:t>
      </w:r>
    </w:p>
    <w:p w14:paraId="2CF9A195" w14:textId="77777777" w:rsidR="004F6E7D" w:rsidRPr="002E6211" w:rsidRDefault="004F6E7D" w:rsidP="004F6E7D">
      <w:pPr>
        <w:shd w:val="clear" w:color="auto" w:fill="FFFFFF"/>
        <w:rPr>
          <w:color w:val="000000"/>
        </w:rPr>
      </w:pPr>
      <w:r w:rsidRPr="002E6211">
        <w:rPr>
          <w:b/>
          <w:bCs/>
          <w:color w:val="000000"/>
        </w:rPr>
        <w:t> </w:t>
      </w:r>
    </w:p>
    <w:p w14:paraId="7FB8AF3C" w14:textId="77777777" w:rsidR="00D14CEB" w:rsidRPr="002E6211" w:rsidRDefault="004F6E7D" w:rsidP="004F6E7D">
      <w:pPr>
        <w:shd w:val="clear" w:color="auto" w:fill="FFFFFF"/>
        <w:rPr>
          <w:color w:val="000000"/>
        </w:rPr>
      </w:pPr>
      <w:r w:rsidRPr="002E6211">
        <w:rPr>
          <w:color w:val="000000"/>
        </w:rPr>
        <w:t>This section provides that the legislative authority for making the Amend</w:t>
      </w:r>
      <w:r w:rsidR="00D14CEB" w:rsidRPr="002E6211">
        <w:rPr>
          <w:color w:val="000000"/>
        </w:rPr>
        <w:t xml:space="preserve">ing Instrument is subsection 72TP(1) of the </w:t>
      </w:r>
      <w:r w:rsidR="00D14CEB" w:rsidRPr="002E6211">
        <w:rPr>
          <w:i/>
          <w:color w:val="000000"/>
        </w:rPr>
        <w:t>Defence Act 1903</w:t>
      </w:r>
      <w:r w:rsidR="00D14CEB" w:rsidRPr="002E6211">
        <w:rPr>
          <w:color w:val="000000"/>
        </w:rPr>
        <w:t>.</w:t>
      </w:r>
    </w:p>
    <w:p w14:paraId="6B279664" w14:textId="77777777" w:rsidR="004F6E7D" w:rsidRPr="002E6211" w:rsidRDefault="004F6E7D" w:rsidP="004F6E7D">
      <w:pPr>
        <w:shd w:val="clear" w:color="auto" w:fill="FFFFFF"/>
        <w:rPr>
          <w:color w:val="000000"/>
        </w:rPr>
      </w:pPr>
      <w:r w:rsidRPr="002E6211">
        <w:rPr>
          <w:color w:val="000000"/>
        </w:rPr>
        <w:t> </w:t>
      </w:r>
    </w:p>
    <w:p w14:paraId="68C1756F" w14:textId="77777777" w:rsidR="00AC48A8" w:rsidRPr="002E6211" w:rsidRDefault="00AC48A8" w:rsidP="00045146">
      <w:pPr>
        <w:rPr>
          <w:color w:val="000000"/>
          <w:shd w:val="clear" w:color="auto" w:fill="FFFFFF"/>
        </w:rPr>
      </w:pPr>
      <w:r w:rsidRPr="002E6211">
        <w:rPr>
          <w:b/>
          <w:bCs/>
          <w:color w:val="000000"/>
          <w:shd w:val="clear" w:color="auto" w:fill="FFFFFF"/>
        </w:rPr>
        <w:t>Section 4    Schedules</w:t>
      </w:r>
    </w:p>
    <w:p w14:paraId="60C30DF2" w14:textId="77777777" w:rsidR="00AC48A8" w:rsidRPr="002E6211" w:rsidRDefault="00AC48A8" w:rsidP="00045146">
      <w:pPr>
        <w:rPr>
          <w:color w:val="000000"/>
          <w:shd w:val="clear" w:color="auto" w:fill="FFFFFF"/>
        </w:rPr>
      </w:pPr>
    </w:p>
    <w:p w14:paraId="35FAE8F6" w14:textId="77777777" w:rsidR="00AC48A8" w:rsidRPr="002E6211" w:rsidRDefault="00AC48A8" w:rsidP="00045146">
      <w:pPr>
        <w:rPr>
          <w:b/>
          <w:iCs/>
        </w:rPr>
      </w:pPr>
      <w:r w:rsidRPr="002E6211">
        <w:rPr>
          <w:color w:val="000000"/>
          <w:shd w:val="clear" w:color="auto" w:fill="FFFFFF"/>
        </w:rPr>
        <w:t xml:space="preserve">Section 4 provides that each instrument that is specified in a Schedule to the </w:t>
      </w:r>
      <w:r w:rsidR="008A6DA1" w:rsidRPr="002E6211">
        <w:rPr>
          <w:color w:val="000000"/>
          <w:shd w:val="clear" w:color="auto" w:fill="FFFFFF"/>
        </w:rPr>
        <w:t>Amending I</w:t>
      </w:r>
      <w:r w:rsidRPr="002E6211">
        <w:rPr>
          <w:color w:val="000000"/>
          <w:shd w:val="clear" w:color="auto" w:fill="FFFFFF"/>
        </w:rPr>
        <w:t>nstrument is amended or repealed as set out in the applicable items in the Schedule concerned, and any other item in a Schedule to the instrument has effect according to its terms.</w:t>
      </w:r>
    </w:p>
    <w:p w14:paraId="75C7FC5B" w14:textId="77777777" w:rsidR="00AC48A8" w:rsidRPr="002E6211" w:rsidRDefault="00AC48A8" w:rsidP="00045146">
      <w:pPr>
        <w:rPr>
          <w:b/>
          <w:iCs/>
        </w:rPr>
      </w:pPr>
    </w:p>
    <w:p w14:paraId="14292AD8" w14:textId="77777777" w:rsidR="00045146" w:rsidRPr="002E6211" w:rsidRDefault="00045146" w:rsidP="00045146">
      <w:pPr>
        <w:rPr>
          <w:iCs/>
        </w:rPr>
      </w:pPr>
      <w:r w:rsidRPr="002E6211">
        <w:rPr>
          <w:b/>
          <w:iCs/>
        </w:rPr>
        <w:t>Schedule 1 – Amendments</w:t>
      </w:r>
    </w:p>
    <w:p w14:paraId="0A5D56A5" w14:textId="77777777" w:rsidR="00045146" w:rsidRPr="002E6211" w:rsidRDefault="00045146" w:rsidP="00045146">
      <w:pPr>
        <w:rPr>
          <w:iCs/>
        </w:rPr>
      </w:pPr>
    </w:p>
    <w:p w14:paraId="39D1B7EE" w14:textId="77777777" w:rsidR="004F6E7D" w:rsidRPr="002E6211" w:rsidRDefault="004F6E7D" w:rsidP="00414B35">
      <w:pPr>
        <w:rPr>
          <w:color w:val="000000"/>
          <w:shd w:val="clear" w:color="auto" w:fill="FFFFFF"/>
        </w:rPr>
      </w:pPr>
      <w:r w:rsidRPr="002E6211">
        <w:rPr>
          <w:color w:val="000000"/>
          <w:shd w:val="clear" w:color="auto" w:fill="FFFFFF"/>
        </w:rPr>
        <w:t>Schedule 1 amends the </w:t>
      </w:r>
      <w:r w:rsidR="008A6DA1" w:rsidRPr="002E6211">
        <w:rPr>
          <w:color w:val="000000"/>
          <w:shd w:val="clear" w:color="auto" w:fill="FFFFFF"/>
        </w:rPr>
        <w:t>Rule</w:t>
      </w:r>
    </w:p>
    <w:p w14:paraId="3D8A03F2" w14:textId="77777777" w:rsidR="004F6E7D" w:rsidRPr="002E6211" w:rsidRDefault="004F6E7D" w:rsidP="00414B35">
      <w:pPr>
        <w:rPr>
          <w:b/>
          <w:iCs/>
        </w:rPr>
      </w:pPr>
    </w:p>
    <w:p w14:paraId="72C636A0" w14:textId="77777777" w:rsidR="00045146" w:rsidRPr="002E6211" w:rsidRDefault="0044716A" w:rsidP="00414B35">
      <w:pPr>
        <w:rPr>
          <w:b/>
          <w:iCs/>
        </w:rPr>
      </w:pPr>
      <w:r w:rsidRPr="002E6211">
        <w:rPr>
          <w:b/>
          <w:iCs/>
        </w:rPr>
        <w:t>Item 1</w:t>
      </w:r>
      <w:r w:rsidR="00045146" w:rsidRPr="002E6211">
        <w:rPr>
          <w:b/>
          <w:iCs/>
        </w:rPr>
        <w:t xml:space="preserve"> – </w:t>
      </w:r>
      <w:r w:rsidR="00414B35" w:rsidRPr="002E6211">
        <w:rPr>
          <w:b/>
          <w:iCs/>
        </w:rPr>
        <w:t>Subsection 63(1)</w:t>
      </w:r>
    </w:p>
    <w:p w14:paraId="392A7E8D" w14:textId="77777777" w:rsidR="00AC48A8" w:rsidRPr="002E6211" w:rsidRDefault="00AC48A8" w:rsidP="00414B35">
      <w:pPr>
        <w:rPr>
          <w:b/>
          <w:iCs/>
        </w:rPr>
      </w:pPr>
    </w:p>
    <w:p w14:paraId="2E45CCC0" w14:textId="77777777" w:rsidR="007C1120" w:rsidRPr="002E6211" w:rsidRDefault="00AC48A8" w:rsidP="00414B35">
      <w:r w:rsidRPr="002E6211">
        <w:rPr>
          <w:color w:val="000000"/>
          <w:shd w:val="clear" w:color="auto" w:fill="FFFFFF"/>
        </w:rPr>
        <w:t xml:space="preserve">Item 1 repeals </w:t>
      </w:r>
      <w:r w:rsidR="00E9731E" w:rsidRPr="002E6211">
        <w:rPr>
          <w:color w:val="000000"/>
          <w:shd w:val="clear" w:color="auto" w:fill="FFFFFF"/>
        </w:rPr>
        <w:t>subsection</w:t>
      </w:r>
      <w:r w:rsidRPr="002E6211">
        <w:rPr>
          <w:color w:val="000000"/>
          <w:shd w:val="clear" w:color="auto" w:fill="FFFFFF"/>
        </w:rPr>
        <w:t xml:space="preserve"> 6</w:t>
      </w:r>
      <w:r w:rsidR="00E9731E" w:rsidRPr="002E6211">
        <w:rPr>
          <w:color w:val="000000"/>
          <w:shd w:val="clear" w:color="auto" w:fill="FFFFFF"/>
        </w:rPr>
        <w:t>3</w:t>
      </w:r>
      <w:r w:rsidRPr="002E6211">
        <w:rPr>
          <w:color w:val="000000"/>
          <w:shd w:val="clear" w:color="auto" w:fill="FFFFFF"/>
        </w:rPr>
        <w:t>(</w:t>
      </w:r>
      <w:r w:rsidR="00E9731E" w:rsidRPr="002E6211">
        <w:rPr>
          <w:color w:val="000000"/>
          <w:shd w:val="clear" w:color="auto" w:fill="FFFFFF"/>
        </w:rPr>
        <w:t>1</w:t>
      </w:r>
      <w:r w:rsidRPr="002E6211">
        <w:rPr>
          <w:color w:val="000000"/>
          <w:shd w:val="clear" w:color="auto" w:fill="FFFFFF"/>
        </w:rPr>
        <w:t>)</w:t>
      </w:r>
      <w:r w:rsidR="007C1120" w:rsidRPr="002E6211">
        <w:rPr>
          <w:color w:val="000000"/>
          <w:shd w:val="clear" w:color="auto" w:fill="FFFFFF"/>
        </w:rPr>
        <w:t xml:space="preserve"> </w:t>
      </w:r>
      <w:r w:rsidR="00E9731E" w:rsidRPr="002E6211">
        <w:rPr>
          <w:color w:val="000000"/>
          <w:shd w:val="clear" w:color="auto" w:fill="FFFFFF"/>
        </w:rPr>
        <w:t>of the Rule</w:t>
      </w:r>
      <w:r w:rsidRPr="002E6211">
        <w:rPr>
          <w:color w:val="000000"/>
          <w:shd w:val="clear" w:color="auto" w:fill="FFFFFF"/>
        </w:rPr>
        <w:t xml:space="preserve"> and substitutes </w:t>
      </w:r>
      <w:r w:rsidR="00E9731E" w:rsidRPr="002E6211">
        <w:rPr>
          <w:color w:val="000000"/>
          <w:shd w:val="clear" w:color="auto" w:fill="FFFFFF"/>
        </w:rPr>
        <w:t xml:space="preserve">it with </w:t>
      </w:r>
      <w:r w:rsidRPr="002E6211">
        <w:rPr>
          <w:color w:val="000000"/>
          <w:shd w:val="clear" w:color="auto" w:fill="FFFFFF"/>
        </w:rPr>
        <w:t xml:space="preserve">a new </w:t>
      </w:r>
      <w:r w:rsidR="00E9731E" w:rsidRPr="002E6211">
        <w:rPr>
          <w:color w:val="000000"/>
          <w:shd w:val="clear" w:color="auto" w:fill="FFFFFF"/>
        </w:rPr>
        <w:t>subsection</w:t>
      </w:r>
      <w:r w:rsidRPr="002E6211">
        <w:rPr>
          <w:color w:val="000000"/>
          <w:shd w:val="clear" w:color="auto" w:fill="FFFFFF"/>
        </w:rPr>
        <w:t> </w:t>
      </w:r>
      <w:r w:rsidR="007C1120" w:rsidRPr="002E6211">
        <w:rPr>
          <w:color w:val="000000"/>
          <w:shd w:val="clear" w:color="auto" w:fill="FFFFFF"/>
        </w:rPr>
        <w:t>which</w:t>
      </w:r>
      <w:r w:rsidRPr="002E6211">
        <w:rPr>
          <w:color w:val="000000"/>
          <w:shd w:val="clear" w:color="auto" w:fill="FFFFFF"/>
        </w:rPr>
        <w:t xml:space="preserve"> </w:t>
      </w:r>
      <w:r w:rsidR="007C1120" w:rsidRPr="002E6211">
        <w:rPr>
          <w:color w:val="000000"/>
          <w:shd w:val="clear" w:color="auto" w:fill="FFFFFF"/>
        </w:rPr>
        <w:t>includes the Secretary of the Department of Defence</w:t>
      </w:r>
      <w:r w:rsidR="006115DF" w:rsidRPr="002E6211">
        <w:rPr>
          <w:color w:val="000000"/>
          <w:shd w:val="clear" w:color="auto" w:fill="FFFFFF"/>
        </w:rPr>
        <w:t xml:space="preserve">, in addition to previously </w:t>
      </w:r>
      <w:r w:rsidR="00280D42" w:rsidRPr="002E6211">
        <w:rPr>
          <w:color w:val="000000"/>
          <w:shd w:val="clear" w:color="auto" w:fill="FFFFFF"/>
        </w:rPr>
        <w:t>prescribed</w:t>
      </w:r>
      <w:r w:rsidR="006115DF" w:rsidRPr="002E6211">
        <w:rPr>
          <w:color w:val="000000"/>
          <w:shd w:val="clear" w:color="auto" w:fill="FFFFFF"/>
        </w:rPr>
        <w:t xml:space="preserve"> APS employees in the Department of Defence, </w:t>
      </w:r>
      <w:r w:rsidR="007C1120" w:rsidRPr="002E6211">
        <w:t>as a person to whom the Minister for Defence may delegate all the Minister’s powers or functions under section 62 of the Rule to review decisions other than a decision made under sections 38 or 4</w:t>
      </w:r>
      <w:r w:rsidR="006115DF" w:rsidRPr="002E6211">
        <w:t>1</w:t>
      </w:r>
      <w:r w:rsidR="007C1120" w:rsidRPr="002E6211">
        <w:t xml:space="preserve">. </w:t>
      </w:r>
    </w:p>
    <w:p w14:paraId="46CCC04F" w14:textId="77777777" w:rsidR="00045146" w:rsidRPr="002E6211" w:rsidRDefault="00045146" w:rsidP="00045146">
      <w:pPr>
        <w:ind w:left="360"/>
        <w:rPr>
          <w:iCs/>
        </w:rPr>
      </w:pPr>
    </w:p>
    <w:p w14:paraId="37FA7961" w14:textId="77777777" w:rsidR="00045146" w:rsidRPr="002E6211" w:rsidRDefault="0044716A" w:rsidP="00414B35">
      <w:pPr>
        <w:rPr>
          <w:b/>
          <w:iCs/>
        </w:rPr>
      </w:pPr>
      <w:r w:rsidRPr="002E6211">
        <w:rPr>
          <w:b/>
          <w:iCs/>
        </w:rPr>
        <w:t>Item 2</w:t>
      </w:r>
      <w:r w:rsidR="00045146" w:rsidRPr="002E6211">
        <w:rPr>
          <w:b/>
          <w:iCs/>
        </w:rPr>
        <w:t xml:space="preserve"> – </w:t>
      </w:r>
      <w:r w:rsidR="00414B35" w:rsidRPr="002E6211">
        <w:rPr>
          <w:b/>
          <w:iCs/>
        </w:rPr>
        <w:t>Subsection 63(2)</w:t>
      </w:r>
    </w:p>
    <w:p w14:paraId="1F0F608C" w14:textId="77777777" w:rsidR="00045146" w:rsidRPr="002E6211" w:rsidRDefault="00045146" w:rsidP="00045146">
      <w:pPr>
        <w:ind w:left="360"/>
        <w:rPr>
          <w:b/>
          <w:iCs/>
        </w:rPr>
      </w:pPr>
    </w:p>
    <w:p w14:paraId="2BF79A53" w14:textId="77777777" w:rsidR="00045146" w:rsidRPr="002E6211" w:rsidRDefault="007C1120" w:rsidP="006115DF">
      <w:pPr>
        <w:rPr>
          <w:iCs/>
        </w:rPr>
      </w:pPr>
      <w:r w:rsidRPr="002E6211">
        <w:rPr>
          <w:color w:val="000000"/>
          <w:shd w:val="clear" w:color="auto" w:fill="FFFFFF"/>
        </w:rPr>
        <w:t>Item 2 repeals subsection 63(2) of the Rule and substitutes it with a new subsection which includes the Secretary of the Department of Defence</w:t>
      </w:r>
      <w:r w:rsidR="006115DF" w:rsidRPr="002E6211">
        <w:rPr>
          <w:color w:val="000000"/>
          <w:shd w:val="clear" w:color="auto" w:fill="FFFFFF"/>
        </w:rPr>
        <w:t xml:space="preserve">, in addition to previously </w:t>
      </w:r>
      <w:r w:rsidR="00280D42" w:rsidRPr="002E6211">
        <w:rPr>
          <w:color w:val="000000"/>
          <w:shd w:val="clear" w:color="auto" w:fill="FFFFFF"/>
        </w:rPr>
        <w:t>prescribed</w:t>
      </w:r>
      <w:r w:rsidR="006115DF" w:rsidRPr="002E6211">
        <w:rPr>
          <w:color w:val="000000"/>
          <w:shd w:val="clear" w:color="auto" w:fill="FFFFFF"/>
        </w:rPr>
        <w:t xml:space="preserve"> APS employees in the Department of Defence and members of the Australian Defence Force, </w:t>
      </w:r>
      <w:r w:rsidRPr="002E6211">
        <w:t xml:space="preserve">as a person to whom the Minister for Defence may delegate all the Minister’s powers or functions under the Rule other than the Minister’s powers or functions under section 62 to review decisions. </w:t>
      </w:r>
    </w:p>
    <w:p w14:paraId="54E83639" w14:textId="77777777" w:rsidR="00045146" w:rsidRPr="002E6211" w:rsidRDefault="00045146" w:rsidP="00045146"/>
    <w:p w14:paraId="6B74FAE7" w14:textId="77777777" w:rsidR="00045146" w:rsidRPr="002E6211" w:rsidRDefault="00045146" w:rsidP="00045146"/>
    <w:p w14:paraId="01CA53BA" w14:textId="77777777" w:rsidR="00045146" w:rsidRPr="002E6211" w:rsidRDefault="00045146" w:rsidP="00045146"/>
    <w:p w14:paraId="49FAB7F3" w14:textId="77777777" w:rsidR="00045146" w:rsidRPr="002E6211" w:rsidRDefault="00045146" w:rsidP="00045146">
      <w:pPr>
        <w:jc w:val="right"/>
        <w:rPr>
          <w:b/>
        </w:rPr>
      </w:pPr>
      <w:r w:rsidRPr="002E6211">
        <w:br w:type="page"/>
      </w:r>
      <w:r w:rsidRPr="002E6211">
        <w:rPr>
          <w:b/>
        </w:rPr>
        <w:t>Attachment 2</w:t>
      </w:r>
    </w:p>
    <w:p w14:paraId="326FB3A8" w14:textId="77777777" w:rsidR="00045146" w:rsidRPr="002E6211" w:rsidRDefault="00045146" w:rsidP="00045146">
      <w:pPr>
        <w:rPr>
          <w:b/>
        </w:rPr>
      </w:pPr>
    </w:p>
    <w:p w14:paraId="024BFE5D" w14:textId="77777777" w:rsidR="00045146" w:rsidRPr="002E6211" w:rsidRDefault="00045146" w:rsidP="00045146">
      <w:pPr>
        <w:spacing w:before="360" w:after="120"/>
        <w:jc w:val="center"/>
        <w:rPr>
          <w:b/>
        </w:rPr>
      </w:pPr>
      <w:r w:rsidRPr="002E6211">
        <w:rPr>
          <w:b/>
        </w:rPr>
        <w:t>Statement of Compatibility with Human Rights</w:t>
      </w:r>
    </w:p>
    <w:p w14:paraId="3869F074" w14:textId="77777777" w:rsidR="00045146" w:rsidRPr="002E6211" w:rsidRDefault="00045146" w:rsidP="00045146">
      <w:pPr>
        <w:spacing w:before="120" w:after="120"/>
        <w:jc w:val="center"/>
      </w:pPr>
      <w:r w:rsidRPr="002E6211">
        <w:rPr>
          <w:i/>
        </w:rPr>
        <w:t>Prepared in accordance with Part 3 of the Human Rights (Parliamentary Scrutiny) Act 2011</w:t>
      </w:r>
    </w:p>
    <w:p w14:paraId="533A7499" w14:textId="77777777" w:rsidR="00045146" w:rsidRPr="002E6211" w:rsidRDefault="00045146" w:rsidP="00045146">
      <w:pPr>
        <w:spacing w:before="120" w:after="120"/>
        <w:jc w:val="center"/>
        <w:rPr>
          <w:b/>
        </w:rPr>
      </w:pPr>
      <w:r w:rsidRPr="002E6211">
        <w:rPr>
          <w:b/>
        </w:rPr>
        <w:t xml:space="preserve">Woomera Prohibited Area Amendment </w:t>
      </w:r>
      <w:r w:rsidR="0005382D" w:rsidRPr="002E6211">
        <w:rPr>
          <w:b/>
        </w:rPr>
        <w:t xml:space="preserve">Rule </w:t>
      </w:r>
      <w:r w:rsidRPr="002E6211">
        <w:rPr>
          <w:b/>
        </w:rPr>
        <w:t>(</w:t>
      </w:r>
      <w:r w:rsidR="0005382D" w:rsidRPr="002E6211">
        <w:rPr>
          <w:b/>
        </w:rPr>
        <w:t>No.1</w:t>
      </w:r>
      <w:r w:rsidRPr="002E6211">
        <w:rPr>
          <w:b/>
        </w:rPr>
        <w:t xml:space="preserve">) </w:t>
      </w:r>
      <w:r w:rsidR="0005382D" w:rsidRPr="002E6211">
        <w:rPr>
          <w:b/>
        </w:rPr>
        <w:t>2021</w:t>
      </w:r>
    </w:p>
    <w:p w14:paraId="0497F5FD" w14:textId="77777777" w:rsidR="00045146" w:rsidRPr="002E6211" w:rsidRDefault="00BC31CB" w:rsidP="00045146">
      <w:pPr>
        <w:spacing w:before="120" w:after="120"/>
        <w:jc w:val="center"/>
      </w:pPr>
      <w:r w:rsidRPr="002E6211">
        <w:t xml:space="preserve">The Amending Instrument </w:t>
      </w:r>
      <w:r w:rsidR="00045146" w:rsidRPr="002E6211">
        <w:t xml:space="preserve">is compatible with the human rights and freedoms recognised or declared in the international instruments listed in section 3 of the </w:t>
      </w:r>
      <w:r w:rsidR="00045146" w:rsidRPr="002E6211">
        <w:rPr>
          <w:i/>
        </w:rPr>
        <w:t>Human Rights (Parliamentary Scrutiny) Act 2011</w:t>
      </w:r>
      <w:r w:rsidR="00045146" w:rsidRPr="002E6211">
        <w:t>.</w:t>
      </w:r>
    </w:p>
    <w:p w14:paraId="54C4ADAC" w14:textId="77777777" w:rsidR="00045146" w:rsidRPr="002E6211" w:rsidRDefault="00045146" w:rsidP="00045146">
      <w:pPr>
        <w:spacing w:before="120" w:after="120"/>
        <w:jc w:val="both"/>
        <w:rPr>
          <w:b/>
        </w:rPr>
      </w:pPr>
      <w:r w:rsidRPr="002E6211">
        <w:rPr>
          <w:b/>
        </w:rPr>
        <w:t>Overview of the Amend</w:t>
      </w:r>
      <w:r w:rsidR="00430099" w:rsidRPr="002E6211">
        <w:rPr>
          <w:b/>
        </w:rPr>
        <w:t>ing Instrument</w:t>
      </w:r>
    </w:p>
    <w:p w14:paraId="18477342" w14:textId="77777777" w:rsidR="00045146" w:rsidRPr="002E6211" w:rsidRDefault="0005382D" w:rsidP="00045146">
      <w:r w:rsidRPr="002E6211">
        <w:t>Sub</w:t>
      </w:r>
      <w:r w:rsidR="00045146" w:rsidRPr="002E6211">
        <w:t>section 72TP</w:t>
      </w:r>
      <w:r w:rsidRPr="002E6211">
        <w:t>(1)</w:t>
      </w:r>
      <w:r w:rsidR="00045146" w:rsidRPr="002E6211">
        <w:t xml:space="preserve"> of the </w:t>
      </w:r>
      <w:r w:rsidR="00045146" w:rsidRPr="002E6211">
        <w:rPr>
          <w:i/>
        </w:rPr>
        <w:t>Defence Act 1903</w:t>
      </w:r>
      <w:r w:rsidRPr="002E6211">
        <w:rPr>
          <w:color w:val="000000"/>
          <w:shd w:val="clear" w:color="auto" w:fill="FFFFFF"/>
        </w:rPr>
        <w:t xml:space="preserve"> provides for various matters to be prescribed, or made provision for under the </w:t>
      </w:r>
      <w:r w:rsidR="003148A1" w:rsidRPr="002E6211">
        <w:rPr>
          <w:iCs/>
          <w:color w:val="000000"/>
          <w:shd w:val="clear" w:color="auto" w:fill="FFFFFF"/>
        </w:rPr>
        <w:t>Ru</w:t>
      </w:r>
      <w:r w:rsidR="00BA57FC" w:rsidRPr="002E6211">
        <w:rPr>
          <w:iCs/>
          <w:color w:val="000000"/>
          <w:shd w:val="clear" w:color="auto" w:fill="FFFFFF"/>
        </w:rPr>
        <w:t>l</w:t>
      </w:r>
      <w:r w:rsidR="003148A1" w:rsidRPr="002E6211">
        <w:rPr>
          <w:iCs/>
          <w:color w:val="000000"/>
          <w:shd w:val="clear" w:color="auto" w:fill="FFFFFF"/>
        </w:rPr>
        <w:t>e</w:t>
      </w:r>
      <w:r w:rsidRPr="002E6211">
        <w:rPr>
          <w:i/>
          <w:iCs/>
          <w:color w:val="000000"/>
          <w:shd w:val="clear" w:color="auto" w:fill="FFFFFF"/>
        </w:rPr>
        <w:t>.</w:t>
      </w:r>
    </w:p>
    <w:p w14:paraId="081D614E" w14:textId="77777777" w:rsidR="00045146" w:rsidRPr="002E6211" w:rsidRDefault="00045146" w:rsidP="00045146"/>
    <w:p w14:paraId="6A2A94E5" w14:textId="77777777" w:rsidR="00430099" w:rsidRPr="002E6211" w:rsidRDefault="0005382D" w:rsidP="00045146">
      <w:r w:rsidRPr="002E6211">
        <w:rPr>
          <w:color w:val="000000"/>
          <w:shd w:val="clear" w:color="auto" w:fill="FFFFFF"/>
        </w:rPr>
        <w:t xml:space="preserve">Section 63 of the Rule provides that the Minister may delegate </w:t>
      </w:r>
      <w:r w:rsidR="00430099" w:rsidRPr="002E6211">
        <w:rPr>
          <w:color w:val="000000"/>
          <w:shd w:val="clear" w:color="auto" w:fill="FFFFFF"/>
        </w:rPr>
        <w:t xml:space="preserve">prescribed </w:t>
      </w:r>
      <w:r w:rsidRPr="002E6211">
        <w:rPr>
          <w:color w:val="000000"/>
          <w:shd w:val="clear" w:color="auto" w:fill="FFFFFF"/>
        </w:rPr>
        <w:t xml:space="preserve">powers or functions </w:t>
      </w:r>
      <w:r w:rsidR="00BA57FC" w:rsidRPr="002E6211">
        <w:rPr>
          <w:color w:val="000000"/>
          <w:shd w:val="clear" w:color="auto" w:fill="FFFFFF"/>
        </w:rPr>
        <w:t>under</w:t>
      </w:r>
      <w:r w:rsidRPr="002E6211">
        <w:rPr>
          <w:color w:val="000000"/>
          <w:shd w:val="clear" w:color="auto" w:fill="FFFFFF"/>
        </w:rPr>
        <w:t xml:space="preserve"> th</w:t>
      </w:r>
      <w:r w:rsidR="00BA57FC" w:rsidRPr="002E6211">
        <w:rPr>
          <w:color w:val="000000"/>
          <w:shd w:val="clear" w:color="auto" w:fill="FFFFFF"/>
        </w:rPr>
        <w:t>e</w:t>
      </w:r>
      <w:r w:rsidRPr="002E6211">
        <w:rPr>
          <w:color w:val="000000"/>
          <w:shd w:val="clear" w:color="auto" w:fill="FFFFFF"/>
        </w:rPr>
        <w:t xml:space="preserve"> Rule to </w:t>
      </w:r>
      <w:r w:rsidR="00430099" w:rsidRPr="002E6211">
        <w:rPr>
          <w:color w:val="000000"/>
          <w:shd w:val="clear" w:color="auto" w:fill="FFFFFF"/>
        </w:rPr>
        <w:t>prescribed</w:t>
      </w:r>
      <w:r w:rsidRPr="002E6211">
        <w:rPr>
          <w:color w:val="000000"/>
          <w:shd w:val="clear" w:color="auto" w:fill="FFFFFF"/>
        </w:rPr>
        <w:t xml:space="preserve"> </w:t>
      </w:r>
      <w:r w:rsidR="00430099" w:rsidRPr="002E6211">
        <w:rPr>
          <w:color w:val="000000"/>
          <w:shd w:val="clear" w:color="auto" w:fill="FFFFFF"/>
        </w:rPr>
        <w:t xml:space="preserve">APS employees </w:t>
      </w:r>
      <w:r w:rsidRPr="002E6211">
        <w:rPr>
          <w:color w:val="000000"/>
          <w:shd w:val="clear" w:color="auto" w:fill="FFFFFF"/>
        </w:rPr>
        <w:t xml:space="preserve">of the Department of Defence or </w:t>
      </w:r>
      <w:r w:rsidR="00430099" w:rsidRPr="002E6211">
        <w:rPr>
          <w:color w:val="000000"/>
          <w:shd w:val="clear" w:color="auto" w:fill="FFFFFF"/>
        </w:rPr>
        <w:t xml:space="preserve">members of the </w:t>
      </w:r>
      <w:r w:rsidRPr="002E6211">
        <w:rPr>
          <w:color w:val="000000"/>
          <w:shd w:val="clear" w:color="auto" w:fill="FFFFFF"/>
        </w:rPr>
        <w:t>Australian Defence Force.</w:t>
      </w:r>
      <w:r w:rsidR="00BA57FC" w:rsidRPr="002E6211">
        <w:t xml:space="preserve"> </w:t>
      </w:r>
      <w:r w:rsidR="00430099" w:rsidRPr="002E6211">
        <w:t>Currently, the Minister is unable</w:t>
      </w:r>
      <w:r w:rsidR="00BA57FC" w:rsidRPr="002E6211">
        <w:t xml:space="preserve"> to delegate the </w:t>
      </w:r>
      <w:r w:rsidR="00430099" w:rsidRPr="002E6211">
        <w:t xml:space="preserve">Minister’s </w:t>
      </w:r>
      <w:r w:rsidR="00BA57FC" w:rsidRPr="002E6211">
        <w:t>powers</w:t>
      </w:r>
      <w:r w:rsidR="00430099" w:rsidRPr="002E6211">
        <w:t xml:space="preserve"> or functions</w:t>
      </w:r>
      <w:r w:rsidR="00BA57FC" w:rsidRPr="002E6211">
        <w:t xml:space="preserve"> </w:t>
      </w:r>
      <w:r w:rsidR="00BC31CB" w:rsidRPr="002E6211">
        <w:t xml:space="preserve">under the Rule </w:t>
      </w:r>
      <w:r w:rsidR="00BA57FC" w:rsidRPr="002E6211">
        <w:t xml:space="preserve">to the Secretary of </w:t>
      </w:r>
      <w:r w:rsidR="00430099" w:rsidRPr="002E6211">
        <w:t xml:space="preserve">the Department of </w:t>
      </w:r>
      <w:r w:rsidR="00BA57FC" w:rsidRPr="002E6211">
        <w:t>Defence</w:t>
      </w:r>
      <w:r w:rsidR="00430099" w:rsidRPr="002E6211">
        <w:t xml:space="preserve">. </w:t>
      </w:r>
    </w:p>
    <w:p w14:paraId="7E9F11CB" w14:textId="77777777" w:rsidR="00430099" w:rsidRPr="002E6211" w:rsidRDefault="00430099" w:rsidP="00045146"/>
    <w:p w14:paraId="377A9B92" w14:textId="77777777" w:rsidR="00430099" w:rsidRPr="002E6211" w:rsidRDefault="00430099" w:rsidP="00BC31CB">
      <w:r w:rsidRPr="002E6211">
        <w:t>The Amending Instrument</w:t>
      </w:r>
      <w:r w:rsidR="00BA57FC" w:rsidRPr="002E6211">
        <w:t xml:space="preserve"> will </w:t>
      </w:r>
      <w:r w:rsidR="00210B5A" w:rsidRPr="002E6211">
        <w:t xml:space="preserve">merely </w:t>
      </w:r>
      <w:r w:rsidRPr="002E6211">
        <w:t xml:space="preserve">amend the Rule to </w:t>
      </w:r>
      <w:r w:rsidR="00BA57FC" w:rsidRPr="002E6211">
        <w:t xml:space="preserve">include </w:t>
      </w:r>
      <w:r w:rsidR="0005382D" w:rsidRPr="002E6211">
        <w:t xml:space="preserve">the Secretary to be a person to whom the Minister for Defence may delegate all the Minister’s powers </w:t>
      </w:r>
      <w:r w:rsidR="00BA57FC" w:rsidRPr="002E6211">
        <w:t xml:space="preserve">or functions </w:t>
      </w:r>
      <w:r w:rsidR="0005382D" w:rsidRPr="002E6211">
        <w:t>other than the power in section 62 to review a decision made under sections 38 or 41</w:t>
      </w:r>
      <w:r w:rsidRPr="002E6211">
        <w:t xml:space="preserve">. </w:t>
      </w:r>
      <w:r w:rsidR="00BA57FC" w:rsidRPr="002E6211">
        <w:t>This would correct an anomaly, improving Defence’s efficiency in administering the Woomera Prohibited Area, but would not have any substantive effect on any person’s ability to apply for</w:t>
      </w:r>
      <w:r w:rsidRPr="002E6211">
        <w:t xml:space="preserve"> or be granted access to the Woomera Prohibited Area.</w:t>
      </w:r>
    </w:p>
    <w:p w14:paraId="75AF0F92" w14:textId="77777777" w:rsidR="00BC31CB" w:rsidRPr="002E6211" w:rsidRDefault="00BC31CB" w:rsidP="00BC31CB">
      <w:pPr>
        <w:rPr>
          <w:b/>
        </w:rPr>
      </w:pPr>
    </w:p>
    <w:p w14:paraId="57F54495" w14:textId="77777777" w:rsidR="00045146" w:rsidRPr="002E6211" w:rsidRDefault="00045146" w:rsidP="00BC31CB">
      <w:pPr>
        <w:rPr>
          <w:b/>
        </w:rPr>
      </w:pPr>
      <w:r w:rsidRPr="002E6211">
        <w:rPr>
          <w:b/>
        </w:rPr>
        <w:t>Human rights implications</w:t>
      </w:r>
    </w:p>
    <w:p w14:paraId="7754DB5F" w14:textId="77777777" w:rsidR="00045146" w:rsidRPr="002E6211" w:rsidRDefault="00045146" w:rsidP="00210B5A">
      <w:pPr>
        <w:spacing w:before="120" w:after="360"/>
      </w:pPr>
      <w:r w:rsidRPr="002E6211">
        <w:t>This amendment does not engage any of the applicable rights or freedoms.</w:t>
      </w:r>
    </w:p>
    <w:p w14:paraId="0D70C426" w14:textId="77777777" w:rsidR="00045146" w:rsidRPr="002E6211" w:rsidRDefault="00045146" w:rsidP="00045146">
      <w:pPr>
        <w:spacing w:before="120" w:after="120"/>
        <w:rPr>
          <w:b/>
        </w:rPr>
      </w:pPr>
      <w:r w:rsidRPr="002E6211">
        <w:rPr>
          <w:b/>
        </w:rPr>
        <w:t>Conclusion</w:t>
      </w:r>
    </w:p>
    <w:p w14:paraId="3A21AA5D" w14:textId="77777777" w:rsidR="00045146" w:rsidRPr="002E6211" w:rsidRDefault="00045146" w:rsidP="00045146">
      <w:pPr>
        <w:spacing w:before="120" w:after="120"/>
      </w:pPr>
      <w:r w:rsidRPr="002E6211">
        <w:t>This amendment is compatible with human rights as it does not raise any human rights issues.</w:t>
      </w:r>
    </w:p>
    <w:p w14:paraId="38919358" w14:textId="77777777" w:rsidR="00045146" w:rsidRPr="002E6211" w:rsidRDefault="00045146" w:rsidP="00045146">
      <w:pPr>
        <w:spacing w:before="120" w:after="120"/>
        <w:jc w:val="center"/>
        <w:rPr>
          <w:b/>
          <w:bCs/>
          <w:color w:val="0070C0"/>
        </w:rPr>
      </w:pPr>
    </w:p>
    <w:p w14:paraId="43CE5D7A" w14:textId="77777777" w:rsidR="00045146" w:rsidRPr="002E6211" w:rsidRDefault="00210B5A" w:rsidP="00210B5A">
      <w:pPr>
        <w:spacing w:before="120" w:after="360"/>
        <w:rPr>
          <w:b/>
          <w:bCs/>
        </w:rPr>
      </w:pPr>
      <w:r w:rsidRPr="002E6211">
        <w:rPr>
          <w:b/>
          <w:bCs/>
        </w:rPr>
        <w:t>Peter Dutton</w:t>
      </w:r>
      <w:r w:rsidR="00045146" w:rsidRPr="002E6211">
        <w:rPr>
          <w:b/>
          <w:bCs/>
        </w:rPr>
        <w:t xml:space="preserve">, Minister for Defence </w:t>
      </w:r>
    </w:p>
    <w:p w14:paraId="5EE4E83C" w14:textId="77777777" w:rsidR="00C63A54" w:rsidRPr="002E6211" w:rsidRDefault="00C63A54"/>
    <w:sectPr w:rsidR="00C63A54" w:rsidRPr="002E62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A37E" w14:textId="77777777" w:rsidR="00E36601" w:rsidRDefault="00E36601">
      <w:r>
        <w:separator/>
      </w:r>
    </w:p>
  </w:endnote>
  <w:endnote w:type="continuationSeparator" w:id="0">
    <w:p w14:paraId="02F4FAC9" w14:textId="77777777" w:rsidR="00E36601" w:rsidRDefault="00E3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E3A9D" w14:textId="77777777" w:rsidR="00E36601" w:rsidRDefault="00E36601">
      <w:r>
        <w:separator/>
      </w:r>
    </w:p>
  </w:footnote>
  <w:footnote w:type="continuationSeparator" w:id="0">
    <w:p w14:paraId="4D0B5354" w14:textId="77777777" w:rsidR="00E36601" w:rsidRDefault="00E36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E45"/>
    <w:multiLevelType w:val="hybridMultilevel"/>
    <w:tmpl w:val="6060A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0516DD"/>
    <w:multiLevelType w:val="hybridMultilevel"/>
    <w:tmpl w:val="D84C569C"/>
    <w:lvl w:ilvl="0" w:tplc="034A796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92231A"/>
    <w:multiLevelType w:val="hybridMultilevel"/>
    <w:tmpl w:val="42868C2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0BF66E2"/>
    <w:multiLevelType w:val="hybridMultilevel"/>
    <w:tmpl w:val="FFCE2F3E"/>
    <w:lvl w:ilvl="0" w:tplc="B00A130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8378ED"/>
    <w:multiLevelType w:val="hybridMultilevel"/>
    <w:tmpl w:val="02361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44"/>
    <w:rsid w:val="00024AB6"/>
    <w:rsid w:val="00045146"/>
    <w:rsid w:val="0005382D"/>
    <w:rsid w:val="0006176D"/>
    <w:rsid w:val="000D4CA4"/>
    <w:rsid w:val="000F3010"/>
    <w:rsid w:val="001318E5"/>
    <w:rsid w:val="001B70DE"/>
    <w:rsid w:val="001F2E33"/>
    <w:rsid w:val="00210B5A"/>
    <w:rsid w:val="0023294A"/>
    <w:rsid w:val="00280D42"/>
    <w:rsid w:val="002A03CD"/>
    <w:rsid w:val="002D6751"/>
    <w:rsid w:val="002E6211"/>
    <w:rsid w:val="003148A1"/>
    <w:rsid w:val="00376335"/>
    <w:rsid w:val="003C3826"/>
    <w:rsid w:val="003E0395"/>
    <w:rsid w:val="003F04DB"/>
    <w:rsid w:val="00414B35"/>
    <w:rsid w:val="00430099"/>
    <w:rsid w:val="004339E4"/>
    <w:rsid w:val="0044716A"/>
    <w:rsid w:val="00450762"/>
    <w:rsid w:val="004B3973"/>
    <w:rsid w:val="004F6E7D"/>
    <w:rsid w:val="005B08D3"/>
    <w:rsid w:val="005B383F"/>
    <w:rsid w:val="005E367A"/>
    <w:rsid w:val="006115DF"/>
    <w:rsid w:val="0061614E"/>
    <w:rsid w:val="00645C0F"/>
    <w:rsid w:val="00730B62"/>
    <w:rsid w:val="007C1120"/>
    <w:rsid w:val="007C4C3D"/>
    <w:rsid w:val="007D3889"/>
    <w:rsid w:val="00801BAE"/>
    <w:rsid w:val="00817593"/>
    <w:rsid w:val="00886349"/>
    <w:rsid w:val="008A6DA1"/>
    <w:rsid w:val="008C38D0"/>
    <w:rsid w:val="0090412D"/>
    <w:rsid w:val="00946AB0"/>
    <w:rsid w:val="00950A49"/>
    <w:rsid w:val="0099015E"/>
    <w:rsid w:val="009B664D"/>
    <w:rsid w:val="009E4844"/>
    <w:rsid w:val="00A1672C"/>
    <w:rsid w:val="00A40519"/>
    <w:rsid w:val="00A56997"/>
    <w:rsid w:val="00AB1227"/>
    <w:rsid w:val="00AB351C"/>
    <w:rsid w:val="00AC48A8"/>
    <w:rsid w:val="00B47CA8"/>
    <w:rsid w:val="00B6488B"/>
    <w:rsid w:val="00BA57FC"/>
    <w:rsid w:val="00BC31CB"/>
    <w:rsid w:val="00C40C63"/>
    <w:rsid w:val="00C47C76"/>
    <w:rsid w:val="00C63A54"/>
    <w:rsid w:val="00C6679B"/>
    <w:rsid w:val="00CB46C8"/>
    <w:rsid w:val="00CC7738"/>
    <w:rsid w:val="00D0411B"/>
    <w:rsid w:val="00D14CEB"/>
    <w:rsid w:val="00D339CC"/>
    <w:rsid w:val="00D44105"/>
    <w:rsid w:val="00D932C0"/>
    <w:rsid w:val="00E201BA"/>
    <w:rsid w:val="00E36601"/>
    <w:rsid w:val="00E9143C"/>
    <w:rsid w:val="00E9731E"/>
    <w:rsid w:val="00EA7D99"/>
    <w:rsid w:val="00F84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8E15530"/>
  <w15:chartTrackingRefBased/>
  <w15:docId w15:val="{B1A47740-3E89-4CBD-AC4E-191435CE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8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73"/>
    <w:pPr>
      <w:tabs>
        <w:tab w:val="center" w:pos="4153"/>
        <w:tab w:val="right" w:pos="8306"/>
      </w:tabs>
    </w:pPr>
  </w:style>
  <w:style w:type="paragraph" w:styleId="Footer">
    <w:name w:val="footer"/>
    <w:basedOn w:val="Normal"/>
    <w:rsid w:val="004B3973"/>
    <w:pPr>
      <w:tabs>
        <w:tab w:val="center" w:pos="4153"/>
        <w:tab w:val="right" w:pos="8306"/>
      </w:tabs>
    </w:pPr>
  </w:style>
  <w:style w:type="character" w:styleId="CommentReference">
    <w:name w:val="annotation reference"/>
    <w:basedOn w:val="DefaultParagraphFont"/>
    <w:semiHidden/>
    <w:rsid w:val="00D0411B"/>
    <w:rPr>
      <w:sz w:val="16"/>
      <w:szCs w:val="16"/>
    </w:rPr>
  </w:style>
  <w:style w:type="paragraph" w:styleId="CommentText">
    <w:name w:val="annotation text"/>
    <w:basedOn w:val="Normal"/>
    <w:semiHidden/>
    <w:rsid w:val="00D0411B"/>
    <w:rPr>
      <w:sz w:val="20"/>
      <w:szCs w:val="20"/>
    </w:rPr>
  </w:style>
  <w:style w:type="paragraph" w:styleId="CommentSubject">
    <w:name w:val="annotation subject"/>
    <w:basedOn w:val="CommentText"/>
    <w:next w:val="CommentText"/>
    <w:semiHidden/>
    <w:rsid w:val="00D0411B"/>
    <w:rPr>
      <w:b/>
      <w:bCs/>
    </w:rPr>
  </w:style>
  <w:style w:type="paragraph" w:styleId="BalloonText">
    <w:name w:val="Balloon Text"/>
    <w:basedOn w:val="Normal"/>
    <w:semiHidden/>
    <w:rsid w:val="00D0411B"/>
    <w:rPr>
      <w:rFonts w:ascii="Tahoma" w:hAnsi="Tahoma" w:cs="Tahoma"/>
      <w:sz w:val="16"/>
      <w:szCs w:val="16"/>
    </w:rPr>
  </w:style>
  <w:style w:type="paragraph" w:customStyle="1" w:styleId="subsection">
    <w:name w:val="subsection"/>
    <w:basedOn w:val="Normal"/>
    <w:rsid w:val="00F847DE"/>
    <w:pPr>
      <w:spacing w:before="100" w:beforeAutospacing="1" w:after="100" w:afterAutospacing="1"/>
    </w:pPr>
  </w:style>
  <w:style w:type="paragraph" w:customStyle="1" w:styleId="paragraph">
    <w:name w:val="paragraph"/>
    <w:basedOn w:val="Normal"/>
    <w:rsid w:val="00F847DE"/>
    <w:pPr>
      <w:spacing w:before="100" w:beforeAutospacing="1" w:after="100" w:afterAutospacing="1"/>
    </w:pPr>
  </w:style>
  <w:style w:type="paragraph" w:styleId="ListParagraph">
    <w:name w:val="List Paragraph"/>
    <w:basedOn w:val="Normal"/>
    <w:uiPriority w:val="34"/>
    <w:qFormat/>
    <w:rsid w:val="00950A49"/>
    <w:pPr>
      <w:ind w:left="720"/>
      <w:contextualSpacing/>
    </w:pPr>
  </w:style>
  <w:style w:type="paragraph" w:styleId="NormalWeb">
    <w:name w:val="Normal (Web)"/>
    <w:basedOn w:val="Normal"/>
    <w:rsid w:val="001318E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8341">
      <w:bodyDiv w:val="1"/>
      <w:marLeft w:val="0"/>
      <w:marRight w:val="0"/>
      <w:marTop w:val="0"/>
      <w:marBottom w:val="0"/>
      <w:divBdr>
        <w:top w:val="none" w:sz="0" w:space="0" w:color="auto"/>
        <w:left w:val="none" w:sz="0" w:space="0" w:color="auto"/>
        <w:bottom w:val="none" w:sz="0" w:space="0" w:color="auto"/>
        <w:right w:val="none" w:sz="0" w:space="0" w:color="auto"/>
      </w:divBdr>
    </w:div>
    <w:div w:id="1276718847">
      <w:bodyDiv w:val="1"/>
      <w:marLeft w:val="0"/>
      <w:marRight w:val="0"/>
      <w:marTop w:val="0"/>
      <w:marBottom w:val="0"/>
      <w:divBdr>
        <w:top w:val="none" w:sz="0" w:space="0" w:color="auto"/>
        <w:left w:val="none" w:sz="0" w:space="0" w:color="auto"/>
        <w:bottom w:val="none" w:sz="0" w:space="0" w:color="auto"/>
        <w:right w:val="none" w:sz="0" w:space="0" w:color="auto"/>
      </w:divBdr>
    </w:div>
    <w:div w:id="1862205852">
      <w:bodyDiv w:val="1"/>
      <w:marLeft w:val="0"/>
      <w:marRight w:val="0"/>
      <w:marTop w:val="0"/>
      <w:marBottom w:val="0"/>
      <w:divBdr>
        <w:top w:val="none" w:sz="0" w:space="0" w:color="auto"/>
        <w:left w:val="none" w:sz="0" w:space="0" w:color="auto"/>
        <w:bottom w:val="none" w:sz="0" w:space="0" w:color="auto"/>
        <w:right w:val="none" w:sz="0" w:space="0" w:color="auto"/>
      </w:divBdr>
    </w:div>
    <w:div w:id="20247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F8197D199A53046B1273F07A5BBF1A9" ma:contentTypeVersion="" ma:contentTypeDescription="PDMS Document Site Content Type" ma:contentTypeScope="" ma:versionID="c32181e3faa7ac5075f0e1cdc10ca932">
  <xsd:schema xmlns:xsd="http://www.w3.org/2001/XMLSchema" xmlns:xs="http://www.w3.org/2001/XMLSchema" xmlns:p="http://schemas.microsoft.com/office/2006/metadata/properties" xmlns:ns2="CCC30081-0E12-41B9-B4C9-1378580F1A72" targetNamespace="http://schemas.microsoft.com/office/2006/metadata/properties" ma:root="true" ma:fieldsID="540b2e778131e794855365ade7962797" ns2:_="">
    <xsd:import namespace="CCC30081-0E12-41B9-B4C9-1378580F1A7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30081-0E12-41B9-B4C9-1378580F1A7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CC30081-0E12-41B9-B4C9-1378580F1A72" xsi:nil="true"/>
  </documentManagement>
</p:properties>
</file>

<file path=customXml/itemProps1.xml><?xml version="1.0" encoding="utf-8"?>
<ds:datastoreItem xmlns:ds="http://schemas.openxmlformats.org/officeDocument/2006/customXml" ds:itemID="{EDD1C361-42AB-4604-8179-60F80D2C3BF6}">
  <ds:schemaRefs>
    <ds:schemaRef ds:uri="http://schemas.microsoft.com/sharepoint/v3/contenttype/forms"/>
  </ds:schemaRefs>
</ds:datastoreItem>
</file>

<file path=customXml/itemProps2.xml><?xml version="1.0" encoding="utf-8"?>
<ds:datastoreItem xmlns:ds="http://schemas.openxmlformats.org/officeDocument/2006/customXml" ds:itemID="{6A548F39-A420-426E-A6E5-2FFDCB65F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30081-0E12-41B9-B4C9-1378580F1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D1959-9986-45C8-A51E-4B3334E11CC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CC30081-0E12-41B9-B4C9-1378580F1A7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Bishop, David MR 9</dc:creator>
  <cp:keywords/>
  <dc:description/>
  <cp:lastModifiedBy>Bishop, David MR 9</cp:lastModifiedBy>
  <cp:revision>3</cp:revision>
  <cp:lastPrinted>2014-10-24T00:10:00Z</cp:lastPrinted>
  <dcterms:created xsi:type="dcterms:W3CDTF">2021-10-19T21:31:00Z</dcterms:created>
  <dcterms:modified xsi:type="dcterms:W3CDTF">2022-02-20T21:30:00Z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BN36611807</vt:lpwstr>
  </property>
  <property fmtid="{D5CDD505-2E9C-101B-9397-08002B2CF9AE}" pid="3" name="Objective-Title">
    <vt:lpwstr>MS21-002320 Attachment C - Explanatory Statement</vt:lpwstr>
  </property>
  <property fmtid="{D5CDD505-2E9C-101B-9397-08002B2CF9AE}" pid="4" name="Objective-Comment">
    <vt:lpwstr/>
  </property>
  <property fmtid="{D5CDD505-2E9C-101B-9397-08002B2CF9AE}" pid="5" name="Objective-CreationStamp">
    <vt:filetime>2021-09-28T22:49:56Z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2021-10-19T21:32:35Z</vt:filetime>
  </property>
  <property fmtid="{D5CDD505-2E9C-101B-9397-08002B2CF9AE}" pid="9" name="Objective-ModificationStamp">
    <vt:filetime>2021-10-19T21:32:35Z</vt:filetime>
  </property>
  <property fmtid="{D5CDD505-2E9C-101B-9397-08002B2CF9AE}" pid="10" name="Objective-Owner">
    <vt:lpwstr>Bishop, David MR 9</vt:lpwstr>
  </property>
  <property fmtid="{D5CDD505-2E9C-101B-9397-08002B2CF9AE}" pid="11" name="Objective-Path">
    <vt:lpwstr>Objective Global Folder - PROD:Defence Business Units:Associate Secretary Group:Defence Legal:New Defence Legal Division Workgroup:DLD : Defence Legal Division:Legislative Reform:Defence Legislation Program:Defence Act - S72TN - Amendment - Delegation to </vt:lpwstr>
  </property>
  <property fmtid="{D5CDD505-2E9C-101B-9397-08002B2CF9AE}" pid="12" name="Objective-Parent">
    <vt:lpwstr>MINSUB_Approval of Woomera Prohibited Area Amendment Rule (No1) 2021</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i4>4</vt:i4>
  </property>
  <property fmtid="{D5CDD505-2E9C-101B-9397-08002B2CF9AE}" pid="16" name="Objective-VersionComment">
    <vt:lpwstr/>
  </property>
  <property fmtid="{D5CDD505-2E9C-101B-9397-08002B2CF9AE}" pid="17" name="Objective-FileNumber">
    <vt:lpwstr>2021/1069848</vt:lpwstr>
  </property>
  <property fmtid="{D5CDD505-2E9C-101B-9397-08002B2CF9AE}" pid="18" name="Objective-Classification">
    <vt:lpwstr>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ContentTypeId">
    <vt:lpwstr>0x010100266966F133664895A6EE3632470D45F5001F8197D199A53046B1273F07A5BBF1A9</vt:lpwstr>
  </property>
</Properties>
</file>