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1CF" w14:textId="7DF6304E" w:rsidR="00A419EA" w:rsidRDefault="001759DB"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REPLACEMENT</w:t>
      </w:r>
      <w:r w:rsidR="002754C0">
        <w:rPr>
          <w:rFonts w:ascii="Times New Roman" w:eastAsia="Times New Roman" w:hAnsi="Times New Roman" w:cs="Times New Roman"/>
          <w:b/>
          <w:bCs/>
          <w:sz w:val="24"/>
          <w:szCs w:val="24"/>
          <w:u w:val="single"/>
          <w:lang w:eastAsia="en-AU"/>
        </w:rPr>
        <w:t xml:space="preserve"> </w:t>
      </w:r>
      <w:r w:rsidR="00ED081D">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46A54867"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272777">
        <w:rPr>
          <w:rFonts w:ascii="Times New Roman" w:eastAsia="Times New Roman" w:hAnsi="Times New Roman" w:cs="Times New Roman"/>
          <w:bCs/>
          <w:i/>
          <w:sz w:val="24"/>
          <w:szCs w:val="24"/>
          <w:lang w:eastAsia="en-AU"/>
        </w:rPr>
        <w:t>2</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50390C">
        <w:rPr>
          <w:rFonts w:ascii="Times New Roman" w:eastAsia="Times New Roman" w:hAnsi="Times New Roman" w:cs="Times New Roman"/>
          <w:bCs/>
          <w:i/>
          <w:sz w:val="24"/>
          <w:szCs w:val="24"/>
          <w:lang w:eastAsia="en-AU"/>
        </w:rPr>
        <w:t>2</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2DD56D9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56EE561A"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0E74EA">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26BB</w:t>
      </w:r>
      <w:r w:rsidR="000E74EA">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5D5B8496"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272777">
        <w:rPr>
          <w:rFonts w:ascii="Times New Roman" w:eastAsia="Times New Roman" w:hAnsi="Times New Roman" w:cs="Times New Roman"/>
          <w:bCs/>
          <w:i/>
          <w:sz w:val="24"/>
          <w:szCs w:val="24"/>
          <w:lang w:eastAsia="en-AU"/>
        </w:rPr>
        <w:t>2</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960E9A">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272777">
        <w:rPr>
          <w:rFonts w:ascii="Times New Roman" w:eastAsia="Times New Roman" w:hAnsi="Times New Roman" w:cs="Times New Roman"/>
          <w:i/>
          <w:sz w:val="24"/>
          <w:szCs w:val="24"/>
          <w:lang w:eastAsia="en-AU"/>
        </w:rPr>
        <w:t>1</w:t>
      </w:r>
      <w:r w:rsidRPr="004E05C9">
        <w:rPr>
          <w:rFonts w:ascii="Times New Roman" w:eastAsia="Times New Roman" w:hAnsi="Times New Roman" w:cs="Times New Roman"/>
          <w:i/>
          <w:sz w:val="24"/>
          <w:szCs w:val="24"/>
          <w:lang w:eastAsia="en-AU"/>
        </w:rPr>
        <w:t>) 20</w:t>
      </w:r>
      <w:r w:rsidR="00272777">
        <w:rPr>
          <w:rFonts w:ascii="Times New Roman" w:eastAsia="Times New Roman" w:hAnsi="Times New Roman" w:cs="Times New Roman"/>
          <w:i/>
          <w:sz w:val="24"/>
          <w:szCs w:val="24"/>
          <w:lang w:eastAsia="en-AU"/>
        </w:rPr>
        <w:t>22</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w:t>
      </w:r>
      <w:r w:rsidRPr="00D4773E">
        <w:rPr>
          <w:rFonts w:ascii="Times New Roman" w:eastAsia="Times New Roman" w:hAnsi="Times New Roman" w:cs="Times New Roman"/>
          <w:sz w:val="24"/>
          <w:szCs w:val="24"/>
          <w:lang w:eastAsia="en-AU"/>
        </w:rPr>
        <w:lastRenderedPageBreak/>
        <w:t xml:space="preserve">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57E8D02B"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3E49F771"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54DA8C27" w14:textId="2A552622" w:rsidR="00826DE8" w:rsidRDefault="006D4AB8" w:rsidP="002000F0">
      <w:pPr>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2FB17973" w14:textId="5B66B267" w:rsidR="00096077" w:rsidRDefault="00096077" w:rsidP="00F94A9F">
      <w:pPr>
        <w:pStyle w:val="ListParagraph"/>
        <w:numPr>
          <w:ilvl w:val="0"/>
          <w:numId w:val="11"/>
        </w:numPr>
      </w:pPr>
      <w:bookmarkStart w:id="0" w:name="_Hlk78988040"/>
      <w:r>
        <w:t xml:space="preserve">the addition of new ingredient </w:t>
      </w:r>
      <w:r w:rsidR="00607B58">
        <w:t>‘</w:t>
      </w:r>
      <w:r w:rsidRPr="003846D3">
        <w:rPr>
          <w:i/>
          <w:iCs/>
        </w:rPr>
        <w:t>Euglena</w:t>
      </w:r>
      <w:r w:rsidRPr="003846D3">
        <w:t xml:space="preserve"> </w:t>
      </w:r>
      <w:r w:rsidRPr="003846D3">
        <w:rPr>
          <w:i/>
          <w:iCs/>
        </w:rPr>
        <w:t>gracilis</w:t>
      </w:r>
      <w:r w:rsidRPr="003846D3">
        <w:t xml:space="preserve"> whole cell dry</w:t>
      </w:r>
      <w:r>
        <w:t>’</w:t>
      </w:r>
      <w:r w:rsidRPr="003846D3">
        <w:t xml:space="preserve"> for use in listed and assessed listed medicines</w:t>
      </w:r>
      <w:r>
        <w:t>;</w:t>
      </w:r>
    </w:p>
    <w:p w14:paraId="2D86732F" w14:textId="367C5C31" w:rsidR="00096077" w:rsidRDefault="00096077" w:rsidP="00F94A9F">
      <w:pPr>
        <w:pStyle w:val="ListParagraph"/>
        <w:numPr>
          <w:ilvl w:val="0"/>
          <w:numId w:val="11"/>
        </w:numPr>
      </w:pPr>
      <w:r>
        <w:t>u</w:t>
      </w:r>
      <w:r w:rsidRPr="003846D3">
        <w:t>pdat</w:t>
      </w:r>
      <w:r>
        <w:t>es to</w:t>
      </w:r>
      <w:r w:rsidRPr="003846D3">
        <w:t xml:space="preserve"> the ingredient name ‘</w:t>
      </w:r>
      <w:r w:rsidRPr="003846D3">
        <w:rPr>
          <w:i/>
          <w:iCs/>
        </w:rPr>
        <w:t>Cistus ladaniferus</w:t>
      </w:r>
      <w:r w:rsidRPr="003846D3">
        <w:t>’ to ‘</w:t>
      </w:r>
      <w:r w:rsidRPr="003846D3">
        <w:rPr>
          <w:i/>
          <w:iCs/>
        </w:rPr>
        <w:t>Cistus ladanifer</w:t>
      </w:r>
      <w:r w:rsidRPr="003846D3">
        <w:t xml:space="preserve">’ to align </w:t>
      </w:r>
      <w:r>
        <w:t xml:space="preserve">the name of this ingredient in the Determination </w:t>
      </w:r>
      <w:r w:rsidRPr="003846D3">
        <w:t>with the Australian Approved Names List</w:t>
      </w:r>
      <w:r>
        <w:t>; and</w:t>
      </w:r>
    </w:p>
    <w:p w14:paraId="7BF0CE0D" w14:textId="57D55F2F" w:rsidR="00F94A9F" w:rsidRPr="003846D3" w:rsidRDefault="00F94A9F" w:rsidP="00F94A9F">
      <w:pPr>
        <w:pStyle w:val="ListParagraph"/>
        <w:numPr>
          <w:ilvl w:val="0"/>
          <w:numId w:val="11"/>
        </w:numPr>
      </w:pPr>
      <w:r w:rsidRPr="003846D3">
        <w:t>updates to applicable requirements for the following ingredients:</w:t>
      </w:r>
    </w:p>
    <w:p w14:paraId="601DB3F2" w14:textId="77777777" w:rsidR="00F94A9F" w:rsidRPr="003846D3" w:rsidRDefault="00F94A9F" w:rsidP="003846D3">
      <w:pPr>
        <w:pStyle w:val="ListParagraph"/>
        <w:numPr>
          <w:ilvl w:val="1"/>
          <w:numId w:val="11"/>
        </w:numPr>
      </w:pPr>
      <w:r w:rsidRPr="003846D3">
        <w:rPr>
          <w:i/>
          <w:iCs/>
        </w:rPr>
        <w:t xml:space="preserve">Andrographis paniculata, </w:t>
      </w:r>
      <w:r w:rsidRPr="003846D3">
        <w:t>and 17 inorganic magnesium salts, to reflect the expiry of transition periods for requirements relating to those ingredients;</w:t>
      </w:r>
    </w:p>
    <w:p w14:paraId="7B6287F4" w14:textId="182B215A" w:rsidR="00F94A9F" w:rsidRPr="003846D3" w:rsidRDefault="002903C8" w:rsidP="00F94A9F">
      <w:pPr>
        <w:pStyle w:val="ListParagraph"/>
        <w:numPr>
          <w:ilvl w:val="1"/>
          <w:numId w:val="11"/>
        </w:numPr>
        <w:spacing w:before="0" w:beforeAutospacing="0" w:after="120" w:afterAutospacing="0"/>
        <w:contextualSpacing/>
        <w:rPr>
          <w:lang w:eastAsia="en-US"/>
        </w:rPr>
      </w:pPr>
      <w:r>
        <w:rPr>
          <w:lang w:eastAsia="en-US"/>
        </w:rPr>
        <w:t>‘s</w:t>
      </w:r>
      <w:r w:rsidR="00F94A9F" w:rsidRPr="003846D3">
        <w:rPr>
          <w:lang w:eastAsia="en-US"/>
        </w:rPr>
        <w:t>pray-dried glucose syrup</w:t>
      </w:r>
      <w:r>
        <w:rPr>
          <w:lang w:eastAsia="en-US"/>
        </w:rPr>
        <w:t>’</w:t>
      </w:r>
      <w:r w:rsidR="00F94A9F" w:rsidRPr="003846D3">
        <w:rPr>
          <w:lang w:eastAsia="en-US"/>
        </w:rPr>
        <w:t xml:space="preserve"> and </w:t>
      </w:r>
      <w:r>
        <w:rPr>
          <w:lang w:eastAsia="en-US"/>
        </w:rPr>
        <w:t>‘s</w:t>
      </w:r>
      <w:r w:rsidR="00F94A9F" w:rsidRPr="003846D3">
        <w:rPr>
          <w:lang w:eastAsia="en-US"/>
        </w:rPr>
        <w:t>pray-dried liquid glucose</w:t>
      </w:r>
      <w:r>
        <w:rPr>
          <w:lang w:eastAsia="en-US"/>
        </w:rPr>
        <w:t>’</w:t>
      </w:r>
      <w:r w:rsidR="00F94A9F" w:rsidRPr="003846D3">
        <w:rPr>
          <w:lang w:eastAsia="en-US"/>
        </w:rPr>
        <w:t xml:space="preserve">, to reflect </w:t>
      </w:r>
      <w:r w:rsidR="00A14C5D">
        <w:rPr>
          <w:lang w:eastAsia="en-US"/>
        </w:rPr>
        <w:t xml:space="preserve">that these ingredients </w:t>
      </w:r>
      <w:r w:rsidR="00096077">
        <w:rPr>
          <w:lang w:eastAsia="en-US"/>
        </w:rPr>
        <w:t xml:space="preserve">have been evaluated for, and </w:t>
      </w:r>
      <w:r w:rsidR="00A14C5D">
        <w:rPr>
          <w:lang w:eastAsia="en-US"/>
        </w:rPr>
        <w:t>are considered safe and suitable</w:t>
      </w:r>
      <w:r w:rsidR="00F94A9F" w:rsidRPr="003846D3">
        <w:rPr>
          <w:lang w:eastAsia="en-US"/>
        </w:rPr>
        <w:t xml:space="preserve"> for</w:t>
      </w:r>
      <w:r w:rsidR="00096077">
        <w:rPr>
          <w:lang w:eastAsia="en-US"/>
        </w:rPr>
        <w:t>,</w:t>
      </w:r>
      <w:r w:rsidR="00F94A9F" w:rsidRPr="003846D3">
        <w:rPr>
          <w:lang w:eastAsia="en-US"/>
        </w:rPr>
        <w:t xml:space="preserve"> general use as an excipient for oral routes of administration</w:t>
      </w:r>
      <w:r w:rsidR="00096077">
        <w:rPr>
          <w:lang w:eastAsia="en-US"/>
        </w:rPr>
        <w:t xml:space="preserve"> in listed and assessed listed medicines</w:t>
      </w:r>
      <w:r w:rsidR="008D2A3F">
        <w:rPr>
          <w:lang w:eastAsia="en-US"/>
        </w:rPr>
        <w:t>;</w:t>
      </w:r>
    </w:p>
    <w:p w14:paraId="2152BD46" w14:textId="54B118F2" w:rsidR="0055672F" w:rsidRPr="003846D3" w:rsidRDefault="002903C8" w:rsidP="0055672F">
      <w:pPr>
        <w:pStyle w:val="ListParagraph"/>
        <w:numPr>
          <w:ilvl w:val="1"/>
          <w:numId w:val="11"/>
        </w:numPr>
        <w:shd w:val="clear" w:color="auto" w:fill="FFFFFF"/>
      </w:pPr>
      <w:r>
        <w:t>‘</w:t>
      </w:r>
      <w:r w:rsidR="0055672F" w:rsidRPr="003846D3">
        <w:t>benzalkonium chloride</w:t>
      </w:r>
      <w:r>
        <w:t>’</w:t>
      </w:r>
      <w:r w:rsidR="0055672F" w:rsidRPr="003846D3">
        <w:t>, to reflect an identified risk of bronchospasm associated with that ingredient when used in nasal sprays;</w:t>
      </w:r>
    </w:p>
    <w:p w14:paraId="7E33D94D" w14:textId="77777777" w:rsidR="0055672F" w:rsidRPr="003846D3" w:rsidRDefault="0055672F" w:rsidP="0055672F">
      <w:pPr>
        <w:pStyle w:val="ListParagraph"/>
        <w:numPr>
          <w:ilvl w:val="1"/>
          <w:numId w:val="11"/>
        </w:numPr>
        <w:shd w:val="clear" w:color="auto" w:fill="FFFFFF"/>
      </w:pPr>
      <w:r w:rsidRPr="003846D3">
        <w:t>8 mollusc and mollusc-derived ingredients, to reflect an identified risk of allergenicity associated with those ingredients;</w:t>
      </w:r>
    </w:p>
    <w:p w14:paraId="26246BFD" w14:textId="7DEDC597" w:rsidR="0055672F" w:rsidRPr="003846D3" w:rsidRDefault="002903C8" w:rsidP="0055672F">
      <w:pPr>
        <w:pStyle w:val="ListParagraph"/>
        <w:numPr>
          <w:ilvl w:val="1"/>
          <w:numId w:val="11"/>
        </w:numPr>
        <w:shd w:val="clear" w:color="auto" w:fill="FFFFFF"/>
      </w:pPr>
      <w:r>
        <w:t>‘</w:t>
      </w:r>
      <w:r w:rsidR="0055672F" w:rsidRPr="003846D3">
        <w:t>pyridoxal 5-phosphate</w:t>
      </w:r>
      <w:r>
        <w:t>’</w:t>
      </w:r>
      <w:r w:rsidR="0055672F" w:rsidRPr="003846D3">
        <w:t xml:space="preserve">, </w:t>
      </w:r>
      <w:r>
        <w:t>‘</w:t>
      </w:r>
      <w:r w:rsidR="0055672F" w:rsidRPr="003846D3">
        <w:t>pyridoxal 5-phosphate monohydrate</w:t>
      </w:r>
      <w:r>
        <w:t>’</w:t>
      </w:r>
      <w:r w:rsidR="0055672F" w:rsidRPr="003846D3">
        <w:t xml:space="preserve">, and </w:t>
      </w:r>
      <w:r>
        <w:t>‘</w:t>
      </w:r>
      <w:r w:rsidR="0055672F" w:rsidRPr="003846D3">
        <w:t>pyridoxine hydrochloride</w:t>
      </w:r>
      <w:r>
        <w:t>’</w:t>
      </w:r>
      <w:r w:rsidR="0055672F" w:rsidRPr="003846D3">
        <w:t>, to reflect an identified risk of neuropathy associated with those ingredients;</w:t>
      </w:r>
    </w:p>
    <w:p w14:paraId="5E4F9D0E" w14:textId="0B887C93" w:rsidR="0055672F" w:rsidRDefault="0055672F" w:rsidP="0055672F">
      <w:pPr>
        <w:pStyle w:val="ListParagraph"/>
        <w:numPr>
          <w:ilvl w:val="1"/>
          <w:numId w:val="11"/>
        </w:numPr>
        <w:shd w:val="clear" w:color="auto" w:fill="FFFFFF"/>
      </w:pPr>
      <w:r w:rsidRPr="003846D3">
        <w:t xml:space="preserve">4 </w:t>
      </w:r>
      <w:r w:rsidRPr="003846D3">
        <w:rPr>
          <w:i/>
          <w:iCs/>
        </w:rPr>
        <w:t xml:space="preserve">Artemisia </w:t>
      </w:r>
      <w:r w:rsidRPr="003846D3">
        <w:t>species known to contain artemisinin, to reflect an identified risk of embryotoxicity associated with that substance;</w:t>
      </w:r>
      <w:r w:rsidR="00096077">
        <w:t xml:space="preserve"> and</w:t>
      </w:r>
    </w:p>
    <w:p w14:paraId="1A5C9D2D" w14:textId="2F0DBDE4" w:rsidR="00F94A9F" w:rsidRPr="003846D3" w:rsidRDefault="005A33B7" w:rsidP="00562910">
      <w:pPr>
        <w:pStyle w:val="ListParagraph"/>
        <w:numPr>
          <w:ilvl w:val="1"/>
          <w:numId w:val="11"/>
        </w:numPr>
        <w:shd w:val="clear" w:color="auto" w:fill="FFFFFF"/>
      </w:pPr>
      <w:r w:rsidRPr="003846D3">
        <w:t>‘</w:t>
      </w:r>
      <w:r w:rsidRPr="003846D3">
        <w:rPr>
          <w:i/>
          <w:iCs/>
        </w:rPr>
        <w:t>Cassia fistula’</w:t>
      </w:r>
      <w:r w:rsidR="00096077">
        <w:t>, to reflect that this ingredient has been evaluated for, and is considered safe and suitable for,</w:t>
      </w:r>
      <w:r w:rsidRPr="003846D3">
        <w:rPr>
          <w:i/>
          <w:iCs/>
        </w:rPr>
        <w:t xml:space="preserve"> </w:t>
      </w:r>
      <w:r w:rsidRPr="003846D3">
        <w:t>use as part of flavour and fragrance proprietary excipient formulations</w:t>
      </w:r>
      <w:r w:rsidR="00096077">
        <w:t xml:space="preserve"> in listed and assessed listed medicines.</w:t>
      </w:r>
    </w:p>
    <w:p w14:paraId="0A144AB2" w14:textId="77777777" w:rsidR="005A33B7" w:rsidRPr="00562910" w:rsidRDefault="005A33B7" w:rsidP="00562910">
      <w:pPr>
        <w:spacing w:after="120"/>
        <w:contextualSpacing/>
        <w:rPr>
          <w:b/>
        </w:rPr>
      </w:pPr>
    </w:p>
    <w:bookmarkEnd w:id="0"/>
    <w:p w14:paraId="43BACDC7" w14:textId="19913CC2" w:rsidR="00EF1F18" w:rsidRDefault="00EF1F18" w:rsidP="001B6A8A">
      <w:pPr>
        <w:keepNext/>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10FC5204" w14:textId="3BA96C82" w:rsidR="00EE5F22"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has 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w:t>
      </w:r>
      <w:r w:rsidR="00FF6ED6">
        <w:rPr>
          <w:rFonts w:ascii="Times New Roman" w:eastAsia="Times New Roman" w:hAnsi="Times New Roman" w:cs="Times New Roman"/>
          <w:sz w:val="24"/>
          <w:szCs w:val="24"/>
          <w:lang w:eastAsia="en-AU"/>
        </w:rPr>
        <w:t>and</w:t>
      </w:r>
      <w:r w:rsidRPr="00807896">
        <w:rPr>
          <w:rFonts w:ascii="Times New Roman" w:eastAsia="Times New Roman" w:hAnsi="Times New Roman" w:cs="Times New Roman"/>
          <w:sz w:val="24"/>
          <w:szCs w:val="24"/>
          <w:lang w:eastAsia="en-AU"/>
        </w:rPr>
        <w:t xml:space="preserve">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6DB48453" w14:textId="77777777" w:rsidR="004C0638" w:rsidRPr="002000F0" w:rsidRDefault="004C0638">
      <w:pPr>
        <w:autoSpaceDE w:val="0"/>
        <w:autoSpaceDN w:val="0"/>
        <w:adjustRightInd w:val="0"/>
        <w:spacing w:after="0"/>
        <w:rPr>
          <w:rFonts w:ascii="Times New Roman" w:eastAsia="Times New Roman" w:hAnsi="Times New Roman" w:cs="Times New Roman"/>
          <w:sz w:val="24"/>
          <w:szCs w:val="24"/>
          <w:lang w:eastAsia="en-AU"/>
        </w:rPr>
      </w:pPr>
    </w:p>
    <w:p w14:paraId="60CB3D79" w14:textId="361FA065" w:rsidR="0055672F" w:rsidRPr="00F94A9F" w:rsidRDefault="00384E0A" w:rsidP="00567254">
      <w:pPr>
        <w:rPr>
          <w:rFonts w:ascii="Times New Roman" w:hAnsi="Times New Roman" w:cs="Times New Roman"/>
          <w:sz w:val="24"/>
          <w:szCs w:val="24"/>
        </w:rPr>
      </w:pPr>
      <w:r>
        <w:rPr>
          <w:rFonts w:ascii="Times New Roman" w:hAnsi="Times New Roman" w:cs="Times New Roman"/>
          <w:sz w:val="24"/>
          <w:szCs w:val="24"/>
        </w:rPr>
        <w:t>Between 4 August 2021 and 29 September 2021 t</w:t>
      </w:r>
      <w:r w:rsidR="0055672F" w:rsidRPr="00F94A9F">
        <w:rPr>
          <w:rFonts w:ascii="Times New Roman" w:hAnsi="Times New Roman" w:cs="Times New Roman"/>
          <w:sz w:val="24"/>
          <w:szCs w:val="24"/>
        </w:rPr>
        <w:t xml:space="preserve">he TGA conducted a </w:t>
      </w:r>
      <w:hyperlink r:id="rId8" w:history="1">
        <w:r w:rsidR="0055672F" w:rsidRPr="00F94A9F">
          <w:rPr>
            <w:rStyle w:val="Hyperlink"/>
            <w:rFonts w:ascii="Times New Roman" w:hAnsi="Times New Roman" w:cs="Times New Roman"/>
            <w:sz w:val="24"/>
            <w:szCs w:val="24"/>
          </w:rPr>
          <w:t>public consultation</w:t>
        </w:r>
      </w:hyperlink>
      <w:r w:rsidR="0055672F" w:rsidRPr="00F94A9F">
        <w:rPr>
          <w:rFonts w:ascii="Times New Roman" w:hAnsi="Times New Roman" w:cs="Times New Roman"/>
          <w:sz w:val="24"/>
          <w:szCs w:val="24"/>
        </w:rPr>
        <w:t xml:space="preserve"> regarding proposed changes to the Determination relating to allergenicity of molluscs and mollusc-derived ingredients, neuropathy associated with vitamin B6 supplementation, bronchospasm associated with use of benzalkonium chloride in nasal sprays, and embryotoxicity associated with artemisinin, a substance found in certain species of </w:t>
      </w:r>
      <w:r w:rsidR="0055672F" w:rsidRPr="00F94A9F">
        <w:rPr>
          <w:rFonts w:ascii="Times New Roman" w:hAnsi="Times New Roman" w:cs="Times New Roman"/>
          <w:i/>
          <w:iCs/>
          <w:sz w:val="24"/>
          <w:szCs w:val="24"/>
        </w:rPr>
        <w:t xml:space="preserve">Artemisia </w:t>
      </w:r>
      <w:r w:rsidR="0055672F" w:rsidRPr="00F94A9F">
        <w:rPr>
          <w:rFonts w:ascii="Times New Roman" w:hAnsi="Times New Roman" w:cs="Times New Roman"/>
          <w:sz w:val="24"/>
          <w:szCs w:val="24"/>
        </w:rPr>
        <w:t xml:space="preserve">plant. Twenty submissions were received. Some respondents supported some or all of the changes, some did not support some or all of the changes, and others provided further safety information and requested the reconsideration of specific proposals and clarifications. This </w:t>
      </w:r>
      <w:r w:rsidR="0055672F" w:rsidRPr="00F94A9F">
        <w:rPr>
          <w:rFonts w:ascii="Times New Roman" w:hAnsi="Times New Roman" w:cs="Times New Roman"/>
          <w:sz w:val="24"/>
          <w:szCs w:val="24"/>
        </w:rPr>
        <w:lastRenderedPageBreak/>
        <w:t xml:space="preserve">feedback was considered and incorporated in the notice outlining the </w:t>
      </w:r>
      <w:hyperlink r:id="rId9" w:history="1">
        <w:r w:rsidR="0055672F" w:rsidRPr="00F94A9F">
          <w:rPr>
            <w:rStyle w:val="Hyperlink"/>
            <w:rFonts w:ascii="Times New Roman" w:hAnsi="Times New Roman" w:cs="Times New Roman"/>
            <w:sz w:val="24"/>
            <w:szCs w:val="24"/>
          </w:rPr>
          <w:t>final decisions</w:t>
        </w:r>
      </w:hyperlink>
      <w:r w:rsidR="0055672F" w:rsidRPr="00F94A9F">
        <w:rPr>
          <w:rFonts w:ascii="Times New Roman" w:hAnsi="Times New Roman" w:cs="Times New Roman"/>
          <w:sz w:val="24"/>
          <w:szCs w:val="24"/>
        </w:rPr>
        <w:t xml:space="preserve"> for these ingredients, which was published </w:t>
      </w:r>
      <w:r>
        <w:rPr>
          <w:rFonts w:ascii="Times New Roman" w:hAnsi="Times New Roman" w:cs="Times New Roman"/>
          <w:sz w:val="24"/>
          <w:szCs w:val="24"/>
        </w:rPr>
        <w:t>on</w:t>
      </w:r>
      <w:r w:rsidR="0055672F" w:rsidRPr="00F94A9F">
        <w:rPr>
          <w:rFonts w:ascii="Times New Roman" w:hAnsi="Times New Roman" w:cs="Times New Roman"/>
          <w:sz w:val="24"/>
          <w:szCs w:val="24"/>
        </w:rPr>
        <w:t xml:space="preserve"> the TGA Consultation Hub </w:t>
      </w:r>
      <w:r>
        <w:rPr>
          <w:rFonts w:ascii="Times New Roman" w:hAnsi="Times New Roman" w:cs="Times New Roman"/>
          <w:sz w:val="24"/>
          <w:szCs w:val="24"/>
        </w:rPr>
        <w:t>on the TGA website (</w:t>
      </w:r>
      <w:hyperlink r:id="rId10" w:history="1">
        <w:r w:rsidRPr="00A1725F">
          <w:rPr>
            <w:rStyle w:val="Hyperlink"/>
            <w:rFonts w:ascii="Times New Roman" w:hAnsi="Times New Roman" w:cs="Times New Roman"/>
            <w:sz w:val="24"/>
            <w:szCs w:val="24"/>
          </w:rPr>
          <w:t>www.tga.gov.au</w:t>
        </w:r>
      </w:hyperlink>
      <w:r>
        <w:rPr>
          <w:rFonts w:ascii="Times New Roman" w:hAnsi="Times New Roman" w:cs="Times New Roman"/>
          <w:sz w:val="24"/>
          <w:szCs w:val="24"/>
        </w:rPr>
        <w:t xml:space="preserve">) </w:t>
      </w:r>
      <w:r w:rsidR="0055672F" w:rsidRPr="00F94A9F">
        <w:rPr>
          <w:rFonts w:ascii="Times New Roman" w:hAnsi="Times New Roman" w:cs="Times New Roman"/>
          <w:sz w:val="24"/>
          <w:szCs w:val="24"/>
        </w:rPr>
        <w:t>on 10 December 2021. In this notice, the TGA committed to implementing these changes by 1 March 2022.</w:t>
      </w:r>
    </w:p>
    <w:p w14:paraId="28613D5A" w14:textId="49265050" w:rsidR="005B70D2" w:rsidRPr="00F94A9F" w:rsidRDefault="00A723F8" w:rsidP="00567254">
      <w:pPr>
        <w:rPr>
          <w:rFonts w:ascii="Times New Roman" w:hAnsi="Times New Roman" w:cs="Times New Roman"/>
          <w:sz w:val="24"/>
          <w:szCs w:val="24"/>
        </w:rPr>
      </w:pPr>
      <w:r w:rsidRPr="00F94A9F">
        <w:rPr>
          <w:rFonts w:ascii="Times New Roman" w:hAnsi="Times New Roman" w:cs="Times New Roman"/>
          <w:sz w:val="24"/>
          <w:szCs w:val="24"/>
        </w:rPr>
        <w:t xml:space="preserve">Between May 2021 and January 2022, the TGA engaged directly with the applicant who applied for the approval of the ingredient </w:t>
      </w:r>
      <w:r w:rsidRPr="00F94A9F">
        <w:rPr>
          <w:rFonts w:ascii="Times New Roman" w:hAnsi="Times New Roman" w:cs="Times New Roman"/>
          <w:i/>
          <w:iCs/>
          <w:sz w:val="24"/>
          <w:szCs w:val="24"/>
        </w:rPr>
        <w:t xml:space="preserve">Euglena gracilis </w:t>
      </w:r>
      <w:r w:rsidRPr="00F94A9F">
        <w:rPr>
          <w:rFonts w:ascii="Times New Roman" w:hAnsi="Times New Roman" w:cs="Times New Roman"/>
          <w:sz w:val="24"/>
          <w:szCs w:val="24"/>
        </w:rPr>
        <w:t>whole cell dry</w:t>
      </w:r>
      <w:r w:rsidRPr="00F94A9F">
        <w:rPr>
          <w:rFonts w:ascii="Times New Roman" w:hAnsi="Times New Roman" w:cs="Times New Roman"/>
          <w:i/>
          <w:iCs/>
          <w:sz w:val="24"/>
          <w:szCs w:val="24"/>
        </w:rPr>
        <w:t xml:space="preserve">, </w:t>
      </w:r>
      <w:r w:rsidRPr="00F94A9F">
        <w:rPr>
          <w:rFonts w:ascii="Times New Roman" w:hAnsi="Times New Roman" w:cs="Times New Roman"/>
          <w:sz w:val="24"/>
          <w:szCs w:val="24"/>
        </w:rPr>
        <w:t>in connection with the application.</w:t>
      </w: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6F2E015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 may be accessed from </w:t>
      </w:r>
      <w:hyperlink r:id="rId11"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2"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3"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6B8A9C6E" w:rsidR="0050197A" w:rsidRPr="00361A1D" w:rsidRDefault="0050197A" w:rsidP="001A7C14">
      <w:pPr>
        <w:autoSpaceDE w:val="0"/>
        <w:autoSpaceDN w:val="0"/>
        <w:adjustRightInd w:val="0"/>
        <w:spacing w:after="0"/>
        <w:rPr>
          <w:rStyle w:val="Hyperlink"/>
          <w:color w:val="auto"/>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4"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5"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6"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5C28F12F" w:rsidR="005B70D2"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29B98CF7" w14:textId="25605973" w:rsidR="002754C0" w:rsidRDefault="002754C0" w:rsidP="001A7C14">
      <w:pPr>
        <w:autoSpaceDE w:val="0"/>
        <w:autoSpaceDN w:val="0"/>
        <w:adjustRightInd w:val="0"/>
        <w:spacing w:after="0"/>
        <w:rPr>
          <w:rFonts w:ascii="Times New Roman" w:eastAsia="Times New Roman" w:hAnsi="Times New Roman" w:cs="Times New Roman"/>
          <w:sz w:val="24"/>
          <w:szCs w:val="24"/>
          <w:lang w:eastAsia="en-AU"/>
        </w:rPr>
      </w:pPr>
      <w:r w:rsidRPr="002754C0">
        <w:rPr>
          <w:rFonts w:ascii="Times New Roman" w:eastAsia="Times New Roman" w:hAnsi="Times New Roman" w:cs="Times New Roman"/>
          <w:sz w:val="24"/>
          <w:szCs w:val="24"/>
          <w:lang w:eastAsia="en-AU"/>
        </w:rPr>
        <w:t>The Determination</w:t>
      </w:r>
      <w:r>
        <w:rPr>
          <w:rFonts w:ascii="Times New Roman" w:eastAsia="Times New Roman" w:hAnsi="Times New Roman" w:cs="Times New Roman"/>
          <w:sz w:val="24"/>
          <w:szCs w:val="24"/>
          <w:lang w:eastAsia="en-AU"/>
        </w:rPr>
        <w:t xml:space="preserve"> also incorporates matters by reference to the ‘code tables’ and the ‘TGA eBusiness Services’ in section 4. The code tables are define</w:t>
      </w:r>
      <w:r w:rsidR="001759DB">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 as the tables accessed via the </w:t>
      </w:r>
      <w:r>
        <w:rPr>
          <w:rFonts w:ascii="Times New Roman" w:eastAsia="Times New Roman" w:hAnsi="Times New Roman" w:cs="Times New Roman"/>
          <w:i/>
          <w:iCs/>
          <w:sz w:val="24"/>
          <w:szCs w:val="24"/>
          <w:lang w:eastAsia="en-AU"/>
        </w:rPr>
        <w:t>Code Tables</w:t>
      </w:r>
      <w:r>
        <w:rPr>
          <w:rFonts w:ascii="Times New Roman" w:eastAsia="Times New Roman" w:hAnsi="Times New Roman" w:cs="Times New Roman"/>
          <w:sz w:val="24"/>
          <w:szCs w:val="24"/>
          <w:lang w:eastAsia="en-AU"/>
        </w:rPr>
        <w:t xml:space="preserve"> item in the </w:t>
      </w:r>
      <w:r>
        <w:rPr>
          <w:rFonts w:ascii="Times New Roman" w:eastAsia="Times New Roman" w:hAnsi="Times New Roman" w:cs="Times New Roman"/>
          <w:i/>
          <w:iCs/>
          <w:sz w:val="24"/>
          <w:szCs w:val="24"/>
          <w:lang w:eastAsia="en-AU"/>
        </w:rPr>
        <w:t>Public TGA Information</w:t>
      </w:r>
      <w:r>
        <w:rPr>
          <w:rFonts w:ascii="Times New Roman" w:eastAsia="Times New Roman" w:hAnsi="Times New Roman" w:cs="Times New Roman"/>
          <w:sz w:val="24"/>
          <w:szCs w:val="24"/>
          <w:lang w:eastAsia="en-AU"/>
        </w:rPr>
        <w:t xml:space="preserve"> menu in TGA eBusiness Services. ‘TGA eBusiness Services’ is defined as meaning TGA eBusiness Services on the Therapeutic Goods Administration website, which may be accessed on the internet at </w:t>
      </w:r>
      <w:hyperlink r:id="rId17" w:history="1">
        <w:r w:rsidRPr="00B03A0B">
          <w:rPr>
            <w:rStyle w:val="Hyperlink"/>
            <w:rFonts w:ascii="Times New Roman" w:eastAsia="Times New Roman" w:hAnsi="Times New Roman" w:cs="Times New Roman"/>
            <w:sz w:val="24"/>
            <w:szCs w:val="24"/>
            <w:lang w:eastAsia="en-AU"/>
          </w:rPr>
          <w:t>www.ebs.tga.gov.au</w:t>
        </w:r>
      </w:hyperlink>
      <w:r>
        <w:rPr>
          <w:rFonts w:ascii="Times New Roman" w:eastAsia="Times New Roman" w:hAnsi="Times New Roman" w:cs="Times New Roman"/>
          <w:sz w:val="24"/>
          <w:szCs w:val="24"/>
          <w:lang w:eastAsia="en-AU"/>
        </w:rPr>
        <w:t>. Both the code tables accessed in TGA eBusiness Services, and the TGA eBusiness Services, are incorporated as in force or existing from time to time, as permitted by subsection 26BB(8) of the Act. They are both freely available from the TGA website.</w:t>
      </w:r>
    </w:p>
    <w:p w14:paraId="49AE349E" w14:textId="77777777" w:rsidR="002754C0" w:rsidRPr="002754C0" w:rsidRDefault="002754C0"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lastRenderedPageBreak/>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35CAC89A"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8"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w:t>
      </w:r>
      <w:r w:rsidR="001759DB">
        <w:rPr>
          <w:rFonts w:ascii="Times New Roman" w:hAnsi="Times New Roman" w:cs="Times New Roman"/>
          <w:sz w:val="24"/>
          <w:szCs w:val="24"/>
        </w:rPr>
        <w:t>.</w:t>
      </w:r>
      <w:r w:rsidRPr="00B13B06">
        <w:rPr>
          <w:rFonts w:ascii="Times New Roman" w:hAnsi="Times New Roman" w:cs="Times New Roman"/>
          <w:sz w:val="24"/>
          <w:szCs w:val="24"/>
        </w:rPr>
        <w:t xml:space="preserve"> </w:t>
      </w:r>
      <w:r w:rsidR="001759DB">
        <w:rPr>
          <w:rFonts w:ascii="Times New Roman" w:hAnsi="Times New Roman" w:cs="Times New Roman"/>
          <w:sz w:val="24"/>
          <w:szCs w:val="24"/>
        </w:rPr>
        <w:t>Fees apply in relation to the making of such</w:t>
      </w:r>
      <w:r w:rsidRPr="00B13B06">
        <w:rPr>
          <w:rFonts w:ascii="Times New Roman" w:hAnsi="Times New Roman" w:cs="Times New Roman"/>
          <w:sz w:val="24"/>
          <w:szCs w:val="24"/>
        </w:rPr>
        <w:t xml:space="preserve"> a request</w:t>
      </w:r>
      <w:r w:rsidR="001759DB">
        <w:rPr>
          <w:rFonts w:ascii="Times New Roman" w:hAnsi="Times New Roman" w:cs="Times New Roman"/>
          <w:sz w:val="24"/>
          <w:szCs w:val="24"/>
        </w:rPr>
        <w:t>.</w:t>
      </w:r>
      <w:r w:rsidRPr="00B13B06">
        <w:rPr>
          <w:rFonts w:ascii="Times New Roman" w:hAnsi="Times New Roman" w:cs="Times New Roman"/>
          <w:sz w:val="24"/>
          <w:szCs w:val="24"/>
        </w:rPr>
        <w:t xml:space="preserve"> </w:t>
      </w:r>
      <w:r w:rsidR="001759DB">
        <w:rPr>
          <w:rFonts w:ascii="Times New Roman" w:hAnsi="Times New Roman" w:cs="Times New Roman"/>
          <w:sz w:val="24"/>
          <w:szCs w:val="24"/>
        </w:rPr>
        <w:t>E</w:t>
      </w:r>
      <w:r w:rsidRPr="00B13B06">
        <w:rPr>
          <w:rFonts w:ascii="Times New Roman" w:hAnsi="Times New Roman" w:cs="Times New Roman"/>
          <w:sz w:val="24"/>
          <w:szCs w:val="24"/>
        </w:rPr>
        <w:t xml:space="preserve">nquiries should be made with local libraries, State libraries </w:t>
      </w:r>
      <w:r w:rsidR="001759DB">
        <w:rPr>
          <w:rFonts w:ascii="Times New Roman" w:hAnsi="Times New Roman" w:cs="Times New Roman"/>
          <w:sz w:val="24"/>
          <w:szCs w:val="24"/>
        </w:rPr>
        <w:t>or</w:t>
      </w:r>
      <w:r w:rsidR="001759DB" w:rsidRPr="00B13B06">
        <w:rPr>
          <w:rFonts w:ascii="Times New Roman" w:hAnsi="Times New Roman" w:cs="Times New Roman"/>
          <w:sz w:val="24"/>
          <w:szCs w:val="24"/>
        </w:rPr>
        <w:t xml:space="preserve"> </w:t>
      </w:r>
      <w:r w:rsidRPr="00B13B06">
        <w:rPr>
          <w:rFonts w:ascii="Times New Roman" w:hAnsi="Times New Roman" w:cs="Times New Roman"/>
          <w:sz w:val="24"/>
          <w:szCs w:val="24"/>
        </w:rPr>
        <w:t>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9"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52F58174"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8C2503">
        <w:rPr>
          <w:rFonts w:ascii="Times New Roman" w:hAnsi="Times New Roman" w:cs="Times New Roman"/>
          <w:sz w:val="24"/>
          <w:szCs w:val="24"/>
        </w:rPr>
        <w:t>1 March 2022</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6F497AB2"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272777">
        <w:rPr>
          <w:rFonts w:ascii="Times New Roman" w:eastAsia="Times New Roman" w:hAnsi="Times New Roman" w:cs="Times New Roman"/>
          <w:b/>
          <w:i/>
          <w:sz w:val="24"/>
          <w:szCs w:val="24"/>
          <w:lang w:eastAsia="en-AU"/>
        </w:rPr>
        <w:t>2</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7D0E5400"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272777">
        <w:rPr>
          <w:rFonts w:ascii="Times New Roman" w:eastAsia="Times New Roman" w:hAnsi="Times New Roman" w:cs="Times New Roman"/>
          <w:i/>
          <w:sz w:val="24"/>
          <w:szCs w:val="24"/>
          <w:lang w:eastAsia="en-AU"/>
        </w:rPr>
        <w:t>2</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2F7410E4"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 xml:space="preserve">on </w:t>
      </w:r>
      <w:r w:rsidR="00384E0A">
        <w:rPr>
          <w:rFonts w:ascii="Times New Roman" w:eastAsia="Times New Roman" w:hAnsi="Times New Roman" w:cs="Times New Roman"/>
          <w:sz w:val="24"/>
          <w:szCs w:val="24"/>
          <w:lang w:eastAsia="en-AU"/>
        </w:rPr>
        <w:t>1 March 2022</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 xml:space="preserve">Permissible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50AA2038"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272777">
        <w:rPr>
          <w:rFonts w:ascii="Times New Roman" w:eastAsia="Times New Roman" w:hAnsi="Times New Roman" w:cs="Times New Roman"/>
          <w:i/>
          <w:iCs/>
          <w:sz w:val="24"/>
          <w:szCs w:val="24"/>
          <w:lang w:eastAsia="en-AU"/>
        </w:rPr>
        <w:t>1</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272777">
        <w:rPr>
          <w:rFonts w:ascii="Times New Roman" w:eastAsia="Times New Roman" w:hAnsi="Times New Roman" w:cs="Times New Roman"/>
          <w:i/>
          <w:iCs/>
          <w:sz w:val="24"/>
          <w:szCs w:val="24"/>
          <w:lang w:eastAsia="en-AU"/>
        </w:rPr>
        <w:t>2</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6B76FD1C"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272777">
        <w:rPr>
          <w:rFonts w:ascii="Times New Roman" w:eastAsia="Times New Roman" w:hAnsi="Times New Roman" w:cs="Times New Roman"/>
          <w:b/>
          <w:i/>
          <w:sz w:val="24"/>
          <w:szCs w:val="24"/>
          <w:lang w:eastAsia="en-AU"/>
        </w:rPr>
        <w:t>2</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DA4FA9A"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4C0638">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79C70A34"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4C0638">
        <w:rPr>
          <w:rFonts w:ascii="Times New Roman" w:eastAsia="Times New Roman" w:hAnsi="Times New Roman" w:cs="Times New Roman"/>
          <w:i/>
          <w:iCs/>
          <w:sz w:val="24"/>
          <w:szCs w:val="24"/>
          <w:lang w:eastAsia="en-AU"/>
        </w:rPr>
        <w:t>1</w:t>
      </w:r>
      <w:r w:rsidRPr="00D731D4">
        <w:rPr>
          <w:rFonts w:ascii="Times New Roman" w:eastAsia="Times New Roman" w:hAnsi="Times New Roman" w:cs="Times New Roman"/>
          <w:i/>
          <w:iCs/>
          <w:sz w:val="24"/>
          <w:szCs w:val="24"/>
          <w:lang w:eastAsia="en-AU"/>
        </w:rPr>
        <w:t xml:space="preserve">) </w:t>
      </w:r>
      <w:r w:rsidR="004C0638" w:rsidRPr="00361A1D">
        <w:rPr>
          <w:rFonts w:ascii="Times New Roman" w:eastAsia="Times New Roman" w:hAnsi="Times New Roman" w:cs="Times New Roman"/>
          <w:i/>
          <w:iCs/>
          <w:sz w:val="24"/>
          <w:szCs w:val="24"/>
          <w:lang w:eastAsia="en-AU"/>
        </w:rPr>
        <w:t>2022</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53B4AD1" w14:textId="2BED89AC" w:rsidR="00410762" w:rsidRDefault="00410762" w:rsidP="00361A1D">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xml:space="preserve"> incorporates a number of changes in comparison to the former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including in particular:</w:t>
      </w:r>
    </w:p>
    <w:p w14:paraId="79EAE4A6" w14:textId="77777777" w:rsidR="00361A1D" w:rsidRDefault="00361A1D" w:rsidP="00361A1D">
      <w:pPr>
        <w:pStyle w:val="ListParagraph"/>
        <w:numPr>
          <w:ilvl w:val="0"/>
          <w:numId w:val="11"/>
        </w:numPr>
      </w:pPr>
      <w:r>
        <w:t>the addition of new ingredient ‘</w:t>
      </w:r>
      <w:r w:rsidRPr="003846D3">
        <w:rPr>
          <w:i/>
          <w:iCs/>
        </w:rPr>
        <w:t>Euglena</w:t>
      </w:r>
      <w:r w:rsidRPr="003846D3">
        <w:t xml:space="preserve"> </w:t>
      </w:r>
      <w:r w:rsidRPr="003846D3">
        <w:rPr>
          <w:i/>
          <w:iCs/>
        </w:rPr>
        <w:t>gracilis</w:t>
      </w:r>
      <w:r w:rsidRPr="003846D3">
        <w:t xml:space="preserve"> whole cell dry</w:t>
      </w:r>
      <w:r>
        <w:t>’</w:t>
      </w:r>
      <w:r w:rsidRPr="003846D3">
        <w:t xml:space="preserve"> for use in listed and assessed listed medicines</w:t>
      </w:r>
      <w:r>
        <w:t>;</w:t>
      </w:r>
    </w:p>
    <w:p w14:paraId="4352BA34" w14:textId="77777777" w:rsidR="00361A1D" w:rsidRDefault="00361A1D" w:rsidP="00361A1D">
      <w:pPr>
        <w:pStyle w:val="ListParagraph"/>
        <w:numPr>
          <w:ilvl w:val="0"/>
          <w:numId w:val="11"/>
        </w:numPr>
      </w:pPr>
      <w:r>
        <w:t>u</w:t>
      </w:r>
      <w:r w:rsidRPr="003846D3">
        <w:t>pdat</w:t>
      </w:r>
      <w:r>
        <w:t>es to</w:t>
      </w:r>
      <w:r w:rsidRPr="003846D3">
        <w:t xml:space="preserve"> the ingredient name ‘</w:t>
      </w:r>
      <w:r w:rsidRPr="003846D3">
        <w:rPr>
          <w:i/>
          <w:iCs/>
        </w:rPr>
        <w:t>Cistus ladaniferus</w:t>
      </w:r>
      <w:r w:rsidRPr="003846D3">
        <w:t>’ to ‘</w:t>
      </w:r>
      <w:r w:rsidRPr="003846D3">
        <w:rPr>
          <w:i/>
          <w:iCs/>
        </w:rPr>
        <w:t>Cistus ladanifer</w:t>
      </w:r>
      <w:r w:rsidRPr="003846D3">
        <w:t xml:space="preserve">’ to align </w:t>
      </w:r>
      <w:r>
        <w:t xml:space="preserve">the name of this ingredient in the Determination </w:t>
      </w:r>
      <w:r w:rsidRPr="003846D3">
        <w:t>with the Australian Approved Names List</w:t>
      </w:r>
      <w:r>
        <w:t>; and</w:t>
      </w:r>
    </w:p>
    <w:p w14:paraId="57BE2725" w14:textId="77777777" w:rsidR="00361A1D" w:rsidRPr="003846D3" w:rsidRDefault="00361A1D" w:rsidP="00361A1D">
      <w:pPr>
        <w:pStyle w:val="ListParagraph"/>
        <w:numPr>
          <w:ilvl w:val="0"/>
          <w:numId w:val="11"/>
        </w:numPr>
      </w:pPr>
      <w:r w:rsidRPr="003846D3">
        <w:t>updates to applicable requirements for the following ingredients:</w:t>
      </w:r>
    </w:p>
    <w:p w14:paraId="34F09082" w14:textId="77777777" w:rsidR="00361A1D" w:rsidRPr="003846D3" w:rsidRDefault="00361A1D" w:rsidP="00361A1D">
      <w:pPr>
        <w:pStyle w:val="ListParagraph"/>
        <w:numPr>
          <w:ilvl w:val="1"/>
          <w:numId w:val="11"/>
        </w:numPr>
      </w:pPr>
      <w:r w:rsidRPr="003846D3">
        <w:rPr>
          <w:i/>
          <w:iCs/>
        </w:rPr>
        <w:t xml:space="preserve">Andrographis paniculata, </w:t>
      </w:r>
      <w:r w:rsidRPr="003846D3">
        <w:t>and 17 inorganic magnesium salts, to reflect the expiry of transition periods for requirements relating to those ingredients;</w:t>
      </w:r>
    </w:p>
    <w:p w14:paraId="0BE48B72" w14:textId="77777777" w:rsidR="00361A1D" w:rsidRPr="003846D3" w:rsidRDefault="00361A1D" w:rsidP="00361A1D">
      <w:pPr>
        <w:pStyle w:val="ListParagraph"/>
        <w:numPr>
          <w:ilvl w:val="1"/>
          <w:numId w:val="11"/>
        </w:numPr>
        <w:spacing w:before="0" w:beforeAutospacing="0" w:after="120" w:afterAutospacing="0"/>
        <w:contextualSpacing/>
        <w:rPr>
          <w:lang w:eastAsia="en-US"/>
        </w:rPr>
      </w:pPr>
      <w:r>
        <w:rPr>
          <w:lang w:eastAsia="en-US"/>
        </w:rPr>
        <w:t>‘s</w:t>
      </w:r>
      <w:r w:rsidRPr="003846D3">
        <w:rPr>
          <w:lang w:eastAsia="en-US"/>
        </w:rPr>
        <w:t>pray-dried glucose syrup</w:t>
      </w:r>
      <w:r>
        <w:rPr>
          <w:lang w:eastAsia="en-US"/>
        </w:rPr>
        <w:t>’</w:t>
      </w:r>
      <w:r w:rsidRPr="003846D3">
        <w:rPr>
          <w:lang w:eastAsia="en-US"/>
        </w:rPr>
        <w:t xml:space="preserve"> and </w:t>
      </w:r>
      <w:r>
        <w:rPr>
          <w:lang w:eastAsia="en-US"/>
        </w:rPr>
        <w:t>‘s</w:t>
      </w:r>
      <w:r w:rsidRPr="003846D3">
        <w:rPr>
          <w:lang w:eastAsia="en-US"/>
        </w:rPr>
        <w:t>pray-dried liquid glucose</w:t>
      </w:r>
      <w:r>
        <w:rPr>
          <w:lang w:eastAsia="en-US"/>
        </w:rPr>
        <w:t>’</w:t>
      </w:r>
      <w:r w:rsidRPr="003846D3">
        <w:rPr>
          <w:lang w:eastAsia="en-US"/>
        </w:rPr>
        <w:t xml:space="preserve">, to reflect </w:t>
      </w:r>
      <w:r>
        <w:rPr>
          <w:lang w:eastAsia="en-US"/>
        </w:rPr>
        <w:t>that these ingredients have been evaluated for, and are considered safe and suitable</w:t>
      </w:r>
      <w:r w:rsidRPr="003846D3">
        <w:rPr>
          <w:lang w:eastAsia="en-US"/>
        </w:rPr>
        <w:t xml:space="preserve"> for</w:t>
      </w:r>
      <w:r>
        <w:rPr>
          <w:lang w:eastAsia="en-US"/>
        </w:rPr>
        <w:t>,</w:t>
      </w:r>
      <w:r w:rsidRPr="003846D3">
        <w:rPr>
          <w:lang w:eastAsia="en-US"/>
        </w:rPr>
        <w:t xml:space="preserve"> general use as an excipient for oral routes of administration</w:t>
      </w:r>
      <w:r>
        <w:rPr>
          <w:lang w:eastAsia="en-US"/>
        </w:rPr>
        <w:t xml:space="preserve"> in listed and assessed listed medicines;</w:t>
      </w:r>
    </w:p>
    <w:p w14:paraId="59C63B13" w14:textId="77777777" w:rsidR="00361A1D" w:rsidRPr="003846D3" w:rsidRDefault="00361A1D" w:rsidP="00361A1D">
      <w:pPr>
        <w:pStyle w:val="ListParagraph"/>
        <w:numPr>
          <w:ilvl w:val="1"/>
          <w:numId w:val="11"/>
        </w:numPr>
        <w:shd w:val="clear" w:color="auto" w:fill="FFFFFF"/>
      </w:pPr>
      <w:r>
        <w:t>‘</w:t>
      </w:r>
      <w:r w:rsidRPr="003846D3">
        <w:t>benzalkonium chloride</w:t>
      </w:r>
      <w:r>
        <w:t>’</w:t>
      </w:r>
      <w:r w:rsidRPr="003846D3">
        <w:t>, to reflect an identified risk of bronchospasm associated with that ingredient when used in nasal sprays;</w:t>
      </w:r>
    </w:p>
    <w:p w14:paraId="24D53D9E" w14:textId="77777777" w:rsidR="00361A1D" w:rsidRPr="003846D3" w:rsidRDefault="00361A1D" w:rsidP="00361A1D">
      <w:pPr>
        <w:pStyle w:val="ListParagraph"/>
        <w:numPr>
          <w:ilvl w:val="1"/>
          <w:numId w:val="11"/>
        </w:numPr>
        <w:shd w:val="clear" w:color="auto" w:fill="FFFFFF"/>
      </w:pPr>
      <w:r w:rsidRPr="003846D3">
        <w:lastRenderedPageBreak/>
        <w:t>8 mollusc and mollusc-derived ingredients, to reflect an identified risk of allergenicity associated with those ingredients;</w:t>
      </w:r>
    </w:p>
    <w:p w14:paraId="23A99797" w14:textId="77777777" w:rsidR="00361A1D" w:rsidRPr="003846D3" w:rsidRDefault="00361A1D" w:rsidP="00361A1D">
      <w:pPr>
        <w:pStyle w:val="ListParagraph"/>
        <w:numPr>
          <w:ilvl w:val="1"/>
          <w:numId w:val="11"/>
        </w:numPr>
        <w:shd w:val="clear" w:color="auto" w:fill="FFFFFF"/>
      </w:pPr>
      <w:r>
        <w:t>‘</w:t>
      </w:r>
      <w:r w:rsidRPr="003846D3">
        <w:t>pyridoxal 5-phosphate</w:t>
      </w:r>
      <w:r>
        <w:t>’</w:t>
      </w:r>
      <w:r w:rsidRPr="003846D3">
        <w:t xml:space="preserve">, </w:t>
      </w:r>
      <w:r>
        <w:t>‘</w:t>
      </w:r>
      <w:r w:rsidRPr="003846D3">
        <w:t>pyridoxal 5-phosphate monohydrate</w:t>
      </w:r>
      <w:r>
        <w:t>’</w:t>
      </w:r>
      <w:r w:rsidRPr="003846D3">
        <w:t xml:space="preserve">, and </w:t>
      </w:r>
      <w:r>
        <w:t>‘</w:t>
      </w:r>
      <w:r w:rsidRPr="003846D3">
        <w:t>pyridoxine hydrochloride</w:t>
      </w:r>
      <w:r>
        <w:t>’</w:t>
      </w:r>
      <w:r w:rsidRPr="003846D3">
        <w:t>, to reflect an identified risk of neuropathy associated with those ingredients;</w:t>
      </w:r>
    </w:p>
    <w:p w14:paraId="3C293061" w14:textId="77777777" w:rsidR="00361A1D" w:rsidRDefault="00361A1D" w:rsidP="00361A1D">
      <w:pPr>
        <w:pStyle w:val="ListParagraph"/>
        <w:numPr>
          <w:ilvl w:val="1"/>
          <w:numId w:val="11"/>
        </w:numPr>
        <w:shd w:val="clear" w:color="auto" w:fill="FFFFFF"/>
      </w:pPr>
      <w:r w:rsidRPr="003846D3">
        <w:t xml:space="preserve">4 </w:t>
      </w:r>
      <w:r w:rsidRPr="003846D3">
        <w:rPr>
          <w:i/>
          <w:iCs/>
        </w:rPr>
        <w:t xml:space="preserve">Artemisia </w:t>
      </w:r>
      <w:r w:rsidRPr="003846D3">
        <w:t>species known to contain artemisinin, to reflect an identified risk of embryotoxicity associated with that substance;</w:t>
      </w:r>
      <w:r>
        <w:t xml:space="preserve"> and</w:t>
      </w:r>
    </w:p>
    <w:p w14:paraId="1331DFBE" w14:textId="77777777" w:rsidR="00361A1D" w:rsidRPr="003846D3" w:rsidRDefault="00361A1D" w:rsidP="00361A1D">
      <w:pPr>
        <w:pStyle w:val="ListParagraph"/>
        <w:numPr>
          <w:ilvl w:val="1"/>
          <w:numId w:val="11"/>
        </w:numPr>
        <w:shd w:val="clear" w:color="auto" w:fill="FFFFFF"/>
      </w:pPr>
      <w:r w:rsidRPr="003846D3">
        <w:t>‘</w:t>
      </w:r>
      <w:r w:rsidRPr="003846D3">
        <w:rPr>
          <w:i/>
          <w:iCs/>
        </w:rPr>
        <w:t>Cassia fistula’</w:t>
      </w:r>
      <w:r>
        <w:t>, to reflect that this ingredient has been evaluated for, and is considered safe and suitable for,</w:t>
      </w:r>
      <w:r w:rsidRPr="003846D3">
        <w:rPr>
          <w:i/>
          <w:iCs/>
        </w:rPr>
        <w:t xml:space="preserve"> </w:t>
      </w:r>
      <w:r w:rsidRPr="003846D3">
        <w:t>use as part of flavour and fragrance proprietary excipient formulations</w:t>
      </w:r>
      <w:r>
        <w:t xml:space="preserve"> in listed and assessed listed medicines.</w:t>
      </w:r>
    </w:p>
    <w:p w14:paraId="4931EE39" w14:textId="77777777" w:rsidR="00410762" w:rsidRPr="00E011DB" w:rsidRDefault="00410762" w:rsidP="00410762">
      <w:pPr>
        <w:autoSpaceDE w:val="0"/>
        <w:autoSpaceDN w:val="0"/>
        <w:adjustRightInd w:val="0"/>
        <w:spacing w:before="120" w:after="0" w:line="240" w:lineRule="auto"/>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20"/>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FF8F0" w14:textId="77777777" w:rsidR="00DF25C4" w:rsidRDefault="00DF25C4" w:rsidP="008939B1">
      <w:pPr>
        <w:spacing w:after="0" w:line="240" w:lineRule="auto"/>
      </w:pPr>
      <w:r>
        <w:separator/>
      </w:r>
    </w:p>
    <w:p w14:paraId="4D4DE79A" w14:textId="77777777" w:rsidR="00DF25C4" w:rsidRDefault="00DF25C4"/>
  </w:endnote>
  <w:endnote w:type="continuationSeparator" w:id="0">
    <w:p w14:paraId="5D09D272" w14:textId="77777777" w:rsidR="00DF25C4" w:rsidRDefault="00DF25C4" w:rsidP="008939B1">
      <w:pPr>
        <w:spacing w:after="0" w:line="240" w:lineRule="auto"/>
      </w:pPr>
      <w:r>
        <w:continuationSeparator/>
      </w:r>
    </w:p>
    <w:p w14:paraId="5CDB4CE2" w14:textId="77777777" w:rsidR="00DF25C4" w:rsidRDefault="00DF2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D9DA5" w14:textId="77777777" w:rsidR="00DF25C4" w:rsidRDefault="00DF25C4" w:rsidP="008939B1">
      <w:pPr>
        <w:spacing w:after="0" w:line="240" w:lineRule="auto"/>
      </w:pPr>
      <w:r>
        <w:separator/>
      </w:r>
    </w:p>
    <w:p w14:paraId="19E5C219" w14:textId="77777777" w:rsidR="00DF25C4" w:rsidRDefault="00DF25C4"/>
  </w:footnote>
  <w:footnote w:type="continuationSeparator" w:id="0">
    <w:p w14:paraId="16112B54" w14:textId="77777777" w:rsidR="00DF25C4" w:rsidRDefault="00DF25C4" w:rsidP="008939B1">
      <w:pPr>
        <w:spacing w:after="0" w:line="240" w:lineRule="auto"/>
      </w:pPr>
      <w:r>
        <w:continuationSeparator/>
      </w:r>
    </w:p>
    <w:p w14:paraId="2BB7FA60" w14:textId="77777777" w:rsidR="00DF25C4" w:rsidRDefault="00DF2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3"/>
  </w:num>
  <w:num w:numId="4">
    <w:abstractNumId w:val="1"/>
  </w:num>
  <w:num w:numId="5">
    <w:abstractNumId w:val="4"/>
  </w:num>
  <w:num w:numId="6">
    <w:abstractNumId w:val="12"/>
  </w:num>
  <w:num w:numId="7">
    <w:abstractNumId w:val="26"/>
  </w:num>
  <w:num w:numId="8">
    <w:abstractNumId w:val="23"/>
  </w:num>
  <w:num w:numId="9">
    <w:abstractNumId w:val="5"/>
  </w:num>
  <w:num w:numId="10">
    <w:abstractNumId w:val="15"/>
  </w:num>
  <w:num w:numId="11">
    <w:abstractNumId w:val="17"/>
  </w:num>
  <w:num w:numId="12">
    <w:abstractNumId w:val="34"/>
  </w:num>
  <w:num w:numId="13">
    <w:abstractNumId w:val="3"/>
  </w:num>
  <w:num w:numId="14">
    <w:abstractNumId w:val="2"/>
  </w:num>
  <w:num w:numId="15">
    <w:abstractNumId w:val="18"/>
  </w:num>
  <w:num w:numId="16">
    <w:abstractNumId w:val="8"/>
  </w:num>
  <w:num w:numId="17">
    <w:abstractNumId w:val="24"/>
  </w:num>
  <w:num w:numId="18">
    <w:abstractNumId w:val="32"/>
  </w:num>
  <w:num w:numId="19">
    <w:abstractNumId w:val="25"/>
  </w:num>
  <w:num w:numId="20">
    <w:abstractNumId w:val="16"/>
  </w:num>
  <w:num w:numId="21">
    <w:abstractNumId w:val="17"/>
  </w:num>
  <w:num w:numId="22">
    <w:abstractNumId w:val="9"/>
  </w:num>
  <w:num w:numId="23">
    <w:abstractNumId w:val="22"/>
  </w:num>
  <w:num w:numId="24">
    <w:abstractNumId w:val="6"/>
  </w:num>
  <w:num w:numId="25">
    <w:abstractNumId w:val="13"/>
  </w:num>
  <w:num w:numId="26">
    <w:abstractNumId w:val="11"/>
  </w:num>
  <w:num w:numId="27">
    <w:abstractNumId w:val="30"/>
  </w:num>
  <w:num w:numId="28">
    <w:abstractNumId w:val="28"/>
  </w:num>
  <w:num w:numId="29">
    <w:abstractNumId w:val="14"/>
  </w:num>
  <w:num w:numId="30">
    <w:abstractNumId w:val="29"/>
  </w:num>
  <w:num w:numId="31">
    <w:abstractNumId w:val="20"/>
  </w:num>
  <w:num w:numId="32">
    <w:abstractNumId w:val="0"/>
  </w:num>
  <w:num w:numId="33">
    <w:abstractNumId w:val="31"/>
  </w:num>
  <w:num w:numId="34">
    <w:abstractNumId w:val="7"/>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8FF"/>
    <w:rsid w:val="00020744"/>
    <w:rsid w:val="000253EC"/>
    <w:rsid w:val="00027571"/>
    <w:rsid w:val="00032FAE"/>
    <w:rsid w:val="0003396A"/>
    <w:rsid w:val="000374FB"/>
    <w:rsid w:val="00042274"/>
    <w:rsid w:val="00045778"/>
    <w:rsid w:val="00045C71"/>
    <w:rsid w:val="00050B0F"/>
    <w:rsid w:val="00055505"/>
    <w:rsid w:val="00055DF5"/>
    <w:rsid w:val="0006051F"/>
    <w:rsid w:val="00062590"/>
    <w:rsid w:val="000637B0"/>
    <w:rsid w:val="00063951"/>
    <w:rsid w:val="00064FDE"/>
    <w:rsid w:val="00066B2F"/>
    <w:rsid w:val="00066CCA"/>
    <w:rsid w:val="000727D2"/>
    <w:rsid w:val="00072A36"/>
    <w:rsid w:val="00073166"/>
    <w:rsid w:val="00073AFE"/>
    <w:rsid w:val="000743AA"/>
    <w:rsid w:val="000805C8"/>
    <w:rsid w:val="00082CAB"/>
    <w:rsid w:val="00083EC1"/>
    <w:rsid w:val="00092EDD"/>
    <w:rsid w:val="0009412D"/>
    <w:rsid w:val="00096077"/>
    <w:rsid w:val="000A6A62"/>
    <w:rsid w:val="000A7327"/>
    <w:rsid w:val="000B0556"/>
    <w:rsid w:val="000B2796"/>
    <w:rsid w:val="000B55C8"/>
    <w:rsid w:val="000C363D"/>
    <w:rsid w:val="000D25BE"/>
    <w:rsid w:val="000D3185"/>
    <w:rsid w:val="000D3F52"/>
    <w:rsid w:val="000D444D"/>
    <w:rsid w:val="000D45A0"/>
    <w:rsid w:val="000D56EB"/>
    <w:rsid w:val="000E1C1C"/>
    <w:rsid w:val="000E3020"/>
    <w:rsid w:val="000E74EA"/>
    <w:rsid w:val="000F4D51"/>
    <w:rsid w:val="000F7DDF"/>
    <w:rsid w:val="00102F88"/>
    <w:rsid w:val="00104D9E"/>
    <w:rsid w:val="00113AE2"/>
    <w:rsid w:val="0011431C"/>
    <w:rsid w:val="00114578"/>
    <w:rsid w:val="001160DE"/>
    <w:rsid w:val="00123510"/>
    <w:rsid w:val="001260D9"/>
    <w:rsid w:val="00126D3F"/>
    <w:rsid w:val="001323EA"/>
    <w:rsid w:val="0013266B"/>
    <w:rsid w:val="0013620C"/>
    <w:rsid w:val="00141384"/>
    <w:rsid w:val="00142FE8"/>
    <w:rsid w:val="00143BEC"/>
    <w:rsid w:val="00145ED6"/>
    <w:rsid w:val="001503DB"/>
    <w:rsid w:val="0015083D"/>
    <w:rsid w:val="00151A1A"/>
    <w:rsid w:val="00151C11"/>
    <w:rsid w:val="0015421F"/>
    <w:rsid w:val="001632C0"/>
    <w:rsid w:val="00166D53"/>
    <w:rsid w:val="001759DB"/>
    <w:rsid w:val="00176A8B"/>
    <w:rsid w:val="00177681"/>
    <w:rsid w:val="00180117"/>
    <w:rsid w:val="00187288"/>
    <w:rsid w:val="001874DF"/>
    <w:rsid w:val="00187B3D"/>
    <w:rsid w:val="0019081E"/>
    <w:rsid w:val="00192658"/>
    <w:rsid w:val="0019281D"/>
    <w:rsid w:val="00197C3F"/>
    <w:rsid w:val="00197FE9"/>
    <w:rsid w:val="001A1891"/>
    <w:rsid w:val="001A3695"/>
    <w:rsid w:val="001A4346"/>
    <w:rsid w:val="001A4696"/>
    <w:rsid w:val="001A727D"/>
    <w:rsid w:val="001A7C14"/>
    <w:rsid w:val="001B0FC8"/>
    <w:rsid w:val="001B101E"/>
    <w:rsid w:val="001B2279"/>
    <w:rsid w:val="001B4017"/>
    <w:rsid w:val="001B6A8A"/>
    <w:rsid w:val="001B7598"/>
    <w:rsid w:val="001B7ED3"/>
    <w:rsid w:val="001C1EC4"/>
    <w:rsid w:val="001C3292"/>
    <w:rsid w:val="001C38AF"/>
    <w:rsid w:val="001C5A13"/>
    <w:rsid w:val="001C5E65"/>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326F"/>
    <w:rsid w:val="002156A0"/>
    <w:rsid w:val="00216B37"/>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627C"/>
    <w:rsid w:val="0025799D"/>
    <w:rsid w:val="00260B5E"/>
    <w:rsid w:val="0026142F"/>
    <w:rsid w:val="0026500F"/>
    <w:rsid w:val="00265FB2"/>
    <w:rsid w:val="0026650C"/>
    <w:rsid w:val="002667CB"/>
    <w:rsid w:val="00272777"/>
    <w:rsid w:val="00272FA2"/>
    <w:rsid w:val="00273421"/>
    <w:rsid w:val="002751D3"/>
    <w:rsid w:val="002754C0"/>
    <w:rsid w:val="00275D92"/>
    <w:rsid w:val="00284FF6"/>
    <w:rsid w:val="002855E1"/>
    <w:rsid w:val="0028568A"/>
    <w:rsid w:val="00285CFE"/>
    <w:rsid w:val="00287D9F"/>
    <w:rsid w:val="002903C8"/>
    <w:rsid w:val="0029115B"/>
    <w:rsid w:val="00293C0C"/>
    <w:rsid w:val="002968E0"/>
    <w:rsid w:val="0029743B"/>
    <w:rsid w:val="00297C07"/>
    <w:rsid w:val="002B4F6A"/>
    <w:rsid w:val="002B741E"/>
    <w:rsid w:val="002B7A34"/>
    <w:rsid w:val="002C1322"/>
    <w:rsid w:val="002C4652"/>
    <w:rsid w:val="002D1160"/>
    <w:rsid w:val="002D2381"/>
    <w:rsid w:val="002D3CD4"/>
    <w:rsid w:val="002D3CE9"/>
    <w:rsid w:val="002D67DA"/>
    <w:rsid w:val="002D6999"/>
    <w:rsid w:val="002E6160"/>
    <w:rsid w:val="002F4835"/>
    <w:rsid w:val="002F5583"/>
    <w:rsid w:val="002F6548"/>
    <w:rsid w:val="00301DC3"/>
    <w:rsid w:val="00311A86"/>
    <w:rsid w:val="00312C88"/>
    <w:rsid w:val="00316B98"/>
    <w:rsid w:val="00322EC3"/>
    <w:rsid w:val="0032369E"/>
    <w:rsid w:val="00324BC0"/>
    <w:rsid w:val="003260F5"/>
    <w:rsid w:val="003307B8"/>
    <w:rsid w:val="003327D3"/>
    <w:rsid w:val="0033487C"/>
    <w:rsid w:val="003364B2"/>
    <w:rsid w:val="00337FDB"/>
    <w:rsid w:val="00340F3C"/>
    <w:rsid w:val="00345822"/>
    <w:rsid w:val="0034672A"/>
    <w:rsid w:val="00360394"/>
    <w:rsid w:val="00361A1D"/>
    <w:rsid w:val="003650CC"/>
    <w:rsid w:val="0036611B"/>
    <w:rsid w:val="003661A6"/>
    <w:rsid w:val="003811C0"/>
    <w:rsid w:val="00381A1B"/>
    <w:rsid w:val="0038203D"/>
    <w:rsid w:val="00383396"/>
    <w:rsid w:val="003846D3"/>
    <w:rsid w:val="00384E0A"/>
    <w:rsid w:val="00386656"/>
    <w:rsid w:val="00386781"/>
    <w:rsid w:val="003A0BFB"/>
    <w:rsid w:val="003A20C5"/>
    <w:rsid w:val="003A2811"/>
    <w:rsid w:val="003A3B5E"/>
    <w:rsid w:val="003A3E75"/>
    <w:rsid w:val="003A4D8C"/>
    <w:rsid w:val="003A533A"/>
    <w:rsid w:val="003A59EA"/>
    <w:rsid w:val="003A7110"/>
    <w:rsid w:val="003A73A0"/>
    <w:rsid w:val="003B332D"/>
    <w:rsid w:val="003B4176"/>
    <w:rsid w:val="003B4F23"/>
    <w:rsid w:val="003B6684"/>
    <w:rsid w:val="003B7DAB"/>
    <w:rsid w:val="003C0D62"/>
    <w:rsid w:val="003C657E"/>
    <w:rsid w:val="003C6D6E"/>
    <w:rsid w:val="003C7446"/>
    <w:rsid w:val="003D0612"/>
    <w:rsid w:val="003D610C"/>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82D"/>
    <w:rsid w:val="00405991"/>
    <w:rsid w:val="00406536"/>
    <w:rsid w:val="00406749"/>
    <w:rsid w:val="00410762"/>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4DEC"/>
    <w:rsid w:val="0044599A"/>
    <w:rsid w:val="00446A54"/>
    <w:rsid w:val="00446EA8"/>
    <w:rsid w:val="00456FF8"/>
    <w:rsid w:val="0046157C"/>
    <w:rsid w:val="0046185B"/>
    <w:rsid w:val="00461ED8"/>
    <w:rsid w:val="00465227"/>
    <w:rsid w:val="0046549C"/>
    <w:rsid w:val="00473C48"/>
    <w:rsid w:val="004761AE"/>
    <w:rsid w:val="00477283"/>
    <w:rsid w:val="00482136"/>
    <w:rsid w:val="00490585"/>
    <w:rsid w:val="004937A4"/>
    <w:rsid w:val="00495C5F"/>
    <w:rsid w:val="0049672B"/>
    <w:rsid w:val="004A092E"/>
    <w:rsid w:val="004A4AB5"/>
    <w:rsid w:val="004A68BB"/>
    <w:rsid w:val="004A79B9"/>
    <w:rsid w:val="004A7F16"/>
    <w:rsid w:val="004B0B99"/>
    <w:rsid w:val="004B4DF3"/>
    <w:rsid w:val="004B798D"/>
    <w:rsid w:val="004C0638"/>
    <w:rsid w:val="004C6EFE"/>
    <w:rsid w:val="004D4BA4"/>
    <w:rsid w:val="004D7D5D"/>
    <w:rsid w:val="004E03D6"/>
    <w:rsid w:val="004E05C9"/>
    <w:rsid w:val="004E2CE6"/>
    <w:rsid w:val="004F11F8"/>
    <w:rsid w:val="004F2366"/>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6446"/>
    <w:rsid w:val="00522A66"/>
    <w:rsid w:val="00527073"/>
    <w:rsid w:val="005278A0"/>
    <w:rsid w:val="005300AF"/>
    <w:rsid w:val="00530B7D"/>
    <w:rsid w:val="00530C81"/>
    <w:rsid w:val="0053757F"/>
    <w:rsid w:val="00537597"/>
    <w:rsid w:val="00540CD5"/>
    <w:rsid w:val="00543F77"/>
    <w:rsid w:val="00546044"/>
    <w:rsid w:val="00546C0E"/>
    <w:rsid w:val="0055006E"/>
    <w:rsid w:val="00553D8E"/>
    <w:rsid w:val="00554CD2"/>
    <w:rsid w:val="0055672F"/>
    <w:rsid w:val="00562910"/>
    <w:rsid w:val="005647D9"/>
    <w:rsid w:val="00567254"/>
    <w:rsid w:val="00567C3B"/>
    <w:rsid w:val="00567F6F"/>
    <w:rsid w:val="00571AF3"/>
    <w:rsid w:val="00574882"/>
    <w:rsid w:val="005764DE"/>
    <w:rsid w:val="0057657A"/>
    <w:rsid w:val="00576EB4"/>
    <w:rsid w:val="0058050E"/>
    <w:rsid w:val="00586A79"/>
    <w:rsid w:val="00586D07"/>
    <w:rsid w:val="005873CF"/>
    <w:rsid w:val="00587C76"/>
    <w:rsid w:val="005950FC"/>
    <w:rsid w:val="005975B8"/>
    <w:rsid w:val="005A33B7"/>
    <w:rsid w:val="005A5867"/>
    <w:rsid w:val="005A5B1A"/>
    <w:rsid w:val="005B58AB"/>
    <w:rsid w:val="005B70D2"/>
    <w:rsid w:val="005C1073"/>
    <w:rsid w:val="005C1E01"/>
    <w:rsid w:val="005C30DC"/>
    <w:rsid w:val="005C3927"/>
    <w:rsid w:val="005C475C"/>
    <w:rsid w:val="005D2839"/>
    <w:rsid w:val="005D7A92"/>
    <w:rsid w:val="005E0079"/>
    <w:rsid w:val="005E1A47"/>
    <w:rsid w:val="005E4E3D"/>
    <w:rsid w:val="005F1175"/>
    <w:rsid w:val="005F192D"/>
    <w:rsid w:val="005F2423"/>
    <w:rsid w:val="005F3B1B"/>
    <w:rsid w:val="005F516E"/>
    <w:rsid w:val="005F524B"/>
    <w:rsid w:val="006003F5"/>
    <w:rsid w:val="0060048F"/>
    <w:rsid w:val="0060127F"/>
    <w:rsid w:val="00601754"/>
    <w:rsid w:val="00603428"/>
    <w:rsid w:val="006064B2"/>
    <w:rsid w:val="006068A0"/>
    <w:rsid w:val="00607014"/>
    <w:rsid w:val="00607B58"/>
    <w:rsid w:val="00614793"/>
    <w:rsid w:val="006161DC"/>
    <w:rsid w:val="0062124D"/>
    <w:rsid w:val="0062190F"/>
    <w:rsid w:val="00622033"/>
    <w:rsid w:val="006320B2"/>
    <w:rsid w:val="00632471"/>
    <w:rsid w:val="00632A23"/>
    <w:rsid w:val="00633529"/>
    <w:rsid w:val="00634921"/>
    <w:rsid w:val="0063789C"/>
    <w:rsid w:val="00644F7C"/>
    <w:rsid w:val="00644F8E"/>
    <w:rsid w:val="006469D8"/>
    <w:rsid w:val="006514AF"/>
    <w:rsid w:val="00652960"/>
    <w:rsid w:val="00652BA7"/>
    <w:rsid w:val="00653B08"/>
    <w:rsid w:val="00662750"/>
    <w:rsid w:val="00663231"/>
    <w:rsid w:val="00664338"/>
    <w:rsid w:val="00664CE0"/>
    <w:rsid w:val="006657E3"/>
    <w:rsid w:val="00665E71"/>
    <w:rsid w:val="00667CD4"/>
    <w:rsid w:val="00670213"/>
    <w:rsid w:val="00673DE0"/>
    <w:rsid w:val="00674D24"/>
    <w:rsid w:val="00680B29"/>
    <w:rsid w:val="006850DB"/>
    <w:rsid w:val="00685980"/>
    <w:rsid w:val="00686884"/>
    <w:rsid w:val="00690886"/>
    <w:rsid w:val="0069146E"/>
    <w:rsid w:val="00696602"/>
    <w:rsid w:val="00696C07"/>
    <w:rsid w:val="006A3A8C"/>
    <w:rsid w:val="006A6288"/>
    <w:rsid w:val="006A63BE"/>
    <w:rsid w:val="006B6D92"/>
    <w:rsid w:val="006B6E14"/>
    <w:rsid w:val="006C1D61"/>
    <w:rsid w:val="006C6DF0"/>
    <w:rsid w:val="006C704D"/>
    <w:rsid w:val="006D03F1"/>
    <w:rsid w:val="006D48D4"/>
    <w:rsid w:val="006D4AB8"/>
    <w:rsid w:val="006D5E19"/>
    <w:rsid w:val="006D694B"/>
    <w:rsid w:val="006D768D"/>
    <w:rsid w:val="006E0828"/>
    <w:rsid w:val="006E29EE"/>
    <w:rsid w:val="006E374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457D2"/>
    <w:rsid w:val="00751232"/>
    <w:rsid w:val="0075281F"/>
    <w:rsid w:val="007537FC"/>
    <w:rsid w:val="00753C5B"/>
    <w:rsid w:val="007541DC"/>
    <w:rsid w:val="00761A63"/>
    <w:rsid w:val="00763767"/>
    <w:rsid w:val="00764B50"/>
    <w:rsid w:val="00766F34"/>
    <w:rsid w:val="0077437F"/>
    <w:rsid w:val="0077454E"/>
    <w:rsid w:val="00774E0F"/>
    <w:rsid w:val="00781FEC"/>
    <w:rsid w:val="00784A51"/>
    <w:rsid w:val="00786056"/>
    <w:rsid w:val="007925F3"/>
    <w:rsid w:val="00792F28"/>
    <w:rsid w:val="00793EFA"/>
    <w:rsid w:val="00794D3C"/>
    <w:rsid w:val="0079657C"/>
    <w:rsid w:val="007A06F8"/>
    <w:rsid w:val="007A0C05"/>
    <w:rsid w:val="007A251F"/>
    <w:rsid w:val="007A34D7"/>
    <w:rsid w:val="007A3CC7"/>
    <w:rsid w:val="007A52D3"/>
    <w:rsid w:val="007A6B81"/>
    <w:rsid w:val="007B019E"/>
    <w:rsid w:val="007B1478"/>
    <w:rsid w:val="007B2709"/>
    <w:rsid w:val="007B76BB"/>
    <w:rsid w:val="007C503B"/>
    <w:rsid w:val="007C5ACA"/>
    <w:rsid w:val="007C6937"/>
    <w:rsid w:val="007C7B0A"/>
    <w:rsid w:val="007D0041"/>
    <w:rsid w:val="007D161A"/>
    <w:rsid w:val="007E1071"/>
    <w:rsid w:val="007E62AA"/>
    <w:rsid w:val="007E7331"/>
    <w:rsid w:val="007F2ED8"/>
    <w:rsid w:val="007F3304"/>
    <w:rsid w:val="007F6345"/>
    <w:rsid w:val="00804BAA"/>
    <w:rsid w:val="00807896"/>
    <w:rsid w:val="00810644"/>
    <w:rsid w:val="00810BFB"/>
    <w:rsid w:val="00814F7B"/>
    <w:rsid w:val="00815399"/>
    <w:rsid w:val="0082133F"/>
    <w:rsid w:val="00822DF8"/>
    <w:rsid w:val="008238B7"/>
    <w:rsid w:val="00826DE8"/>
    <w:rsid w:val="008403C0"/>
    <w:rsid w:val="00841194"/>
    <w:rsid w:val="008416DD"/>
    <w:rsid w:val="008452B5"/>
    <w:rsid w:val="00845A4E"/>
    <w:rsid w:val="00845A80"/>
    <w:rsid w:val="00850146"/>
    <w:rsid w:val="008501F3"/>
    <w:rsid w:val="008515B1"/>
    <w:rsid w:val="00851813"/>
    <w:rsid w:val="00852814"/>
    <w:rsid w:val="00856471"/>
    <w:rsid w:val="008610A0"/>
    <w:rsid w:val="008666FC"/>
    <w:rsid w:val="00871271"/>
    <w:rsid w:val="008727AB"/>
    <w:rsid w:val="00873010"/>
    <w:rsid w:val="00873780"/>
    <w:rsid w:val="00873CEF"/>
    <w:rsid w:val="0087413C"/>
    <w:rsid w:val="008771C7"/>
    <w:rsid w:val="00877FA7"/>
    <w:rsid w:val="008833F0"/>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892"/>
    <w:rsid w:val="008C2503"/>
    <w:rsid w:val="008C64E0"/>
    <w:rsid w:val="008C7CA5"/>
    <w:rsid w:val="008D089E"/>
    <w:rsid w:val="008D09AA"/>
    <w:rsid w:val="008D19CC"/>
    <w:rsid w:val="008D2A3F"/>
    <w:rsid w:val="008D2E76"/>
    <w:rsid w:val="008D3A14"/>
    <w:rsid w:val="008D4189"/>
    <w:rsid w:val="008E082F"/>
    <w:rsid w:val="008E298E"/>
    <w:rsid w:val="008E5682"/>
    <w:rsid w:val="008E6A84"/>
    <w:rsid w:val="008E75B9"/>
    <w:rsid w:val="008F25EE"/>
    <w:rsid w:val="008F4502"/>
    <w:rsid w:val="008F596A"/>
    <w:rsid w:val="008F5C4E"/>
    <w:rsid w:val="008F68DE"/>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4D7F"/>
    <w:rsid w:val="009357A3"/>
    <w:rsid w:val="0094113C"/>
    <w:rsid w:val="0094479A"/>
    <w:rsid w:val="00945858"/>
    <w:rsid w:val="00950992"/>
    <w:rsid w:val="00955B2F"/>
    <w:rsid w:val="00955E93"/>
    <w:rsid w:val="0095646F"/>
    <w:rsid w:val="00960091"/>
    <w:rsid w:val="00960206"/>
    <w:rsid w:val="00960E9A"/>
    <w:rsid w:val="009629C3"/>
    <w:rsid w:val="00962BDC"/>
    <w:rsid w:val="00963DE6"/>
    <w:rsid w:val="00967425"/>
    <w:rsid w:val="00972F19"/>
    <w:rsid w:val="009766DD"/>
    <w:rsid w:val="00977431"/>
    <w:rsid w:val="00977EF7"/>
    <w:rsid w:val="00987467"/>
    <w:rsid w:val="00987533"/>
    <w:rsid w:val="00990D02"/>
    <w:rsid w:val="00994FE1"/>
    <w:rsid w:val="009959B1"/>
    <w:rsid w:val="00996D14"/>
    <w:rsid w:val="009A1C10"/>
    <w:rsid w:val="009A32B6"/>
    <w:rsid w:val="009A530B"/>
    <w:rsid w:val="009A537D"/>
    <w:rsid w:val="009A7678"/>
    <w:rsid w:val="009B0688"/>
    <w:rsid w:val="009B1DA1"/>
    <w:rsid w:val="009B31D6"/>
    <w:rsid w:val="009B36E4"/>
    <w:rsid w:val="009C086A"/>
    <w:rsid w:val="009D11A4"/>
    <w:rsid w:val="009D2FD9"/>
    <w:rsid w:val="009D3627"/>
    <w:rsid w:val="009D51D2"/>
    <w:rsid w:val="009E5A87"/>
    <w:rsid w:val="009F1E49"/>
    <w:rsid w:val="009F2BD2"/>
    <w:rsid w:val="009F3149"/>
    <w:rsid w:val="009F3777"/>
    <w:rsid w:val="009F78E6"/>
    <w:rsid w:val="00A01E31"/>
    <w:rsid w:val="00A03B13"/>
    <w:rsid w:val="00A04B65"/>
    <w:rsid w:val="00A06715"/>
    <w:rsid w:val="00A0787D"/>
    <w:rsid w:val="00A10B2D"/>
    <w:rsid w:val="00A10F78"/>
    <w:rsid w:val="00A11A09"/>
    <w:rsid w:val="00A14C5D"/>
    <w:rsid w:val="00A14E6A"/>
    <w:rsid w:val="00A177A5"/>
    <w:rsid w:val="00A23B8A"/>
    <w:rsid w:val="00A268EA"/>
    <w:rsid w:val="00A34A44"/>
    <w:rsid w:val="00A366AA"/>
    <w:rsid w:val="00A409E1"/>
    <w:rsid w:val="00A419EA"/>
    <w:rsid w:val="00A441FF"/>
    <w:rsid w:val="00A4560C"/>
    <w:rsid w:val="00A46E76"/>
    <w:rsid w:val="00A47C69"/>
    <w:rsid w:val="00A521FE"/>
    <w:rsid w:val="00A55498"/>
    <w:rsid w:val="00A62B26"/>
    <w:rsid w:val="00A63D97"/>
    <w:rsid w:val="00A63F95"/>
    <w:rsid w:val="00A641CC"/>
    <w:rsid w:val="00A65E7A"/>
    <w:rsid w:val="00A65FD1"/>
    <w:rsid w:val="00A679F3"/>
    <w:rsid w:val="00A70EDF"/>
    <w:rsid w:val="00A723F8"/>
    <w:rsid w:val="00A73FA2"/>
    <w:rsid w:val="00A84DEA"/>
    <w:rsid w:val="00A8608C"/>
    <w:rsid w:val="00A92408"/>
    <w:rsid w:val="00A94F6E"/>
    <w:rsid w:val="00AA06AE"/>
    <w:rsid w:val="00AA0ED7"/>
    <w:rsid w:val="00AB0696"/>
    <w:rsid w:val="00AB4D85"/>
    <w:rsid w:val="00AB76CE"/>
    <w:rsid w:val="00AB7E03"/>
    <w:rsid w:val="00AC0E83"/>
    <w:rsid w:val="00AC3DBC"/>
    <w:rsid w:val="00AC41A5"/>
    <w:rsid w:val="00AC4380"/>
    <w:rsid w:val="00AC5813"/>
    <w:rsid w:val="00AC7BC0"/>
    <w:rsid w:val="00AD01A3"/>
    <w:rsid w:val="00AD13D6"/>
    <w:rsid w:val="00AD562B"/>
    <w:rsid w:val="00AE2955"/>
    <w:rsid w:val="00AE2E87"/>
    <w:rsid w:val="00AF143A"/>
    <w:rsid w:val="00AF2374"/>
    <w:rsid w:val="00AF3859"/>
    <w:rsid w:val="00AF44AF"/>
    <w:rsid w:val="00AF4882"/>
    <w:rsid w:val="00AF6578"/>
    <w:rsid w:val="00AF70C1"/>
    <w:rsid w:val="00B01795"/>
    <w:rsid w:val="00B028DC"/>
    <w:rsid w:val="00B03322"/>
    <w:rsid w:val="00B0343E"/>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1C45"/>
    <w:rsid w:val="00B6562E"/>
    <w:rsid w:val="00B66E04"/>
    <w:rsid w:val="00B7018A"/>
    <w:rsid w:val="00B72803"/>
    <w:rsid w:val="00B74B1A"/>
    <w:rsid w:val="00B74C77"/>
    <w:rsid w:val="00B760E1"/>
    <w:rsid w:val="00B7641E"/>
    <w:rsid w:val="00B80545"/>
    <w:rsid w:val="00B82A8D"/>
    <w:rsid w:val="00B830CE"/>
    <w:rsid w:val="00B877B0"/>
    <w:rsid w:val="00B8782A"/>
    <w:rsid w:val="00B913B5"/>
    <w:rsid w:val="00B923F2"/>
    <w:rsid w:val="00B944DB"/>
    <w:rsid w:val="00B95A3B"/>
    <w:rsid w:val="00BA016B"/>
    <w:rsid w:val="00BA150B"/>
    <w:rsid w:val="00BA3FDB"/>
    <w:rsid w:val="00BA7D51"/>
    <w:rsid w:val="00BB0C79"/>
    <w:rsid w:val="00BB2ED1"/>
    <w:rsid w:val="00BB3518"/>
    <w:rsid w:val="00BB4A8F"/>
    <w:rsid w:val="00BB668F"/>
    <w:rsid w:val="00BC1EFA"/>
    <w:rsid w:val="00BC40E4"/>
    <w:rsid w:val="00BD02A2"/>
    <w:rsid w:val="00BD2902"/>
    <w:rsid w:val="00BD2F63"/>
    <w:rsid w:val="00BD5A0C"/>
    <w:rsid w:val="00BE184C"/>
    <w:rsid w:val="00BE58EA"/>
    <w:rsid w:val="00BE7EA1"/>
    <w:rsid w:val="00BF0F92"/>
    <w:rsid w:val="00BF7DD9"/>
    <w:rsid w:val="00C05FEB"/>
    <w:rsid w:val="00C1038C"/>
    <w:rsid w:val="00C10BAC"/>
    <w:rsid w:val="00C1184F"/>
    <w:rsid w:val="00C15104"/>
    <w:rsid w:val="00C15D1A"/>
    <w:rsid w:val="00C30116"/>
    <w:rsid w:val="00C37C77"/>
    <w:rsid w:val="00C37F4E"/>
    <w:rsid w:val="00C41DD4"/>
    <w:rsid w:val="00C500A1"/>
    <w:rsid w:val="00C531BD"/>
    <w:rsid w:val="00C55EE9"/>
    <w:rsid w:val="00C56A85"/>
    <w:rsid w:val="00C56E2C"/>
    <w:rsid w:val="00C666E3"/>
    <w:rsid w:val="00C712EC"/>
    <w:rsid w:val="00C72397"/>
    <w:rsid w:val="00C72689"/>
    <w:rsid w:val="00C72817"/>
    <w:rsid w:val="00C73115"/>
    <w:rsid w:val="00C748F3"/>
    <w:rsid w:val="00C74D38"/>
    <w:rsid w:val="00C75B7D"/>
    <w:rsid w:val="00C77F38"/>
    <w:rsid w:val="00C85FBC"/>
    <w:rsid w:val="00C86005"/>
    <w:rsid w:val="00C86212"/>
    <w:rsid w:val="00C87CCD"/>
    <w:rsid w:val="00C92827"/>
    <w:rsid w:val="00C93C1A"/>
    <w:rsid w:val="00C978DE"/>
    <w:rsid w:val="00CA2F70"/>
    <w:rsid w:val="00CA566F"/>
    <w:rsid w:val="00CA6D4A"/>
    <w:rsid w:val="00CA768A"/>
    <w:rsid w:val="00CC09B3"/>
    <w:rsid w:val="00CC6EC4"/>
    <w:rsid w:val="00CC7D63"/>
    <w:rsid w:val="00CD2579"/>
    <w:rsid w:val="00CD268A"/>
    <w:rsid w:val="00CD3676"/>
    <w:rsid w:val="00CD6D87"/>
    <w:rsid w:val="00CE0B2D"/>
    <w:rsid w:val="00CE1E8C"/>
    <w:rsid w:val="00CE49AE"/>
    <w:rsid w:val="00CE5103"/>
    <w:rsid w:val="00CF4EB0"/>
    <w:rsid w:val="00D0076F"/>
    <w:rsid w:val="00D00D43"/>
    <w:rsid w:val="00D054A9"/>
    <w:rsid w:val="00D064A3"/>
    <w:rsid w:val="00D06C24"/>
    <w:rsid w:val="00D104BF"/>
    <w:rsid w:val="00D132B4"/>
    <w:rsid w:val="00D16B3C"/>
    <w:rsid w:val="00D202AD"/>
    <w:rsid w:val="00D231C8"/>
    <w:rsid w:val="00D25169"/>
    <w:rsid w:val="00D25D18"/>
    <w:rsid w:val="00D2675E"/>
    <w:rsid w:val="00D31199"/>
    <w:rsid w:val="00D3180C"/>
    <w:rsid w:val="00D40842"/>
    <w:rsid w:val="00D41BAB"/>
    <w:rsid w:val="00D434D2"/>
    <w:rsid w:val="00D43F14"/>
    <w:rsid w:val="00D450ED"/>
    <w:rsid w:val="00D45F42"/>
    <w:rsid w:val="00D460EB"/>
    <w:rsid w:val="00D4773E"/>
    <w:rsid w:val="00D506AB"/>
    <w:rsid w:val="00D5212F"/>
    <w:rsid w:val="00D566B6"/>
    <w:rsid w:val="00D7100E"/>
    <w:rsid w:val="00D71DFE"/>
    <w:rsid w:val="00D731D4"/>
    <w:rsid w:val="00D732D5"/>
    <w:rsid w:val="00D73363"/>
    <w:rsid w:val="00D73E6B"/>
    <w:rsid w:val="00D84DF2"/>
    <w:rsid w:val="00D8538B"/>
    <w:rsid w:val="00D86E21"/>
    <w:rsid w:val="00D91242"/>
    <w:rsid w:val="00D92BE7"/>
    <w:rsid w:val="00D9710A"/>
    <w:rsid w:val="00DA0372"/>
    <w:rsid w:val="00DA2CCD"/>
    <w:rsid w:val="00DA4B10"/>
    <w:rsid w:val="00DA5DA3"/>
    <w:rsid w:val="00DB09C5"/>
    <w:rsid w:val="00DB1E17"/>
    <w:rsid w:val="00DB3697"/>
    <w:rsid w:val="00DB706A"/>
    <w:rsid w:val="00DB7FF6"/>
    <w:rsid w:val="00DC0563"/>
    <w:rsid w:val="00DC1C4C"/>
    <w:rsid w:val="00DC20E6"/>
    <w:rsid w:val="00DC4741"/>
    <w:rsid w:val="00DC4C8C"/>
    <w:rsid w:val="00DC56A0"/>
    <w:rsid w:val="00DD12DA"/>
    <w:rsid w:val="00DD5989"/>
    <w:rsid w:val="00DD5F7F"/>
    <w:rsid w:val="00DD7962"/>
    <w:rsid w:val="00DE0E9F"/>
    <w:rsid w:val="00DE1DDB"/>
    <w:rsid w:val="00DE1E4F"/>
    <w:rsid w:val="00DE4154"/>
    <w:rsid w:val="00DE6363"/>
    <w:rsid w:val="00DE75E4"/>
    <w:rsid w:val="00DE79DF"/>
    <w:rsid w:val="00DF0880"/>
    <w:rsid w:val="00DF112F"/>
    <w:rsid w:val="00DF25C4"/>
    <w:rsid w:val="00DF5293"/>
    <w:rsid w:val="00DF6C2A"/>
    <w:rsid w:val="00E011DB"/>
    <w:rsid w:val="00E016C3"/>
    <w:rsid w:val="00E01934"/>
    <w:rsid w:val="00E0403C"/>
    <w:rsid w:val="00E040B3"/>
    <w:rsid w:val="00E0554F"/>
    <w:rsid w:val="00E05ACE"/>
    <w:rsid w:val="00E06731"/>
    <w:rsid w:val="00E1152E"/>
    <w:rsid w:val="00E11FD7"/>
    <w:rsid w:val="00E1463E"/>
    <w:rsid w:val="00E16E69"/>
    <w:rsid w:val="00E2024D"/>
    <w:rsid w:val="00E20723"/>
    <w:rsid w:val="00E20AC6"/>
    <w:rsid w:val="00E21E29"/>
    <w:rsid w:val="00E32ED1"/>
    <w:rsid w:val="00E33DD5"/>
    <w:rsid w:val="00E35A16"/>
    <w:rsid w:val="00E36564"/>
    <w:rsid w:val="00E368A6"/>
    <w:rsid w:val="00E3727D"/>
    <w:rsid w:val="00E41C3E"/>
    <w:rsid w:val="00E436CF"/>
    <w:rsid w:val="00E46FD1"/>
    <w:rsid w:val="00E501C6"/>
    <w:rsid w:val="00E50E9C"/>
    <w:rsid w:val="00E516A3"/>
    <w:rsid w:val="00E5765F"/>
    <w:rsid w:val="00E6002F"/>
    <w:rsid w:val="00E60C26"/>
    <w:rsid w:val="00E6549D"/>
    <w:rsid w:val="00E663A0"/>
    <w:rsid w:val="00E67371"/>
    <w:rsid w:val="00E706A5"/>
    <w:rsid w:val="00E715AB"/>
    <w:rsid w:val="00E73DAE"/>
    <w:rsid w:val="00E757B0"/>
    <w:rsid w:val="00E77437"/>
    <w:rsid w:val="00E82B82"/>
    <w:rsid w:val="00E83143"/>
    <w:rsid w:val="00E85F25"/>
    <w:rsid w:val="00E86C51"/>
    <w:rsid w:val="00E87D5E"/>
    <w:rsid w:val="00E93B09"/>
    <w:rsid w:val="00E94368"/>
    <w:rsid w:val="00E9519B"/>
    <w:rsid w:val="00E96741"/>
    <w:rsid w:val="00E97E68"/>
    <w:rsid w:val="00EA670C"/>
    <w:rsid w:val="00EB1BE3"/>
    <w:rsid w:val="00EB25AF"/>
    <w:rsid w:val="00EB2B31"/>
    <w:rsid w:val="00EB2B99"/>
    <w:rsid w:val="00EB32C8"/>
    <w:rsid w:val="00EB4211"/>
    <w:rsid w:val="00EB67BE"/>
    <w:rsid w:val="00EC37BF"/>
    <w:rsid w:val="00EC4FAB"/>
    <w:rsid w:val="00EC55C2"/>
    <w:rsid w:val="00EC7788"/>
    <w:rsid w:val="00EC7FEA"/>
    <w:rsid w:val="00ED02ED"/>
    <w:rsid w:val="00ED081D"/>
    <w:rsid w:val="00ED0A40"/>
    <w:rsid w:val="00ED0E94"/>
    <w:rsid w:val="00ED137F"/>
    <w:rsid w:val="00ED2878"/>
    <w:rsid w:val="00ED3578"/>
    <w:rsid w:val="00ED6FC9"/>
    <w:rsid w:val="00ED7851"/>
    <w:rsid w:val="00EE4214"/>
    <w:rsid w:val="00EE5F22"/>
    <w:rsid w:val="00EE71BE"/>
    <w:rsid w:val="00EF01F6"/>
    <w:rsid w:val="00EF1AE8"/>
    <w:rsid w:val="00EF1F18"/>
    <w:rsid w:val="00EF2A8C"/>
    <w:rsid w:val="00EF4059"/>
    <w:rsid w:val="00EF5F76"/>
    <w:rsid w:val="00EF617F"/>
    <w:rsid w:val="00EF6D39"/>
    <w:rsid w:val="00EF6E66"/>
    <w:rsid w:val="00F0557E"/>
    <w:rsid w:val="00F07674"/>
    <w:rsid w:val="00F111D7"/>
    <w:rsid w:val="00F125E1"/>
    <w:rsid w:val="00F12793"/>
    <w:rsid w:val="00F211CC"/>
    <w:rsid w:val="00F2418E"/>
    <w:rsid w:val="00F340FC"/>
    <w:rsid w:val="00F3590F"/>
    <w:rsid w:val="00F3676C"/>
    <w:rsid w:val="00F37123"/>
    <w:rsid w:val="00F40C0D"/>
    <w:rsid w:val="00F464DC"/>
    <w:rsid w:val="00F52A03"/>
    <w:rsid w:val="00F56EA0"/>
    <w:rsid w:val="00F610A7"/>
    <w:rsid w:val="00F6166F"/>
    <w:rsid w:val="00F6741C"/>
    <w:rsid w:val="00F67EF7"/>
    <w:rsid w:val="00F70C6F"/>
    <w:rsid w:val="00F74283"/>
    <w:rsid w:val="00F80329"/>
    <w:rsid w:val="00F84B7B"/>
    <w:rsid w:val="00F856F9"/>
    <w:rsid w:val="00F86FEE"/>
    <w:rsid w:val="00F94A9F"/>
    <w:rsid w:val="00F951C9"/>
    <w:rsid w:val="00F954D2"/>
    <w:rsid w:val="00F961BF"/>
    <w:rsid w:val="00F96347"/>
    <w:rsid w:val="00F96537"/>
    <w:rsid w:val="00F977F5"/>
    <w:rsid w:val="00FA19D6"/>
    <w:rsid w:val="00FA555C"/>
    <w:rsid w:val="00FA7084"/>
    <w:rsid w:val="00FB1FD6"/>
    <w:rsid w:val="00FB27F5"/>
    <w:rsid w:val="00FB4355"/>
    <w:rsid w:val="00FB538B"/>
    <w:rsid w:val="00FB59B2"/>
    <w:rsid w:val="00FC0F15"/>
    <w:rsid w:val="00FC1764"/>
    <w:rsid w:val="00FC26CD"/>
    <w:rsid w:val="00FC38CE"/>
    <w:rsid w:val="00FC394E"/>
    <w:rsid w:val="00FC54A7"/>
    <w:rsid w:val="00FD4785"/>
    <w:rsid w:val="00FD7BDC"/>
    <w:rsid w:val="00FE5514"/>
    <w:rsid w:val="00FE687B"/>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tga.gov.au/medicines-regulation-division/low-neg-risk-2021-2022/" TargetMode="External"/><Relationship Id="rId13" Type="http://schemas.openxmlformats.org/officeDocument/2006/relationships/hyperlink" Target="http://www.uspnf.com/" TargetMode="External"/><Relationship Id="rId18" Type="http://schemas.openxmlformats.org/officeDocument/2006/relationships/hyperlink" Target="http://www.trove.nl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heur.edqm.eu/home" TargetMode="External"/><Relationship Id="rId17" Type="http://schemas.openxmlformats.org/officeDocument/2006/relationships/hyperlink" Target="http://www.ebs.tga.gov.au" TargetMode="External"/><Relationship Id="rId2" Type="http://schemas.openxmlformats.org/officeDocument/2006/relationships/numbering" Target="numbering.xml"/><Relationship Id="rId16" Type="http://schemas.openxmlformats.org/officeDocument/2006/relationships/hyperlink" Target="http://www.rehydrate.org/ors/expert-consultati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armacopoeia.com/" TargetMode="External"/><Relationship Id="rId5" Type="http://schemas.openxmlformats.org/officeDocument/2006/relationships/webSettings" Target="webSettings.xml"/><Relationship Id="rId15" Type="http://schemas.openxmlformats.org/officeDocument/2006/relationships/hyperlink" Target="http://www.legislation.govt.nz/" TargetMode="External"/><Relationship Id="rId10" Type="http://schemas.openxmlformats.org/officeDocument/2006/relationships/hyperlink" Target="http://www.tga.gov.au" TargetMode="External"/><Relationship Id="rId19" Type="http://schemas.openxmlformats.org/officeDocument/2006/relationships/hyperlink" Target="http://www.openlibrary.org/books/OL22071008M/European_pharmacopoeia" TargetMode="External"/><Relationship Id="rId4" Type="http://schemas.openxmlformats.org/officeDocument/2006/relationships/settings" Target="settings.xml"/><Relationship Id="rId9" Type="http://schemas.openxmlformats.org/officeDocument/2006/relationships/hyperlink" Target="https://consultations.tga.gov.au/medicines-regulation-division/low-neg-risk-2021-2022/user_uploads/low-negligible-risk-annual-consultation-2021-2022---final-decisions.pdf" TargetMode="External"/><Relationship Id="rId14" Type="http://schemas.openxmlformats.org/officeDocument/2006/relationships/hyperlink" Target="http://www.foodchemicalscodex.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3861</Words>
  <Characters>22012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MCDONALD, Jess</cp:lastModifiedBy>
  <cp:revision>2</cp:revision>
  <dcterms:created xsi:type="dcterms:W3CDTF">2022-04-05T03:09:00Z</dcterms:created>
  <dcterms:modified xsi:type="dcterms:W3CDTF">2022-04-05T03:09:00Z</dcterms:modified>
</cp:coreProperties>
</file>