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AB2500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DDD9303" wp14:editId="585D9C07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B768F6" w14:textId="77777777" w:rsidR="00715914" w:rsidRPr="00E500D4" w:rsidRDefault="00715914" w:rsidP="00715914">
      <w:pPr>
        <w:rPr>
          <w:sz w:val="19"/>
        </w:rPr>
      </w:pPr>
    </w:p>
    <w:p w14:paraId="6D4277C9" w14:textId="66185C37" w:rsidR="00554826" w:rsidRPr="00E500D4" w:rsidRDefault="003C3686" w:rsidP="00554826">
      <w:pPr>
        <w:pStyle w:val="ShortT"/>
      </w:pPr>
      <w:bookmarkStart w:id="0" w:name="_Hlk80786113"/>
      <w:r>
        <w:t>Therapeutic Goods</w:t>
      </w:r>
      <w:r w:rsidR="00554826" w:rsidRPr="00DA182D">
        <w:t xml:space="preserve"> </w:t>
      </w:r>
      <w:r w:rsidR="00554826">
        <w:t>(</w:t>
      </w:r>
      <w:r w:rsidR="00EF212D">
        <w:t>Analysis</w:t>
      </w:r>
      <w:r>
        <w:t xml:space="preserve"> of Adverse Events Following Immunisation</w:t>
      </w:r>
      <w:r w:rsidR="00554826">
        <w:t>)</w:t>
      </w:r>
      <w:r>
        <w:t xml:space="preserve"> </w:t>
      </w:r>
      <w:r w:rsidR="00EF212D">
        <w:t xml:space="preserve">(Information) </w:t>
      </w:r>
      <w:r>
        <w:t>Specification 202</w:t>
      </w:r>
      <w:r w:rsidR="006975CA">
        <w:t>2</w:t>
      </w:r>
    </w:p>
    <w:bookmarkEnd w:id="0"/>
    <w:p w14:paraId="29FA52BB" w14:textId="3940F9F8" w:rsidR="00554826" w:rsidRPr="006D3C0F" w:rsidRDefault="00554826" w:rsidP="00554826">
      <w:pPr>
        <w:pStyle w:val="SignCoverPageStart"/>
        <w:spacing w:before="240"/>
        <w:ind w:right="91"/>
        <w:rPr>
          <w:szCs w:val="22"/>
        </w:rPr>
      </w:pPr>
      <w:r w:rsidRPr="006D3C0F">
        <w:rPr>
          <w:szCs w:val="22"/>
        </w:rPr>
        <w:t xml:space="preserve">I, </w:t>
      </w:r>
      <w:r w:rsidR="006975CA" w:rsidRPr="006D3C0F">
        <w:rPr>
          <w:szCs w:val="22"/>
        </w:rPr>
        <w:t>Nick Henderson</w:t>
      </w:r>
      <w:r w:rsidRPr="006D3C0F">
        <w:rPr>
          <w:szCs w:val="22"/>
        </w:rPr>
        <w:t xml:space="preserve">, </w:t>
      </w:r>
      <w:r w:rsidR="00EF212D" w:rsidRPr="006D3C0F">
        <w:rPr>
          <w:szCs w:val="22"/>
        </w:rPr>
        <w:t>as delegate of the Minister for Health and Aged Care</w:t>
      </w:r>
      <w:r w:rsidRPr="006D3C0F">
        <w:rPr>
          <w:szCs w:val="22"/>
        </w:rPr>
        <w:t xml:space="preserve">, make the following </w:t>
      </w:r>
      <w:r w:rsidR="00EF212D" w:rsidRPr="006D3C0F">
        <w:rPr>
          <w:szCs w:val="22"/>
        </w:rPr>
        <w:t>specification</w:t>
      </w:r>
      <w:r w:rsidRPr="006D3C0F">
        <w:rPr>
          <w:szCs w:val="22"/>
        </w:rPr>
        <w:t>.</w:t>
      </w:r>
    </w:p>
    <w:p w14:paraId="03449B64" w14:textId="7CEB4F88" w:rsidR="00554826" w:rsidRPr="006D3C0F" w:rsidRDefault="00554826" w:rsidP="00554826">
      <w:pPr>
        <w:keepNext/>
        <w:spacing w:before="300" w:line="240" w:lineRule="atLeast"/>
        <w:ind w:right="397"/>
        <w:jc w:val="both"/>
        <w:rPr>
          <w:szCs w:val="22"/>
        </w:rPr>
      </w:pPr>
      <w:r w:rsidRPr="006D3C0F">
        <w:rPr>
          <w:szCs w:val="22"/>
        </w:rPr>
        <w:t>Dated</w:t>
      </w:r>
      <w:r w:rsidR="00ED22DC">
        <w:rPr>
          <w:szCs w:val="22"/>
        </w:rPr>
        <w:t xml:space="preserve"> 24</w:t>
      </w:r>
      <w:r w:rsidR="00EF212D" w:rsidRPr="006D3C0F">
        <w:rPr>
          <w:szCs w:val="22"/>
        </w:rPr>
        <w:t xml:space="preserve"> </w:t>
      </w:r>
      <w:r w:rsidR="006975CA" w:rsidRPr="006D3C0F">
        <w:rPr>
          <w:szCs w:val="22"/>
        </w:rPr>
        <w:t>February</w:t>
      </w:r>
      <w:r w:rsidR="00EF212D" w:rsidRPr="006D3C0F">
        <w:rPr>
          <w:szCs w:val="22"/>
        </w:rPr>
        <w:t xml:space="preserve"> 202</w:t>
      </w:r>
      <w:r w:rsidR="006975CA" w:rsidRPr="006D3C0F">
        <w:rPr>
          <w:szCs w:val="22"/>
        </w:rPr>
        <w:t>2</w:t>
      </w:r>
    </w:p>
    <w:p w14:paraId="7A09FB6E" w14:textId="207F3F91" w:rsidR="00554826" w:rsidRPr="006D3C0F" w:rsidRDefault="006975CA" w:rsidP="00554826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6D3C0F">
        <w:rPr>
          <w:szCs w:val="22"/>
        </w:rPr>
        <w:t>Nick Henderson</w:t>
      </w:r>
    </w:p>
    <w:p w14:paraId="6BFF9C54" w14:textId="23D85BF3" w:rsidR="00554826" w:rsidRPr="006D3C0F" w:rsidRDefault="00EF212D" w:rsidP="00554826">
      <w:pPr>
        <w:pStyle w:val="SignCoverPageEnd"/>
        <w:ind w:right="91"/>
        <w:rPr>
          <w:sz w:val="22"/>
        </w:rPr>
      </w:pPr>
      <w:r w:rsidRPr="006D3C0F">
        <w:rPr>
          <w:sz w:val="22"/>
        </w:rPr>
        <w:t>First Assistant Secretary</w:t>
      </w:r>
      <w:r w:rsidRPr="006D3C0F">
        <w:rPr>
          <w:sz w:val="22"/>
        </w:rPr>
        <w:br/>
        <w:t>Medicines Regulation Division</w:t>
      </w:r>
      <w:r w:rsidRPr="006D3C0F">
        <w:rPr>
          <w:sz w:val="22"/>
        </w:rPr>
        <w:br/>
        <w:t>Health Products Regulation Group</w:t>
      </w:r>
      <w:r w:rsidRPr="006D3C0F">
        <w:rPr>
          <w:sz w:val="22"/>
        </w:rPr>
        <w:br/>
        <w:t>Department of Health</w:t>
      </w:r>
    </w:p>
    <w:p w14:paraId="481D2C8A" w14:textId="77777777" w:rsidR="00554826" w:rsidRPr="006D3C0F" w:rsidRDefault="00554826" w:rsidP="00554826"/>
    <w:p w14:paraId="224284E0" w14:textId="77777777" w:rsidR="00554826" w:rsidRPr="006D3C0F" w:rsidRDefault="00554826" w:rsidP="00554826"/>
    <w:p w14:paraId="6CF03793" w14:textId="77777777" w:rsidR="00F6696E" w:rsidRPr="006D3C0F" w:rsidRDefault="00F6696E" w:rsidP="00F6696E"/>
    <w:p w14:paraId="5690F711" w14:textId="77777777" w:rsidR="00F6696E" w:rsidRPr="006D3C0F" w:rsidRDefault="00F6696E" w:rsidP="00F6696E">
      <w:pPr>
        <w:sectPr w:rsidR="00F6696E" w:rsidRPr="006D3C0F" w:rsidSect="00F6696E">
          <w:headerReference w:type="even" r:id="rId9"/>
          <w:headerReference w:type="default" r:id="rId10"/>
          <w:footerReference w:type="even" r:id="rId11"/>
          <w:footerReference w:type="default" r:id="rId12"/>
          <w:footerReference w:type="first" r:id="rId13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14:paraId="126319FA" w14:textId="77777777" w:rsidR="007500C8" w:rsidRPr="006D3C0F" w:rsidRDefault="00715914" w:rsidP="00715914">
      <w:pPr>
        <w:outlineLvl w:val="0"/>
        <w:rPr>
          <w:sz w:val="36"/>
        </w:rPr>
      </w:pPr>
      <w:r w:rsidRPr="006D3C0F">
        <w:rPr>
          <w:sz w:val="36"/>
        </w:rPr>
        <w:lastRenderedPageBreak/>
        <w:t>Contents</w:t>
      </w:r>
    </w:p>
    <w:p w14:paraId="58C4EBEC" w14:textId="3C4F332C" w:rsidR="00267FB3" w:rsidRDefault="00B418C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6D3C0F">
        <w:fldChar w:fldCharType="begin"/>
      </w:r>
      <w:r w:rsidRPr="006D3C0F">
        <w:instrText xml:space="preserve"> TOC \o "1-9" </w:instrText>
      </w:r>
      <w:r w:rsidRPr="006D3C0F">
        <w:fldChar w:fldCharType="separate"/>
      </w:r>
      <w:r w:rsidR="00267FB3">
        <w:rPr>
          <w:noProof/>
        </w:rPr>
        <w:t>1  Name</w:t>
      </w:r>
      <w:r w:rsidR="00267FB3">
        <w:rPr>
          <w:noProof/>
        </w:rPr>
        <w:tab/>
      </w:r>
      <w:r w:rsidR="00267FB3">
        <w:rPr>
          <w:noProof/>
        </w:rPr>
        <w:fldChar w:fldCharType="begin"/>
      </w:r>
      <w:r w:rsidR="00267FB3">
        <w:rPr>
          <w:noProof/>
        </w:rPr>
        <w:instrText xml:space="preserve"> PAGEREF _Toc96503205 \h </w:instrText>
      </w:r>
      <w:r w:rsidR="00267FB3">
        <w:rPr>
          <w:noProof/>
        </w:rPr>
      </w:r>
      <w:r w:rsidR="00267FB3">
        <w:rPr>
          <w:noProof/>
        </w:rPr>
        <w:fldChar w:fldCharType="separate"/>
      </w:r>
      <w:r w:rsidR="00267FB3">
        <w:rPr>
          <w:noProof/>
        </w:rPr>
        <w:t>1</w:t>
      </w:r>
      <w:r w:rsidR="00267FB3">
        <w:rPr>
          <w:noProof/>
        </w:rPr>
        <w:fldChar w:fldCharType="end"/>
      </w:r>
    </w:p>
    <w:p w14:paraId="159B97C6" w14:textId="7BBCA848" w:rsidR="00267FB3" w:rsidRDefault="00267F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_Toc96503206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D1A5502" w14:textId="0F72E7CF" w:rsidR="00267FB3" w:rsidRDefault="00267F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_Toc96503207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463BEB8B" w14:textId="1B23932D" w:rsidR="00267FB3" w:rsidRDefault="00267F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_Toc96503208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</w:t>
      </w:r>
      <w:r>
        <w:rPr>
          <w:noProof/>
        </w:rPr>
        <w:fldChar w:fldCharType="end"/>
      </w:r>
    </w:p>
    <w:p w14:paraId="03C807B8" w14:textId="698B30DA" w:rsidR="00267FB3" w:rsidRDefault="00267FB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Release of 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_Toc96503209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</w:t>
      </w:r>
      <w:r>
        <w:rPr>
          <w:noProof/>
        </w:rPr>
        <w:fldChar w:fldCharType="end"/>
      </w:r>
    </w:p>
    <w:p w14:paraId="2BDCD79D" w14:textId="55D83D65" w:rsidR="00267FB3" w:rsidRDefault="00267F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Schedule 1—Therapeutic goods information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_Toc96503210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52487D99" w14:textId="104474CD" w:rsidR="00267FB3" w:rsidRDefault="00267FB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1—NCIRS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_Toc96503211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14:paraId="42072F13" w14:textId="43A10552" w:rsidR="00267FB3" w:rsidRDefault="00267FB3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263AD3">
        <w:rPr>
          <w:noProof/>
        </w:rPr>
        <w:t>Part 2—SAEFVIC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_Toc96503212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14:paraId="6EEBC9D9" w14:textId="28A5B33C" w:rsidR="00F6696E" w:rsidRPr="006D3C0F" w:rsidRDefault="00B418CB" w:rsidP="00F6696E">
      <w:pPr>
        <w:outlineLvl w:val="0"/>
      </w:pPr>
      <w:r w:rsidRPr="006D3C0F">
        <w:fldChar w:fldCharType="end"/>
      </w:r>
    </w:p>
    <w:p w14:paraId="66AB7F18" w14:textId="77777777" w:rsidR="00F6696E" w:rsidRPr="006D3C0F" w:rsidRDefault="00F6696E" w:rsidP="00F6696E">
      <w:pPr>
        <w:outlineLvl w:val="0"/>
        <w:rPr>
          <w:sz w:val="20"/>
        </w:rPr>
      </w:pPr>
    </w:p>
    <w:p w14:paraId="5C379FE5" w14:textId="77777777" w:rsidR="00F6696E" w:rsidRPr="006D3C0F" w:rsidRDefault="00F6696E" w:rsidP="00F6696E">
      <w:pPr>
        <w:sectPr w:rsidR="00F6696E" w:rsidRPr="006D3C0F" w:rsidSect="00D8080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5CFE0EC6" w14:textId="77777777" w:rsidR="00554826" w:rsidRPr="006D3C0F" w:rsidRDefault="00554826" w:rsidP="00554826">
      <w:pPr>
        <w:pStyle w:val="ActHead5"/>
      </w:pPr>
      <w:bookmarkStart w:id="1" w:name="_Toc96503205"/>
      <w:proofErr w:type="gramStart"/>
      <w:r w:rsidRPr="006D3C0F">
        <w:lastRenderedPageBreak/>
        <w:t>1  Name</w:t>
      </w:r>
      <w:bookmarkEnd w:id="1"/>
      <w:proofErr w:type="gramEnd"/>
    </w:p>
    <w:p w14:paraId="1989A211" w14:textId="0FD57C8E" w:rsidR="00554826" w:rsidRPr="006D3C0F" w:rsidRDefault="00554826" w:rsidP="00791BCF">
      <w:pPr>
        <w:pStyle w:val="subsection"/>
        <w:rPr>
          <w:b/>
          <w:i/>
        </w:rPr>
      </w:pPr>
      <w:r w:rsidRPr="006D3C0F">
        <w:tab/>
      </w:r>
      <w:r w:rsidRPr="006D3C0F">
        <w:tab/>
        <w:t xml:space="preserve">This instrument is the </w:t>
      </w:r>
      <w:bookmarkStart w:id="2" w:name="BKCheck15B_3"/>
      <w:bookmarkEnd w:id="2"/>
      <w:r w:rsidR="00791BCF" w:rsidRPr="006D3C0F">
        <w:rPr>
          <w:bCs/>
          <w:i/>
        </w:rPr>
        <w:t>Therapeutic Goods (</w:t>
      </w:r>
      <w:r w:rsidR="00EF212D" w:rsidRPr="006D3C0F">
        <w:rPr>
          <w:bCs/>
          <w:i/>
        </w:rPr>
        <w:t xml:space="preserve">Analysis </w:t>
      </w:r>
      <w:r w:rsidR="00791BCF" w:rsidRPr="006D3C0F">
        <w:rPr>
          <w:bCs/>
          <w:i/>
        </w:rPr>
        <w:t xml:space="preserve">of Adverse Events Following Immunisation) </w:t>
      </w:r>
      <w:r w:rsidR="00EF212D" w:rsidRPr="006D3C0F">
        <w:rPr>
          <w:bCs/>
          <w:i/>
        </w:rPr>
        <w:t xml:space="preserve">(Information) </w:t>
      </w:r>
      <w:r w:rsidR="00791BCF" w:rsidRPr="006D3C0F">
        <w:rPr>
          <w:bCs/>
          <w:i/>
        </w:rPr>
        <w:t>Specification 202</w:t>
      </w:r>
      <w:r w:rsidR="006975CA" w:rsidRPr="006D3C0F">
        <w:rPr>
          <w:bCs/>
          <w:i/>
        </w:rPr>
        <w:t>2</w:t>
      </w:r>
      <w:r w:rsidRPr="006D3C0F">
        <w:rPr>
          <w:bCs/>
        </w:rPr>
        <w:t>.</w:t>
      </w:r>
    </w:p>
    <w:p w14:paraId="501B1B60" w14:textId="77777777" w:rsidR="00554826" w:rsidRPr="006D3C0F" w:rsidRDefault="00554826" w:rsidP="00554826">
      <w:pPr>
        <w:pStyle w:val="ActHead5"/>
      </w:pPr>
      <w:bookmarkStart w:id="3" w:name="_Toc96503206"/>
      <w:proofErr w:type="gramStart"/>
      <w:r w:rsidRPr="006D3C0F">
        <w:t>2  Commencement</w:t>
      </w:r>
      <w:bookmarkEnd w:id="3"/>
      <w:proofErr w:type="gramEnd"/>
    </w:p>
    <w:p w14:paraId="3AF60A5E" w14:textId="77777777" w:rsidR="003767E2" w:rsidRPr="006D3C0F" w:rsidRDefault="003767E2" w:rsidP="003767E2">
      <w:pPr>
        <w:pStyle w:val="subsection"/>
      </w:pPr>
      <w:r w:rsidRPr="006D3C0F">
        <w:tab/>
        <w:t>(1)</w:t>
      </w:r>
      <w:r w:rsidRPr="006D3C0F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14:paraId="0BF87F7C" w14:textId="77777777" w:rsidR="003767E2" w:rsidRPr="006D3C0F" w:rsidRDefault="003767E2" w:rsidP="003767E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3767E2" w:rsidRPr="006D3C0F" w14:paraId="3699CA87" w14:textId="77777777" w:rsidTr="00D8080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573F6886" w14:textId="77777777" w:rsidR="003767E2" w:rsidRPr="006D3C0F" w:rsidRDefault="003767E2" w:rsidP="00D80808">
            <w:pPr>
              <w:pStyle w:val="TableHeading"/>
            </w:pPr>
            <w:r w:rsidRPr="006D3C0F">
              <w:t>Commencement information</w:t>
            </w:r>
          </w:p>
        </w:tc>
      </w:tr>
      <w:tr w:rsidR="003767E2" w:rsidRPr="006D3C0F" w14:paraId="012273E1" w14:textId="77777777" w:rsidTr="00D8080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44FB5B75" w14:textId="77777777" w:rsidR="003767E2" w:rsidRPr="006D3C0F" w:rsidRDefault="003767E2" w:rsidP="00D80808">
            <w:pPr>
              <w:pStyle w:val="TableHeading"/>
            </w:pPr>
            <w:r w:rsidRPr="006D3C0F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79F07D1A" w14:textId="77777777" w:rsidR="003767E2" w:rsidRPr="006D3C0F" w:rsidRDefault="003767E2" w:rsidP="00D80808">
            <w:pPr>
              <w:pStyle w:val="TableHeading"/>
            </w:pPr>
            <w:r w:rsidRPr="006D3C0F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19FC5A57" w14:textId="77777777" w:rsidR="003767E2" w:rsidRPr="006D3C0F" w:rsidRDefault="003767E2" w:rsidP="00D80808">
            <w:pPr>
              <w:pStyle w:val="TableHeading"/>
            </w:pPr>
            <w:r w:rsidRPr="006D3C0F">
              <w:t>Column 3</w:t>
            </w:r>
          </w:p>
        </w:tc>
      </w:tr>
      <w:tr w:rsidR="003767E2" w:rsidRPr="006D3C0F" w14:paraId="7731859B" w14:textId="77777777" w:rsidTr="00D8080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1C44207" w14:textId="77777777" w:rsidR="003767E2" w:rsidRPr="006D3C0F" w:rsidRDefault="003767E2" w:rsidP="00D80808">
            <w:pPr>
              <w:pStyle w:val="TableHeading"/>
            </w:pPr>
            <w:r w:rsidRPr="006D3C0F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25BE5F" w14:textId="77777777" w:rsidR="003767E2" w:rsidRPr="006D3C0F" w:rsidRDefault="003767E2" w:rsidP="00D80808">
            <w:pPr>
              <w:pStyle w:val="TableHeading"/>
            </w:pPr>
            <w:r w:rsidRPr="006D3C0F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2004E77E" w14:textId="77777777" w:rsidR="003767E2" w:rsidRPr="006D3C0F" w:rsidRDefault="003767E2" w:rsidP="00D80808">
            <w:pPr>
              <w:pStyle w:val="TableHeading"/>
            </w:pPr>
            <w:r w:rsidRPr="006D3C0F">
              <w:t>Date/Details</w:t>
            </w:r>
          </w:p>
        </w:tc>
      </w:tr>
      <w:tr w:rsidR="003767E2" w:rsidRPr="006D3C0F" w14:paraId="04CC6ADA" w14:textId="77777777" w:rsidTr="00D8080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41DF7B2D" w14:textId="35C45CF3" w:rsidR="003767E2" w:rsidRPr="006D3C0F" w:rsidRDefault="003767E2" w:rsidP="00D80808">
            <w:pPr>
              <w:pStyle w:val="Tabletext"/>
              <w:rPr>
                <w:iCs/>
              </w:rPr>
            </w:pPr>
            <w:r w:rsidRPr="006D3C0F">
              <w:t xml:space="preserve">1.  </w:t>
            </w:r>
            <w:r w:rsidR="00D80808" w:rsidRPr="006D3C0F">
              <w:rPr>
                <w:iCs/>
              </w:rPr>
              <w:t>The whole of 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5854E88" w14:textId="22C1BE15" w:rsidR="003767E2" w:rsidRPr="006D3C0F" w:rsidRDefault="00D80808" w:rsidP="00D80808">
            <w:pPr>
              <w:pStyle w:val="Tabletext"/>
              <w:rPr>
                <w:iCs/>
              </w:rPr>
            </w:pPr>
            <w:r w:rsidRPr="006D3C0F">
              <w:rPr>
                <w:iCs/>
              </w:rPr>
              <w:t>The day after this instrument is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622816F" w14:textId="255FCF5D" w:rsidR="003767E2" w:rsidRPr="006D3C0F" w:rsidRDefault="003767E2" w:rsidP="00D80808">
            <w:pPr>
              <w:pStyle w:val="Tabletext"/>
              <w:rPr>
                <w:i/>
              </w:rPr>
            </w:pPr>
          </w:p>
        </w:tc>
      </w:tr>
    </w:tbl>
    <w:p w14:paraId="312BD369" w14:textId="77777777" w:rsidR="003767E2" w:rsidRPr="006D3C0F" w:rsidRDefault="003767E2" w:rsidP="003767E2">
      <w:pPr>
        <w:pStyle w:val="notetext"/>
      </w:pPr>
      <w:r w:rsidRPr="006D3C0F">
        <w:rPr>
          <w:snapToGrid w:val="0"/>
          <w:lang w:eastAsia="en-US"/>
        </w:rPr>
        <w:t>Note:</w:t>
      </w:r>
      <w:r w:rsidRPr="006D3C0F">
        <w:rPr>
          <w:snapToGrid w:val="0"/>
          <w:lang w:eastAsia="en-US"/>
        </w:rPr>
        <w:tab/>
        <w:t>This table relates only to the provisions of this instrument</w:t>
      </w:r>
      <w:r w:rsidRPr="006D3C0F">
        <w:t xml:space="preserve"> </w:t>
      </w:r>
      <w:r w:rsidRPr="006D3C0F">
        <w:rPr>
          <w:snapToGrid w:val="0"/>
          <w:lang w:eastAsia="en-US"/>
        </w:rPr>
        <w:t>as originally made. It will not be amended to deal with any later amendments of this instrument.</w:t>
      </w:r>
    </w:p>
    <w:p w14:paraId="795A2F0B" w14:textId="77777777" w:rsidR="003767E2" w:rsidRPr="006D3C0F" w:rsidRDefault="003767E2" w:rsidP="003767E2">
      <w:pPr>
        <w:pStyle w:val="subsection"/>
      </w:pPr>
      <w:r w:rsidRPr="006D3C0F">
        <w:tab/>
        <w:t>(2)</w:t>
      </w:r>
      <w:r w:rsidRPr="006D3C0F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13CBB947" w14:textId="77777777" w:rsidR="00554826" w:rsidRPr="006D3C0F" w:rsidRDefault="00554826" w:rsidP="00554826">
      <w:pPr>
        <w:pStyle w:val="ActHead5"/>
      </w:pPr>
      <w:bookmarkStart w:id="4" w:name="_Toc96503207"/>
      <w:proofErr w:type="gramStart"/>
      <w:r w:rsidRPr="006D3C0F">
        <w:t>3  Authority</w:t>
      </w:r>
      <w:bookmarkEnd w:id="4"/>
      <w:proofErr w:type="gramEnd"/>
    </w:p>
    <w:p w14:paraId="098F8B13" w14:textId="52F488F2" w:rsidR="00554826" w:rsidRPr="006D3C0F" w:rsidRDefault="00554826" w:rsidP="00554826">
      <w:pPr>
        <w:pStyle w:val="subsection"/>
      </w:pPr>
      <w:r w:rsidRPr="006D3C0F">
        <w:tab/>
      </w:r>
      <w:r w:rsidRPr="006D3C0F">
        <w:tab/>
        <w:t xml:space="preserve">This instrument is made under </w:t>
      </w:r>
      <w:r w:rsidR="00D80808" w:rsidRPr="006D3C0F">
        <w:t xml:space="preserve">subsection </w:t>
      </w:r>
      <w:r w:rsidR="00431025" w:rsidRPr="006D3C0F">
        <w:t>6</w:t>
      </w:r>
      <w:r w:rsidR="00D80808" w:rsidRPr="006D3C0F">
        <w:t xml:space="preserve">1(5AB) of the </w:t>
      </w:r>
      <w:r w:rsidR="00D80808" w:rsidRPr="006D3C0F">
        <w:rPr>
          <w:i/>
          <w:iCs/>
        </w:rPr>
        <w:t>Therapeutic Goods Act 1989</w:t>
      </w:r>
      <w:r w:rsidR="00D80808" w:rsidRPr="006D3C0F">
        <w:t>.</w:t>
      </w:r>
    </w:p>
    <w:p w14:paraId="62D706CE" w14:textId="77777777" w:rsidR="00554826" w:rsidRPr="006D3C0F" w:rsidRDefault="00554826" w:rsidP="00554826">
      <w:pPr>
        <w:pStyle w:val="ActHead5"/>
      </w:pPr>
      <w:bookmarkStart w:id="5" w:name="_Toc96503208"/>
      <w:proofErr w:type="gramStart"/>
      <w:r w:rsidRPr="006D3C0F">
        <w:t>4  Definitions</w:t>
      </w:r>
      <w:bookmarkEnd w:id="5"/>
      <w:proofErr w:type="gramEnd"/>
    </w:p>
    <w:p w14:paraId="6E2D01CC" w14:textId="39B2C122" w:rsidR="00554826" w:rsidRPr="006D3C0F" w:rsidRDefault="00554826" w:rsidP="00554826">
      <w:pPr>
        <w:pStyle w:val="notetext"/>
      </w:pPr>
      <w:r w:rsidRPr="006D3C0F">
        <w:t>Note:</w:t>
      </w:r>
      <w:r w:rsidRPr="006D3C0F">
        <w:tab/>
      </w:r>
      <w:proofErr w:type="gramStart"/>
      <w:r w:rsidRPr="006D3C0F">
        <w:t>A number of</w:t>
      </w:r>
      <w:proofErr w:type="gramEnd"/>
      <w:r w:rsidRPr="006D3C0F">
        <w:t xml:space="preserve"> expressions used in this instrument are defined in </w:t>
      </w:r>
      <w:r w:rsidR="00D80808" w:rsidRPr="006D3C0F">
        <w:t>subsection 3(1)</w:t>
      </w:r>
      <w:r w:rsidRPr="006D3C0F">
        <w:t xml:space="preserve"> of the Act, including the following:</w:t>
      </w:r>
    </w:p>
    <w:p w14:paraId="2505F528" w14:textId="393BFBE6" w:rsidR="00A24385" w:rsidRPr="006D3C0F" w:rsidRDefault="00FE6395" w:rsidP="006D3C0F">
      <w:pPr>
        <w:pStyle w:val="notepara"/>
      </w:pPr>
      <w:r w:rsidRPr="006D3C0F">
        <w:t>(</w:t>
      </w:r>
      <w:r w:rsidR="00943D2C" w:rsidRPr="006D3C0F">
        <w:t>a</w:t>
      </w:r>
      <w:r w:rsidRPr="006D3C0F">
        <w:t>)</w:t>
      </w:r>
      <w:r w:rsidRPr="006D3C0F">
        <w:tab/>
      </w:r>
      <w:r w:rsidR="00A24385" w:rsidRPr="006D3C0F">
        <w:t>Secretary</w:t>
      </w:r>
      <w:r w:rsidR="00C430E0">
        <w:t>.</w:t>
      </w:r>
    </w:p>
    <w:p w14:paraId="77C54E61" w14:textId="77777777" w:rsidR="00554826" w:rsidRPr="006D3C0F" w:rsidRDefault="00554826" w:rsidP="00554826">
      <w:pPr>
        <w:pStyle w:val="subsection"/>
      </w:pPr>
      <w:r w:rsidRPr="006D3C0F">
        <w:tab/>
      </w:r>
      <w:r w:rsidRPr="006D3C0F">
        <w:tab/>
        <w:t>In this instrument:</w:t>
      </w:r>
    </w:p>
    <w:p w14:paraId="675CC883" w14:textId="5FF3C7B8" w:rsidR="00554826" w:rsidRPr="006D3C0F" w:rsidRDefault="00554826" w:rsidP="00554826">
      <w:pPr>
        <w:pStyle w:val="Definition"/>
      </w:pPr>
      <w:r w:rsidRPr="006D3C0F">
        <w:rPr>
          <w:b/>
          <w:i/>
        </w:rPr>
        <w:t>Act</w:t>
      </w:r>
      <w:r w:rsidRPr="006D3C0F">
        <w:t xml:space="preserve"> means the </w:t>
      </w:r>
      <w:r w:rsidR="00D80808" w:rsidRPr="006D3C0F">
        <w:rPr>
          <w:i/>
        </w:rPr>
        <w:t>Therapeutic Goods Act 1989</w:t>
      </w:r>
      <w:r w:rsidRPr="006D3C0F">
        <w:t>.</w:t>
      </w:r>
    </w:p>
    <w:p w14:paraId="2641D222" w14:textId="42A845FA" w:rsidR="00090F27" w:rsidRPr="006D3C0F" w:rsidRDefault="00090F27" w:rsidP="00554826">
      <w:pPr>
        <w:pStyle w:val="Definition"/>
        <w:rPr>
          <w:bCs/>
          <w:iCs/>
        </w:rPr>
      </w:pPr>
      <w:r w:rsidRPr="006D3C0F">
        <w:rPr>
          <w:b/>
          <w:i/>
        </w:rPr>
        <w:t>AEMS</w:t>
      </w:r>
      <w:r w:rsidRPr="006D3C0F">
        <w:rPr>
          <w:b/>
          <w:iCs/>
        </w:rPr>
        <w:t xml:space="preserve"> </w:t>
      </w:r>
      <w:r w:rsidRPr="006D3C0F">
        <w:rPr>
          <w:bCs/>
          <w:iCs/>
        </w:rPr>
        <w:t>means the Adverse Event Management System</w:t>
      </w:r>
      <w:r w:rsidR="00841000" w:rsidRPr="006D3C0F">
        <w:rPr>
          <w:bCs/>
          <w:iCs/>
        </w:rPr>
        <w:t xml:space="preserve"> maintained by the Therapeutic Goods Administration</w:t>
      </w:r>
      <w:r w:rsidRPr="006D3C0F">
        <w:rPr>
          <w:bCs/>
          <w:iCs/>
        </w:rPr>
        <w:t>.</w:t>
      </w:r>
    </w:p>
    <w:p w14:paraId="2C8FA27E" w14:textId="38779294" w:rsidR="00841000" w:rsidRPr="006D3C0F" w:rsidRDefault="00090F27" w:rsidP="004A3237">
      <w:pPr>
        <w:pStyle w:val="Definition"/>
        <w:rPr>
          <w:bCs/>
          <w:iCs/>
        </w:rPr>
      </w:pPr>
      <w:r w:rsidRPr="006D3C0F">
        <w:rPr>
          <w:b/>
          <w:i/>
        </w:rPr>
        <w:t>AIR</w:t>
      </w:r>
      <w:r w:rsidRPr="006D3C0F">
        <w:rPr>
          <w:bCs/>
          <w:iCs/>
        </w:rPr>
        <w:t xml:space="preserve"> means the Australian Immunisation Register</w:t>
      </w:r>
      <w:r w:rsidR="004D083A" w:rsidRPr="006D3C0F">
        <w:rPr>
          <w:bCs/>
          <w:iCs/>
        </w:rPr>
        <w:t xml:space="preserve"> established and kept under</w:t>
      </w:r>
      <w:r w:rsidR="003B745B" w:rsidRPr="006D3C0F">
        <w:rPr>
          <w:bCs/>
          <w:iCs/>
        </w:rPr>
        <w:t xml:space="preserve"> </w:t>
      </w:r>
      <w:r w:rsidR="004D083A" w:rsidRPr="006D3C0F">
        <w:rPr>
          <w:bCs/>
          <w:iCs/>
        </w:rPr>
        <w:t xml:space="preserve">the </w:t>
      </w:r>
      <w:r w:rsidR="004D083A" w:rsidRPr="006D3C0F">
        <w:rPr>
          <w:bCs/>
          <w:i/>
        </w:rPr>
        <w:t>Australian Immunisation Register Act 2015</w:t>
      </w:r>
      <w:r w:rsidRPr="006D3C0F">
        <w:rPr>
          <w:bCs/>
          <w:iCs/>
        </w:rPr>
        <w:t>.</w:t>
      </w:r>
    </w:p>
    <w:p w14:paraId="2B26F28B" w14:textId="732B616A" w:rsidR="004A4B5C" w:rsidRPr="006D3C0F" w:rsidRDefault="004A4B5C" w:rsidP="004A3237">
      <w:pPr>
        <w:pStyle w:val="Definition"/>
        <w:rPr>
          <w:bCs/>
          <w:iCs/>
        </w:rPr>
      </w:pPr>
      <w:r w:rsidRPr="006D3C0F">
        <w:rPr>
          <w:b/>
          <w:i/>
        </w:rPr>
        <w:t xml:space="preserve">NCIRS </w:t>
      </w:r>
      <w:r w:rsidRPr="006D3C0F">
        <w:rPr>
          <w:bCs/>
          <w:iCs/>
        </w:rPr>
        <w:t>means the National Centre for Immunisation Research and Surveillance (ABN 53 188 579 090).</w:t>
      </w:r>
    </w:p>
    <w:p w14:paraId="66228942" w14:textId="34C870B4" w:rsidR="007543A5" w:rsidRPr="006D3C0F" w:rsidRDefault="007543A5" w:rsidP="004A3237">
      <w:pPr>
        <w:pStyle w:val="Definition"/>
        <w:rPr>
          <w:bCs/>
          <w:iCs/>
        </w:rPr>
      </w:pPr>
      <w:r w:rsidRPr="006D3C0F">
        <w:rPr>
          <w:b/>
          <w:i/>
        </w:rPr>
        <w:t>SAEFVIC</w:t>
      </w:r>
      <w:r w:rsidRPr="006D3C0F">
        <w:rPr>
          <w:bCs/>
          <w:iCs/>
        </w:rPr>
        <w:t xml:space="preserve"> means the Surveillance of Adverse Events Following Vaccination </w:t>
      </w:r>
      <w:proofErr w:type="gramStart"/>
      <w:r w:rsidRPr="006D3C0F">
        <w:rPr>
          <w:bCs/>
          <w:iCs/>
        </w:rPr>
        <w:t>In</w:t>
      </w:r>
      <w:proofErr w:type="gramEnd"/>
      <w:r w:rsidRPr="006D3C0F">
        <w:rPr>
          <w:bCs/>
          <w:iCs/>
        </w:rPr>
        <w:t xml:space="preserve"> the Community, funded by the Department of Health, Victoria.</w:t>
      </w:r>
    </w:p>
    <w:p w14:paraId="089875BF" w14:textId="4AA0CDE6" w:rsidR="007543A5" w:rsidRPr="006D3C0F" w:rsidRDefault="007543A5" w:rsidP="006D3C0F">
      <w:pPr>
        <w:pStyle w:val="Definition"/>
        <w:keepNext/>
        <w:rPr>
          <w:bCs/>
          <w:iCs/>
          <w:sz w:val="18"/>
          <w:szCs w:val="18"/>
        </w:rPr>
      </w:pPr>
      <w:r w:rsidRPr="006D3C0F">
        <w:rPr>
          <w:bCs/>
          <w:iCs/>
          <w:sz w:val="18"/>
          <w:szCs w:val="18"/>
        </w:rPr>
        <w:lastRenderedPageBreak/>
        <w:t>Note:</w:t>
      </w:r>
      <w:r w:rsidRPr="006D3C0F">
        <w:rPr>
          <w:bCs/>
          <w:iCs/>
          <w:sz w:val="18"/>
          <w:szCs w:val="18"/>
        </w:rPr>
        <w:tab/>
        <w:t>SAEFVIC is comprised of two units at the following sites:</w:t>
      </w:r>
    </w:p>
    <w:p w14:paraId="1607BCC2" w14:textId="0EF0256B" w:rsidR="007543A5" w:rsidRPr="006D3C0F" w:rsidRDefault="007543A5" w:rsidP="006D3C0F">
      <w:pPr>
        <w:pStyle w:val="notepara"/>
        <w:ind w:left="2410" w:hanging="283"/>
      </w:pPr>
      <w:r w:rsidRPr="006D3C0F">
        <w:t>(a)</w:t>
      </w:r>
      <w:r w:rsidRPr="006D3C0F">
        <w:tab/>
        <w:t>Murdoch Children’s Research Institute (Clinical) and</w:t>
      </w:r>
    </w:p>
    <w:p w14:paraId="0A4B9E2C" w14:textId="6DF627E7" w:rsidR="007543A5" w:rsidRPr="006D3C0F" w:rsidRDefault="007543A5" w:rsidP="006D3C0F">
      <w:pPr>
        <w:pStyle w:val="notepara"/>
        <w:ind w:left="2410" w:hanging="283"/>
      </w:pPr>
      <w:r w:rsidRPr="006D3C0F">
        <w:t>(b)</w:t>
      </w:r>
      <w:r w:rsidRPr="006D3C0F">
        <w:tab/>
        <w:t>Monash Health &amp; University (Epidemiology and Signal Investigation).</w:t>
      </w:r>
    </w:p>
    <w:p w14:paraId="737DFB75" w14:textId="0048D78F" w:rsidR="00BD7E8F" w:rsidRPr="006D3C0F" w:rsidRDefault="00BD7E8F" w:rsidP="00554826">
      <w:pPr>
        <w:pStyle w:val="Definition"/>
        <w:rPr>
          <w:bCs/>
          <w:iCs/>
        </w:rPr>
      </w:pPr>
      <w:r w:rsidRPr="006D3C0F">
        <w:rPr>
          <w:b/>
          <w:i/>
        </w:rPr>
        <w:t>Therapeutic Goods Administration</w:t>
      </w:r>
      <w:r w:rsidR="00FB78C7" w:rsidRPr="006D3C0F">
        <w:rPr>
          <w:b/>
          <w:i/>
        </w:rPr>
        <w:t>,</w:t>
      </w:r>
      <w:r w:rsidRPr="006D3C0F">
        <w:rPr>
          <w:b/>
          <w:i/>
        </w:rPr>
        <w:t xml:space="preserve"> </w:t>
      </w:r>
      <w:r w:rsidR="00FB78C7" w:rsidRPr="006D3C0F">
        <w:rPr>
          <w:bCs/>
          <w:iCs/>
        </w:rPr>
        <w:t>or</w:t>
      </w:r>
      <w:r w:rsidR="00FB78C7" w:rsidRPr="006D3C0F">
        <w:rPr>
          <w:b/>
          <w:i/>
        </w:rPr>
        <w:t xml:space="preserve"> TGA</w:t>
      </w:r>
      <w:r w:rsidR="00FB78C7" w:rsidRPr="006D3C0F">
        <w:rPr>
          <w:bCs/>
          <w:iCs/>
        </w:rPr>
        <w:t>,</w:t>
      </w:r>
      <w:r w:rsidR="00FB78C7" w:rsidRPr="006D3C0F">
        <w:rPr>
          <w:b/>
          <w:i/>
        </w:rPr>
        <w:t xml:space="preserve"> </w:t>
      </w:r>
      <w:r w:rsidRPr="006D3C0F">
        <w:rPr>
          <w:bCs/>
          <w:iCs/>
        </w:rPr>
        <w:t>mean</w:t>
      </w:r>
      <w:r w:rsidR="00FB78C7" w:rsidRPr="006D3C0F">
        <w:rPr>
          <w:bCs/>
          <w:iCs/>
        </w:rPr>
        <w:t>s that part of the Department known as the Therapeutic Goods Administration</w:t>
      </w:r>
      <w:r w:rsidRPr="006D3C0F">
        <w:rPr>
          <w:bCs/>
          <w:iCs/>
        </w:rPr>
        <w:t>.</w:t>
      </w:r>
    </w:p>
    <w:p w14:paraId="28DDB6ED" w14:textId="4A3BB97C" w:rsidR="00554826" w:rsidRPr="006D3C0F" w:rsidRDefault="00D80808" w:rsidP="00554826">
      <w:pPr>
        <w:pStyle w:val="Definition"/>
      </w:pPr>
      <w:r w:rsidRPr="006D3C0F">
        <w:rPr>
          <w:b/>
          <w:i/>
        </w:rPr>
        <w:t>therapeutic goods information</w:t>
      </w:r>
      <w:r w:rsidR="00554826" w:rsidRPr="006D3C0F">
        <w:rPr>
          <w:b/>
          <w:i/>
        </w:rPr>
        <w:t xml:space="preserve"> </w:t>
      </w:r>
      <w:r w:rsidRPr="006D3C0F">
        <w:t>has the meaning given by subsection 61(1) of the Act</w:t>
      </w:r>
      <w:r w:rsidR="00554826" w:rsidRPr="006D3C0F">
        <w:t>.</w:t>
      </w:r>
    </w:p>
    <w:p w14:paraId="5CBF6CA6" w14:textId="7DD95186" w:rsidR="00554826" w:rsidRPr="006D3C0F" w:rsidRDefault="00554826" w:rsidP="00554826">
      <w:pPr>
        <w:pStyle w:val="ActHead5"/>
      </w:pPr>
      <w:bookmarkStart w:id="6" w:name="_Toc454781205"/>
      <w:bookmarkStart w:id="7" w:name="_Toc96503209"/>
      <w:proofErr w:type="gramStart"/>
      <w:r w:rsidRPr="006D3C0F">
        <w:t xml:space="preserve">5  </w:t>
      </w:r>
      <w:bookmarkEnd w:id="6"/>
      <w:r w:rsidR="00D80808" w:rsidRPr="006D3C0F">
        <w:t>Release</w:t>
      </w:r>
      <w:proofErr w:type="gramEnd"/>
      <w:r w:rsidR="00D80808" w:rsidRPr="006D3C0F">
        <w:t xml:space="preserve"> of therapeutic goods information</w:t>
      </w:r>
      <w:bookmarkEnd w:id="7"/>
    </w:p>
    <w:p w14:paraId="36B8123E" w14:textId="71660A18" w:rsidR="00554826" w:rsidRPr="006D3C0F" w:rsidRDefault="00554826" w:rsidP="00B970A3">
      <w:pPr>
        <w:pStyle w:val="subsection"/>
      </w:pPr>
      <w:r w:rsidRPr="006D3C0F">
        <w:tab/>
      </w:r>
      <w:r w:rsidRPr="006D3C0F">
        <w:tab/>
      </w:r>
      <w:r w:rsidR="00D80808" w:rsidRPr="006D3C0F">
        <w:t>For subsection 61(5AA) of the Act, in relation to each item</w:t>
      </w:r>
      <w:r w:rsidR="004A4B5C" w:rsidRPr="006D3C0F">
        <w:t xml:space="preserve"> </w:t>
      </w:r>
      <w:r w:rsidR="000F75FC" w:rsidRPr="006D3C0F">
        <w:t xml:space="preserve">in </w:t>
      </w:r>
      <w:r w:rsidR="004A4B5C" w:rsidRPr="006D3C0F">
        <w:t>the table</w:t>
      </w:r>
      <w:r w:rsidR="00FF1599">
        <w:t>s</w:t>
      </w:r>
      <w:r w:rsidR="004A4B5C" w:rsidRPr="006D3C0F">
        <w:t xml:space="preserve"> in </w:t>
      </w:r>
      <w:r w:rsidR="007166FF" w:rsidRPr="006D3C0F">
        <w:t xml:space="preserve">Part 1 </w:t>
      </w:r>
      <w:r w:rsidR="00FF1599">
        <w:t>and</w:t>
      </w:r>
      <w:r w:rsidR="007166FF" w:rsidRPr="006D3C0F">
        <w:t xml:space="preserve"> 2 </w:t>
      </w:r>
      <w:r w:rsidR="00082DCA" w:rsidRPr="006D3C0F">
        <w:t>of</w:t>
      </w:r>
      <w:r w:rsidR="007166FF" w:rsidRPr="006D3C0F">
        <w:t xml:space="preserve"> </w:t>
      </w:r>
      <w:r w:rsidR="004A4B5C" w:rsidRPr="006D3C0F">
        <w:t>Schedule 1</w:t>
      </w:r>
      <w:r w:rsidR="00D80808" w:rsidRPr="006D3C0F">
        <w:t>, the kinds of therapeutic goods information specified in column 2</w:t>
      </w:r>
      <w:r w:rsidR="004A4B5C" w:rsidRPr="006D3C0F">
        <w:t xml:space="preserve"> </w:t>
      </w:r>
      <w:r w:rsidR="00D80808" w:rsidRPr="006D3C0F">
        <w:t xml:space="preserve">may be released to </w:t>
      </w:r>
      <w:r w:rsidR="003A6472" w:rsidRPr="006D3C0F">
        <w:t xml:space="preserve">a person, body or authority (or </w:t>
      </w:r>
      <w:r w:rsidR="00D80808" w:rsidRPr="006D3C0F">
        <w:t>kinds of persons</w:t>
      </w:r>
      <w:r w:rsidR="004A4B5C" w:rsidRPr="006D3C0F">
        <w:t>,</w:t>
      </w:r>
      <w:r w:rsidR="00D80808" w:rsidRPr="006D3C0F">
        <w:t xml:space="preserve"> bodies </w:t>
      </w:r>
      <w:r w:rsidR="004A4B5C" w:rsidRPr="006D3C0F">
        <w:t>or authorities</w:t>
      </w:r>
      <w:r w:rsidR="003A6472" w:rsidRPr="006D3C0F">
        <w:t>)</w:t>
      </w:r>
      <w:r w:rsidR="004A4B5C" w:rsidRPr="006D3C0F">
        <w:t xml:space="preserve"> </w:t>
      </w:r>
      <w:r w:rsidR="00D80808" w:rsidRPr="006D3C0F">
        <w:t>specified in column 3, for the purpose</w:t>
      </w:r>
      <w:r w:rsidR="003A6472" w:rsidRPr="006D3C0F">
        <w:t>s</w:t>
      </w:r>
      <w:r w:rsidR="00D80808" w:rsidRPr="006D3C0F">
        <w:t xml:space="preserve"> specified in column</w:t>
      </w:r>
      <w:r w:rsidR="003A6A20" w:rsidRPr="006D3C0F">
        <w:t> </w:t>
      </w:r>
      <w:r w:rsidR="00D80808" w:rsidRPr="006D3C0F">
        <w:t>4</w:t>
      </w:r>
      <w:r w:rsidRPr="006D3C0F">
        <w:t>.</w:t>
      </w:r>
    </w:p>
    <w:p w14:paraId="5A9407D6" w14:textId="3E6065E3" w:rsidR="00D80808" w:rsidRPr="006D3C0F" w:rsidRDefault="00D80808" w:rsidP="00BF4A38">
      <w:pPr>
        <w:pStyle w:val="Definition"/>
        <w:ind w:left="2127" w:hanging="993"/>
        <w:rPr>
          <w:sz w:val="18"/>
          <w:szCs w:val="18"/>
        </w:rPr>
      </w:pPr>
      <w:r w:rsidRPr="006D3C0F">
        <w:rPr>
          <w:sz w:val="18"/>
          <w:szCs w:val="18"/>
        </w:rPr>
        <w:t>Note:</w:t>
      </w:r>
      <w:r w:rsidRPr="006D3C0F">
        <w:rPr>
          <w:sz w:val="18"/>
          <w:szCs w:val="18"/>
        </w:rPr>
        <w:tab/>
        <w:t>Under subsection 61(5AA) of the Act, the Secretary may release to a person</w:t>
      </w:r>
      <w:r w:rsidR="00587F3B" w:rsidRPr="006D3C0F">
        <w:rPr>
          <w:sz w:val="18"/>
          <w:szCs w:val="18"/>
        </w:rPr>
        <w:t>,</w:t>
      </w:r>
      <w:r w:rsidRPr="006D3C0F">
        <w:rPr>
          <w:sz w:val="18"/>
          <w:szCs w:val="18"/>
        </w:rPr>
        <w:t xml:space="preserve"> body </w:t>
      </w:r>
      <w:r w:rsidR="00587F3B" w:rsidRPr="006D3C0F">
        <w:rPr>
          <w:sz w:val="18"/>
          <w:szCs w:val="18"/>
        </w:rPr>
        <w:t xml:space="preserve">or authority </w:t>
      </w:r>
      <w:r w:rsidRPr="006D3C0F">
        <w:rPr>
          <w:sz w:val="18"/>
          <w:szCs w:val="18"/>
        </w:rPr>
        <w:t>that is specified</w:t>
      </w:r>
      <w:r w:rsidR="00587F3B" w:rsidRPr="006D3C0F">
        <w:rPr>
          <w:sz w:val="18"/>
          <w:szCs w:val="18"/>
        </w:rPr>
        <w:t>, or is of a kind specified,</w:t>
      </w:r>
      <w:r w:rsidRPr="006D3C0F">
        <w:rPr>
          <w:sz w:val="18"/>
          <w:szCs w:val="18"/>
        </w:rPr>
        <w:t xml:space="preserve"> under subsection 61(5AB), specified kinds of therapeutic goods information for a specified purpose.</w:t>
      </w:r>
    </w:p>
    <w:p w14:paraId="5D934934" w14:textId="79CC3A2F" w:rsidR="00554826" w:rsidRPr="006D3C0F" w:rsidRDefault="00554826" w:rsidP="00BF4A38">
      <w:pPr>
        <w:spacing w:line="240" w:lineRule="auto"/>
        <w:rPr>
          <w:rFonts w:eastAsia="Times New Roman" w:cs="Times New Roman"/>
          <w:lang w:eastAsia="en-AU"/>
        </w:rPr>
      </w:pPr>
      <w:r w:rsidRPr="006D3C0F">
        <w:br w:type="page"/>
      </w:r>
    </w:p>
    <w:p w14:paraId="766C3DBC" w14:textId="77BBD896" w:rsidR="00D6537E" w:rsidRPr="006D3C0F" w:rsidRDefault="004E1307" w:rsidP="00D6537E">
      <w:pPr>
        <w:pStyle w:val="ActHead6"/>
      </w:pPr>
      <w:bookmarkStart w:id="8" w:name="_Toc96503210"/>
      <w:r w:rsidRPr="006D3C0F">
        <w:lastRenderedPageBreak/>
        <w:t xml:space="preserve">Schedule </w:t>
      </w:r>
      <w:r w:rsidR="00D6537E" w:rsidRPr="006D3C0F">
        <w:t>1—</w:t>
      </w:r>
      <w:r w:rsidR="005052A7" w:rsidRPr="006D3C0F">
        <w:t>T</w:t>
      </w:r>
      <w:r w:rsidR="00D80808" w:rsidRPr="006D3C0F">
        <w:t>herapeutic goods information</w:t>
      </w:r>
      <w:bookmarkEnd w:id="8"/>
    </w:p>
    <w:p w14:paraId="4E372E7C" w14:textId="77777777" w:rsidR="00D80808" w:rsidRPr="006D3C0F" w:rsidRDefault="00D80808" w:rsidP="006D3C0F">
      <w:pPr>
        <w:pStyle w:val="notemargin"/>
        <w:spacing w:after="120"/>
      </w:pPr>
      <w:r w:rsidRPr="006D3C0F">
        <w:t>Note:</w:t>
      </w:r>
      <w:r w:rsidRPr="006D3C0F">
        <w:tab/>
        <w:t>See section 5.</w:t>
      </w:r>
    </w:p>
    <w:p w14:paraId="2F4C9C29" w14:textId="1F08EA4D" w:rsidR="005052A7" w:rsidRPr="006D3C0F" w:rsidRDefault="005052A7" w:rsidP="006D3C0F">
      <w:pPr>
        <w:pStyle w:val="ActHead2"/>
        <w:spacing w:before="240" w:after="240"/>
      </w:pPr>
      <w:bookmarkStart w:id="9" w:name="_Toc529794663"/>
      <w:bookmarkStart w:id="10" w:name="_Toc57970877"/>
      <w:bookmarkStart w:id="11" w:name="_Toc95212919"/>
      <w:bookmarkStart w:id="12" w:name="_Toc96503211"/>
      <w:r w:rsidRPr="006D3C0F">
        <w:rPr>
          <w:rStyle w:val="CharPartNo"/>
        </w:rPr>
        <w:t>Part 1—</w:t>
      </w:r>
      <w:bookmarkEnd w:id="9"/>
      <w:bookmarkEnd w:id="10"/>
      <w:bookmarkEnd w:id="11"/>
      <w:r w:rsidRPr="006D3C0F">
        <w:rPr>
          <w:rStyle w:val="CharPartNo"/>
        </w:rPr>
        <w:t>NCIRS</w:t>
      </w:r>
      <w:bookmarkEnd w:id="12"/>
    </w:p>
    <w:tbl>
      <w:tblPr>
        <w:tblW w:w="5031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2854"/>
        <w:gridCol w:w="2553"/>
        <w:gridCol w:w="1840"/>
      </w:tblGrid>
      <w:tr w:rsidR="00D80808" w:rsidRPr="006D3C0F" w14:paraId="7633BAB2" w14:textId="77777777" w:rsidTr="00A35B06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17BE2F92" w14:textId="77777777" w:rsidR="00D80808" w:rsidRPr="006D3C0F" w:rsidRDefault="00D80808" w:rsidP="00082DCA">
            <w:pPr>
              <w:pStyle w:val="TableHeading"/>
            </w:pPr>
            <w:r w:rsidRPr="006D3C0F">
              <w:t>Therapeutic goods information that may be released</w:t>
            </w:r>
          </w:p>
        </w:tc>
      </w:tr>
      <w:tr w:rsidR="00D80808" w:rsidRPr="006D3C0F" w14:paraId="06C682AA" w14:textId="77777777" w:rsidTr="00A35B06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398E2385" w14:textId="77777777" w:rsidR="00D80808" w:rsidRPr="006D3C0F" w:rsidRDefault="00D80808" w:rsidP="00D80808">
            <w:pPr>
              <w:pStyle w:val="TableHeading"/>
            </w:pPr>
            <w:r w:rsidRPr="006D3C0F">
              <w:t>Column 1</w:t>
            </w:r>
          </w:p>
        </w:tc>
        <w:tc>
          <w:tcPr>
            <w:tcW w:w="170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CF56BAD" w14:textId="77777777" w:rsidR="00D80808" w:rsidRPr="006D3C0F" w:rsidRDefault="00D80808" w:rsidP="00D80808">
            <w:pPr>
              <w:pStyle w:val="TableHeading"/>
            </w:pPr>
            <w:r w:rsidRPr="006D3C0F">
              <w:t>Column 2</w:t>
            </w:r>
          </w:p>
        </w:tc>
        <w:tc>
          <w:tcPr>
            <w:tcW w:w="152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0E3094D5" w14:textId="77777777" w:rsidR="00D80808" w:rsidRPr="006D3C0F" w:rsidRDefault="00D80808" w:rsidP="00D80808">
            <w:pPr>
              <w:pStyle w:val="TableHeading"/>
            </w:pPr>
            <w:r w:rsidRPr="006D3C0F">
              <w:t>Column 3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8" w:space="0" w:color="auto"/>
            </w:tcBorders>
          </w:tcPr>
          <w:p w14:paraId="78CA5FB4" w14:textId="77777777" w:rsidR="00D80808" w:rsidRPr="006D3C0F" w:rsidRDefault="00D80808" w:rsidP="00D80808">
            <w:pPr>
              <w:pStyle w:val="TableHeading"/>
            </w:pPr>
            <w:r w:rsidRPr="006D3C0F">
              <w:t>Column 4</w:t>
            </w:r>
          </w:p>
        </w:tc>
      </w:tr>
      <w:tr w:rsidR="00D80808" w:rsidRPr="006D3C0F" w14:paraId="16481926" w14:textId="77777777" w:rsidTr="00A35B06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88F7A6B" w14:textId="77777777" w:rsidR="00D80808" w:rsidRPr="006D3C0F" w:rsidRDefault="00D80808" w:rsidP="00D80808">
            <w:pPr>
              <w:pStyle w:val="TableHeading"/>
            </w:pPr>
            <w:r w:rsidRPr="006D3C0F">
              <w:t xml:space="preserve">Item </w:t>
            </w:r>
          </w:p>
        </w:tc>
        <w:tc>
          <w:tcPr>
            <w:tcW w:w="170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358195E" w14:textId="77777777" w:rsidR="00D80808" w:rsidRPr="006D3C0F" w:rsidRDefault="00D80808" w:rsidP="00D80808">
            <w:pPr>
              <w:pStyle w:val="TableHeading"/>
              <w:tabs>
                <w:tab w:val="right" w:pos="2329"/>
              </w:tabs>
            </w:pPr>
            <w:r w:rsidRPr="006D3C0F">
              <w:t>Kinds of information</w:t>
            </w:r>
          </w:p>
        </w:tc>
        <w:tc>
          <w:tcPr>
            <w:tcW w:w="152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5D1CAFE" w14:textId="7C9CD51D" w:rsidR="00D80808" w:rsidRPr="006D3C0F" w:rsidRDefault="007834AD" w:rsidP="00D80808">
            <w:pPr>
              <w:pStyle w:val="TableHeading"/>
            </w:pPr>
            <w:r w:rsidRPr="006D3C0F">
              <w:t>P</w:t>
            </w:r>
            <w:r w:rsidR="00D80808" w:rsidRPr="006D3C0F">
              <w:t>ersons or bodies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12" w:space="0" w:color="auto"/>
            </w:tcBorders>
          </w:tcPr>
          <w:p w14:paraId="3C6553AE" w14:textId="1C0B63D3" w:rsidR="00D80808" w:rsidRPr="006D3C0F" w:rsidRDefault="00D80808" w:rsidP="00D80808">
            <w:pPr>
              <w:pStyle w:val="TableHeading"/>
            </w:pPr>
            <w:r w:rsidRPr="006D3C0F">
              <w:t>Purpose</w:t>
            </w:r>
            <w:r w:rsidR="007834AD" w:rsidRPr="006D3C0F">
              <w:t>s</w:t>
            </w:r>
          </w:p>
        </w:tc>
      </w:tr>
      <w:tr w:rsidR="00D80808" w:rsidRPr="006D3C0F" w14:paraId="079A5F76" w14:textId="77777777" w:rsidTr="00A35B06"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6F97F99" w14:textId="77777777" w:rsidR="00D80808" w:rsidRPr="006D3C0F" w:rsidRDefault="00D80808" w:rsidP="00D80808">
            <w:pPr>
              <w:pStyle w:val="Tabletext"/>
              <w:spacing w:after="120"/>
            </w:pPr>
            <w:r w:rsidRPr="006D3C0F">
              <w:t>1</w:t>
            </w:r>
          </w:p>
        </w:tc>
        <w:tc>
          <w:tcPr>
            <w:tcW w:w="17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CA104A6" w14:textId="61F28BA4" w:rsidR="00D80808" w:rsidRPr="006D3C0F" w:rsidRDefault="00D80808" w:rsidP="00A35B06">
            <w:pPr>
              <w:pStyle w:val="Tabletext"/>
            </w:pPr>
            <w:r w:rsidRPr="006D3C0F">
              <w:t>information about</w:t>
            </w:r>
            <w:r w:rsidR="00E81904" w:rsidRPr="006D3C0F">
              <w:t xml:space="preserve"> adverse events following immunisation</w:t>
            </w:r>
            <w:r w:rsidR="00C74A49" w:rsidRPr="006D3C0F">
              <w:t xml:space="preserve"> with vaccine</w:t>
            </w:r>
            <w:r w:rsidR="00572B00" w:rsidRPr="006D3C0F">
              <w:t>s</w:t>
            </w:r>
            <w:r w:rsidR="00090F27" w:rsidRPr="006D3C0F">
              <w:t xml:space="preserve"> that relates to</w:t>
            </w:r>
            <w:r w:rsidR="009253D6" w:rsidRPr="006D3C0F">
              <w:t xml:space="preserve"> one or more of the following</w:t>
            </w:r>
            <w:r w:rsidR="00090F27" w:rsidRPr="006D3C0F">
              <w:t>:</w:t>
            </w:r>
          </w:p>
          <w:p w14:paraId="0818B23B" w14:textId="77777777" w:rsidR="0073478C" w:rsidRPr="006D3C0F" w:rsidRDefault="00D80808" w:rsidP="0073478C">
            <w:pPr>
              <w:pStyle w:val="Tabletext"/>
              <w:ind w:left="326" w:hanging="326"/>
              <w:rPr>
                <w:szCs w:val="22"/>
              </w:rPr>
            </w:pPr>
            <w:r w:rsidRPr="006D3C0F">
              <w:t>(a)</w:t>
            </w:r>
            <w:r w:rsidRPr="006D3C0F">
              <w:tab/>
            </w:r>
            <w:r w:rsidR="00090F27" w:rsidRPr="006D3C0F">
              <w:t xml:space="preserve">the aggregate numbers of AEMS </w:t>
            </w:r>
            <w:proofErr w:type="gramStart"/>
            <w:r w:rsidR="00090F27" w:rsidRPr="006D3C0F">
              <w:t>reports</w:t>
            </w:r>
            <w:r w:rsidRPr="006D3C0F">
              <w:t>;</w:t>
            </w:r>
            <w:proofErr w:type="gramEnd"/>
          </w:p>
          <w:p w14:paraId="54171D67" w14:textId="30E3FB41" w:rsidR="00D80808" w:rsidRPr="006D3C0F" w:rsidRDefault="00D80808" w:rsidP="00A35B06">
            <w:pPr>
              <w:pStyle w:val="Tabletext"/>
              <w:ind w:left="326" w:hanging="326"/>
              <w:rPr>
                <w:szCs w:val="22"/>
              </w:rPr>
            </w:pPr>
            <w:r w:rsidRPr="006D3C0F">
              <w:rPr>
                <w:szCs w:val="22"/>
              </w:rPr>
              <w:t>(b)</w:t>
            </w:r>
            <w:r w:rsidRPr="006D3C0F">
              <w:rPr>
                <w:szCs w:val="22"/>
              </w:rPr>
              <w:tab/>
            </w:r>
            <w:r w:rsidR="00090F27" w:rsidRPr="006D3C0F">
              <w:rPr>
                <w:szCs w:val="22"/>
              </w:rPr>
              <w:t xml:space="preserve">the number of doses </w:t>
            </w:r>
            <w:r w:rsidR="005F637C" w:rsidRPr="006D3C0F">
              <w:rPr>
                <w:szCs w:val="22"/>
              </w:rPr>
              <w:t>administered</w:t>
            </w:r>
            <w:r w:rsidR="00317895" w:rsidRPr="006D3C0F">
              <w:rPr>
                <w:szCs w:val="22"/>
              </w:rPr>
              <w:t>,</w:t>
            </w:r>
            <w:r w:rsidR="005F637C" w:rsidRPr="006D3C0F">
              <w:rPr>
                <w:szCs w:val="22"/>
              </w:rPr>
              <w:t xml:space="preserve"> </w:t>
            </w:r>
            <w:r w:rsidR="004D1C69" w:rsidRPr="006D3C0F">
              <w:rPr>
                <w:szCs w:val="22"/>
              </w:rPr>
              <w:t>as included in</w:t>
            </w:r>
            <w:r w:rsidR="005F637C" w:rsidRPr="006D3C0F">
              <w:rPr>
                <w:szCs w:val="22"/>
              </w:rPr>
              <w:t xml:space="preserve"> </w:t>
            </w:r>
            <w:r w:rsidR="00090F27" w:rsidRPr="006D3C0F">
              <w:rPr>
                <w:szCs w:val="22"/>
              </w:rPr>
              <w:t xml:space="preserve">the </w:t>
            </w:r>
            <w:proofErr w:type="gramStart"/>
            <w:r w:rsidR="00090F27" w:rsidRPr="006D3C0F">
              <w:rPr>
                <w:szCs w:val="22"/>
              </w:rPr>
              <w:t>AIR</w:t>
            </w:r>
            <w:r w:rsidRPr="006D3C0F">
              <w:rPr>
                <w:szCs w:val="22"/>
              </w:rPr>
              <w:t>;</w:t>
            </w:r>
            <w:proofErr w:type="gramEnd"/>
          </w:p>
          <w:p w14:paraId="1426C100" w14:textId="0DFF659F" w:rsidR="00D80808" w:rsidRPr="006D3C0F" w:rsidRDefault="00D80808" w:rsidP="00A35B06">
            <w:pPr>
              <w:pStyle w:val="Tabletext"/>
              <w:ind w:left="326" w:hanging="326"/>
              <w:rPr>
                <w:szCs w:val="22"/>
              </w:rPr>
            </w:pPr>
            <w:r w:rsidRPr="006D3C0F">
              <w:rPr>
                <w:szCs w:val="22"/>
              </w:rPr>
              <w:t>(c)</w:t>
            </w:r>
            <w:r w:rsidRPr="006D3C0F">
              <w:rPr>
                <w:szCs w:val="22"/>
              </w:rPr>
              <w:tab/>
            </w:r>
            <w:r w:rsidR="00B93136" w:rsidRPr="006D3C0F">
              <w:rPr>
                <w:szCs w:val="22"/>
              </w:rPr>
              <w:t xml:space="preserve">case narratives of individual AEMS </w:t>
            </w:r>
            <w:proofErr w:type="gramStart"/>
            <w:r w:rsidR="00B93136" w:rsidRPr="006D3C0F">
              <w:rPr>
                <w:szCs w:val="22"/>
              </w:rPr>
              <w:t>reports;</w:t>
            </w:r>
            <w:proofErr w:type="gramEnd"/>
          </w:p>
          <w:p w14:paraId="19EA2B6D" w14:textId="439F123D" w:rsidR="00120A97" w:rsidRPr="006D3C0F" w:rsidRDefault="00120A97" w:rsidP="00A35B06">
            <w:pPr>
              <w:pStyle w:val="Tabletext"/>
              <w:ind w:left="326" w:hanging="326"/>
              <w:rPr>
                <w:szCs w:val="22"/>
              </w:rPr>
            </w:pPr>
            <w:r w:rsidRPr="006D3C0F">
              <w:rPr>
                <w:szCs w:val="22"/>
              </w:rPr>
              <w:t>(d)</w:t>
            </w:r>
            <w:r w:rsidR="0073478C" w:rsidRPr="006D3C0F">
              <w:rPr>
                <w:szCs w:val="22"/>
              </w:rPr>
              <w:tab/>
            </w:r>
            <w:r w:rsidRPr="006D3C0F">
              <w:rPr>
                <w:szCs w:val="22"/>
              </w:rPr>
              <w:t>case-line listed data</w:t>
            </w:r>
            <w:r w:rsidR="00A24385" w:rsidRPr="006D3C0F">
              <w:rPr>
                <w:szCs w:val="22"/>
              </w:rPr>
              <w:t xml:space="preserve">, </w:t>
            </w:r>
            <w:r w:rsidR="00A24385" w:rsidRPr="006D3C0F">
              <w:t>including</w:t>
            </w:r>
            <w:r w:rsidR="009253D6" w:rsidRPr="006D3C0F">
              <w:rPr>
                <w:szCs w:val="22"/>
              </w:rPr>
              <w:t xml:space="preserve"> (but not limited to)</w:t>
            </w:r>
            <w:r w:rsidR="00201D60" w:rsidRPr="006D3C0F">
              <w:rPr>
                <w:szCs w:val="22"/>
              </w:rPr>
              <w:t xml:space="preserve"> the:</w:t>
            </w:r>
          </w:p>
          <w:p w14:paraId="07FCA1CC" w14:textId="5CCE2789" w:rsidR="00A24385" w:rsidRPr="006D3C0F" w:rsidRDefault="0073478C" w:rsidP="00A35B06">
            <w:pPr>
              <w:pStyle w:val="Tabletext"/>
              <w:ind w:left="618" w:hanging="284"/>
            </w:pPr>
            <w:r w:rsidRPr="006D3C0F">
              <w:t>(i)</w:t>
            </w:r>
            <w:r w:rsidRPr="006D3C0F">
              <w:tab/>
            </w:r>
            <w:r w:rsidR="006512AD" w:rsidRPr="006D3C0F">
              <w:t xml:space="preserve">number allocated to the </w:t>
            </w:r>
            <w:r w:rsidR="00A24385" w:rsidRPr="006D3C0F">
              <w:t xml:space="preserve">adverse event </w:t>
            </w:r>
            <w:r w:rsidR="006512AD" w:rsidRPr="006D3C0F">
              <w:t xml:space="preserve">by the </w:t>
            </w:r>
            <w:proofErr w:type="gramStart"/>
            <w:r w:rsidR="006512AD" w:rsidRPr="006D3C0F">
              <w:t>TGA</w:t>
            </w:r>
            <w:r w:rsidR="00A24385" w:rsidRPr="006D3C0F">
              <w:t>;</w:t>
            </w:r>
            <w:proofErr w:type="gramEnd"/>
          </w:p>
          <w:p w14:paraId="01D7C55D" w14:textId="31E94E66" w:rsidR="00A24385" w:rsidRPr="006D3C0F" w:rsidRDefault="0073478C" w:rsidP="00A35B06">
            <w:pPr>
              <w:pStyle w:val="Tabletext"/>
              <w:ind w:left="618" w:hanging="284"/>
            </w:pPr>
            <w:r w:rsidRPr="006D3C0F">
              <w:t>(ii)</w:t>
            </w:r>
            <w:r w:rsidRPr="006D3C0F">
              <w:tab/>
            </w:r>
            <w:r w:rsidR="00A24385" w:rsidRPr="006D3C0F">
              <w:t xml:space="preserve">date the adverse event was reported to the </w:t>
            </w:r>
            <w:proofErr w:type="gramStart"/>
            <w:r w:rsidR="00A24385" w:rsidRPr="006D3C0F">
              <w:t>TGA;</w:t>
            </w:r>
            <w:proofErr w:type="gramEnd"/>
          </w:p>
          <w:p w14:paraId="4DBB2161" w14:textId="36CD5565" w:rsidR="00A24385" w:rsidRPr="006D3C0F" w:rsidRDefault="0073478C" w:rsidP="00A35B06">
            <w:pPr>
              <w:pStyle w:val="Tabletext"/>
              <w:ind w:left="618" w:hanging="284"/>
            </w:pPr>
            <w:r w:rsidRPr="006D3C0F">
              <w:t>(iii)</w:t>
            </w:r>
            <w:r w:rsidR="00C430E0">
              <w:t xml:space="preserve"> </w:t>
            </w:r>
            <w:r w:rsidR="00A24385" w:rsidRPr="006D3C0F">
              <w:t xml:space="preserve">date of </w:t>
            </w:r>
            <w:r w:rsidR="006512AD" w:rsidRPr="006D3C0F">
              <w:t xml:space="preserve">the </w:t>
            </w:r>
            <w:r w:rsidR="00A24385" w:rsidRPr="006D3C0F">
              <w:t xml:space="preserve">onset of </w:t>
            </w:r>
            <w:proofErr w:type="gramStart"/>
            <w:r w:rsidR="00A24385" w:rsidRPr="006D3C0F">
              <w:t>symptoms;</w:t>
            </w:r>
            <w:proofErr w:type="gramEnd"/>
          </w:p>
          <w:p w14:paraId="1EFC609B" w14:textId="27E37C28" w:rsidR="00A24385" w:rsidRPr="006D3C0F" w:rsidRDefault="0073478C" w:rsidP="00A35B06">
            <w:pPr>
              <w:pStyle w:val="Tabletext"/>
              <w:ind w:left="618" w:hanging="284"/>
            </w:pPr>
            <w:r w:rsidRPr="006D3C0F">
              <w:t>(iv)</w:t>
            </w:r>
            <w:r w:rsidR="00C430E0">
              <w:t xml:space="preserve"> </w:t>
            </w:r>
            <w:r w:rsidR="00A24385" w:rsidRPr="006D3C0F">
              <w:t xml:space="preserve">sex of the </w:t>
            </w:r>
            <w:proofErr w:type="gramStart"/>
            <w:r w:rsidR="00A24385" w:rsidRPr="006D3C0F">
              <w:t>patient;</w:t>
            </w:r>
            <w:proofErr w:type="gramEnd"/>
          </w:p>
          <w:p w14:paraId="5312E709" w14:textId="7AE977D5" w:rsidR="00A24385" w:rsidRPr="006D3C0F" w:rsidRDefault="0073478C" w:rsidP="00A35B06">
            <w:pPr>
              <w:pStyle w:val="Tabletext"/>
              <w:ind w:left="618" w:hanging="284"/>
            </w:pPr>
            <w:r w:rsidRPr="006D3C0F">
              <w:t>(v)</w:t>
            </w:r>
            <w:r w:rsidRPr="006D3C0F">
              <w:tab/>
              <w:t>a</w:t>
            </w:r>
            <w:r w:rsidR="00A24385" w:rsidRPr="006D3C0F">
              <w:t xml:space="preserve">ge of the </w:t>
            </w:r>
            <w:proofErr w:type="gramStart"/>
            <w:r w:rsidR="00A24385" w:rsidRPr="006D3C0F">
              <w:t>patient;</w:t>
            </w:r>
            <w:proofErr w:type="gramEnd"/>
          </w:p>
          <w:p w14:paraId="17361E1D" w14:textId="72627335" w:rsidR="00A24385" w:rsidRPr="006D3C0F" w:rsidRDefault="0073478C" w:rsidP="00A35B06">
            <w:pPr>
              <w:pStyle w:val="Tabletext"/>
              <w:ind w:left="618" w:hanging="284"/>
            </w:pPr>
            <w:r w:rsidRPr="006D3C0F">
              <w:t>(vi)</w:t>
            </w:r>
            <w:r w:rsidR="00C430E0">
              <w:t xml:space="preserve"> </w:t>
            </w:r>
            <w:r w:rsidR="00A24385" w:rsidRPr="006D3C0F">
              <w:t xml:space="preserve">reaction </w:t>
            </w:r>
            <w:proofErr w:type="gramStart"/>
            <w:r w:rsidR="00A24385" w:rsidRPr="006D3C0F">
              <w:t>outcome;</w:t>
            </w:r>
            <w:proofErr w:type="gramEnd"/>
          </w:p>
          <w:p w14:paraId="122DE9D9" w14:textId="5A663EBD" w:rsidR="00A24385" w:rsidRPr="006D3C0F" w:rsidRDefault="00E72953" w:rsidP="00A35B06">
            <w:pPr>
              <w:pStyle w:val="Tabletext"/>
              <w:ind w:left="618" w:hanging="284"/>
            </w:pPr>
            <w:r w:rsidRPr="006D3C0F">
              <w:t>(vii)</w:t>
            </w:r>
            <w:r w:rsidR="00C430E0">
              <w:t xml:space="preserve"> </w:t>
            </w:r>
            <w:r w:rsidR="00A24385" w:rsidRPr="006D3C0F">
              <w:t>vaccine</w:t>
            </w:r>
            <w:r w:rsidRPr="006D3C0F">
              <w:t>;</w:t>
            </w:r>
          </w:p>
          <w:p w14:paraId="4E570B2F" w14:textId="767282E4" w:rsidR="00832AAF" w:rsidRPr="006D3C0F" w:rsidRDefault="00832AAF" w:rsidP="006D3C0F">
            <w:pPr>
              <w:pStyle w:val="Tabletext"/>
              <w:ind w:left="326" w:hanging="326"/>
            </w:pPr>
            <w:r w:rsidRPr="006D3C0F">
              <w:t>(</w:t>
            </w:r>
            <w:r w:rsidR="00120A97" w:rsidRPr="006D3C0F">
              <w:t>e</w:t>
            </w:r>
            <w:r w:rsidRPr="006D3C0F">
              <w:t>)</w:t>
            </w:r>
            <w:r w:rsidRPr="006D3C0F">
              <w:tab/>
              <w:t xml:space="preserve">the TGA’s analysis of data </w:t>
            </w:r>
            <w:r w:rsidR="00660669" w:rsidRPr="006D3C0F">
              <w:t xml:space="preserve">provided by NCIRS or </w:t>
            </w:r>
            <w:r w:rsidRPr="006D3C0F">
              <w:t xml:space="preserve">drawn from the AEMS and AIR </w:t>
            </w:r>
            <w:proofErr w:type="gramStart"/>
            <w:r w:rsidRPr="006D3C0F">
              <w:t>databases;</w:t>
            </w:r>
            <w:proofErr w:type="gramEnd"/>
          </w:p>
          <w:p w14:paraId="15CFD6AE" w14:textId="02EABBDD" w:rsidR="00832AAF" w:rsidRPr="006D3C0F" w:rsidRDefault="00832AAF" w:rsidP="006D3C0F">
            <w:pPr>
              <w:pStyle w:val="Tabletext"/>
              <w:ind w:left="326" w:hanging="326"/>
            </w:pPr>
            <w:r w:rsidRPr="006D3C0F">
              <w:t>(</w:t>
            </w:r>
            <w:r w:rsidR="00120A97" w:rsidRPr="006D3C0F">
              <w:t>f</w:t>
            </w:r>
            <w:r w:rsidRPr="006D3C0F">
              <w:t>)</w:t>
            </w:r>
            <w:r w:rsidRPr="006D3C0F">
              <w:tab/>
            </w:r>
            <w:r w:rsidR="00A544C6" w:rsidRPr="006D3C0F">
              <w:t>methodolog</w:t>
            </w:r>
            <w:r w:rsidR="00162855" w:rsidRPr="006D3C0F">
              <w:t>ies</w:t>
            </w:r>
            <w:r w:rsidR="00A544C6" w:rsidRPr="006D3C0F">
              <w:t xml:space="preserve"> and results of analysis pertaining to risk of adverse events following immunisation with vaccine</w:t>
            </w:r>
            <w:r w:rsidR="00637814" w:rsidRPr="006D3C0F">
              <w:t>s</w:t>
            </w:r>
          </w:p>
        </w:tc>
        <w:tc>
          <w:tcPr>
            <w:tcW w:w="15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67C62DA" w14:textId="05643AF5" w:rsidR="00D80808" w:rsidRPr="006D3C0F" w:rsidRDefault="00D80808" w:rsidP="00572B00">
            <w:pPr>
              <w:pStyle w:val="Tabletext"/>
              <w:spacing w:after="60"/>
            </w:pPr>
            <w:r w:rsidRPr="006D3C0F">
              <w:t xml:space="preserve">the </w:t>
            </w:r>
            <w:r w:rsidR="00084460" w:rsidRPr="006D3C0F">
              <w:t>NCIRS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</w:tcPr>
          <w:p w14:paraId="2CE9276E" w14:textId="22CDCD52" w:rsidR="00D80808" w:rsidRPr="006D3C0F" w:rsidRDefault="00855C47" w:rsidP="00D80808">
            <w:pPr>
              <w:pStyle w:val="Tabletext"/>
              <w:spacing w:after="120"/>
            </w:pPr>
            <w:r w:rsidRPr="006D3C0F">
              <w:t xml:space="preserve">to </w:t>
            </w:r>
            <w:r w:rsidR="00660669" w:rsidRPr="006D3C0F">
              <w:t>facilitate</w:t>
            </w:r>
            <w:r w:rsidR="00263E6E" w:rsidRPr="006D3C0F">
              <w:t xml:space="preserve"> appropriate and effective analysis</w:t>
            </w:r>
            <w:r w:rsidR="00572B00" w:rsidRPr="006D3C0F">
              <w:t xml:space="preserve"> of</w:t>
            </w:r>
            <w:r w:rsidR="00263E6E" w:rsidRPr="006D3C0F">
              <w:t xml:space="preserve"> </w:t>
            </w:r>
            <w:r w:rsidR="00E81904" w:rsidRPr="006D3C0F">
              <w:t xml:space="preserve">data relating to </w:t>
            </w:r>
            <w:r w:rsidR="00263E6E" w:rsidRPr="006D3C0F">
              <w:t xml:space="preserve">safety </w:t>
            </w:r>
            <w:r w:rsidR="00E81904" w:rsidRPr="006D3C0F">
              <w:t>signal</w:t>
            </w:r>
            <w:r w:rsidR="00572B00" w:rsidRPr="006D3C0F">
              <w:t>s</w:t>
            </w:r>
            <w:r w:rsidR="00E81904" w:rsidRPr="006D3C0F">
              <w:t xml:space="preserve"> </w:t>
            </w:r>
            <w:r w:rsidR="00263E6E" w:rsidRPr="006D3C0F">
              <w:t xml:space="preserve">associated with </w:t>
            </w:r>
            <w:r w:rsidR="00E81904" w:rsidRPr="006D3C0F">
              <w:t>vaccines</w:t>
            </w:r>
          </w:p>
        </w:tc>
      </w:tr>
    </w:tbl>
    <w:p w14:paraId="4C320359" w14:textId="2D4C745B" w:rsidR="00554826" w:rsidRPr="006D3C0F" w:rsidRDefault="00554826">
      <w:pPr>
        <w:spacing w:line="240" w:lineRule="auto"/>
      </w:pPr>
    </w:p>
    <w:p w14:paraId="5969108B" w14:textId="26DC1FD8" w:rsidR="00C93A79" w:rsidRPr="006D3C0F" w:rsidRDefault="005052A7" w:rsidP="00082DCA">
      <w:pPr>
        <w:pStyle w:val="ActHead6"/>
      </w:pPr>
      <w:bookmarkStart w:id="13" w:name="_Toc96503212"/>
      <w:r w:rsidRPr="006D3C0F">
        <w:rPr>
          <w:rStyle w:val="CharPartNo"/>
          <w:rFonts w:ascii="Times New Roman" w:hAnsi="Times New Roman"/>
        </w:rPr>
        <w:lastRenderedPageBreak/>
        <w:t>Part 2</w:t>
      </w:r>
      <w:r w:rsidR="00C93A79" w:rsidRPr="006D3C0F">
        <w:rPr>
          <w:rStyle w:val="CharPartNo"/>
          <w:rFonts w:ascii="Times New Roman" w:hAnsi="Times New Roman"/>
        </w:rPr>
        <w:t>—</w:t>
      </w:r>
      <w:r w:rsidR="00BF4A38" w:rsidRPr="006D3C0F">
        <w:rPr>
          <w:rStyle w:val="CharPartNo"/>
          <w:rFonts w:ascii="Times New Roman" w:hAnsi="Times New Roman"/>
        </w:rPr>
        <w:t>SAEFVIC</w:t>
      </w:r>
      <w:bookmarkEnd w:id="13"/>
    </w:p>
    <w:p w14:paraId="2D5D198D" w14:textId="77777777" w:rsidR="00C93A79" w:rsidRPr="006D3C0F" w:rsidRDefault="00C93A79" w:rsidP="00A35B06">
      <w:pPr>
        <w:keepNext/>
        <w:keepLines/>
        <w:spacing w:before="60" w:line="240" w:lineRule="atLeast"/>
        <w:rPr>
          <w:szCs w:val="22"/>
        </w:rPr>
      </w:pPr>
    </w:p>
    <w:tbl>
      <w:tblPr>
        <w:tblW w:w="5031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8"/>
        <w:gridCol w:w="2854"/>
        <w:gridCol w:w="2553"/>
        <w:gridCol w:w="1840"/>
      </w:tblGrid>
      <w:tr w:rsidR="00C93A79" w:rsidRPr="006D3C0F" w14:paraId="7E09B797" w14:textId="77777777" w:rsidTr="00A35B06">
        <w:trPr>
          <w:tblHeader/>
        </w:trPr>
        <w:tc>
          <w:tcPr>
            <w:tcW w:w="5000" w:type="pct"/>
            <w:gridSpan w:val="4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</w:tcPr>
          <w:p w14:paraId="67A9F430" w14:textId="77777777" w:rsidR="00C93A79" w:rsidRPr="006D3C0F" w:rsidRDefault="00C93A79" w:rsidP="00FB78C7">
            <w:pPr>
              <w:pStyle w:val="TableHeading"/>
            </w:pPr>
            <w:r w:rsidRPr="006D3C0F">
              <w:t>Therapeutic goods information that may be released</w:t>
            </w:r>
          </w:p>
        </w:tc>
      </w:tr>
      <w:tr w:rsidR="00C93A79" w:rsidRPr="006D3C0F" w14:paraId="39F0B08E" w14:textId="77777777" w:rsidTr="00A35B06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55D51A1C" w14:textId="77777777" w:rsidR="00C93A79" w:rsidRPr="006D3C0F" w:rsidRDefault="00C93A79" w:rsidP="00FB78C7">
            <w:pPr>
              <w:pStyle w:val="TableHeading"/>
            </w:pPr>
            <w:r w:rsidRPr="006D3C0F">
              <w:t>Column 1</w:t>
            </w:r>
          </w:p>
        </w:tc>
        <w:tc>
          <w:tcPr>
            <w:tcW w:w="170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6B57808E" w14:textId="77777777" w:rsidR="00C93A79" w:rsidRPr="006D3C0F" w:rsidRDefault="00C93A79" w:rsidP="00FB78C7">
            <w:pPr>
              <w:pStyle w:val="TableHeading"/>
            </w:pPr>
            <w:r w:rsidRPr="006D3C0F">
              <w:t>Column 2</w:t>
            </w:r>
          </w:p>
        </w:tc>
        <w:tc>
          <w:tcPr>
            <w:tcW w:w="1526" w:type="pct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</w:tcPr>
          <w:p w14:paraId="16EBC65E" w14:textId="77777777" w:rsidR="00C93A79" w:rsidRPr="006D3C0F" w:rsidRDefault="00C93A79" w:rsidP="00FB78C7">
            <w:pPr>
              <w:pStyle w:val="TableHeading"/>
            </w:pPr>
            <w:r w:rsidRPr="006D3C0F">
              <w:t>Column 3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8" w:space="0" w:color="auto"/>
            </w:tcBorders>
          </w:tcPr>
          <w:p w14:paraId="6E25C482" w14:textId="77777777" w:rsidR="00C93A79" w:rsidRPr="006D3C0F" w:rsidRDefault="00C93A79" w:rsidP="00FB78C7">
            <w:pPr>
              <w:pStyle w:val="TableHeading"/>
            </w:pPr>
            <w:r w:rsidRPr="006D3C0F">
              <w:t>Column 4</w:t>
            </w:r>
          </w:p>
        </w:tc>
      </w:tr>
      <w:tr w:rsidR="00C93A79" w:rsidRPr="006D3C0F" w14:paraId="3806C02D" w14:textId="77777777" w:rsidTr="00A35B06">
        <w:trPr>
          <w:tblHeader/>
        </w:trPr>
        <w:tc>
          <w:tcPr>
            <w:tcW w:w="668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61B1FED7" w14:textId="77777777" w:rsidR="00C93A79" w:rsidRPr="006D3C0F" w:rsidRDefault="00C93A79" w:rsidP="00FB78C7">
            <w:pPr>
              <w:pStyle w:val="TableHeading"/>
            </w:pPr>
            <w:r w:rsidRPr="006D3C0F">
              <w:t xml:space="preserve">Item </w:t>
            </w:r>
          </w:p>
        </w:tc>
        <w:tc>
          <w:tcPr>
            <w:tcW w:w="170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048A7459" w14:textId="77777777" w:rsidR="00C93A79" w:rsidRPr="006D3C0F" w:rsidRDefault="00C93A79" w:rsidP="00FB78C7">
            <w:pPr>
              <w:pStyle w:val="TableHeading"/>
              <w:tabs>
                <w:tab w:val="right" w:pos="2329"/>
              </w:tabs>
            </w:pPr>
            <w:r w:rsidRPr="006D3C0F">
              <w:t>Kinds of information</w:t>
            </w:r>
          </w:p>
        </w:tc>
        <w:tc>
          <w:tcPr>
            <w:tcW w:w="1526" w:type="pct"/>
            <w:tcBorders>
              <w:top w:val="single" w:sz="8" w:space="0" w:color="auto"/>
              <w:bottom w:val="single" w:sz="12" w:space="0" w:color="auto"/>
            </w:tcBorders>
            <w:shd w:val="clear" w:color="auto" w:fill="auto"/>
          </w:tcPr>
          <w:p w14:paraId="4E9E1F92" w14:textId="77777777" w:rsidR="00C93A79" w:rsidRPr="006D3C0F" w:rsidRDefault="00C93A79" w:rsidP="00FB78C7">
            <w:pPr>
              <w:pStyle w:val="TableHeading"/>
            </w:pPr>
            <w:r w:rsidRPr="006D3C0F">
              <w:t>Persons or bodies</w:t>
            </w:r>
          </w:p>
        </w:tc>
        <w:tc>
          <w:tcPr>
            <w:tcW w:w="1101" w:type="pct"/>
            <w:tcBorders>
              <w:top w:val="single" w:sz="8" w:space="0" w:color="auto"/>
              <w:bottom w:val="single" w:sz="12" w:space="0" w:color="auto"/>
            </w:tcBorders>
          </w:tcPr>
          <w:p w14:paraId="232E0872" w14:textId="77777777" w:rsidR="00C93A79" w:rsidRPr="006D3C0F" w:rsidRDefault="00C93A79" w:rsidP="00FB78C7">
            <w:pPr>
              <w:pStyle w:val="TableHeading"/>
            </w:pPr>
            <w:r w:rsidRPr="006D3C0F">
              <w:t>Purposes</w:t>
            </w:r>
          </w:p>
        </w:tc>
      </w:tr>
      <w:tr w:rsidR="00C93A79" w:rsidRPr="00636A96" w14:paraId="3CA4DE87" w14:textId="77777777" w:rsidTr="00A35B06">
        <w:tc>
          <w:tcPr>
            <w:tcW w:w="668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7607521D" w14:textId="77777777" w:rsidR="00C93A79" w:rsidRPr="006D3C0F" w:rsidRDefault="00C93A79" w:rsidP="00FB78C7">
            <w:pPr>
              <w:pStyle w:val="Tabletext"/>
              <w:spacing w:after="120"/>
            </w:pPr>
            <w:r w:rsidRPr="006D3C0F">
              <w:t>1</w:t>
            </w:r>
          </w:p>
        </w:tc>
        <w:tc>
          <w:tcPr>
            <w:tcW w:w="170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1E62596" w14:textId="7C24D9B3" w:rsidR="00C93A79" w:rsidRPr="006D3C0F" w:rsidRDefault="00C93A79" w:rsidP="00A35B06">
            <w:pPr>
              <w:pStyle w:val="Tabletext"/>
            </w:pPr>
            <w:r w:rsidRPr="006D3C0F">
              <w:t>information about adverse events following immunisation</w:t>
            </w:r>
            <w:r w:rsidR="005A1170" w:rsidRPr="006D3C0F">
              <w:t xml:space="preserve"> with vaccines</w:t>
            </w:r>
            <w:r w:rsidR="00EA5E15" w:rsidRPr="006D3C0F">
              <w:t xml:space="preserve"> </w:t>
            </w:r>
            <w:r w:rsidR="004558F5" w:rsidRPr="006D3C0F">
              <w:t>that is</w:t>
            </w:r>
            <w:r w:rsidRPr="006D3C0F">
              <w:t>:</w:t>
            </w:r>
          </w:p>
          <w:p w14:paraId="5031AFCA" w14:textId="74DD7E5E" w:rsidR="00C93A79" w:rsidRPr="006D3C0F" w:rsidRDefault="00C93A79" w:rsidP="00A35B06">
            <w:pPr>
              <w:pStyle w:val="Tabletext"/>
              <w:ind w:left="326" w:hanging="326"/>
            </w:pPr>
            <w:r w:rsidRPr="006D3C0F">
              <w:t>(a)</w:t>
            </w:r>
            <w:r w:rsidRPr="006D3C0F">
              <w:tab/>
            </w:r>
            <w:r w:rsidR="00806C5E" w:rsidRPr="006D3C0F">
              <w:t xml:space="preserve">case details </w:t>
            </w:r>
            <w:r w:rsidR="005A1170" w:rsidRPr="006D3C0F">
              <w:t xml:space="preserve">in relation to </w:t>
            </w:r>
            <w:r w:rsidR="00806C5E" w:rsidRPr="006D3C0F">
              <w:t>individual AEMS reports</w:t>
            </w:r>
          </w:p>
        </w:tc>
        <w:tc>
          <w:tcPr>
            <w:tcW w:w="152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D31C57B" w14:textId="4998F6D2" w:rsidR="00C93A79" w:rsidRPr="006D3C0F" w:rsidRDefault="004334F6" w:rsidP="00FB78C7">
            <w:pPr>
              <w:pStyle w:val="Tabletext"/>
              <w:spacing w:after="60"/>
            </w:pPr>
            <w:r w:rsidRPr="006D3C0F">
              <w:t>SAEFVIC</w:t>
            </w:r>
          </w:p>
        </w:tc>
        <w:tc>
          <w:tcPr>
            <w:tcW w:w="1101" w:type="pct"/>
            <w:tcBorders>
              <w:top w:val="single" w:sz="12" w:space="0" w:color="auto"/>
              <w:bottom w:val="single" w:sz="12" w:space="0" w:color="auto"/>
            </w:tcBorders>
          </w:tcPr>
          <w:p w14:paraId="1971C525" w14:textId="74275B97" w:rsidR="00C93A79" w:rsidRPr="00DA220E" w:rsidRDefault="00C93A79" w:rsidP="00FB78C7">
            <w:pPr>
              <w:pStyle w:val="Tabletext"/>
              <w:spacing w:after="120"/>
            </w:pPr>
            <w:r w:rsidRPr="006D3C0F">
              <w:t xml:space="preserve">to </w:t>
            </w:r>
            <w:r w:rsidR="00EE4B90" w:rsidRPr="006D3C0F">
              <w:t xml:space="preserve">improve the monitoring of vaccine safety and </w:t>
            </w:r>
            <w:r w:rsidRPr="006D3C0F">
              <w:t>facilitate appropriate and effective analysis of data relating to safety signals associated with</w:t>
            </w:r>
            <w:r w:rsidR="00EE4B90" w:rsidRPr="006D3C0F">
              <w:t xml:space="preserve"> </w:t>
            </w:r>
            <w:r w:rsidRPr="006D3C0F">
              <w:t>vaccines</w:t>
            </w:r>
          </w:p>
        </w:tc>
      </w:tr>
    </w:tbl>
    <w:p w14:paraId="33EB6E65" w14:textId="77777777" w:rsidR="00A75FE9" w:rsidRDefault="00A75FE9" w:rsidP="006D3C0F">
      <w:pPr>
        <w:pStyle w:val="BodyPara"/>
        <w:numPr>
          <w:ilvl w:val="0"/>
          <w:numId w:val="0"/>
        </w:numPr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EBDB58" w14:textId="77777777" w:rsidR="00C40046" w:rsidRDefault="00C40046" w:rsidP="00715914">
      <w:pPr>
        <w:spacing w:line="240" w:lineRule="auto"/>
      </w:pPr>
      <w:r>
        <w:separator/>
      </w:r>
    </w:p>
  </w:endnote>
  <w:endnote w:type="continuationSeparator" w:id="0">
    <w:p w14:paraId="38B8502A" w14:textId="77777777" w:rsidR="00C40046" w:rsidRDefault="00C4004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A3832" w14:textId="77777777" w:rsidR="00FB78C7" w:rsidRPr="00E33C1C" w:rsidRDefault="00FB78C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B78C7" w14:paraId="1D22AB67" w14:textId="77777777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3AAC4AE" w14:textId="77777777" w:rsidR="00FB78C7" w:rsidRDefault="00FB78C7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9484457" w14:textId="1EE42C33" w:rsidR="00FB78C7" w:rsidRPr="004E1307" w:rsidRDefault="00FB78C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(Analysis of Adverse Events Following Immunisation) (Information) Specification 20221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6472A4A1" w14:textId="77777777" w:rsidR="00FB78C7" w:rsidRDefault="00FB78C7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FB78C7" w14:paraId="306ECE68" w14:textId="77777777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56164C02" w14:textId="77777777" w:rsidR="00FB78C7" w:rsidRDefault="00FB78C7" w:rsidP="00A369E3">
          <w:pPr>
            <w:jc w:val="right"/>
            <w:rPr>
              <w:sz w:val="18"/>
            </w:rPr>
          </w:pPr>
        </w:p>
      </w:tc>
    </w:tr>
  </w:tbl>
  <w:p w14:paraId="25F131EB" w14:textId="77777777" w:rsidR="00FB78C7" w:rsidRPr="00ED79B6" w:rsidRDefault="00FB78C7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F4D079" w14:textId="77777777" w:rsidR="00FB78C7" w:rsidRPr="00E33C1C" w:rsidRDefault="00FB78C7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7"/>
      <w:gridCol w:w="6257"/>
      <w:gridCol w:w="699"/>
    </w:tblGrid>
    <w:tr w:rsidR="00FB78C7" w14:paraId="59AFB86F" w14:textId="77777777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4EE6A62" w14:textId="77777777" w:rsidR="00FB78C7" w:rsidRDefault="00FB78C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973DC76" w14:textId="0017FC8F" w:rsidR="00FB78C7" w:rsidRDefault="00FB78C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(Analysis of Adverse Events Following Immunisation) (Information) Specification 20221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CDD87CD" w14:textId="77777777" w:rsidR="00FB78C7" w:rsidRDefault="00FB78C7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78C7" w14:paraId="461FBCFA" w14:textId="77777777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54368FE" w14:textId="77777777" w:rsidR="00FB78C7" w:rsidRDefault="00FB78C7" w:rsidP="00A369E3">
          <w:pPr>
            <w:rPr>
              <w:sz w:val="18"/>
            </w:rPr>
          </w:pPr>
        </w:p>
      </w:tc>
    </w:tr>
  </w:tbl>
  <w:p w14:paraId="4AA1A174" w14:textId="77777777" w:rsidR="00FB78C7" w:rsidRPr="00ED79B6" w:rsidRDefault="00FB78C7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12CB92" w14:textId="77777777" w:rsidR="00FB78C7" w:rsidRPr="00E33C1C" w:rsidRDefault="00FB78C7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60"/>
      <w:gridCol w:w="6254"/>
      <w:gridCol w:w="699"/>
    </w:tblGrid>
    <w:tr w:rsidR="00FB78C7" w14:paraId="1BEFB70C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6C185FE0" w14:textId="77777777" w:rsidR="00FB78C7" w:rsidRDefault="00FB78C7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7E230B49" w14:textId="77777777" w:rsidR="00FB78C7" w:rsidRDefault="00FB78C7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174E130" w14:textId="77777777" w:rsidR="00FB78C7" w:rsidRDefault="00FB78C7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14:paraId="564DFB35" w14:textId="77777777" w:rsidR="00FB78C7" w:rsidRPr="00ED79B6" w:rsidRDefault="00FB78C7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D427FE" w14:textId="77777777" w:rsidR="00FB78C7" w:rsidRPr="002B0EA5" w:rsidRDefault="00FB78C7" w:rsidP="00D808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B78C7" w14:paraId="7B69E302" w14:textId="77777777" w:rsidTr="00D80808">
      <w:tc>
        <w:tcPr>
          <w:tcW w:w="365" w:type="pct"/>
        </w:tcPr>
        <w:p w14:paraId="270F0B73" w14:textId="77777777" w:rsidR="00FB78C7" w:rsidRDefault="00FB78C7" w:rsidP="00D808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0736FBE5" w14:textId="4FF166CF" w:rsidR="00FB78C7" w:rsidRDefault="00FB78C7" w:rsidP="00D8080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Therapeutic Goods (Analysis of Adverse Events Following Immunisation) (Information) Specification 20221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636A2DBF" w14:textId="77777777" w:rsidR="00FB78C7" w:rsidRDefault="00FB78C7" w:rsidP="00D80808">
          <w:pPr>
            <w:spacing w:line="0" w:lineRule="atLeast"/>
            <w:jc w:val="right"/>
            <w:rPr>
              <w:sz w:val="18"/>
            </w:rPr>
          </w:pPr>
        </w:p>
      </w:tc>
    </w:tr>
    <w:tr w:rsidR="00FB78C7" w14:paraId="55021612" w14:textId="77777777" w:rsidTr="00D80808">
      <w:tc>
        <w:tcPr>
          <w:tcW w:w="5000" w:type="pct"/>
          <w:gridSpan w:val="3"/>
        </w:tcPr>
        <w:p w14:paraId="2836AFC6" w14:textId="77777777" w:rsidR="00FB78C7" w:rsidRDefault="00FB78C7" w:rsidP="00D80808">
          <w:pPr>
            <w:jc w:val="right"/>
            <w:rPr>
              <w:sz w:val="18"/>
            </w:rPr>
          </w:pPr>
        </w:p>
      </w:tc>
    </w:tr>
  </w:tbl>
  <w:p w14:paraId="4C1593E5" w14:textId="77777777" w:rsidR="00FB78C7" w:rsidRPr="00ED79B6" w:rsidRDefault="00FB78C7" w:rsidP="00D8080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355826" w14:textId="77777777" w:rsidR="00FB78C7" w:rsidRPr="002B0EA5" w:rsidRDefault="00FB78C7" w:rsidP="00D808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B78C7" w14:paraId="5A0CAF55" w14:textId="77777777" w:rsidTr="00D80808">
      <w:tc>
        <w:tcPr>
          <w:tcW w:w="947" w:type="pct"/>
        </w:tcPr>
        <w:p w14:paraId="6383813F" w14:textId="77777777" w:rsidR="00FB78C7" w:rsidRDefault="00FB78C7" w:rsidP="00D8080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470226C0" w14:textId="4C8F9EC0" w:rsidR="00FB78C7" w:rsidRDefault="00FB78C7" w:rsidP="00D8080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22DC">
            <w:rPr>
              <w:i/>
              <w:noProof/>
              <w:sz w:val="18"/>
            </w:rPr>
            <w:t>Therapeutic Goods (Analysis of Adverse Events Following Immunisation) (Information)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38957DED" w14:textId="77777777" w:rsidR="00FB78C7" w:rsidRDefault="00FB78C7" w:rsidP="00D808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78C7" w14:paraId="6527A3C0" w14:textId="77777777" w:rsidTr="00D80808">
      <w:tc>
        <w:tcPr>
          <w:tcW w:w="5000" w:type="pct"/>
          <w:gridSpan w:val="3"/>
        </w:tcPr>
        <w:p w14:paraId="33AF3F99" w14:textId="77777777" w:rsidR="00FB78C7" w:rsidRDefault="00FB78C7" w:rsidP="00D80808">
          <w:pPr>
            <w:rPr>
              <w:sz w:val="18"/>
            </w:rPr>
          </w:pPr>
        </w:p>
      </w:tc>
    </w:tr>
  </w:tbl>
  <w:p w14:paraId="3CC1EE6B" w14:textId="77777777" w:rsidR="00FB78C7" w:rsidRPr="00ED79B6" w:rsidRDefault="00FB78C7" w:rsidP="00D8080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53016C" w14:textId="77777777" w:rsidR="00FB78C7" w:rsidRPr="002B0EA5" w:rsidRDefault="00FB78C7" w:rsidP="00D808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FB78C7" w14:paraId="6CDE9BAA" w14:textId="77777777" w:rsidTr="00D80808">
      <w:tc>
        <w:tcPr>
          <w:tcW w:w="365" w:type="pct"/>
        </w:tcPr>
        <w:p w14:paraId="126A5DD6" w14:textId="77777777" w:rsidR="00FB78C7" w:rsidRDefault="00FB78C7" w:rsidP="00D8080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159E86CE" w14:textId="7E98CDAE" w:rsidR="00FB78C7" w:rsidRDefault="00FB78C7" w:rsidP="00D8080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22DC">
            <w:rPr>
              <w:i/>
              <w:noProof/>
              <w:sz w:val="18"/>
            </w:rPr>
            <w:t>Therapeutic Goods (Analysis of Adverse Events Following Immunisation) (Information)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7DA638D1" w14:textId="77777777" w:rsidR="00FB78C7" w:rsidRDefault="00FB78C7" w:rsidP="00D80808">
          <w:pPr>
            <w:spacing w:line="0" w:lineRule="atLeast"/>
            <w:jc w:val="right"/>
            <w:rPr>
              <w:sz w:val="18"/>
            </w:rPr>
          </w:pPr>
        </w:p>
      </w:tc>
    </w:tr>
    <w:tr w:rsidR="00FB78C7" w14:paraId="24D168B4" w14:textId="77777777" w:rsidTr="00D80808">
      <w:tc>
        <w:tcPr>
          <w:tcW w:w="5000" w:type="pct"/>
          <w:gridSpan w:val="3"/>
        </w:tcPr>
        <w:p w14:paraId="3306BEC5" w14:textId="77777777" w:rsidR="00FB78C7" w:rsidRDefault="00FB78C7" w:rsidP="00D80808">
          <w:pPr>
            <w:jc w:val="right"/>
            <w:rPr>
              <w:sz w:val="18"/>
            </w:rPr>
          </w:pPr>
        </w:p>
      </w:tc>
    </w:tr>
  </w:tbl>
  <w:p w14:paraId="10AA92C4" w14:textId="77777777" w:rsidR="00FB78C7" w:rsidRPr="00ED79B6" w:rsidRDefault="00FB78C7" w:rsidP="00D80808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533F8E" w14:textId="77777777" w:rsidR="00FB78C7" w:rsidRPr="002B0EA5" w:rsidRDefault="00FB78C7" w:rsidP="00D8080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FB78C7" w14:paraId="401A4FA1" w14:textId="77777777" w:rsidTr="00D80808">
      <w:tc>
        <w:tcPr>
          <w:tcW w:w="947" w:type="pct"/>
        </w:tcPr>
        <w:p w14:paraId="33B9F4D7" w14:textId="77777777" w:rsidR="00FB78C7" w:rsidRDefault="00FB78C7" w:rsidP="00D80808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7FF2B62A" w14:textId="1E5C6DC0" w:rsidR="00FB78C7" w:rsidRDefault="00FB78C7" w:rsidP="00D80808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ED22DC">
            <w:rPr>
              <w:i/>
              <w:noProof/>
              <w:sz w:val="18"/>
            </w:rPr>
            <w:t>Therapeutic Goods (Analysis of Adverse Events Following Immunisation) (Information) Specification 2022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1D437633" w14:textId="77777777" w:rsidR="00FB78C7" w:rsidRDefault="00FB78C7" w:rsidP="00D8080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FB78C7" w14:paraId="26182745" w14:textId="77777777" w:rsidTr="00D80808">
      <w:tc>
        <w:tcPr>
          <w:tcW w:w="5000" w:type="pct"/>
          <w:gridSpan w:val="3"/>
        </w:tcPr>
        <w:p w14:paraId="4C6DA9CE" w14:textId="77777777" w:rsidR="00FB78C7" w:rsidRDefault="00FB78C7" w:rsidP="00D80808">
          <w:pPr>
            <w:rPr>
              <w:sz w:val="18"/>
            </w:rPr>
          </w:pPr>
        </w:p>
      </w:tc>
    </w:tr>
  </w:tbl>
  <w:p w14:paraId="07A736F8" w14:textId="77777777" w:rsidR="00FB78C7" w:rsidRPr="00ED79B6" w:rsidRDefault="00FB78C7" w:rsidP="00D8080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548DF1" w14:textId="77777777" w:rsidR="00C40046" w:rsidRDefault="00C40046" w:rsidP="00715914">
      <w:pPr>
        <w:spacing w:line="240" w:lineRule="auto"/>
      </w:pPr>
      <w:r>
        <w:separator/>
      </w:r>
    </w:p>
  </w:footnote>
  <w:footnote w:type="continuationSeparator" w:id="0">
    <w:p w14:paraId="2B8A493A" w14:textId="77777777" w:rsidR="00C40046" w:rsidRDefault="00C4004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D6E53" w14:textId="77777777" w:rsidR="00FB78C7" w:rsidRPr="005F1388" w:rsidRDefault="00FB78C7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CBBD1" w14:textId="77777777" w:rsidR="00FB78C7" w:rsidRPr="005F1388" w:rsidRDefault="00FB78C7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488E5A" w14:textId="77777777" w:rsidR="00FB78C7" w:rsidRPr="00ED79B6" w:rsidRDefault="00FB78C7" w:rsidP="00D80808">
    <w:pPr>
      <w:pBdr>
        <w:bottom w:val="single" w:sz="6" w:space="1" w:color="auto"/>
      </w:pBdr>
      <w:spacing w:before="1000" w:line="240" w:lineRule="auto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E6640" w14:textId="77777777" w:rsidR="00FB78C7" w:rsidRPr="00ED79B6" w:rsidRDefault="00FB78C7" w:rsidP="00D80808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40DAA" w14:textId="77777777" w:rsidR="00FB78C7" w:rsidRPr="00ED79B6" w:rsidRDefault="00FB78C7" w:rsidP="00715914">
    <w:pPr>
      <w:pStyle w:val="Header"/>
      <w:tabs>
        <w:tab w:val="clear" w:pos="4150"/>
        <w:tab w:val="clear" w:pos="8307"/>
      </w:tabs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19A830" w14:textId="77777777" w:rsidR="00FB78C7" w:rsidRDefault="00FB78C7" w:rsidP="00715914">
    <w:pPr>
      <w:rPr>
        <w:sz w:val="20"/>
      </w:rPr>
    </w:pPr>
  </w:p>
  <w:p w14:paraId="055608F1" w14:textId="77777777" w:rsidR="00FB78C7" w:rsidRDefault="00FB78C7" w:rsidP="00715914">
    <w:pPr>
      <w:rPr>
        <w:sz w:val="20"/>
      </w:rPr>
    </w:pPr>
  </w:p>
  <w:p w14:paraId="50A1B9C6" w14:textId="77777777" w:rsidR="00FB78C7" w:rsidRPr="007A1328" w:rsidRDefault="00FB78C7" w:rsidP="00715914">
    <w:pPr>
      <w:rPr>
        <w:sz w:val="20"/>
      </w:rPr>
    </w:pPr>
  </w:p>
  <w:p w14:paraId="6760D1EB" w14:textId="77777777" w:rsidR="00FB78C7" w:rsidRPr="007A1328" w:rsidRDefault="00FB78C7" w:rsidP="00715914">
    <w:pPr>
      <w:rPr>
        <w:b/>
        <w:sz w:val="24"/>
      </w:rPr>
    </w:pPr>
  </w:p>
  <w:p w14:paraId="08622148" w14:textId="77777777" w:rsidR="00FB78C7" w:rsidRPr="007A1328" w:rsidRDefault="00FB78C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6981B" w14:textId="77777777" w:rsidR="00FB78C7" w:rsidRPr="007A1328" w:rsidRDefault="00FB78C7" w:rsidP="00715914">
    <w:pPr>
      <w:jc w:val="right"/>
      <w:rPr>
        <w:sz w:val="20"/>
      </w:rPr>
    </w:pPr>
  </w:p>
  <w:p w14:paraId="24B6018D" w14:textId="77777777" w:rsidR="00FB78C7" w:rsidRPr="007A1328" w:rsidRDefault="00FB78C7" w:rsidP="00715914">
    <w:pPr>
      <w:jc w:val="right"/>
      <w:rPr>
        <w:sz w:val="20"/>
      </w:rPr>
    </w:pPr>
  </w:p>
  <w:p w14:paraId="75664B79" w14:textId="77777777" w:rsidR="00FB78C7" w:rsidRPr="007A1328" w:rsidRDefault="00FB78C7" w:rsidP="00715914">
    <w:pPr>
      <w:jc w:val="right"/>
      <w:rPr>
        <w:sz w:val="20"/>
      </w:rPr>
    </w:pPr>
  </w:p>
  <w:p w14:paraId="706A4535" w14:textId="77777777" w:rsidR="00FB78C7" w:rsidRPr="007A1328" w:rsidRDefault="00FB78C7" w:rsidP="00715914">
    <w:pPr>
      <w:jc w:val="right"/>
      <w:rPr>
        <w:b/>
        <w:sz w:val="24"/>
      </w:rPr>
    </w:pPr>
  </w:p>
  <w:p w14:paraId="37EE03F5" w14:textId="77777777" w:rsidR="00FB78C7" w:rsidRPr="007A1328" w:rsidRDefault="00FB78C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41E4E26"/>
    <w:multiLevelType w:val="hybridMultilevel"/>
    <w:tmpl w:val="AE44E236"/>
    <w:lvl w:ilvl="0" w:tplc="3072E4D8">
      <w:start w:val="1"/>
      <w:numFmt w:val="lowerLetter"/>
      <w:lvlText w:val="(%1)"/>
      <w:lvlJc w:val="left"/>
      <w:pPr>
        <w:ind w:left="234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3065" w:hanging="360"/>
      </w:pPr>
    </w:lvl>
    <w:lvl w:ilvl="2" w:tplc="0C09001B" w:tentative="1">
      <w:start w:val="1"/>
      <w:numFmt w:val="lowerRoman"/>
      <w:lvlText w:val="%3."/>
      <w:lvlJc w:val="right"/>
      <w:pPr>
        <w:ind w:left="3785" w:hanging="180"/>
      </w:pPr>
    </w:lvl>
    <w:lvl w:ilvl="3" w:tplc="0C09000F" w:tentative="1">
      <w:start w:val="1"/>
      <w:numFmt w:val="decimal"/>
      <w:lvlText w:val="%4."/>
      <w:lvlJc w:val="left"/>
      <w:pPr>
        <w:ind w:left="4505" w:hanging="360"/>
      </w:pPr>
    </w:lvl>
    <w:lvl w:ilvl="4" w:tplc="0C090019" w:tentative="1">
      <w:start w:val="1"/>
      <w:numFmt w:val="lowerLetter"/>
      <w:lvlText w:val="%5."/>
      <w:lvlJc w:val="left"/>
      <w:pPr>
        <w:ind w:left="5225" w:hanging="360"/>
      </w:pPr>
    </w:lvl>
    <w:lvl w:ilvl="5" w:tplc="0C09001B" w:tentative="1">
      <w:start w:val="1"/>
      <w:numFmt w:val="lowerRoman"/>
      <w:lvlText w:val="%6."/>
      <w:lvlJc w:val="right"/>
      <w:pPr>
        <w:ind w:left="5945" w:hanging="180"/>
      </w:pPr>
    </w:lvl>
    <w:lvl w:ilvl="6" w:tplc="0C09000F" w:tentative="1">
      <w:start w:val="1"/>
      <w:numFmt w:val="decimal"/>
      <w:lvlText w:val="%7."/>
      <w:lvlJc w:val="left"/>
      <w:pPr>
        <w:ind w:left="6665" w:hanging="360"/>
      </w:pPr>
    </w:lvl>
    <w:lvl w:ilvl="7" w:tplc="0C090019" w:tentative="1">
      <w:start w:val="1"/>
      <w:numFmt w:val="lowerLetter"/>
      <w:lvlText w:val="%8."/>
      <w:lvlJc w:val="left"/>
      <w:pPr>
        <w:ind w:left="7385" w:hanging="360"/>
      </w:pPr>
    </w:lvl>
    <w:lvl w:ilvl="8" w:tplc="0C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3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 w15:restartNumberingAfterBreak="0">
    <w:nsid w:val="4CCC60F2"/>
    <w:multiLevelType w:val="hybridMultilevel"/>
    <w:tmpl w:val="58FE7BB4"/>
    <w:lvl w:ilvl="0" w:tplc="C500051C">
      <w:start w:val="1"/>
      <w:numFmt w:val="lowerLetter"/>
      <w:lvlText w:val="(%1)"/>
      <w:lvlJc w:val="left"/>
      <w:pPr>
        <w:ind w:left="149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214" w:hanging="360"/>
      </w:pPr>
    </w:lvl>
    <w:lvl w:ilvl="2" w:tplc="0C09001B" w:tentative="1">
      <w:start w:val="1"/>
      <w:numFmt w:val="lowerRoman"/>
      <w:lvlText w:val="%3."/>
      <w:lvlJc w:val="right"/>
      <w:pPr>
        <w:ind w:left="2934" w:hanging="180"/>
      </w:pPr>
    </w:lvl>
    <w:lvl w:ilvl="3" w:tplc="0C09000F" w:tentative="1">
      <w:start w:val="1"/>
      <w:numFmt w:val="decimal"/>
      <w:lvlText w:val="%4."/>
      <w:lvlJc w:val="left"/>
      <w:pPr>
        <w:ind w:left="3654" w:hanging="360"/>
      </w:pPr>
    </w:lvl>
    <w:lvl w:ilvl="4" w:tplc="0C090019" w:tentative="1">
      <w:start w:val="1"/>
      <w:numFmt w:val="lowerLetter"/>
      <w:lvlText w:val="%5."/>
      <w:lvlJc w:val="left"/>
      <w:pPr>
        <w:ind w:left="4374" w:hanging="360"/>
      </w:pPr>
    </w:lvl>
    <w:lvl w:ilvl="5" w:tplc="0C09001B" w:tentative="1">
      <w:start w:val="1"/>
      <w:numFmt w:val="lowerRoman"/>
      <w:lvlText w:val="%6."/>
      <w:lvlJc w:val="right"/>
      <w:pPr>
        <w:ind w:left="5094" w:hanging="180"/>
      </w:pPr>
    </w:lvl>
    <w:lvl w:ilvl="6" w:tplc="0C09000F" w:tentative="1">
      <w:start w:val="1"/>
      <w:numFmt w:val="decimal"/>
      <w:lvlText w:val="%7."/>
      <w:lvlJc w:val="left"/>
      <w:pPr>
        <w:ind w:left="5814" w:hanging="360"/>
      </w:pPr>
    </w:lvl>
    <w:lvl w:ilvl="7" w:tplc="0C090019" w:tentative="1">
      <w:start w:val="1"/>
      <w:numFmt w:val="lowerLetter"/>
      <w:lvlText w:val="%8."/>
      <w:lvlJc w:val="left"/>
      <w:pPr>
        <w:ind w:left="6534" w:hanging="360"/>
      </w:pPr>
    </w:lvl>
    <w:lvl w:ilvl="8" w:tplc="0C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5" w15:restartNumberingAfterBreak="0">
    <w:nsid w:val="73B36F51"/>
    <w:multiLevelType w:val="hybridMultilevel"/>
    <w:tmpl w:val="431E5976"/>
    <w:lvl w:ilvl="0" w:tplc="1332AE40">
      <w:start w:val="1"/>
      <w:numFmt w:val="lowerRoman"/>
      <w:lvlText w:val="(%1)"/>
      <w:lvlJc w:val="left"/>
      <w:pPr>
        <w:ind w:left="117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30" w:hanging="360"/>
      </w:pPr>
    </w:lvl>
    <w:lvl w:ilvl="2" w:tplc="0C09001B" w:tentative="1">
      <w:start w:val="1"/>
      <w:numFmt w:val="lowerRoman"/>
      <w:lvlText w:val="%3."/>
      <w:lvlJc w:val="right"/>
      <w:pPr>
        <w:ind w:left="2250" w:hanging="180"/>
      </w:pPr>
    </w:lvl>
    <w:lvl w:ilvl="3" w:tplc="0C09000F" w:tentative="1">
      <w:start w:val="1"/>
      <w:numFmt w:val="decimal"/>
      <w:lvlText w:val="%4."/>
      <w:lvlJc w:val="left"/>
      <w:pPr>
        <w:ind w:left="2970" w:hanging="360"/>
      </w:pPr>
    </w:lvl>
    <w:lvl w:ilvl="4" w:tplc="0C090019" w:tentative="1">
      <w:start w:val="1"/>
      <w:numFmt w:val="lowerLetter"/>
      <w:lvlText w:val="%5."/>
      <w:lvlJc w:val="left"/>
      <w:pPr>
        <w:ind w:left="3690" w:hanging="360"/>
      </w:pPr>
    </w:lvl>
    <w:lvl w:ilvl="5" w:tplc="0C09001B" w:tentative="1">
      <w:start w:val="1"/>
      <w:numFmt w:val="lowerRoman"/>
      <w:lvlText w:val="%6."/>
      <w:lvlJc w:val="right"/>
      <w:pPr>
        <w:ind w:left="4410" w:hanging="180"/>
      </w:pPr>
    </w:lvl>
    <w:lvl w:ilvl="6" w:tplc="0C09000F" w:tentative="1">
      <w:start w:val="1"/>
      <w:numFmt w:val="decimal"/>
      <w:lvlText w:val="%7."/>
      <w:lvlJc w:val="left"/>
      <w:pPr>
        <w:ind w:left="5130" w:hanging="360"/>
      </w:pPr>
    </w:lvl>
    <w:lvl w:ilvl="7" w:tplc="0C090019" w:tentative="1">
      <w:start w:val="1"/>
      <w:numFmt w:val="lowerLetter"/>
      <w:lvlText w:val="%8."/>
      <w:lvlJc w:val="left"/>
      <w:pPr>
        <w:ind w:left="5850" w:hanging="360"/>
      </w:pPr>
    </w:lvl>
    <w:lvl w:ilvl="8" w:tplc="0C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1"/>
  </w:num>
  <w:num w:numId="14">
    <w:abstractNumId w:val="12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8E2"/>
    <w:rsid w:val="000025EA"/>
    <w:rsid w:val="00004174"/>
    <w:rsid w:val="00004470"/>
    <w:rsid w:val="000136AF"/>
    <w:rsid w:val="000258B1"/>
    <w:rsid w:val="00040A89"/>
    <w:rsid w:val="000437C1"/>
    <w:rsid w:val="0004455A"/>
    <w:rsid w:val="0005365D"/>
    <w:rsid w:val="0006107E"/>
    <w:rsid w:val="000614BF"/>
    <w:rsid w:val="0006709C"/>
    <w:rsid w:val="00071941"/>
    <w:rsid w:val="00074376"/>
    <w:rsid w:val="00082DCA"/>
    <w:rsid w:val="00084460"/>
    <w:rsid w:val="00090F27"/>
    <w:rsid w:val="000978F5"/>
    <w:rsid w:val="000B15CD"/>
    <w:rsid w:val="000B35EB"/>
    <w:rsid w:val="000D05EF"/>
    <w:rsid w:val="000E18D4"/>
    <w:rsid w:val="000E2261"/>
    <w:rsid w:val="000E78B7"/>
    <w:rsid w:val="000F21C1"/>
    <w:rsid w:val="000F75FC"/>
    <w:rsid w:val="00105821"/>
    <w:rsid w:val="0010745C"/>
    <w:rsid w:val="00120A97"/>
    <w:rsid w:val="00132CEB"/>
    <w:rsid w:val="001339B0"/>
    <w:rsid w:val="00142B62"/>
    <w:rsid w:val="001441B7"/>
    <w:rsid w:val="001516CB"/>
    <w:rsid w:val="00152336"/>
    <w:rsid w:val="00157B8B"/>
    <w:rsid w:val="00162855"/>
    <w:rsid w:val="00166C2F"/>
    <w:rsid w:val="00174936"/>
    <w:rsid w:val="001809D7"/>
    <w:rsid w:val="001939E1"/>
    <w:rsid w:val="00194C3E"/>
    <w:rsid w:val="00195382"/>
    <w:rsid w:val="001B03D7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1F74E4"/>
    <w:rsid w:val="00201D60"/>
    <w:rsid w:val="00206C4D"/>
    <w:rsid w:val="00215AF1"/>
    <w:rsid w:val="002321E8"/>
    <w:rsid w:val="00232984"/>
    <w:rsid w:val="0024010F"/>
    <w:rsid w:val="00240749"/>
    <w:rsid w:val="002420EC"/>
    <w:rsid w:val="00243018"/>
    <w:rsid w:val="002564A4"/>
    <w:rsid w:val="00263E6E"/>
    <w:rsid w:val="0026736C"/>
    <w:rsid w:val="00267FB3"/>
    <w:rsid w:val="00281308"/>
    <w:rsid w:val="00284719"/>
    <w:rsid w:val="002878FD"/>
    <w:rsid w:val="002946A6"/>
    <w:rsid w:val="00297ECB"/>
    <w:rsid w:val="002A7BCF"/>
    <w:rsid w:val="002B0D1A"/>
    <w:rsid w:val="002C130B"/>
    <w:rsid w:val="002C3FD1"/>
    <w:rsid w:val="002C5117"/>
    <w:rsid w:val="002D043A"/>
    <w:rsid w:val="002D266B"/>
    <w:rsid w:val="002D6224"/>
    <w:rsid w:val="00304F8B"/>
    <w:rsid w:val="00317895"/>
    <w:rsid w:val="003276CF"/>
    <w:rsid w:val="00335BC6"/>
    <w:rsid w:val="0033623F"/>
    <w:rsid w:val="003415D3"/>
    <w:rsid w:val="00344338"/>
    <w:rsid w:val="00344701"/>
    <w:rsid w:val="00352B0F"/>
    <w:rsid w:val="00360459"/>
    <w:rsid w:val="003767E2"/>
    <w:rsid w:val="0038049F"/>
    <w:rsid w:val="0039375B"/>
    <w:rsid w:val="003A6472"/>
    <w:rsid w:val="003A6A20"/>
    <w:rsid w:val="003B745B"/>
    <w:rsid w:val="003C3686"/>
    <w:rsid w:val="003C6231"/>
    <w:rsid w:val="003C6BBD"/>
    <w:rsid w:val="003D0BFE"/>
    <w:rsid w:val="003D5700"/>
    <w:rsid w:val="003E341B"/>
    <w:rsid w:val="003E4D00"/>
    <w:rsid w:val="004116CD"/>
    <w:rsid w:val="00417EB9"/>
    <w:rsid w:val="00423E7A"/>
    <w:rsid w:val="00424CA9"/>
    <w:rsid w:val="004276DF"/>
    <w:rsid w:val="00431025"/>
    <w:rsid w:val="00431E9B"/>
    <w:rsid w:val="004334F6"/>
    <w:rsid w:val="004379E3"/>
    <w:rsid w:val="0044015E"/>
    <w:rsid w:val="0044291A"/>
    <w:rsid w:val="004526F2"/>
    <w:rsid w:val="004558F5"/>
    <w:rsid w:val="00467661"/>
    <w:rsid w:val="00472DBE"/>
    <w:rsid w:val="00474A19"/>
    <w:rsid w:val="00477830"/>
    <w:rsid w:val="00481314"/>
    <w:rsid w:val="00487764"/>
    <w:rsid w:val="00496F97"/>
    <w:rsid w:val="004A3237"/>
    <w:rsid w:val="004A4B5C"/>
    <w:rsid w:val="004B6C48"/>
    <w:rsid w:val="004C4E59"/>
    <w:rsid w:val="004C6809"/>
    <w:rsid w:val="004D083A"/>
    <w:rsid w:val="004D1C69"/>
    <w:rsid w:val="004E063A"/>
    <w:rsid w:val="004E1307"/>
    <w:rsid w:val="004E7BEC"/>
    <w:rsid w:val="005052A7"/>
    <w:rsid w:val="00505D3D"/>
    <w:rsid w:val="00506AF6"/>
    <w:rsid w:val="00516B8D"/>
    <w:rsid w:val="005303C8"/>
    <w:rsid w:val="00530A3E"/>
    <w:rsid w:val="005353F5"/>
    <w:rsid w:val="00537FBC"/>
    <w:rsid w:val="00554826"/>
    <w:rsid w:val="00562877"/>
    <w:rsid w:val="005701CA"/>
    <w:rsid w:val="00572B00"/>
    <w:rsid w:val="00584811"/>
    <w:rsid w:val="005852BA"/>
    <w:rsid w:val="00585784"/>
    <w:rsid w:val="00587F3B"/>
    <w:rsid w:val="00593AA6"/>
    <w:rsid w:val="00594161"/>
    <w:rsid w:val="00594749"/>
    <w:rsid w:val="005A1170"/>
    <w:rsid w:val="005A65D5"/>
    <w:rsid w:val="005B4067"/>
    <w:rsid w:val="005C3F41"/>
    <w:rsid w:val="005D1D92"/>
    <w:rsid w:val="005D2D09"/>
    <w:rsid w:val="005E3D91"/>
    <w:rsid w:val="005F2B94"/>
    <w:rsid w:val="005F637C"/>
    <w:rsid w:val="00600219"/>
    <w:rsid w:val="00604F2A"/>
    <w:rsid w:val="00620076"/>
    <w:rsid w:val="00627E0A"/>
    <w:rsid w:val="00637814"/>
    <w:rsid w:val="006512AD"/>
    <w:rsid w:val="0065488B"/>
    <w:rsid w:val="00660669"/>
    <w:rsid w:val="00670EA1"/>
    <w:rsid w:val="0067477B"/>
    <w:rsid w:val="00677CC2"/>
    <w:rsid w:val="0068744B"/>
    <w:rsid w:val="00687AA7"/>
    <w:rsid w:val="006905DE"/>
    <w:rsid w:val="0069207B"/>
    <w:rsid w:val="006975CA"/>
    <w:rsid w:val="006A154F"/>
    <w:rsid w:val="006A437B"/>
    <w:rsid w:val="006B5789"/>
    <w:rsid w:val="006C30C5"/>
    <w:rsid w:val="006C7F8C"/>
    <w:rsid w:val="006D3C0F"/>
    <w:rsid w:val="006E2E1C"/>
    <w:rsid w:val="006E6246"/>
    <w:rsid w:val="006E69C2"/>
    <w:rsid w:val="006E6DCC"/>
    <w:rsid w:val="006F044A"/>
    <w:rsid w:val="006F318F"/>
    <w:rsid w:val="0070017E"/>
    <w:rsid w:val="00700B2C"/>
    <w:rsid w:val="007050A2"/>
    <w:rsid w:val="00713084"/>
    <w:rsid w:val="00714F20"/>
    <w:rsid w:val="0071590F"/>
    <w:rsid w:val="00715914"/>
    <w:rsid w:val="007166FF"/>
    <w:rsid w:val="0072147A"/>
    <w:rsid w:val="00723791"/>
    <w:rsid w:val="00731E00"/>
    <w:rsid w:val="0073478C"/>
    <w:rsid w:val="007366B3"/>
    <w:rsid w:val="007440B7"/>
    <w:rsid w:val="007500C8"/>
    <w:rsid w:val="007543A5"/>
    <w:rsid w:val="00756272"/>
    <w:rsid w:val="00762D38"/>
    <w:rsid w:val="007715C9"/>
    <w:rsid w:val="00771613"/>
    <w:rsid w:val="00774EDD"/>
    <w:rsid w:val="007757EC"/>
    <w:rsid w:val="007834AD"/>
    <w:rsid w:val="00783E89"/>
    <w:rsid w:val="00791BCF"/>
    <w:rsid w:val="00793915"/>
    <w:rsid w:val="007A084F"/>
    <w:rsid w:val="007C2253"/>
    <w:rsid w:val="007D7911"/>
    <w:rsid w:val="007E163D"/>
    <w:rsid w:val="007E5205"/>
    <w:rsid w:val="007E667A"/>
    <w:rsid w:val="007F28C9"/>
    <w:rsid w:val="007F51B2"/>
    <w:rsid w:val="008040DD"/>
    <w:rsid w:val="00806C5E"/>
    <w:rsid w:val="008117E9"/>
    <w:rsid w:val="00824498"/>
    <w:rsid w:val="00826BD1"/>
    <w:rsid w:val="00832AAF"/>
    <w:rsid w:val="00841000"/>
    <w:rsid w:val="00854D0B"/>
    <w:rsid w:val="00855C47"/>
    <w:rsid w:val="00856A31"/>
    <w:rsid w:val="00860B4E"/>
    <w:rsid w:val="00867B37"/>
    <w:rsid w:val="008754D0"/>
    <w:rsid w:val="00875D13"/>
    <w:rsid w:val="0088175E"/>
    <w:rsid w:val="008855C9"/>
    <w:rsid w:val="00886456"/>
    <w:rsid w:val="00896176"/>
    <w:rsid w:val="008A46E1"/>
    <w:rsid w:val="008A4F43"/>
    <w:rsid w:val="008B2706"/>
    <w:rsid w:val="008B7215"/>
    <w:rsid w:val="008C2EAC"/>
    <w:rsid w:val="008D0EE0"/>
    <w:rsid w:val="008E0027"/>
    <w:rsid w:val="008E14D0"/>
    <w:rsid w:val="008E6067"/>
    <w:rsid w:val="008F2729"/>
    <w:rsid w:val="008F54E7"/>
    <w:rsid w:val="00903422"/>
    <w:rsid w:val="009253D6"/>
    <w:rsid w:val="009254C3"/>
    <w:rsid w:val="00932377"/>
    <w:rsid w:val="00941236"/>
    <w:rsid w:val="00943D2C"/>
    <w:rsid w:val="00943FD5"/>
    <w:rsid w:val="00947D5A"/>
    <w:rsid w:val="009532A5"/>
    <w:rsid w:val="009545BD"/>
    <w:rsid w:val="0096233B"/>
    <w:rsid w:val="00964CF0"/>
    <w:rsid w:val="00970102"/>
    <w:rsid w:val="00977806"/>
    <w:rsid w:val="00982242"/>
    <w:rsid w:val="009868E9"/>
    <w:rsid w:val="009900A3"/>
    <w:rsid w:val="009C3413"/>
    <w:rsid w:val="009D1734"/>
    <w:rsid w:val="00A0441E"/>
    <w:rsid w:val="00A12128"/>
    <w:rsid w:val="00A22C98"/>
    <w:rsid w:val="00A231E2"/>
    <w:rsid w:val="00A24385"/>
    <w:rsid w:val="00A35B06"/>
    <w:rsid w:val="00A369E3"/>
    <w:rsid w:val="00A544C6"/>
    <w:rsid w:val="00A57600"/>
    <w:rsid w:val="00A64912"/>
    <w:rsid w:val="00A70A74"/>
    <w:rsid w:val="00A75FE9"/>
    <w:rsid w:val="00A8260B"/>
    <w:rsid w:val="00AD53CC"/>
    <w:rsid w:val="00AD5641"/>
    <w:rsid w:val="00AE79A6"/>
    <w:rsid w:val="00AF06CF"/>
    <w:rsid w:val="00B07CDB"/>
    <w:rsid w:val="00B16A31"/>
    <w:rsid w:val="00B17DFD"/>
    <w:rsid w:val="00B25306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746C"/>
    <w:rsid w:val="00B80199"/>
    <w:rsid w:val="00B83204"/>
    <w:rsid w:val="00B838E2"/>
    <w:rsid w:val="00B856E7"/>
    <w:rsid w:val="00B93136"/>
    <w:rsid w:val="00B970A3"/>
    <w:rsid w:val="00BA220B"/>
    <w:rsid w:val="00BA3A57"/>
    <w:rsid w:val="00BB1533"/>
    <w:rsid w:val="00BB4E1A"/>
    <w:rsid w:val="00BC015E"/>
    <w:rsid w:val="00BC21E9"/>
    <w:rsid w:val="00BC76AC"/>
    <w:rsid w:val="00BD0ECB"/>
    <w:rsid w:val="00BD7318"/>
    <w:rsid w:val="00BD7E8F"/>
    <w:rsid w:val="00BE2155"/>
    <w:rsid w:val="00BE719A"/>
    <w:rsid w:val="00BE720A"/>
    <w:rsid w:val="00BE7D00"/>
    <w:rsid w:val="00BF0D73"/>
    <w:rsid w:val="00BF2465"/>
    <w:rsid w:val="00BF4A38"/>
    <w:rsid w:val="00C130EB"/>
    <w:rsid w:val="00C16619"/>
    <w:rsid w:val="00C25CEE"/>
    <w:rsid w:val="00C25E7F"/>
    <w:rsid w:val="00C2746F"/>
    <w:rsid w:val="00C323D6"/>
    <w:rsid w:val="00C324A0"/>
    <w:rsid w:val="00C40046"/>
    <w:rsid w:val="00C42BF8"/>
    <w:rsid w:val="00C430E0"/>
    <w:rsid w:val="00C50043"/>
    <w:rsid w:val="00C74A49"/>
    <w:rsid w:val="00C7573B"/>
    <w:rsid w:val="00C93A79"/>
    <w:rsid w:val="00C97A54"/>
    <w:rsid w:val="00CA5B23"/>
    <w:rsid w:val="00CB602E"/>
    <w:rsid w:val="00CB7E90"/>
    <w:rsid w:val="00CC588E"/>
    <w:rsid w:val="00CE051D"/>
    <w:rsid w:val="00CE1335"/>
    <w:rsid w:val="00CE493D"/>
    <w:rsid w:val="00CF07FA"/>
    <w:rsid w:val="00CF0BB2"/>
    <w:rsid w:val="00CF3EE8"/>
    <w:rsid w:val="00D13441"/>
    <w:rsid w:val="00D13E16"/>
    <w:rsid w:val="00D150E7"/>
    <w:rsid w:val="00D222A9"/>
    <w:rsid w:val="00D52DC2"/>
    <w:rsid w:val="00D53BCC"/>
    <w:rsid w:val="00D54C9E"/>
    <w:rsid w:val="00D6537E"/>
    <w:rsid w:val="00D70DFB"/>
    <w:rsid w:val="00D72FE4"/>
    <w:rsid w:val="00D766DF"/>
    <w:rsid w:val="00D80808"/>
    <w:rsid w:val="00D8206C"/>
    <w:rsid w:val="00D91F10"/>
    <w:rsid w:val="00D93CDE"/>
    <w:rsid w:val="00DA186E"/>
    <w:rsid w:val="00DA4116"/>
    <w:rsid w:val="00DB251C"/>
    <w:rsid w:val="00DB4630"/>
    <w:rsid w:val="00DC4F88"/>
    <w:rsid w:val="00DE107C"/>
    <w:rsid w:val="00DF0B57"/>
    <w:rsid w:val="00DF2388"/>
    <w:rsid w:val="00E05704"/>
    <w:rsid w:val="00E338EF"/>
    <w:rsid w:val="00E544BB"/>
    <w:rsid w:val="00E72953"/>
    <w:rsid w:val="00E74DC7"/>
    <w:rsid w:val="00E8075A"/>
    <w:rsid w:val="00E81904"/>
    <w:rsid w:val="00E940D8"/>
    <w:rsid w:val="00E94D5E"/>
    <w:rsid w:val="00EA5E15"/>
    <w:rsid w:val="00EA7100"/>
    <w:rsid w:val="00EA7F9F"/>
    <w:rsid w:val="00EB1274"/>
    <w:rsid w:val="00ED22DC"/>
    <w:rsid w:val="00ED2BB6"/>
    <w:rsid w:val="00ED34E1"/>
    <w:rsid w:val="00ED3B8D"/>
    <w:rsid w:val="00EE4B90"/>
    <w:rsid w:val="00EE5E36"/>
    <w:rsid w:val="00EF212D"/>
    <w:rsid w:val="00EF2E3A"/>
    <w:rsid w:val="00F02C7C"/>
    <w:rsid w:val="00F072A7"/>
    <w:rsid w:val="00F078DC"/>
    <w:rsid w:val="00F16353"/>
    <w:rsid w:val="00F32BA8"/>
    <w:rsid w:val="00F32EE0"/>
    <w:rsid w:val="00F349F1"/>
    <w:rsid w:val="00F4350D"/>
    <w:rsid w:val="00F479C4"/>
    <w:rsid w:val="00F567F7"/>
    <w:rsid w:val="00F653CD"/>
    <w:rsid w:val="00F6696E"/>
    <w:rsid w:val="00F73BD6"/>
    <w:rsid w:val="00F83989"/>
    <w:rsid w:val="00F85099"/>
    <w:rsid w:val="00F86E58"/>
    <w:rsid w:val="00F9379C"/>
    <w:rsid w:val="00F9632C"/>
    <w:rsid w:val="00FA1E52"/>
    <w:rsid w:val="00FB5A08"/>
    <w:rsid w:val="00FB78C7"/>
    <w:rsid w:val="00FC6A80"/>
    <w:rsid w:val="00FE4688"/>
    <w:rsid w:val="00FE6395"/>
    <w:rsid w:val="00FF1599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331EE31"/>
  <w15:docId w15:val="{416C7162-3DFD-4DE2-9AC3-367DC10AF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B774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746C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746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74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746C"/>
    <w:rPr>
      <w:b/>
      <w:bCs/>
    </w:rPr>
  </w:style>
  <w:style w:type="character" w:styleId="Hyperlink">
    <w:name w:val="Hyperlink"/>
    <w:basedOn w:val="DefaultParagraphFont"/>
    <w:uiPriority w:val="99"/>
    <w:unhideWhenUsed/>
    <w:rsid w:val="005701C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1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Relationship Id="rId22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5A569-9F84-4416-92C9-E3FD6C16F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758</Words>
  <Characters>4326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DAVIS, Callum</dc:creator>
  <cp:lastModifiedBy>CARTER, Bless</cp:lastModifiedBy>
  <cp:revision>2</cp:revision>
  <dcterms:created xsi:type="dcterms:W3CDTF">2022-02-24T03:59:00Z</dcterms:created>
  <dcterms:modified xsi:type="dcterms:W3CDTF">2022-02-24T03:59:00Z</dcterms:modified>
</cp:coreProperties>
</file>