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F663C" w14:textId="77777777" w:rsidR="00A67D51" w:rsidRPr="00BF1CA0" w:rsidRDefault="00A67D51" w:rsidP="000E4543">
      <w:pPr>
        <w:pStyle w:val="Title"/>
      </w:pPr>
      <w:r w:rsidRPr="00BF1CA0">
        <w:t>EXPLANATORY STATEMENT</w:t>
      </w:r>
    </w:p>
    <w:p w14:paraId="696E221F" w14:textId="6CDC55D0" w:rsidR="00A67D51" w:rsidRPr="00BF1CA0" w:rsidRDefault="00A67D51" w:rsidP="000E4543">
      <w:pPr>
        <w:pStyle w:val="Title"/>
      </w:pPr>
      <w:r w:rsidRPr="00BF1CA0">
        <w:t>INSTRUMENT NUMBER PB</w:t>
      </w:r>
      <w:r w:rsidR="00053ED9" w:rsidRPr="00BF1CA0">
        <w:t xml:space="preserve"> </w:t>
      </w:r>
      <w:r w:rsidR="00F070D5">
        <w:t>20 of 2022</w:t>
      </w:r>
    </w:p>
    <w:p w14:paraId="7E9EE331" w14:textId="77777777" w:rsidR="00A67D51" w:rsidRPr="00BF1CA0" w:rsidRDefault="00A67D51" w:rsidP="000E4543">
      <w:pPr>
        <w:pStyle w:val="Title"/>
        <w:rPr>
          <w:i/>
        </w:rPr>
      </w:pPr>
      <w:r w:rsidRPr="00BF1CA0">
        <w:rPr>
          <w:i/>
        </w:rPr>
        <w:t>NATIONAL HEALTH ACT 1953</w:t>
      </w:r>
    </w:p>
    <w:p w14:paraId="09686741" w14:textId="66E30CCF" w:rsidR="00A67D51" w:rsidRPr="00BF1CA0" w:rsidRDefault="00EC3306" w:rsidP="000E4543">
      <w:pPr>
        <w:pStyle w:val="Title"/>
        <w:rPr>
          <w:i/>
        </w:rPr>
      </w:pPr>
      <w:r w:rsidRPr="00EC3306">
        <w:rPr>
          <w:i/>
        </w:rPr>
        <w:t xml:space="preserve">National Health (Weighted average disclosed price – </w:t>
      </w:r>
      <w:r w:rsidR="00F070D5">
        <w:rPr>
          <w:i/>
        </w:rPr>
        <w:t>April 2022</w:t>
      </w:r>
      <w:r w:rsidRPr="00EC3306">
        <w:rPr>
          <w:i/>
        </w:rPr>
        <w:t xml:space="preserve"> reduction day) Amendment Determination 202</w:t>
      </w:r>
      <w:r w:rsidR="00F070D5">
        <w:rPr>
          <w:i/>
        </w:rPr>
        <w:t>2</w:t>
      </w:r>
      <w:r w:rsidR="0011547D" w:rsidRPr="00BF1CA0">
        <w:rPr>
          <w:i/>
        </w:rPr>
        <w:t xml:space="preserve"> </w:t>
      </w:r>
    </w:p>
    <w:p w14:paraId="054DCF21" w14:textId="39E3B741" w:rsidR="0071790E" w:rsidRPr="00BF1CA0" w:rsidRDefault="00FF2C8F" w:rsidP="000E4543">
      <w:pPr>
        <w:pStyle w:val="Heading1"/>
      </w:pPr>
      <w:r w:rsidRPr="00BF1CA0">
        <w:t>Authority</w:t>
      </w:r>
    </w:p>
    <w:p w14:paraId="150FE667" w14:textId="6F089098" w:rsidR="004E236A" w:rsidRPr="00BF1CA0" w:rsidRDefault="007C63B5" w:rsidP="00FF169C">
      <w:pPr>
        <w:spacing w:after="120"/>
      </w:pPr>
      <w:r w:rsidRPr="00BF1CA0">
        <w:t>This legislative instrument is made pursuant to</w:t>
      </w:r>
      <w:r w:rsidR="007D4824" w:rsidRPr="00BF1CA0">
        <w:t xml:space="preserve"> </w:t>
      </w:r>
      <w:r w:rsidRPr="00BF1CA0">
        <w:t xml:space="preserve">subsection 99ADB(4) of the </w:t>
      </w:r>
      <w:r w:rsidRPr="00BF1CA0">
        <w:rPr>
          <w:i/>
        </w:rPr>
        <w:t>National Health Act 1953</w:t>
      </w:r>
      <w:r w:rsidRPr="00BF1CA0">
        <w:t xml:space="preserve"> (the Act), which provides that the Minister may, by legislative instrument, determine the weighted average disclosed price (WADP) of a brand of a pharmaceutical item (listed brand) in accordance with the </w:t>
      </w:r>
      <w:r w:rsidRPr="00BF1CA0">
        <w:rPr>
          <w:i/>
        </w:rPr>
        <w:t xml:space="preserve">National Health (Pharmaceutical Benefits) Regulations </w:t>
      </w:r>
      <w:r w:rsidR="00B7646E" w:rsidRPr="00BF1CA0">
        <w:rPr>
          <w:i/>
        </w:rPr>
        <w:t>2017</w:t>
      </w:r>
      <w:r w:rsidRPr="00BF1CA0">
        <w:t xml:space="preserve"> (the Regulations)</w:t>
      </w:r>
      <w:r w:rsidR="00BD1F9F" w:rsidRPr="00BF1CA0">
        <w:t>.</w:t>
      </w:r>
    </w:p>
    <w:p w14:paraId="32BAA076" w14:textId="77777777" w:rsidR="00E37FA0" w:rsidRDefault="004E236A" w:rsidP="00E37FA0">
      <w:pPr>
        <w:spacing w:before="120" w:after="120"/>
      </w:pPr>
      <w:r w:rsidRPr="00BF1CA0">
        <w:t>Subsection 99ADB(7) of the Act further provides that a subsection 99ADB(4) determination for a listed brand may include the adjusted approved ex-manufacturer price (AAEMP) for the listed brand.</w:t>
      </w:r>
      <w:r w:rsidR="00E37FA0" w:rsidRPr="00E37FA0">
        <w:t xml:space="preserve"> </w:t>
      </w:r>
    </w:p>
    <w:p w14:paraId="2CE4DAB2" w14:textId="12D93B0A" w:rsidR="00E37FA0" w:rsidRDefault="00E37FA0" w:rsidP="00E37FA0">
      <w:pPr>
        <w:spacing w:before="120" w:after="120"/>
      </w:pPr>
      <w:r w:rsidRPr="00BF1CA0">
        <w:t xml:space="preserve">Subsection 33(3) of the </w:t>
      </w:r>
      <w:r w:rsidRPr="00BF1CA0">
        <w:rPr>
          <w:i/>
        </w:rPr>
        <w:t>Acts Interpretation Act 1901</w:t>
      </w:r>
      <w:r w:rsidRPr="00BF1CA0">
        <w:t xml:space="preserve"> is relied upon to vary or revoke the determination made under subsection 99ADB(4) for the medicines affected by this </w:t>
      </w:r>
      <w:r>
        <w:t>legislative</w:t>
      </w:r>
      <w:r w:rsidRPr="00BF1CA0">
        <w:t xml:space="preserve"> instrument. </w:t>
      </w:r>
    </w:p>
    <w:p w14:paraId="05074CFA" w14:textId="77777777" w:rsidR="00FF2C8F" w:rsidRPr="00BF1CA0" w:rsidRDefault="00FF2C8F" w:rsidP="000E4543">
      <w:pPr>
        <w:pStyle w:val="Heading1"/>
      </w:pPr>
      <w:r w:rsidRPr="00BF1CA0">
        <w:t>Purpose</w:t>
      </w:r>
    </w:p>
    <w:p w14:paraId="0420B3A5" w14:textId="2057B0AB" w:rsidR="00C73414" w:rsidRPr="00BF1CA0" w:rsidRDefault="007E3BBC" w:rsidP="00FF169C">
      <w:pPr>
        <w:spacing w:before="120" w:after="120"/>
      </w:pPr>
      <w:r w:rsidRPr="00BF1CA0">
        <w:rPr>
          <w:szCs w:val="24"/>
        </w:rPr>
        <w:t>This legislative</w:t>
      </w:r>
      <w:r w:rsidR="0085563B" w:rsidRPr="00BF1CA0">
        <w:rPr>
          <w:szCs w:val="24"/>
        </w:rPr>
        <w:t xml:space="preserve"> instrument</w:t>
      </w:r>
      <w:r w:rsidR="007D4824" w:rsidRPr="00BF1CA0">
        <w:rPr>
          <w:szCs w:val="24"/>
        </w:rPr>
        <w:t xml:space="preserve"> </w:t>
      </w:r>
      <w:r w:rsidRPr="00BF1CA0">
        <w:t xml:space="preserve">amends the </w:t>
      </w:r>
      <w:r w:rsidR="00EC3306" w:rsidRPr="0088275C">
        <w:rPr>
          <w:i/>
        </w:rPr>
        <w:t xml:space="preserve">National Health (Weighted average disclosed price – </w:t>
      </w:r>
      <w:r w:rsidR="00F070D5">
        <w:rPr>
          <w:i/>
        </w:rPr>
        <w:t>April 2022</w:t>
      </w:r>
      <w:r w:rsidR="00EC3306" w:rsidRPr="0088275C">
        <w:rPr>
          <w:i/>
        </w:rPr>
        <w:t xml:space="preserve"> reduction day) Determination </w:t>
      </w:r>
      <w:r w:rsidR="00EC3306" w:rsidRPr="000E0456">
        <w:rPr>
          <w:i/>
        </w:rPr>
        <w:t>202</w:t>
      </w:r>
      <w:r w:rsidR="00521A58" w:rsidRPr="000E0456">
        <w:rPr>
          <w:i/>
        </w:rPr>
        <w:t>1</w:t>
      </w:r>
      <w:r w:rsidR="00EC3306" w:rsidRPr="000E0456">
        <w:rPr>
          <w:i/>
        </w:rPr>
        <w:t xml:space="preserve"> </w:t>
      </w:r>
      <w:r w:rsidR="00EC3306" w:rsidRPr="000E0456">
        <w:t xml:space="preserve">(PB </w:t>
      </w:r>
      <w:r w:rsidR="00F070D5">
        <w:t>134</w:t>
      </w:r>
      <w:r w:rsidR="00EC3306" w:rsidRPr="000E0456">
        <w:t xml:space="preserve"> of 202</w:t>
      </w:r>
      <w:r w:rsidR="00521A58" w:rsidRPr="000E0456">
        <w:t>1</w:t>
      </w:r>
      <w:r w:rsidR="00EC3306" w:rsidRPr="000E0456">
        <w:t>)</w:t>
      </w:r>
      <w:r w:rsidRPr="000E0456">
        <w:t xml:space="preserve"> </w:t>
      </w:r>
      <w:r w:rsidRPr="00BF1CA0">
        <w:t>(the Principal Instrument)</w:t>
      </w:r>
      <w:r w:rsidR="00C73414" w:rsidRPr="00BF1CA0">
        <w:t xml:space="preserve"> by:</w:t>
      </w:r>
    </w:p>
    <w:p w14:paraId="54161850" w14:textId="511094AD" w:rsidR="00B97289" w:rsidRDefault="00E54743" w:rsidP="00E54743">
      <w:pPr>
        <w:pStyle w:val="ListParagraph"/>
        <w:numPr>
          <w:ilvl w:val="0"/>
          <w:numId w:val="30"/>
        </w:numPr>
        <w:spacing w:before="120" w:after="120"/>
      </w:pPr>
      <w:r>
        <w:t xml:space="preserve">Amending </w:t>
      </w:r>
      <w:r w:rsidR="00837824">
        <w:t>t</w:t>
      </w:r>
      <w:r w:rsidR="00837824" w:rsidRPr="00837824">
        <w:t xml:space="preserve">he form description for cabazitaxel to reflect editorial changes that will occur to the form description for cabazitaxel on 1 March 2022 in the </w:t>
      </w:r>
      <w:r w:rsidR="00837824" w:rsidRPr="00E37FA0">
        <w:rPr>
          <w:i/>
          <w:iCs/>
        </w:rPr>
        <w:t>National Health (Listing of Pharmaceutical Benefits) Instrument 2012</w:t>
      </w:r>
      <w:r>
        <w:rPr>
          <w:iCs/>
        </w:rPr>
        <w:t xml:space="preserve"> and also determining a WADP and reduction day for a new brand of cabazitaxel that will list on the PBS on 1 March 2022</w:t>
      </w:r>
      <w:r>
        <w:t>;</w:t>
      </w:r>
      <w:r w:rsidDel="00E54743">
        <w:t xml:space="preserve"> </w:t>
      </w:r>
      <w:bookmarkStart w:id="0" w:name="_GoBack"/>
      <w:bookmarkEnd w:id="0"/>
    </w:p>
    <w:p w14:paraId="0C9D1C54" w14:textId="6FFA1B5E" w:rsidR="00914FC7" w:rsidRDefault="000521B9" w:rsidP="000E4543">
      <w:pPr>
        <w:pStyle w:val="ListParagraph"/>
        <w:numPr>
          <w:ilvl w:val="0"/>
          <w:numId w:val="30"/>
        </w:numPr>
        <w:spacing w:before="120" w:after="120"/>
      </w:pPr>
      <w:r w:rsidRPr="00B04595">
        <w:t xml:space="preserve">removing from Schedule 1 </w:t>
      </w:r>
      <w:r w:rsidR="006A7275" w:rsidRPr="00B04595">
        <w:t xml:space="preserve">and inserting in Schedule 2 </w:t>
      </w:r>
      <w:r w:rsidR="00853747" w:rsidRPr="00B04595">
        <w:t xml:space="preserve">WADPs </w:t>
      </w:r>
      <w:r w:rsidRPr="00B04595">
        <w:t>for brands of pharmaceu</w:t>
      </w:r>
      <w:r w:rsidR="0042423B" w:rsidRPr="00B04595">
        <w:t>tical</w:t>
      </w:r>
      <w:r w:rsidR="006A7275" w:rsidRPr="00B04595">
        <w:t xml:space="preserve"> items</w:t>
      </w:r>
      <w:r w:rsidRPr="00B04595">
        <w:t xml:space="preserve"> containing:</w:t>
      </w:r>
    </w:p>
    <w:p w14:paraId="25EBB095" w14:textId="556943F3" w:rsidR="007C5A2E" w:rsidRDefault="007C5A2E" w:rsidP="007C5A2E">
      <w:pPr>
        <w:pStyle w:val="ListBullet"/>
        <w:numPr>
          <w:ilvl w:val="2"/>
          <w:numId w:val="30"/>
        </w:numPr>
      </w:pPr>
      <w:r w:rsidRPr="00FB6D65">
        <w:t>fluticasone propionate with salmeterol</w:t>
      </w:r>
      <w:r>
        <w:t>, p</w:t>
      </w:r>
      <w:r w:rsidRPr="007C5A2E">
        <w:t xml:space="preserve">owder for oral inhalation in breath actuated device containing fluticasone propionate 250 micrograms with salmeterol </w:t>
      </w:r>
      <w:r w:rsidR="00B97289" w:rsidRPr="007C5A2E">
        <w:t>50</w:t>
      </w:r>
      <w:r w:rsidR="00B97289">
        <w:t> </w:t>
      </w:r>
      <w:r w:rsidRPr="007C5A2E">
        <w:t>micrograms (as xinafoate) per dose, 60 doses</w:t>
      </w:r>
      <w:r>
        <w:t>, i</w:t>
      </w:r>
      <w:r w:rsidRPr="00FB6D65">
        <w:t>nhalation by mouth</w:t>
      </w:r>
      <w:r>
        <w:t>;</w:t>
      </w:r>
    </w:p>
    <w:p w14:paraId="5D877636" w14:textId="4260AE86" w:rsidR="007C5A2E" w:rsidRDefault="007C5A2E" w:rsidP="007C5A2E">
      <w:pPr>
        <w:pStyle w:val="ListBullet"/>
        <w:numPr>
          <w:ilvl w:val="2"/>
          <w:numId w:val="30"/>
        </w:numPr>
      </w:pPr>
      <w:r w:rsidRPr="00FB6D65">
        <w:t>fluticasone propionate with salmeterol</w:t>
      </w:r>
      <w:r>
        <w:t>, p</w:t>
      </w:r>
      <w:r w:rsidRPr="007C5A2E">
        <w:t xml:space="preserve">owder for oral inhalation in breath actuated device containing fluticasone propionate 500 micrograms with salmeterol </w:t>
      </w:r>
      <w:r w:rsidR="00B97289" w:rsidRPr="007C5A2E">
        <w:t>50</w:t>
      </w:r>
      <w:r w:rsidR="00B97289">
        <w:t> </w:t>
      </w:r>
      <w:r w:rsidRPr="007C5A2E">
        <w:t>micrograms (as xinafoate) per dose, 60 doses</w:t>
      </w:r>
      <w:r>
        <w:t>, i</w:t>
      </w:r>
      <w:r w:rsidRPr="00FB6D65">
        <w:t>nhalation by mouth</w:t>
      </w:r>
      <w:r>
        <w:t>;</w:t>
      </w:r>
    </w:p>
    <w:p w14:paraId="30CEEC28" w14:textId="3CDB036A" w:rsidR="007C5A2E" w:rsidRDefault="007C5A2E" w:rsidP="007C5A2E">
      <w:pPr>
        <w:pStyle w:val="ListBullet"/>
        <w:numPr>
          <w:ilvl w:val="2"/>
          <w:numId w:val="30"/>
        </w:numPr>
      </w:pPr>
      <w:r w:rsidRPr="00FB6D65">
        <w:t>fluticasone propionate with salmeterol</w:t>
      </w:r>
      <w:r>
        <w:t>, p</w:t>
      </w:r>
      <w:r w:rsidRPr="007C5A2E">
        <w:t>ressurised inhalation containing fluticasone propionate 125 micrograms with salmeterol 25 micrograms (as xinafoate) per dose, 120 doses (CFC-free formulation)</w:t>
      </w:r>
      <w:r>
        <w:t>, i</w:t>
      </w:r>
      <w:r w:rsidRPr="00FB6D65">
        <w:t>nhalation by mouth</w:t>
      </w:r>
      <w:r>
        <w:t>;</w:t>
      </w:r>
      <w:r w:rsidR="00B97289">
        <w:t xml:space="preserve"> and</w:t>
      </w:r>
    </w:p>
    <w:p w14:paraId="2FD89EE3" w14:textId="12141E14" w:rsidR="00914FC7" w:rsidRDefault="007C5A2E" w:rsidP="00D03566">
      <w:pPr>
        <w:pStyle w:val="ListBullet"/>
        <w:numPr>
          <w:ilvl w:val="2"/>
          <w:numId w:val="30"/>
        </w:numPr>
        <w:spacing w:after="120"/>
        <w:ind w:left="703" w:hanging="357"/>
      </w:pPr>
      <w:r w:rsidRPr="00FB6D65">
        <w:lastRenderedPageBreak/>
        <w:t>fluticasone propionate with salmeterol</w:t>
      </w:r>
      <w:r>
        <w:t>, p</w:t>
      </w:r>
      <w:r w:rsidRPr="007C5A2E">
        <w:t>ressurised inhalation containing fluticasone propionate 250 micrograms with salmeterol 25 micrograms (as xinafoate) per dose, 120 doses (CFC-free formulation)</w:t>
      </w:r>
      <w:r>
        <w:t>, i</w:t>
      </w:r>
      <w:r w:rsidRPr="00FB6D65">
        <w:t>nhalation by mouth</w:t>
      </w:r>
      <w:r w:rsidR="00B97289">
        <w:t>.</w:t>
      </w:r>
    </w:p>
    <w:p w14:paraId="16B8CC49" w14:textId="5F2D4CC9" w:rsidR="00914FC7" w:rsidRPr="00B04595" w:rsidRDefault="00914FC7" w:rsidP="000E4543">
      <w:pPr>
        <w:pStyle w:val="ListParagraph"/>
        <w:keepNext/>
        <w:keepLines/>
        <w:numPr>
          <w:ilvl w:val="0"/>
          <w:numId w:val="30"/>
        </w:numPr>
        <w:spacing w:before="120" w:after="120"/>
        <w:ind w:hanging="357"/>
      </w:pPr>
      <w:r w:rsidRPr="00914FC7">
        <w:t xml:space="preserve">inserting WADPs </w:t>
      </w:r>
      <w:r w:rsidR="00F028B4">
        <w:t xml:space="preserve">into Schedule 2 </w:t>
      </w:r>
      <w:r w:rsidRPr="00914FC7">
        <w:t>for brands of new pharmaceutical items that listed after publication of the Principal Instrument:</w:t>
      </w:r>
    </w:p>
    <w:p w14:paraId="20C0B48A" w14:textId="2F8F9739" w:rsidR="00B97289" w:rsidRDefault="00B97289" w:rsidP="000E4543">
      <w:pPr>
        <w:pStyle w:val="ListBullet"/>
        <w:keepNext/>
        <w:keepLines/>
        <w:numPr>
          <w:ilvl w:val="2"/>
          <w:numId w:val="30"/>
        </w:numPr>
        <w:ind w:hanging="357"/>
      </w:pPr>
      <w:r>
        <w:t>chorionic gonadotrophin, injection set containing powder for injection 1,500 units, 3 and solvent 1 ml, 3 (s19A), injection;</w:t>
      </w:r>
    </w:p>
    <w:p w14:paraId="1BDAD7AB" w14:textId="1E8DD6D9" w:rsidR="00B97289" w:rsidRDefault="00B97289" w:rsidP="000E4543">
      <w:pPr>
        <w:pStyle w:val="ListBullet"/>
        <w:keepNext/>
        <w:keepLines/>
        <w:numPr>
          <w:ilvl w:val="2"/>
          <w:numId w:val="30"/>
        </w:numPr>
        <w:ind w:hanging="357"/>
      </w:pPr>
      <w:r>
        <w:t>chorionic gonadotrophin, powder for injection 5,000 units with solvent (s19A), injection;</w:t>
      </w:r>
    </w:p>
    <w:p w14:paraId="3590842D" w14:textId="610A9A3F" w:rsidR="00B97289" w:rsidRDefault="00B97289" w:rsidP="000E4543">
      <w:pPr>
        <w:pStyle w:val="ListBullet"/>
        <w:keepNext/>
        <w:keepLines/>
        <w:numPr>
          <w:ilvl w:val="2"/>
          <w:numId w:val="30"/>
        </w:numPr>
        <w:ind w:hanging="357"/>
      </w:pPr>
      <w:r>
        <w:t>ciclosporin, eye drops 1 mg per ml, single dose units 0.3 ml, 30, application to the eye;</w:t>
      </w:r>
    </w:p>
    <w:p w14:paraId="042B9003" w14:textId="03E25C42" w:rsidR="00B97289" w:rsidRDefault="00B97289" w:rsidP="000E4543">
      <w:pPr>
        <w:pStyle w:val="ListBullet"/>
        <w:keepNext/>
        <w:keepLines/>
        <w:numPr>
          <w:ilvl w:val="2"/>
          <w:numId w:val="30"/>
        </w:numPr>
        <w:ind w:hanging="357"/>
      </w:pPr>
      <w:r>
        <w:t>etanercept, injection 50 mg in 1 ml single use dose-dispenser cartridges, 4, injection; and</w:t>
      </w:r>
    </w:p>
    <w:p w14:paraId="5D5A27B8" w14:textId="69971BF3" w:rsidR="00B97289" w:rsidRPr="00B04595" w:rsidRDefault="00B97289" w:rsidP="000E4543">
      <w:pPr>
        <w:pStyle w:val="ListBullet"/>
        <w:keepNext/>
        <w:keepLines/>
        <w:numPr>
          <w:ilvl w:val="2"/>
          <w:numId w:val="30"/>
        </w:numPr>
        <w:ind w:hanging="357"/>
      </w:pPr>
      <w:r>
        <w:t>levothyroxine, tablet containing 125 micrograms anhydrous levothyroxine sodium, oral.</w:t>
      </w:r>
    </w:p>
    <w:p w14:paraId="32C1BB7C" w14:textId="77777777" w:rsidR="00E85C6C" w:rsidRPr="000E4543" w:rsidRDefault="00E85C6C" w:rsidP="000E4543">
      <w:pPr>
        <w:pStyle w:val="ListBullet"/>
        <w:numPr>
          <w:ilvl w:val="0"/>
          <w:numId w:val="0"/>
        </w:numPr>
        <w:ind w:left="348"/>
      </w:pPr>
    </w:p>
    <w:p w14:paraId="1C67A710" w14:textId="04461E31" w:rsidR="00F137C0" w:rsidRDefault="00227BFC" w:rsidP="00B05AEB">
      <w:pPr>
        <w:spacing w:after="120"/>
        <w:rPr>
          <w:szCs w:val="24"/>
        </w:rPr>
      </w:pPr>
      <w:r w:rsidRPr="00BF1CA0">
        <w:t>T</w:t>
      </w:r>
      <w:r w:rsidR="007E3BBC" w:rsidRPr="00BF1CA0">
        <w:t xml:space="preserve">he Principal Instrument was made pursuant to </w:t>
      </w:r>
      <w:r w:rsidR="007E3BBC" w:rsidRPr="00BF1CA0">
        <w:rPr>
          <w:szCs w:val="24"/>
        </w:rPr>
        <w:t>subsection 99ADB(4) and paragraph 99ADH(1)</w:t>
      </w:r>
      <w:r w:rsidR="00E37FA0">
        <w:rPr>
          <w:szCs w:val="24"/>
        </w:rPr>
        <w:t>(aa)</w:t>
      </w:r>
      <w:r w:rsidR="007E3BBC" w:rsidRPr="00BF1CA0">
        <w:rPr>
          <w:szCs w:val="24"/>
        </w:rPr>
        <w:t xml:space="preserve"> of the</w:t>
      </w:r>
      <w:r w:rsidR="007C63B5" w:rsidRPr="00BF1CA0">
        <w:rPr>
          <w:szCs w:val="24"/>
        </w:rPr>
        <w:t xml:space="preserve"> Act for brands of pharmaceutical items with a data collection period ending</w:t>
      </w:r>
      <w:r w:rsidR="00D1438E" w:rsidRPr="00BF1CA0">
        <w:rPr>
          <w:szCs w:val="24"/>
        </w:rPr>
        <w:t xml:space="preserve"> </w:t>
      </w:r>
      <w:r w:rsidR="00552572">
        <w:rPr>
          <w:szCs w:val="24"/>
        </w:rPr>
        <w:t>3</w:t>
      </w:r>
      <w:r w:rsidR="00F070D5">
        <w:rPr>
          <w:szCs w:val="24"/>
        </w:rPr>
        <w:t>0</w:t>
      </w:r>
      <w:r w:rsidR="00552572">
        <w:rPr>
          <w:szCs w:val="24"/>
        </w:rPr>
        <w:t xml:space="preserve"> </w:t>
      </w:r>
      <w:r w:rsidR="00F070D5">
        <w:rPr>
          <w:szCs w:val="24"/>
        </w:rPr>
        <w:t>September</w:t>
      </w:r>
      <w:r w:rsidR="000E0456">
        <w:rPr>
          <w:szCs w:val="24"/>
        </w:rPr>
        <w:t xml:space="preserve"> 2021</w:t>
      </w:r>
      <w:r w:rsidR="001F35B1" w:rsidRPr="00BF1CA0">
        <w:rPr>
          <w:szCs w:val="24"/>
        </w:rPr>
        <w:t xml:space="preserve"> </w:t>
      </w:r>
      <w:r w:rsidR="0044245A" w:rsidRPr="00BF1CA0">
        <w:rPr>
          <w:szCs w:val="24"/>
        </w:rPr>
        <w:t>(</w:t>
      </w:r>
      <w:r w:rsidR="00F070D5">
        <w:rPr>
          <w:szCs w:val="24"/>
        </w:rPr>
        <w:t>2022 April</w:t>
      </w:r>
      <w:r w:rsidR="0011547D" w:rsidRPr="00BF1CA0">
        <w:rPr>
          <w:szCs w:val="24"/>
        </w:rPr>
        <w:t xml:space="preserve"> </w:t>
      </w:r>
      <w:r w:rsidR="007C63B5" w:rsidRPr="00BF1CA0">
        <w:rPr>
          <w:szCs w:val="24"/>
        </w:rPr>
        <w:t>cycle)</w:t>
      </w:r>
      <w:r w:rsidR="007E3BBC" w:rsidRPr="00BF1CA0">
        <w:rPr>
          <w:szCs w:val="24"/>
        </w:rPr>
        <w:t>.</w:t>
      </w:r>
    </w:p>
    <w:p w14:paraId="51267898" w14:textId="25467E4A" w:rsidR="00552183" w:rsidRPr="00BF1CA0" w:rsidRDefault="00CC0026" w:rsidP="000E4543">
      <w:pPr>
        <w:pStyle w:val="Heading1"/>
        <w:rPr>
          <w:i/>
        </w:rPr>
      </w:pPr>
      <w:r w:rsidRPr="00BF1CA0">
        <w:t>Amendment</w:t>
      </w:r>
      <w:r w:rsidR="00AB5DA0" w:rsidRPr="00BF1CA0">
        <w:t>s</w:t>
      </w:r>
    </w:p>
    <w:p w14:paraId="32A89C88" w14:textId="698DC174" w:rsidR="00745389" w:rsidRPr="00BF1CA0" w:rsidRDefault="00745389" w:rsidP="000E4543">
      <w:pPr>
        <w:pStyle w:val="Head2"/>
      </w:pPr>
      <w:r w:rsidRPr="00BF1CA0">
        <w:t xml:space="preserve">Revision of WADP determinations for </w:t>
      </w:r>
      <w:r w:rsidR="00106045">
        <w:t>b</w:t>
      </w:r>
      <w:r w:rsidR="00106045" w:rsidRPr="00BF1CA0">
        <w:t xml:space="preserve">rands </w:t>
      </w:r>
      <w:r w:rsidRPr="00BF1CA0">
        <w:t xml:space="preserve">of </w:t>
      </w:r>
      <w:r w:rsidR="000D2BBA">
        <w:t>p</w:t>
      </w:r>
      <w:r w:rsidR="000D2BBA" w:rsidRPr="00BF1CA0">
        <w:t xml:space="preserve">harmaceutical </w:t>
      </w:r>
      <w:r w:rsidR="000D2BBA">
        <w:t>i</w:t>
      </w:r>
      <w:r w:rsidR="000D2BBA" w:rsidRPr="00BF1CA0">
        <w:t>tems</w:t>
      </w:r>
    </w:p>
    <w:p w14:paraId="2FF98E22" w14:textId="08DCD85E" w:rsidR="001A1D42" w:rsidRDefault="00745389" w:rsidP="0042423B">
      <w:pPr>
        <w:spacing w:after="120"/>
      </w:pPr>
      <w:r w:rsidRPr="00BF1CA0">
        <w:t xml:space="preserve">Amendments </w:t>
      </w:r>
      <w:r w:rsidR="001A1D42">
        <w:t xml:space="preserve">to the </w:t>
      </w:r>
      <w:r w:rsidR="001A1D42" w:rsidRPr="00BF1CA0">
        <w:t xml:space="preserve">Principal Instrument </w:t>
      </w:r>
      <w:r w:rsidRPr="00BF1CA0">
        <w:t xml:space="preserve">are being made following consideration of matters raised by </w:t>
      </w:r>
      <w:r w:rsidR="002870A9">
        <w:t>Responsible Person</w:t>
      </w:r>
      <w:r w:rsidRPr="00BF1CA0">
        <w:t>s</w:t>
      </w:r>
      <w:r w:rsidR="001A1D42">
        <w:t>. These Amendments</w:t>
      </w:r>
      <w:r w:rsidRPr="00BF1CA0">
        <w:t xml:space="preserve"> concern the determinations </w:t>
      </w:r>
      <w:r w:rsidR="001A1D42">
        <w:t xml:space="preserve">made </w:t>
      </w:r>
      <w:r w:rsidRPr="00BF1CA0">
        <w:t xml:space="preserve">in the Principal Instrument for brands of </w:t>
      </w:r>
      <w:r w:rsidR="001A1D42">
        <w:t xml:space="preserve">the following </w:t>
      </w:r>
      <w:r w:rsidR="007C5A2E">
        <w:t>drug</w:t>
      </w:r>
      <w:r w:rsidR="00B97289">
        <w:t xml:space="preserve"> and </w:t>
      </w:r>
      <w:r w:rsidR="001A1D42">
        <w:t>Manner of Administration</w:t>
      </w:r>
      <w:r w:rsidR="007C5A2E">
        <w:t>s</w:t>
      </w:r>
      <w:r w:rsidR="001A1D42">
        <w:t xml:space="preserve"> (MoA), </w:t>
      </w:r>
      <w:r w:rsidR="00B97289" w:rsidRPr="00B97289">
        <w:t>fluticasone propionate with salmeterol, inhalation of mouth</w:t>
      </w:r>
      <w:r w:rsidR="00A34495">
        <w:t xml:space="preserve">, </w:t>
      </w:r>
      <w:r w:rsidR="00B97289">
        <w:t xml:space="preserve">which </w:t>
      </w:r>
      <w:r w:rsidR="001A1D42">
        <w:t>will no longer take a price disclosure reduction on 1 April 2022.</w:t>
      </w:r>
    </w:p>
    <w:p w14:paraId="6D676992" w14:textId="16B44E86" w:rsidR="00B05AEB" w:rsidRDefault="00745389">
      <w:pPr>
        <w:spacing w:after="120"/>
      </w:pPr>
      <w:r w:rsidRPr="00BF1CA0">
        <w:t xml:space="preserve">A review of determinations in response to matters raised by </w:t>
      </w:r>
      <w:r w:rsidR="002870A9">
        <w:t>Responsible Person</w:t>
      </w:r>
      <w:r w:rsidR="00B05AEB">
        <w:t xml:space="preserve">s </w:t>
      </w:r>
      <w:r w:rsidR="000D2BBA">
        <w:t xml:space="preserve">confirmed </w:t>
      </w:r>
      <w:r w:rsidR="00B05AEB">
        <w:t>that</w:t>
      </w:r>
      <w:r w:rsidR="00B97289">
        <w:t xml:space="preserve"> </w:t>
      </w:r>
      <w:r w:rsidR="000D2BBA">
        <w:t xml:space="preserve">the correct unadjusted price reduction threshold for </w:t>
      </w:r>
      <w:r w:rsidR="00B97289">
        <w:t>f</w:t>
      </w:r>
      <w:r w:rsidR="007C5A2E" w:rsidRPr="00FB6D65">
        <w:t>luticasone propionate with salmeterol</w:t>
      </w:r>
      <w:r w:rsidR="007C5A2E">
        <w:t xml:space="preserve">, inhalation of mouth </w:t>
      </w:r>
      <w:r w:rsidR="000D2BBA">
        <w:t>as of the 2022 April cycle onwards is</w:t>
      </w:r>
      <w:r w:rsidR="00195AC0" w:rsidRPr="00B04595">
        <w:t xml:space="preserve"> </w:t>
      </w:r>
      <w:r w:rsidR="00CD5A06" w:rsidRPr="00B04595">
        <w:t>30</w:t>
      </w:r>
      <w:r w:rsidR="000D2BBA">
        <w:t>%</w:t>
      </w:r>
      <w:r w:rsidR="00B97289">
        <w:t>,</w:t>
      </w:r>
      <w:r w:rsidR="001A1D42">
        <w:t xml:space="preserve"> not 10</w:t>
      </w:r>
      <w:r w:rsidR="000D2BBA">
        <w:t>% which was used to prepare calculations for this drug/MoA in the Principal Instrument</w:t>
      </w:r>
      <w:r w:rsidR="00A34495">
        <w:t xml:space="preserve">. As the </w:t>
      </w:r>
      <w:r w:rsidR="000D2BBA">
        <w:t>unadjusted price reduction</w:t>
      </w:r>
      <w:r w:rsidR="00DD1628">
        <w:t>s</w:t>
      </w:r>
      <w:r w:rsidR="000D2BBA">
        <w:t xml:space="preserve"> </w:t>
      </w:r>
      <w:r w:rsidR="00A34495">
        <w:t xml:space="preserve">for </w:t>
      </w:r>
      <w:r w:rsidR="00DD1628">
        <w:t>this drug/MoA’s</w:t>
      </w:r>
      <w:r w:rsidR="000D2BBA">
        <w:t xml:space="preserve"> pharmaceutical items</w:t>
      </w:r>
      <w:r w:rsidR="00A34495">
        <w:t xml:space="preserve"> </w:t>
      </w:r>
      <w:r w:rsidR="00DD1628">
        <w:t xml:space="preserve">are </w:t>
      </w:r>
      <w:r w:rsidR="00A34495">
        <w:t>between 12.</w:t>
      </w:r>
      <w:r w:rsidR="00914FC7">
        <w:t>65</w:t>
      </w:r>
      <w:r w:rsidR="00A34495" w:rsidRPr="00C5358B">
        <w:t>%</w:t>
      </w:r>
      <w:r w:rsidR="00A34495">
        <w:t xml:space="preserve"> and 12.</w:t>
      </w:r>
      <w:r w:rsidR="00914FC7">
        <w:t>67</w:t>
      </w:r>
      <w:r w:rsidR="00A34495">
        <w:t>%</w:t>
      </w:r>
      <w:r w:rsidR="00914FC7">
        <w:t>,</w:t>
      </w:r>
      <w:r w:rsidR="00A34495">
        <w:t xml:space="preserve"> below </w:t>
      </w:r>
      <w:r w:rsidR="00914FC7">
        <w:t xml:space="preserve">the </w:t>
      </w:r>
      <w:r w:rsidR="00A34495">
        <w:t>30%</w:t>
      </w:r>
      <w:r w:rsidR="00CD5A06" w:rsidRPr="00B04595">
        <w:t xml:space="preserve"> </w:t>
      </w:r>
      <w:r w:rsidR="00914FC7">
        <w:t xml:space="preserve">threshold, </w:t>
      </w:r>
      <w:r w:rsidR="00A34495">
        <w:t xml:space="preserve">this </w:t>
      </w:r>
      <w:r w:rsidR="00914FC7">
        <w:t xml:space="preserve">drug/MoA will be moved </w:t>
      </w:r>
      <w:r w:rsidR="00CD5A06" w:rsidRPr="00B04595">
        <w:t xml:space="preserve">from </w:t>
      </w:r>
      <w:r w:rsidR="00195AC0" w:rsidRPr="00B04595">
        <w:t>S</w:t>
      </w:r>
      <w:r w:rsidR="00CD5A06" w:rsidRPr="00B04595">
        <w:t xml:space="preserve">chedule 1 to </w:t>
      </w:r>
      <w:r w:rsidR="00195AC0" w:rsidRPr="00B04595">
        <w:t>Schedule 2</w:t>
      </w:r>
      <w:r w:rsidR="000D2BBA">
        <w:t xml:space="preserve"> and will not take a reduction on 1 April 2022</w:t>
      </w:r>
      <w:r w:rsidR="00195AC0" w:rsidRPr="00B04595">
        <w:t>.</w:t>
      </w:r>
    </w:p>
    <w:p w14:paraId="4BED4BF0" w14:textId="4B44D659" w:rsidR="00AC069B" w:rsidRPr="00BF1CA0" w:rsidRDefault="00AC069B" w:rsidP="000E4543">
      <w:pPr>
        <w:pStyle w:val="Head2"/>
      </w:pPr>
      <w:r w:rsidRPr="00BF1CA0">
        <w:t xml:space="preserve">Insertion of WADP determinations for </w:t>
      </w:r>
      <w:r w:rsidR="00106045">
        <w:t>n</w:t>
      </w:r>
      <w:r w:rsidR="00106045" w:rsidRPr="00BF1CA0">
        <w:t xml:space="preserve">ew </w:t>
      </w:r>
      <w:r w:rsidR="00106045">
        <w:t>b</w:t>
      </w:r>
      <w:r w:rsidR="00106045" w:rsidRPr="00BF1CA0">
        <w:t xml:space="preserve">rands </w:t>
      </w:r>
      <w:r w:rsidRPr="00BF1CA0">
        <w:t xml:space="preserve">of </w:t>
      </w:r>
      <w:r w:rsidR="00106045">
        <w:t>n</w:t>
      </w:r>
      <w:r w:rsidR="00106045" w:rsidRPr="00BF1CA0">
        <w:t xml:space="preserve">ew </w:t>
      </w:r>
      <w:r w:rsidR="00106045">
        <w:t>p</w:t>
      </w:r>
      <w:r w:rsidR="00106045" w:rsidRPr="00BF1CA0">
        <w:t xml:space="preserve">harmaceutical </w:t>
      </w:r>
      <w:r w:rsidR="00106045">
        <w:t>i</w:t>
      </w:r>
      <w:r w:rsidR="00106045" w:rsidRPr="00BF1CA0">
        <w:t>tems</w:t>
      </w:r>
    </w:p>
    <w:p w14:paraId="7CD4DE0A" w14:textId="7C878E6A" w:rsidR="00F070D5" w:rsidRPr="00580AD5" w:rsidRDefault="00F070D5" w:rsidP="00F070D5">
      <w:pPr>
        <w:tabs>
          <w:tab w:val="left" w:pos="709"/>
        </w:tabs>
      </w:pPr>
      <w:r w:rsidRPr="00580AD5">
        <w:t>WADPs need to be determined for brands of new pharmaceutical items that listed on the F2 formulary between 30 September 2021</w:t>
      </w:r>
      <w:r>
        <w:t xml:space="preserve"> and 31 March 2022</w:t>
      </w:r>
      <w:r w:rsidRPr="00580AD5">
        <w:t xml:space="preserve">. Examples are </w:t>
      </w:r>
      <w:r w:rsidR="00A34495">
        <w:t xml:space="preserve">temporary PBS listing to cover medicine shortages, </w:t>
      </w:r>
      <w:r w:rsidRPr="00580AD5">
        <w:t>s19A temporary listings (</w:t>
      </w:r>
      <w:r w:rsidR="00B97289" w:rsidRPr="00B97289">
        <w:t>chorionic gonadotrophin</w:t>
      </w:r>
      <w:r w:rsidRPr="00580AD5">
        <w:t>)</w:t>
      </w:r>
      <w:r w:rsidR="00A34495">
        <w:t>,</w:t>
      </w:r>
      <w:r>
        <w:t xml:space="preserve"> and</w:t>
      </w:r>
      <w:r w:rsidRPr="00580AD5">
        <w:t xml:space="preserve"> new forms of drugs (</w:t>
      </w:r>
      <w:r>
        <w:t>e</w:t>
      </w:r>
      <w:r w:rsidRPr="00FE52C4">
        <w:t>tanercept</w:t>
      </w:r>
      <w:r>
        <w:t xml:space="preserve"> and l</w:t>
      </w:r>
      <w:r w:rsidRPr="00FE52C4">
        <w:t>evothyroxine</w:t>
      </w:r>
      <w:r>
        <w:t>)</w:t>
      </w:r>
      <w:r w:rsidRPr="00580AD5">
        <w:t>.</w:t>
      </w:r>
    </w:p>
    <w:p w14:paraId="274B9DE4" w14:textId="0D57144E" w:rsidR="006D4CE4" w:rsidRPr="00F070D5" w:rsidRDefault="006D4CE4" w:rsidP="009D1B19">
      <w:pPr>
        <w:tabs>
          <w:tab w:val="left" w:pos="709"/>
        </w:tabs>
        <w:rPr>
          <w:color w:val="FF0000"/>
        </w:rPr>
      </w:pPr>
    </w:p>
    <w:p w14:paraId="411E7A9B" w14:textId="1DB6B3E4" w:rsidR="00087024" w:rsidRPr="00106045" w:rsidRDefault="00AC069B" w:rsidP="00F070D5">
      <w:pPr>
        <w:spacing w:after="120"/>
      </w:pPr>
      <w:r w:rsidRPr="00106045">
        <w:t xml:space="preserve">There </w:t>
      </w:r>
      <w:r w:rsidR="003F6987" w:rsidRPr="00106045">
        <w:t xml:space="preserve">are </w:t>
      </w:r>
      <w:r w:rsidR="00B97289">
        <w:t>six</w:t>
      </w:r>
      <w:r w:rsidR="00B97289" w:rsidRPr="00106045">
        <w:t xml:space="preserve"> </w:t>
      </w:r>
      <w:r w:rsidRPr="00106045">
        <w:t>new pharmaceutical item</w:t>
      </w:r>
      <w:r w:rsidR="003F6987" w:rsidRPr="00106045">
        <w:t>s</w:t>
      </w:r>
      <w:r w:rsidRPr="00106045">
        <w:t xml:space="preserve"> that </w:t>
      </w:r>
      <w:r w:rsidR="003F6987" w:rsidRPr="00106045">
        <w:t xml:space="preserve">are </w:t>
      </w:r>
      <w:r w:rsidRPr="00106045">
        <w:t xml:space="preserve">included in this </w:t>
      </w:r>
      <w:r w:rsidR="000D2BBA">
        <w:t>legislative</w:t>
      </w:r>
      <w:r w:rsidR="000D2BBA" w:rsidRPr="00106045">
        <w:t xml:space="preserve"> </w:t>
      </w:r>
      <w:r w:rsidRPr="00106045">
        <w:t>instrument, as follows:</w:t>
      </w:r>
    </w:p>
    <w:p w14:paraId="14D338B2" w14:textId="77777777" w:rsidR="00B97289" w:rsidRDefault="00B97289" w:rsidP="000E4543">
      <w:pPr>
        <w:pStyle w:val="ListParagraph"/>
        <w:numPr>
          <w:ilvl w:val="0"/>
          <w:numId w:val="30"/>
        </w:numPr>
        <w:spacing w:before="120" w:after="120"/>
        <w:ind w:left="363" w:hanging="357"/>
      </w:pPr>
      <w:r>
        <w:t>cabazitaxel, concentrated injection 60 mg in 1.5 ml, with diluent, injection;</w:t>
      </w:r>
    </w:p>
    <w:p w14:paraId="0632B1C6" w14:textId="77777777" w:rsidR="00B97289" w:rsidRDefault="00B97289" w:rsidP="000E4543">
      <w:pPr>
        <w:pStyle w:val="ListParagraph"/>
        <w:numPr>
          <w:ilvl w:val="0"/>
          <w:numId w:val="30"/>
        </w:numPr>
        <w:spacing w:before="120" w:after="120"/>
        <w:ind w:left="363" w:hanging="357"/>
      </w:pPr>
      <w:r>
        <w:t>chorionic gonadotrophin, injection set containing powder for injection 1,500 units, 3 and solvent 1 ml, 3 (s19A), injection;</w:t>
      </w:r>
    </w:p>
    <w:p w14:paraId="61DAB9BE" w14:textId="77777777" w:rsidR="00B97289" w:rsidRDefault="00B97289" w:rsidP="000E4543">
      <w:pPr>
        <w:pStyle w:val="ListParagraph"/>
        <w:numPr>
          <w:ilvl w:val="0"/>
          <w:numId w:val="30"/>
        </w:numPr>
        <w:spacing w:before="120" w:after="120"/>
        <w:ind w:left="363" w:hanging="357"/>
      </w:pPr>
      <w:r>
        <w:t>chorionic gonadotrophin, powder for injection 5,000 units with solvent (s19A), injection;</w:t>
      </w:r>
    </w:p>
    <w:p w14:paraId="1F148C6F" w14:textId="77777777" w:rsidR="00B97289" w:rsidRDefault="00B97289" w:rsidP="000E4543">
      <w:pPr>
        <w:pStyle w:val="ListParagraph"/>
        <w:numPr>
          <w:ilvl w:val="0"/>
          <w:numId w:val="30"/>
        </w:numPr>
        <w:spacing w:before="120" w:after="120"/>
        <w:ind w:left="363" w:hanging="357"/>
      </w:pPr>
      <w:r>
        <w:t>ciclosporin, eye drops 1 mg per ml, single dose units 0.3 ml, 30, application to the eye;</w:t>
      </w:r>
    </w:p>
    <w:p w14:paraId="19ECE14B" w14:textId="37D7B70A" w:rsidR="00B97289" w:rsidRDefault="00B97289" w:rsidP="000E4543">
      <w:pPr>
        <w:pStyle w:val="ListParagraph"/>
        <w:numPr>
          <w:ilvl w:val="0"/>
          <w:numId w:val="30"/>
        </w:numPr>
        <w:spacing w:before="120" w:after="120"/>
        <w:ind w:left="363" w:hanging="357"/>
      </w:pPr>
      <w:r>
        <w:t>etanercept, injection 50 mg in 1 ml single use dose-dispenser cartridges, 4, injection; and</w:t>
      </w:r>
    </w:p>
    <w:p w14:paraId="6995DD76" w14:textId="355DE81C" w:rsidR="000D2BBA" w:rsidRDefault="000D2BBA" w:rsidP="000E4543">
      <w:pPr>
        <w:pStyle w:val="ListParagraph"/>
        <w:numPr>
          <w:ilvl w:val="0"/>
          <w:numId w:val="30"/>
        </w:numPr>
        <w:spacing w:before="120" w:after="120"/>
        <w:ind w:left="363" w:hanging="357"/>
      </w:pPr>
      <w:r>
        <w:t>levothyroxine, tablet containing 125 micrograms anhydrous levothyroxine sodium, oral.</w:t>
      </w:r>
    </w:p>
    <w:p w14:paraId="64D8A991" w14:textId="7407275B" w:rsidR="00B97289" w:rsidRDefault="000D2BBA" w:rsidP="009B7983">
      <w:pPr>
        <w:spacing w:before="120" w:after="120"/>
      </w:pPr>
      <w:r>
        <w:rPr>
          <w:iCs/>
        </w:rPr>
        <w:t>T</w:t>
      </w:r>
      <w:r w:rsidR="00B97289">
        <w:rPr>
          <w:iCs/>
        </w:rPr>
        <w:t xml:space="preserve">he pharmaceutical item </w:t>
      </w:r>
      <w:r w:rsidR="00B97289">
        <w:t xml:space="preserve">cabazitaxel, concentrated injection 60 mg (as acetone solvate) in 1.5 ml, with diluent, injection, </w:t>
      </w:r>
      <w:r>
        <w:t xml:space="preserve">will </w:t>
      </w:r>
      <w:r w:rsidR="00B97289">
        <w:t xml:space="preserve">be removed from Schedule 1 and the equivalent cabazitaxel pharmaceutical item </w:t>
      </w:r>
      <w:r>
        <w:t xml:space="preserve">will be </w:t>
      </w:r>
      <w:r w:rsidR="00B97289">
        <w:t xml:space="preserve">inserted into Schedule 1 as above. </w:t>
      </w:r>
    </w:p>
    <w:p w14:paraId="2DAAB8E4" w14:textId="33389DF3" w:rsidR="00017E2D" w:rsidRPr="00BF1CA0" w:rsidRDefault="00391FA2" w:rsidP="000E4543">
      <w:pPr>
        <w:pStyle w:val="Heading1"/>
      </w:pPr>
      <w:r w:rsidRPr="00BF1CA0">
        <w:t>Consultation</w:t>
      </w:r>
    </w:p>
    <w:p w14:paraId="5DA36C70" w14:textId="2F715FBB" w:rsidR="00B04595" w:rsidRDefault="0042423B" w:rsidP="00B04595">
      <w:pPr>
        <w:spacing w:after="120"/>
      </w:pPr>
      <w:r w:rsidRPr="00BF1CA0">
        <w:rPr>
          <w:szCs w:val="24"/>
        </w:rPr>
        <w:t xml:space="preserve">This instrument affects </w:t>
      </w:r>
      <w:r w:rsidR="002870A9">
        <w:rPr>
          <w:szCs w:val="24"/>
        </w:rPr>
        <w:t>Responsible Person</w:t>
      </w:r>
      <w:r w:rsidRPr="00BF1CA0">
        <w:rPr>
          <w:szCs w:val="24"/>
        </w:rPr>
        <w:t xml:space="preserve">s for all brands of </w:t>
      </w:r>
      <w:r w:rsidR="00914FC7">
        <w:rPr>
          <w:szCs w:val="24"/>
        </w:rPr>
        <w:t xml:space="preserve">the following </w:t>
      </w:r>
      <w:r w:rsidR="00DA7A73">
        <w:t>drug</w:t>
      </w:r>
      <w:r w:rsidR="00D17AE7">
        <w:t>/</w:t>
      </w:r>
      <w:r w:rsidR="00DA7A73">
        <w:t>MoAs</w:t>
      </w:r>
      <w:r w:rsidR="00914FC7">
        <w:t xml:space="preserve">:  </w:t>
      </w:r>
    </w:p>
    <w:p w14:paraId="72E03AC6" w14:textId="663244EE" w:rsidR="00914FC7" w:rsidRPr="000D2BBA" w:rsidRDefault="000D2BBA" w:rsidP="00914FC7">
      <w:pPr>
        <w:pStyle w:val="ListParagraph"/>
        <w:numPr>
          <w:ilvl w:val="0"/>
          <w:numId w:val="38"/>
        </w:numPr>
        <w:spacing w:after="120"/>
      </w:pPr>
      <w:r w:rsidRPr="000D2BBA">
        <w:t>cabazitaxel, injection;</w:t>
      </w:r>
      <w:r w:rsidR="00914FC7" w:rsidRPr="000D2BBA">
        <w:t xml:space="preserve"> </w:t>
      </w:r>
    </w:p>
    <w:p w14:paraId="57C13E42" w14:textId="0ED95E5F" w:rsidR="000D2BBA" w:rsidRPr="000D2BBA" w:rsidRDefault="000D2BBA" w:rsidP="00914FC7">
      <w:pPr>
        <w:pStyle w:val="ListParagraph"/>
        <w:numPr>
          <w:ilvl w:val="0"/>
          <w:numId w:val="38"/>
        </w:numPr>
        <w:spacing w:after="120"/>
      </w:pPr>
      <w:r w:rsidRPr="000D2BBA">
        <w:t>chorionic gonadotrophin, injection;</w:t>
      </w:r>
    </w:p>
    <w:p w14:paraId="44060A86" w14:textId="0705CE69" w:rsidR="000D2BBA" w:rsidRPr="000D2BBA" w:rsidRDefault="000D2BBA" w:rsidP="00914FC7">
      <w:pPr>
        <w:pStyle w:val="ListParagraph"/>
        <w:numPr>
          <w:ilvl w:val="0"/>
          <w:numId w:val="38"/>
        </w:numPr>
        <w:spacing w:after="120"/>
      </w:pPr>
      <w:r w:rsidRPr="000D2BBA">
        <w:t>ciclosporin, application to the eye;</w:t>
      </w:r>
    </w:p>
    <w:p w14:paraId="04CC5489" w14:textId="32995B2C" w:rsidR="000D2BBA" w:rsidRPr="000D2BBA" w:rsidRDefault="000D2BBA" w:rsidP="00914FC7">
      <w:pPr>
        <w:pStyle w:val="ListParagraph"/>
        <w:numPr>
          <w:ilvl w:val="0"/>
          <w:numId w:val="38"/>
        </w:numPr>
        <w:spacing w:after="120"/>
      </w:pPr>
      <w:r w:rsidRPr="000D2BBA">
        <w:t>etanercept, injection;</w:t>
      </w:r>
    </w:p>
    <w:p w14:paraId="2FFC50CA" w14:textId="0A3885FE" w:rsidR="000D2BBA" w:rsidRPr="000D2BBA" w:rsidRDefault="000D2BBA" w:rsidP="00914FC7">
      <w:pPr>
        <w:pStyle w:val="ListParagraph"/>
        <w:numPr>
          <w:ilvl w:val="0"/>
          <w:numId w:val="38"/>
        </w:numPr>
        <w:spacing w:after="120"/>
      </w:pPr>
      <w:r w:rsidRPr="000D2BBA">
        <w:t>fluticasone propionate with salmeterol, inhalation of mouth; and</w:t>
      </w:r>
    </w:p>
    <w:p w14:paraId="0BFD4EC4" w14:textId="0AC840C3" w:rsidR="000D2BBA" w:rsidRPr="000D2BBA" w:rsidRDefault="000D2BBA" w:rsidP="00914FC7">
      <w:pPr>
        <w:pStyle w:val="ListParagraph"/>
        <w:numPr>
          <w:ilvl w:val="0"/>
          <w:numId w:val="38"/>
        </w:numPr>
        <w:spacing w:after="120"/>
      </w:pPr>
      <w:r w:rsidRPr="000D2BBA">
        <w:t>levothyroxine, oral.</w:t>
      </w:r>
    </w:p>
    <w:p w14:paraId="1E600ACD" w14:textId="46D7540C" w:rsidR="00F028B4" w:rsidRDefault="00F028B4" w:rsidP="00B04595">
      <w:pPr>
        <w:spacing w:after="120"/>
        <w:rPr>
          <w:szCs w:val="24"/>
        </w:rPr>
      </w:pPr>
      <w:r>
        <w:rPr>
          <w:szCs w:val="24"/>
        </w:rPr>
        <w:t xml:space="preserve">A review of </w:t>
      </w:r>
      <w:r w:rsidR="008A22A8">
        <w:rPr>
          <w:szCs w:val="24"/>
        </w:rPr>
        <w:t xml:space="preserve">all </w:t>
      </w:r>
      <w:r>
        <w:rPr>
          <w:szCs w:val="24"/>
        </w:rPr>
        <w:t xml:space="preserve">determinations </w:t>
      </w:r>
      <w:r w:rsidR="008A22A8">
        <w:rPr>
          <w:szCs w:val="24"/>
        </w:rPr>
        <w:t xml:space="preserve">made in the </w:t>
      </w:r>
      <w:r w:rsidR="008A22A8" w:rsidRPr="00BF1CA0">
        <w:t xml:space="preserve">Principal Instrument </w:t>
      </w:r>
      <w:r>
        <w:rPr>
          <w:szCs w:val="24"/>
        </w:rPr>
        <w:t xml:space="preserve">was conducted in accordance with the Price Disclosure Dispute Resolution Administrative Process, which provided Responsible Persons the opportunity to identify to the Department of Health any perceived issues with WADP determinations in the Principal Instrument. </w:t>
      </w:r>
      <w:r w:rsidR="008A22A8">
        <w:rPr>
          <w:szCs w:val="24"/>
        </w:rPr>
        <w:t xml:space="preserve">The Department conducted investigations to ensure the reductions were calculated correctly. The reduction for only one item, fluticasone propionate with salmeterol, inhalation by mouth, will change. </w:t>
      </w:r>
    </w:p>
    <w:p w14:paraId="579510B0" w14:textId="7EBDF5E6" w:rsidR="00F028B4" w:rsidRDefault="00F028B4" w:rsidP="00B04595">
      <w:pPr>
        <w:spacing w:after="120"/>
        <w:rPr>
          <w:szCs w:val="24"/>
        </w:rPr>
      </w:pPr>
      <w:r>
        <w:rPr>
          <w:szCs w:val="24"/>
        </w:rPr>
        <w:t xml:space="preserve">In addition, Responsible Persons for brands of pharmaceutical items newly listed on the PBS </w:t>
      </w:r>
      <w:r w:rsidR="008A22A8">
        <w:rPr>
          <w:szCs w:val="24"/>
        </w:rPr>
        <w:t>were not consulted prior to this Instrument being made, as the determinations in this Instrument will not result in a price change for these products.</w:t>
      </w:r>
    </w:p>
    <w:p w14:paraId="52437231" w14:textId="05A96F89" w:rsidR="00F028B4" w:rsidRDefault="00F028B4" w:rsidP="00B04595">
      <w:pPr>
        <w:spacing w:after="120"/>
        <w:rPr>
          <w:szCs w:val="24"/>
        </w:rPr>
      </w:pPr>
      <w:r>
        <w:rPr>
          <w:szCs w:val="24"/>
        </w:rPr>
        <w:t>Responsible Persons for brands of the new cabazitaxel pharmaceutical item will be notified of their brands’ inclusion in Schedule 1, as the Principal Instrument reflects the WADP determination of these brands in Schedule 1 under the older cabazitaxel pharmaceutical item which has now been removed from the PBS, as identified earlier in this Explanatory Statement.</w:t>
      </w:r>
    </w:p>
    <w:p w14:paraId="7B4E5004" w14:textId="455B412F" w:rsidR="009424B9" w:rsidRPr="00BF1CA0" w:rsidRDefault="00052AA7" w:rsidP="00B04595">
      <w:pPr>
        <w:spacing w:after="120"/>
        <w:rPr>
          <w:szCs w:val="24"/>
        </w:rPr>
      </w:pPr>
      <w:r>
        <w:rPr>
          <w:szCs w:val="24"/>
        </w:rPr>
        <w:t xml:space="preserve">Australian Healthcare Associates Pty Ltd was consulted in an expert capacity and as the prescribed person for price disclosure requirements under section 85 of the </w:t>
      </w:r>
      <w:r w:rsidR="00E37FA0" w:rsidRPr="00E37FA0">
        <w:rPr>
          <w:szCs w:val="24"/>
        </w:rPr>
        <w:t>Regulations</w:t>
      </w:r>
      <w:r>
        <w:rPr>
          <w:szCs w:val="24"/>
        </w:rPr>
        <w:t xml:space="preserve">. </w:t>
      </w:r>
      <w:r w:rsidR="009424B9">
        <w:rPr>
          <w:szCs w:val="24"/>
        </w:rPr>
        <w:t xml:space="preserve">No additional consultation with experts was undertaken, as consultation with affected </w:t>
      </w:r>
      <w:r w:rsidR="002870A9">
        <w:rPr>
          <w:szCs w:val="24"/>
        </w:rPr>
        <w:t>Responsible Person</w:t>
      </w:r>
      <w:r w:rsidR="009424B9">
        <w:rPr>
          <w:szCs w:val="24"/>
        </w:rPr>
        <w:t>s drew on the knowledge of persons with relevant expertise.</w:t>
      </w:r>
    </w:p>
    <w:p w14:paraId="7AB53698" w14:textId="588F68CC" w:rsidR="00185C7F" w:rsidRDefault="002A3381" w:rsidP="00FF169C">
      <w:pPr>
        <w:spacing w:after="120"/>
        <w:rPr>
          <w:i/>
        </w:rPr>
      </w:pPr>
      <w:r w:rsidRPr="00BF1CA0">
        <w:rPr>
          <w:szCs w:val="24"/>
        </w:rPr>
        <w:t xml:space="preserve">This instrument commences on </w:t>
      </w:r>
      <w:r w:rsidR="000D2BBA">
        <w:rPr>
          <w:szCs w:val="24"/>
        </w:rPr>
        <w:t>the day</w:t>
      </w:r>
      <w:r w:rsidR="008A22A8">
        <w:rPr>
          <w:szCs w:val="24"/>
        </w:rPr>
        <w:t xml:space="preserve"> after registration</w:t>
      </w:r>
      <w:r w:rsidR="003F11C4" w:rsidRPr="00BF1CA0">
        <w:rPr>
          <w:szCs w:val="24"/>
        </w:rPr>
        <w:t xml:space="preserve">. </w:t>
      </w:r>
      <w:r w:rsidRPr="00BF1CA0">
        <w:t xml:space="preserve">This instrument is a legislative instrument for the purposes of the </w:t>
      </w:r>
      <w:r w:rsidR="00C43E16" w:rsidRPr="00BF1CA0">
        <w:rPr>
          <w:i/>
        </w:rPr>
        <w:t>Legislation</w:t>
      </w:r>
      <w:r w:rsidR="00E31CC0" w:rsidRPr="00BF1CA0">
        <w:rPr>
          <w:i/>
        </w:rPr>
        <w:t> </w:t>
      </w:r>
      <w:r w:rsidRPr="00BF1CA0">
        <w:rPr>
          <w:i/>
        </w:rPr>
        <w:t>Act</w:t>
      </w:r>
      <w:r w:rsidR="00E31CC0" w:rsidRPr="00BF1CA0">
        <w:rPr>
          <w:i/>
        </w:rPr>
        <w:t> </w:t>
      </w:r>
      <w:r w:rsidRPr="00BF1CA0">
        <w:rPr>
          <w:i/>
        </w:rPr>
        <w:t>2003.</w:t>
      </w:r>
    </w:p>
    <w:p w14:paraId="59F2D62E" w14:textId="77777777" w:rsidR="00E40BE6" w:rsidRDefault="00E40BE6">
      <w:pPr>
        <w:rPr>
          <w:b/>
          <w:szCs w:val="24"/>
        </w:rPr>
      </w:pPr>
      <w:r>
        <w:rPr>
          <w:b/>
          <w:szCs w:val="24"/>
        </w:rPr>
        <w:br w:type="page"/>
      </w:r>
    </w:p>
    <w:p w14:paraId="7F473816" w14:textId="090D2FE3" w:rsidR="00E40BE6" w:rsidRPr="00953EC8" w:rsidRDefault="00E40BE6" w:rsidP="000E4543">
      <w:pPr>
        <w:pStyle w:val="Heading1"/>
        <w:jc w:val="center"/>
      </w:pPr>
      <w:r w:rsidRPr="00953EC8">
        <w:t>Statement of Compatibility with Human Rights</w:t>
      </w:r>
    </w:p>
    <w:p w14:paraId="6A3F8ED6" w14:textId="77777777" w:rsidR="00E40BE6" w:rsidRPr="00953EC8" w:rsidRDefault="00E40BE6" w:rsidP="00E40BE6">
      <w:pPr>
        <w:spacing w:before="60" w:after="60"/>
        <w:jc w:val="center"/>
        <w:rPr>
          <w:szCs w:val="24"/>
        </w:rPr>
      </w:pPr>
      <w:r w:rsidRPr="00953EC8">
        <w:rPr>
          <w:i/>
          <w:szCs w:val="24"/>
        </w:rPr>
        <w:t>Prepared in accordance with Part 3 of the Human Rights (Parliamentary Scrutiny) Act 2011</w:t>
      </w:r>
    </w:p>
    <w:p w14:paraId="2357A8D9" w14:textId="77777777" w:rsidR="00E40BE6" w:rsidRDefault="00E40BE6" w:rsidP="00E40BE6">
      <w:pPr>
        <w:spacing w:before="60" w:after="120"/>
        <w:jc w:val="center"/>
        <w:rPr>
          <w:b/>
          <w:i/>
          <w:szCs w:val="24"/>
        </w:rPr>
      </w:pPr>
      <w:r w:rsidRPr="005A1243">
        <w:rPr>
          <w:b/>
          <w:i/>
          <w:szCs w:val="24"/>
        </w:rPr>
        <w:t xml:space="preserve">National Health (Weighted average disclosed price – </w:t>
      </w:r>
      <w:r>
        <w:rPr>
          <w:b/>
          <w:i/>
          <w:szCs w:val="24"/>
        </w:rPr>
        <w:t>April 2022</w:t>
      </w:r>
      <w:r w:rsidRPr="005A1243">
        <w:rPr>
          <w:b/>
          <w:i/>
          <w:szCs w:val="24"/>
        </w:rPr>
        <w:t xml:space="preserve"> reduction day) Amendment Determination 202</w:t>
      </w:r>
      <w:r>
        <w:rPr>
          <w:b/>
          <w:i/>
          <w:szCs w:val="24"/>
        </w:rPr>
        <w:t>2</w:t>
      </w:r>
      <w:r w:rsidRPr="005A1243">
        <w:rPr>
          <w:b/>
          <w:i/>
          <w:szCs w:val="24"/>
        </w:rPr>
        <w:t xml:space="preserve"> </w:t>
      </w:r>
    </w:p>
    <w:p w14:paraId="74F53F08" w14:textId="77777777" w:rsidR="00E40BE6" w:rsidRPr="00953EC8" w:rsidRDefault="00E40BE6" w:rsidP="00E40BE6">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7F800A91" w14:textId="77777777" w:rsidR="00E40BE6" w:rsidRPr="00953EC8" w:rsidRDefault="00E40BE6" w:rsidP="000E4543">
      <w:pPr>
        <w:pStyle w:val="Heading1"/>
      </w:pPr>
      <w:r w:rsidRPr="00953EC8">
        <w:t>Overview of the Legislative Instrument</w:t>
      </w:r>
    </w:p>
    <w:p w14:paraId="6E2255D5" w14:textId="218DEAD8" w:rsidR="00E40BE6" w:rsidRDefault="00E40BE6" w:rsidP="00E40BE6">
      <w:pPr>
        <w:spacing w:before="60" w:after="120"/>
        <w:rPr>
          <w:szCs w:val="24"/>
        </w:rPr>
      </w:pPr>
      <w:r w:rsidRPr="00953EC8">
        <w:rPr>
          <w:szCs w:val="24"/>
        </w:rPr>
        <w:t>This</w:t>
      </w:r>
      <w:r>
        <w:rPr>
          <w:szCs w:val="24"/>
        </w:rPr>
        <w:t xml:space="preserve"> instrument amends the </w:t>
      </w:r>
      <w:r w:rsidRPr="005A1243">
        <w:rPr>
          <w:i/>
          <w:szCs w:val="24"/>
        </w:rPr>
        <w:t xml:space="preserve">National Health (Weighted average disclosed price – </w:t>
      </w:r>
      <w:r>
        <w:rPr>
          <w:i/>
          <w:szCs w:val="24"/>
        </w:rPr>
        <w:t>April 2022</w:t>
      </w:r>
      <w:r w:rsidRPr="005A1243">
        <w:rPr>
          <w:i/>
          <w:szCs w:val="24"/>
        </w:rPr>
        <w:t xml:space="preserve"> reduction day) Determination 202</w:t>
      </w:r>
      <w:r>
        <w:rPr>
          <w:i/>
          <w:szCs w:val="24"/>
        </w:rPr>
        <w:t>1</w:t>
      </w:r>
      <w:r w:rsidRPr="002A02F4">
        <w:rPr>
          <w:i/>
          <w:szCs w:val="24"/>
        </w:rPr>
        <w:t xml:space="preserve"> </w:t>
      </w:r>
      <w:r w:rsidRPr="002A4FEE">
        <w:rPr>
          <w:szCs w:val="24"/>
        </w:rPr>
        <w:t>(the Principal Instrum</w:t>
      </w:r>
      <w:r>
        <w:rPr>
          <w:szCs w:val="24"/>
        </w:rPr>
        <w:t>ent) to:</w:t>
      </w:r>
      <w:r w:rsidR="005872F2">
        <w:rPr>
          <w:szCs w:val="24"/>
        </w:rPr>
        <w:t xml:space="preserve"> a</w:t>
      </w:r>
      <w:r w:rsidRPr="003F6987">
        <w:rPr>
          <w:szCs w:val="24"/>
        </w:rPr>
        <w:t>) remove brands of pharmaceutical items which will no longer have a price reduction on reduction day</w:t>
      </w:r>
      <w:r w:rsidR="001F2F66">
        <w:rPr>
          <w:szCs w:val="24"/>
        </w:rPr>
        <w:t xml:space="preserve"> from Schedule 1 and insert them in Schedule 2</w:t>
      </w:r>
      <w:r w:rsidRPr="003F6987">
        <w:rPr>
          <w:szCs w:val="24"/>
        </w:rPr>
        <w:t xml:space="preserve">, and </w:t>
      </w:r>
      <w:r w:rsidR="000D2BBA">
        <w:rPr>
          <w:szCs w:val="24"/>
        </w:rPr>
        <w:t>b</w:t>
      </w:r>
      <w:r w:rsidRPr="003F6987">
        <w:rPr>
          <w:szCs w:val="24"/>
        </w:rPr>
        <w:t xml:space="preserve">) insert </w:t>
      </w:r>
      <w:r w:rsidR="001F2F66">
        <w:rPr>
          <w:szCs w:val="24"/>
        </w:rPr>
        <w:t>WADPs</w:t>
      </w:r>
      <w:r w:rsidR="001F2F66" w:rsidRPr="003F6987">
        <w:rPr>
          <w:szCs w:val="24"/>
        </w:rPr>
        <w:t xml:space="preserve"> </w:t>
      </w:r>
      <w:r w:rsidRPr="003F6987">
        <w:rPr>
          <w:szCs w:val="24"/>
        </w:rPr>
        <w:t>for new brand</w:t>
      </w:r>
      <w:r>
        <w:rPr>
          <w:szCs w:val="24"/>
        </w:rPr>
        <w:t>s</w:t>
      </w:r>
      <w:r w:rsidRPr="003F6987">
        <w:rPr>
          <w:szCs w:val="24"/>
        </w:rPr>
        <w:t xml:space="preserve"> of new pharmaceutical item</w:t>
      </w:r>
      <w:r>
        <w:rPr>
          <w:szCs w:val="24"/>
        </w:rPr>
        <w:t>s</w:t>
      </w:r>
      <w:r w:rsidRPr="003F6987">
        <w:rPr>
          <w:szCs w:val="24"/>
        </w:rPr>
        <w:t>.</w:t>
      </w:r>
    </w:p>
    <w:p w14:paraId="3643C1A5" w14:textId="77777777" w:rsidR="00E40BE6" w:rsidRPr="00953EC8" w:rsidRDefault="00E40BE6" w:rsidP="00E40BE6">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14:paraId="606894C1" w14:textId="77777777" w:rsidR="00E40BE6" w:rsidRDefault="00E40BE6" w:rsidP="00E40BE6">
      <w:pPr>
        <w:spacing w:before="60" w:after="120"/>
        <w:rPr>
          <w:szCs w:val="24"/>
        </w:rPr>
      </w:pPr>
      <w:r w:rsidRPr="00953EC8">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Pr>
          <w:i/>
          <w:szCs w:val="24"/>
        </w:rPr>
        <w:t>2017</w:t>
      </w:r>
      <w:r w:rsidRPr="00953EC8">
        <w:rPr>
          <w:szCs w:val="24"/>
        </w:rPr>
        <w:t>.</w:t>
      </w:r>
    </w:p>
    <w:p w14:paraId="271FAAB3" w14:textId="77777777" w:rsidR="00E40BE6" w:rsidRPr="00154759" w:rsidRDefault="00E40BE6" w:rsidP="00E40BE6">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April 2022 </w:t>
      </w:r>
      <w:r w:rsidRPr="00154759">
        <w:rPr>
          <w:szCs w:val="24"/>
        </w:rPr>
        <w:t>under the statutory provisions for price disclosure</w:t>
      </w:r>
      <w:r>
        <w:rPr>
          <w:szCs w:val="24"/>
        </w:rPr>
        <w:t>.</w:t>
      </w:r>
    </w:p>
    <w:p w14:paraId="04E44ECD" w14:textId="77777777" w:rsidR="00E40BE6" w:rsidRPr="00953EC8" w:rsidRDefault="00E40BE6" w:rsidP="000E4543">
      <w:pPr>
        <w:pStyle w:val="Heading1"/>
      </w:pPr>
      <w:r w:rsidRPr="00953EC8">
        <w:t>Human rights implications</w:t>
      </w:r>
    </w:p>
    <w:p w14:paraId="45AFC3AC" w14:textId="77777777" w:rsidR="00E40BE6" w:rsidRPr="00953EC8" w:rsidRDefault="00E40BE6" w:rsidP="00E40BE6">
      <w:pPr>
        <w:spacing w:before="120" w:after="120"/>
        <w:rPr>
          <w:szCs w:val="24"/>
        </w:rPr>
      </w:pPr>
      <w:r w:rsidRPr="00953EC8">
        <w:rPr>
          <w:szCs w:val="24"/>
        </w:rPr>
        <w:t xml:space="preserve">This </w:t>
      </w:r>
      <w:r>
        <w:rPr>
          <w:szCs w:val="24"/>
        </w:rPr>
        <w:t>Determination</w:t>
      </w:r>
      <w:r w:rsidRPr="00953EC8">
        <w:rPr>
          <w:szCs w:val="24"/>
        </w:rPr>
        <w:t xml:space="preserve"> 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02F275FB" w14:textId="77777777" w:rsidR="00E40BE6" w:rsidRPr="00953EC8" w:rsidRDefault="00E40BE6" w:rsidP="00E40BE6">
      <w:pPr>
        <w:spacing w:before="120" w:after="120"/>
        <w:rPr>
          <w:szCs w:val="24"/>
        </w:rPr>
      </w:pPr>
      <w:r w:rsidRPr="00953EC8">
        <w:rPr>
          <w:szCs w:val="24"/>
        </w:rPr>
        <w:t xml:space="preserve">The PBS is a benefit scheme </w:t>
      </w:r>
      <w:r>
        <w:rPr>
          <w:szCs w:val="24"/>
        </w:rPr>
        <w:t>that</w:t>
      </w:r>
      <w:r w:rsidRPr="00953EC8">
        <w:rPr>
          <w:szCs w:val="24"/>
        </w:rPr>
        <w:t xml:space="preserve"> assists </w:t>
      </w:r>
      <w:r>
        <w:rPr>
          <w:szCs w:val="24"/>
        </w:rPr>
        <w:t xml:space="preserve">providing subsidised access to medicines for people. This is a positive and supportive step towards attaining the highest standard of health for all Australians. </w:t>
      </w: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14:paraId="2AA4BF27" w14:textId="77777777" w:rsidR="00E40BE6" w:rsidRPr="00953EC8" w:rsidRDefault="00E40BE6" w:rsidP="000E4543">
      <w:pPr>
        <w:pStyle w:val="Heading1"/>
      </w:pPr>
      <w:r w:rsidRPr="00953EC8">
        <w:t>Conclusion</w:t>
      </w:r>
    </w:p>
    <w:p w14:paraId="0D461204" w14:textId="77777777" w:rsidR="00E40BE6" w:rsidRPr="00953EC8" w:rsidRDefault="00E40BE6" w:rsidP="00E40BE6">
      <w:pPr>
        <w:autoSpaceDE w:val="0"/>
        <w:autoSpaceDN w:val="0"/>
        <w:adjustRightInd w:val="0"/>
        <w:spacing w:before="60" w:after="120"/>
        <w:rPr>
          <w:szCs w:val="24"/>
        </w:rPr>
      </w:pPr>
      <w:r w:rsidRPr="00953EC8">
        <w:rPr>
          <w:szCs w:val="24"/>
        </w:rPr>
        <w:t xml:space="preserve">This </w:t>
      </w:r>
      <w:r>
        <w:rPr>
          <w:szCs w:val="24"/>
        </w:rPr>
        <w:t>Determination</w:t>
      </w:r>
      <w:r w:rsidRPr="00953EC8">
        <w:rPr>
          <w:szCs w:val="24"/>
        </w:rPr>
        <w:t xml:space="preserve"> is compatible with human rights because it advances the protection of human rights.</w:t>
      </w:r>
    </w:p>
    <w:p w14:paraId="14FC53AB" w14:textId="542DDB93" w:rsidR="00185C7F" w:rsidRDefault="00E40BE6" w:rsidP="00E40BE6">
      <w:pPr>
        <w:spacing w:after="120"/>
        <w:rPr>
          <w:i/>
        </w:rPr>
      </w:pPr>
      <w:r>
        <w:rPr>
          <w:b/>
          <w:szCs w:val="24"/>
        </w:rPr>
        <w:t>Adriana Platona</w:t>
      </w:r>
      <w:r w:rsidRPr="00953EC8">
        <w:rPr>
          <w:b/>
          <w:szCs w:val="24"/>
        </w:rPr>
        <w:br/>
        <w:t>First Assistant Secretary</w:t>
      </w:r>
      <w:r w:rsidRPr="00953EC8">
        <w:rPr>
          <w:b/>
          <w:szCs w:val="24"/>
        </w:rPr>
        <w:br/>
      </w:r>
      <w:r>
        <w:rPr>
          <w:b/>
          <w:szCs w:val="24"/>
        </w:rPr>
        <w:t>Technology Assessment and Access</w:t>
      </w:r>
      <w:r w:rsidRPr="00953EC8">
        <w:rPr>
          <w:b/>
          <w:szCs w:val="24"/>
        </w:rPr>
        <w:t xml:space="preserve"> Division</w:t>
      </w:r>
      <w:r w:rsidRPr="00953EC8">
        <w:rPr>
          <w:b/>
          <w:szCs w:val="24"/>
        </w:rPr>
        <w:br/>
        <w:t>Department of Health</w:t>
      </w:r>
    </w:p>
    <w:sectPr w:rsidR="00185C7F" w:rsidSect="001C2567">
      <w:headerReference w:type="default" r:id="rId8"/>
      <w:footerReference w:type="even" r:id="rId9"/>
      <w:footerReference w:type="default" r:id="rId10"/>
      <w:footerReference w:type="first" r:id="rId11"/>
      <w:pgSz w:w="11906" w:h="16838" w:code="9"/>
      <w:pgMar w:top="1440" w:right="1440" w:bottom="1440" w:left="1440" w:header="720" w:footer="400" w:gutter="0"/>
      <w:cols w:space="720"/>
      <w:titlePg/>
      <w:docGrid w:linePitch="2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43E8" w16cex:dateUtc="2022-02-09T02:45:00Z"/>
  <w16cex:commentExtensible w16cex:durableId="25B887D7" w16cex:dateUtc="2022-02-16T21:37:00Z"/>
  <w16cex:commentExtensible w16cex:durableId="25B8A14D" w16cex:dateUtc="2022-02-16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193C22" w16cid:durableId="25AE2872"/>
  <w16cid:commentId w16cid:paraId="34877D2E" w16cid:durableId="25AE43E8"/>
  <w16cid:commentId w16cid:paraId="41D13CC2" w16cid:durableId="25B7BE97"/>
  <w16cid:commentId w16cid:paraId="379B571F" w16cid:durableId="25B887D7"/>
  <w16cid:commentId w16cid:paraId="1E0BBE45" w16cid:durableId="25B8A1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4EA91" w14:textId="77777777" w:rsidR="004A2764" w:rsidRDefault="004A2764">
      <w:r>
        <w:separator/>
      </w:r>
    </w:p>
  </w:endnote>
  <w:endnote w:type="continuationSeparator" w:id="0">
    <w:p w14:paraId="404270A8" w14:textId="77777777" w:rsidR="004A2764" w:rsidRDefault="004A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FF17" w14:textId="77777777" w:rsidR="006B4542" w:rsidRDefault="006B4542"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23C589" w14:textId="77777777" w:rsidR="006B4542" w:rsidRDefault="006B4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349EC" w14:textId="77777777" w:rsidR="006B4542" w:rsidRDefault="006B4542" w:rsidP="00B724AB">
    <w:pPr>
      <w:pStyle w:val="Footer"/>
      <w:framePr w:wrap="around" w:vAnchor="text" w:hAnchor="margin" w:xAlign="center" w:y="1"/>
      <w:rPr>
        <w:rStyle w:val="PageNumber"/>
      </w:rPr>
    </w:pPr>
  </w:p>
  <w:p w14:paraId="1A37C6EB" w14:textId="77777777" w:rsidR="006B4542" w:rsidRDefault="006B4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D0D6" w14:textId="77777777" w:rsidR="006B4542" w:rsidRDefault="006B454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76AE5" w14:textId="77777777" w:rsidR="004A2764" w:rsidRDefault="004A2764">
      <w:r>
        <w:separator/>
      </w:r>
    </w:p>
  </w:footnote>
  <w:footnote w:type="continuationSeparator" w:id="0">
    <w:p w14:paraId="21ED6A92" w14:textId="77777777" w:rsidR="004A2764" w:rsidRDefault="004A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F9A6" w14:textId="06DD30A1" w:rsidR="006B4542" w:rsidRDefault="006B4542">
    <w:pPr>
      <w:pStyle w:val="Header"/>
      <w:jc w:val="center"/>
      <w:rPr>
        <w:noProof/>
      </w:rPr>
    </w:pPr>
    <w:r>
      <w:fldChar w:fldCharType="begin"/>
    </w:r>
    <w:r>
      <w:instrText xml:space="preserve"> PAGE   \* MERGEFORMAT </w:instrText>
    </w:r>
    <w:r>
      <w:fldChar w:fldCharType="separate"/>
    </w:r>
    <w:r w:rsidR="00E54743">
      <w:rPr>
        <w:noProof/>
      </w:rPr>
      <w:t>2</w:t>
    </w:r>
    <w:r>
      <w:rPr>
        <w:noProof/>
      </w:rPr>
      <w:fldChar w:fldCharType="end"/>
    </w:r>
  </w:p>
  <w:p w14:paraId="55EB19CA" w14:textId="77777777" w:rsidR="006B4542" w:rsidRDefault="006B4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407A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D000B"/>
    <w:multiLevelType w:val="hybridMultilevel"/>
    <w:tmpl w:val="BC34C3DA"/>
    <w:lvl w:ilvl="0" w:tplc="FEEAEB9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AF7613"/>
    <w:multiLevelType w:val="hybridMultilevel"/>
    <w:tmpl w:val="1AFE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E6C8B"/>
    <w:multiLevelType w:val="hybridMultilevel"/>
    <w:tmpl w:val="BDF8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8C2A13"/>
    <w:multiLevelType w:val="hybridMultilevel"/>
    <w:tmpl w:val="AA7495C6"/>
    <w:lvl w:ilvl="0" w:tplc="0C090001">
      <w:start w:val="1"/>
      <w:numFmt w:val="bullet"/>
      <w:lvlText w:val=""/>
      <w:lvlJc w:val="left"/>
      <w:pPr>
        <w:ind w:left="360" w:hanging="360"/>
      </w:pPr>
      <w:rPr>
        <w:rFonts w:ascii="Symbol" w:hAnsi="Symbol" w:hint="default"/>
        <w:i w:val="0"/>
      </w:rPr>
    </w:lvl>
    <w:lvl w:ilvl="1" w:tplc="0C090001">
      <w:start w:val="1"/>
      <w:numFmt w:val="bullet"/>
      <w:lvlText w:val=""/>
      <w:lvlJc w:val="left"/>
      <w:pPr>
        <w:ind w:left="785" w:hanging="360"/>
      </w:pPr>
      <w:rPr>
        <w:rFonts w:ascii="Symbol" w:hAnsi="Symbol" w:hint="default"/>
      </w:rPr>
    </w:lvl>
    <w:lvl w:ilvl="2" w:tplc="0C090003">
      <w:start w:val="1"/>
      <w:numFmt w:val="bullet"/>
      <w:lvlText w:val="o"/>
      <w:lvlJc w:val="left"/>
      <w:pPr>
        <w:ind w:left="747" w:hanging="180"/>
      </w:pPr>
      <w:rPr>
        <w:rFonts w:ascii="Courier New" w:hAnsi="Courier New" w:cs="Courier New" w:hint="default"/>
      </w:rPr>
    </w:lvl>
    <w:lvl w:ilvl="3" w:tplc="0C09000F">
      <w:start w:val="1"/>
      <w:numFmt w:val="decimal"/>
      <w:lvlText w:val="%4."/>
      <w:lvlJc w:val="left"/>
      <w:pPr>
        <w:ind w:left="2520" w:hanging="360"/>
      </w:pPr>
    </w:lvl>
    <w:lvl w:ilvl="4" w:tplc="91B2C4BC">
      <w:numFmt w:val="bullet"/>
      <w:lvlText w:val="•"/>
      <w:lvlJc w:val="left"/>
      <w:pPr>
        <w:ind w:left="3450" w:hanging="570"/>
      </w:pPr>
      <w:rPr>
        <w:rFonts w:ascii="Times New Roman" w:eastAsia="Times New Roman" w:hAnsi="Times New Roman" w:cs="Times New Roman"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8" w15:restartNumberingAfterBreak="0">
    <w:nsid w:val="1A630B6C"/>
    <w:multiLevelType w:val="hybridMultilevel"/>
    <w:tmpl w:val="A49C8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AC61A7"/>
    <w:multiLevelType w:val="hybridMultilevel"/>
    <w:tmpl w:val="2A92A8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1DA61426"/>
    <w:multiLevelType w:val="hybridMultilevel"/>
    <w:tmpl w:val="40AE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B66C4"/>
    <w:multiLevelType w:val="hybridMultilevel"/>
    <w:tmpl w:val="94249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8268C"/>
    <w:multiLevelType w:val="hybridMultilevel"/>
    <w:tmpl w:val="05DAB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022B51"/>
    <w:multiLevelType w:val="hybridMultilevel"/>
    <w:tmpl w:val="1D0C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159EF"/>
    <w:multiLevelType w:val="hybridMultilevel"/>
    <w:tmpl w:val="CBF6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560660"/>
    <w:multiLevelType w:val="hybridMultilevel"/>
    <w:tmpl w:val="7334F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E7655"/>
    <w:multiLevelType w:val="hybridMultilevel"/>
    <w:tmpl w:val="FCB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712601"/>
    <w:multiLevelType w:val="hybridMultilevel"/>
    <w:tmpl w:val="5AECA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4A7FB3"/>
    <w:multiLevelType w:val="hybridMultilevel"/>
    <w:tmpl w:val="A984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172EF6"/>
    <w:multiLevelType w:val="hybridMultilevel"/>
    <w:tmpl w:val="A4FE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BE276F"/>
    <w:multiLevelType w:val="hybridMultilevel"/>
    <w:tmpl w:val="FD9C0B2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AC6DE4"/>
    <w:multiLevelType w:val="hybridMultilevel"/>
    <w:tmpl w:val="3C9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02742"/>
    <w:multiLevelType w:val="hybridMultilevel"/>
    <w:tmpl w:val="ADC0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381A20"/>
    <w:multiLevelType w:val="hybridMultilevel"/>
    <w:tmpl w:val="0CB60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363093"/>
    <w:multiLevelType w:val="hybridMultilevel"/>
    <w:tmpl w:val="5434A3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577AAB"/>
    <w:multiLevelType w:val="hybridMultilevel"/>
    <w:tmpl w:val="AFD63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B963ED"/>
    <w:multiLevelType w:val="hybridMultilevel"/>
    <w:tmpl w:val="7316A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B555A3"/>
    <w:multiLevelType w:val="hybridMultilevel"/>
    <w:tmpl w:val="2EBA0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914DFA"/>
    <w:multiLevelType w:val="hybridMultilevel"/>
    <w:tmpl w:val="CCF0AAFC"/>
    <w:lvl w:ilvl="0" w:tplc="C302BA1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0" w:hanging="360"/>
      </w:pPr>
      <w:rPr>
        <w:rFonts w:ascii="Symbol" w:hAnsi="Symbol" w:hint="default"/>
      </w:rPr>
    </w:lvl>
    <w:lvl w:ilvl="2" w:tplc="0C090003">
      <w:start w:val="1"/>
      <w:numFmt w:val="bullet"/>
      <w:lvlText w:val="o"/>
      <w:lvlJc w:val="left"/>
      <w:pPr>
        <w:ind w:left="708" w:hanging="360"/>
      </w:pPr>
      <w:rPr>
        <w:rFonts w:ascii="Courier New" w:hAnsi="Courier New" w:cs="Courier New" w:hint="default"/>
      </w:rPr>
    </w:lvl>
    <w:lvl w:ilvl="3" w:tplc="0C090003">
      <w:start w:val="1"/>
      <w:numFmt w:val="bullet"/>
      <w:lvlText w:val="o"/>
      <w:lvlJc w:val="left"/>
      <w:pPr>
        <w:ind w:left="567" w:hanging="360"/>
      </w:pPr>
      <w:rPr>
        <w:rFonts w:ascii="Courier New" w:hAnsi="Courier New" w:cs="Courier New" w:hint="default"/>
      </w:rPr>
    </w:lvl>
    <w:lvl w:ilvl="4" w:tplc="0C090005">
      <w:start w:val="1"/>
      <w:numFmt w:val="bullet"/>
      <w:lvlText w:val=""/>
      <w:lvlJc w:val="left"/>
      <w:pPr>
        <w:ind w:left="1352"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2A7E70"/>
    <w:multiLevelType w:val="hybridMultilevel"/>
    <w:tmpl w:val="C25E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A1016D"/>
    <w:multiLevelType w:val="hybridMultilevel"/>
    <w:tmpl w:val="A258A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4"/>
  </w:num>
  <w:num w:numId="3">
    <w:abstractNumId w:val="32"/>
  </w:num>
  <w:num w:numId="4">
    <w:abstractNumId w:val="22"/>
  </w:num>
  <w:num w:numId="5">
    <w:abstractNumId w:val="13"/>
  </w:num>
  <w:num w:numId="6">
    <w:abstractNumId w:val="6"/>
  </w:num>
  <w:num w:numId="7">
    <w:abstractNumId w:val="13"/>
  </w:num>
  <w:num w:numId="8">
    <w:abstractNumId w:val="7"/>
  </w:num>
  <w:num w:numId="9">
    <w:abstractNumId w:val="23"/>
  </w:num>
  <w:num w:numId="10">
    <w:abstractNumId w:val="1"/>
  </w:num>
  <w:num w:numId="11">
    <w:abstractNumId w:val="33"/>
  </w:num>
  <w:num w:numId="12">
    <w:abstractNumId w:val="9"/>
  </w:num>
  <w:num w:numId="13">
    <w:abstractNumId w:val="12"/>
  </w:num>
  <w:num w:numId="14">
    <w:abstractNumId w:val="19"/>
  </w:num>
  <w:num w:numId="15">
    <w:abstractNumId w:val="24"/>
  </w:num>
  <w:num w:numId="16">
    <w:abstractNumId w:val="20"/>
  </w:num>
  <w:num w:numId="17">
    <w:abstractNumId w:val="14"/>
  </w:num>
  <w:num w:numId="18">
    <w:abstractNumId w:val="18"/>
  </w:num>
  <w:num w:numId="19">
    <w:abstractNumId w:val="3"/>
  </w:num>
  <w:num w:numId="20">
    <w:abstractNumId w:val="25"/>
  </w:num>
  <w:num w:numId="21">
    <w:abstractNumId w:val="16"/>
  </w:num>
  <w:num w:numId="22">
    <w:abstractNumId w:val="28"/>
  </w:num>
  <w:num w:numId="23">
    <w:abstractNumId w:val="15"/>
  </w:num>
  <w:num w:numId="24">
    <w:abstractNumId w:val="17"/>
  </w:num>
  <w:num w:numId="25">
    <w:abstractNumId w:val="26"/>
  </w:num>
  <w:num w:numId="26">
    <w:abstractNumId w:val="11"/>
  </w:num>
  <w:num w:numId="27">
    <w:abstractNumId w:val="30"/>
  </w:num>
  <w:num w:numId="28">
    <w:abstractNumId w:val="8"/>
  </w:num>
  <w:num w:numId="29">
    <w:abstractNumId w:val="35"/>
  </w:num>
  <w:num w:numId="30">
    <w:abstractNumId w:val="31"/>
  </w:num>
  <w:num w:numId="31">
    <w:abstractNumId w:val="4"/>
  </w:num>
  <w:num w:numId="32">
    <w:abstractNumId w:val="10"/>
  </w:num>
  <w:num w:numId="33">
    <w:abstractNumId w:val="5"/>
  </w:num>
  <w:num w:numId="34">
    <w:abstractNumId w:val="27"/>
  </w:num>
  <w:num w:numId="35">
    <w:abstractNumId w:val="21"/>
  </w:num>
  <w:num w:numId="36">
    <w:abstractNumId w:val="2"/>
  </w:num>
  <w:num w:numId="37">
    <w:abstractNumId w:val="0"/>
  </w:num>
  <w:num w:numId="38">
    <w:abstractNumId w:val="36"/>
  </w:num>
  <w:num w:numId="39">
    <w:abstractNumId w:val="29"/>
  </w:num>
  <w:num w:numId="40">
    <w:abstractNumId w:val="0"/>
  </w:num>
  <w:num w:numId="41">
    <w:abstractNumId w:val="0"/>
  </w:num>
  <w:num w:numId="42">
    <w:abstractNumId w:val="0"/>
  </w:num>
  <w:num w:numId="43">
    <w:abstractNumId w:val="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51"/>
    <w:rsid w:val="0000196B"/>
    <w:rsid w:val="000026DE"/>
    <w:rsid w:val="0000291D"/>
    <w:rsid w:val="00002F6E"/>
    <w:rsid w:val="0000482A"/>
    <w:rsid w:val="00006F85"/>
    <w:rsid w:val="00007CC9"/>
    <w:rsid w:val="00010AA3"/>
    <w:rsid w:val="0001397F"/>
    <w:rsid w:val="00014219"/>
    <w:rsid w:val="00016EAC"/>
    <w:rsid w:val="00017E2D"/>
    <w:rsid w:val="0002109D"/>
    <w:rsid w:val="000215EC"/>
    <w:rsid w:val="00022A6F"/>
    <w:rsid w:val="0002352A"/>
    <w:rsid w:val="00030A8F"/>
    <w:rsid w:val="0003256F"/>
    <w:rsid w:val="000347BD"/>
    <w:rsid w:val="000351F6"/>
    <w:rsid w:val="00045B6B"/>
    <w:rsid w:val="00046B26"/>
    <w:rsid w:val="0004729F"/>
    <w:rsid w:val="00047F23"/>
    <w:rsid w:val="000502CB"/>
    <w:rsid w:val="00051F6B"/>
    <w:rsid w:val="000521B9"/>
    <w:rsid w:val="00052AA7"/>
    <w:rsid w:val="00053ED9"/>
    <w:rsid w:val="0005652C"/>
    <w:rsid w:val="00056F12"/>
    <w:rsid w:val="000639F8"/>
    <w:rsid w:val="00064726"/>
    <w:rsid w:val="0006619C"/>
    <w:rsid w:val="000662DC"/>
    <w:rsid w:val="000674F6"/>
    <w:rsid w:val="000710B8"/>
    <w:rsid w:val="00072C11"/>
    <w:rsid w:val="00074047"/>
    <w:rsid w:val="00076874"/>
    <w:rsid w:val="000770CD"/>
    <w:rsid w:val="000841A2"/>
    <w:rsid w:val="00085562"/>
    <w:rsid w:val="000855A6"/>
    <w:rsid w:val="00085BCB"/>
    <w:rsid w:val="00087024"/>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6FF7"/>
    <w:rsid w:val="000C7081"/>
    <w:rsid w:val="000C7982"/>
    <w:rsid w:val="000D1C21"/>
    <w:rsid w:val="000D2975"/>
    <w:rsid w:val="000D2BBA"/>
    <w:rsid w:val="000D3A43"/>
    <w:rsid w:val="000D4A64"/>
    <w:rsid w:val="000D4C1D"/>
    <w:rsid w:val="000D61BA"/>
    <w:rsid w:val="000D7518"/>
    <w:rsid w:val="000E0456"/>
    <w:rsid w:val="000E0DDD"/>
    <w:rsid w:val="000E1FA6"/>
    <w:rsid w:val="000E4411"/>
    <w:rsid w:val="000E4543"/>
    <w:rsid w:val="000E77CA"/>
    <w:rsid w:val="000E7ECF"/>
    <w:rsid w:val="000F0AAE"/>
    <w:rsid w:val="000F2BEB"/>
    <w:rsid w:val="000F318E"/>
    <w:rsid w:val="000F32DF"/>
    <w:rsid w:val="000F32EA"/>
    <w:rsid w:val="000F42B6"/>
    <w:rsid w:val="000F4C58"/>
    <w:rsid w:val="000F4CC4"/>
    <w:rsid w:val="000F4F4D"/>
    <w:rsid w:val="00100DB2"/>
    <w:rsid w:val="00101367"/>
    <w:rsid w:val="001055A9"/>
    <w:rsid w:val="00106045"/>
    <w:rsid w:val="00110005"/>
    <w:rsid w:val="001109AF"/>
    <w:rsid w:val="00112254"/>
    <w:rsid w:val="00112C74"/>
    <w:rsid w:val="00113168"/>
    <w:rsid w:val="001142F7"/>
    <w:rsid w:val="00114969"/>
    <w:rsid w:val="00115060"/>
    <w:rsid w:val="0011547D"/>
    <w:rsid w:val="00117054"/>
    <w:rsid w:val="00117173"/>
    <w:rsid w:val="00117F23"/>
    <w:rsid w:val="001213EF"/>
    <w:rsid w:val="0012155E"/>
    <w:rsid w:val="00124E41"/>
    <w:rsid w:val="00125A22"/>
    <w:rsid w:val="00125D44"/>
    <w:rsid w:val="00126829"/>
    <w:rsid w:val="0013060B"/>
    <w:rsid w:val="00131E4E"/>
    <w:rsid w:val="00137812"/>
    <w:rsid w:val="001421D7"/>
    <w:rsid w:val="00143F8F"/>
    <w:rsid w:val="00146FB8"/>
    <w:rsid w:val="0015121E"/>
    <w:rsid w:val="00151492"/>
    <w:rsid w:val="00154671"/>
    <w:rsid w:val="00154759"/>
    <w:rsid w:val="00157F51"/>
    <w:rsid w:val="0016280F"/>
    <w:rsid w:val="0016524E"/>
    <w:rsid w:val="0016619D"/>
    <w:rsid w:val="00171F6F"/>
    <w:rsid w:val="0017212D"/>
    <w:rsid w:val="00174C04"/>
    <w:rsid w:val="00177960"/>
    <w:rsid w:val="00177BBC"/>
    <w:rsid w:val="00182370"/>
    <w:rsid w:val="00184579"/>
    <w:rsid w:val="001847A8"/>
    <w:rsid w:val="00185BF1"/>
    <w:rsid w:val="00185C7F"/>
    <w:rsid w:val="0018639D"/>
    <w:rsid w:val="0018656C"/>
    <w:rsid w:val="001868C0"/>
    <w:rsid w:val="00187D47"/>
    <w:rsid w:val="00190459"/>
    <w:rsid w:val="00190CE8"/>
    <w:rsid w:val="00191F6F"/>
    <w:rsid w:val="0019246A"/>
    <w:rsid w:val="00192618"/>
    <w:rsid w:val="0019272C"/>
    <w:rsid w:val="00192C18"/>
    <w:rsid w:val="00192E40"/>
    <w:rsid w:val="0019307F"/>
    <w:rsid w:val="00195AC0"/>
    <w:rsid w:val="001967CE"/>
    <w:rsid w:val="00196850"/>
    <w:rsid w:val="00197F3B"/>
    <w:rsid w:val="001A0848"/>
    <w:rsid w:val="001A108E"/>
    <w:rsid w:val="001A10B0"/>
    <w:rsid w:val="001A1D42"/>
    <w:rsid w:val="001A31CE"/>
    <w:rsid w:val="001A3516"/>
    <w:rsid w:val="001A3D5A"/>
    <w:rsid w:val="001A7978"/>
    <w:rsid w:val="001A7FF1"/>
    <w:rsid w:val="001B0492"/>
    <w:rsid w:val="001B2734"/>
    <w:rsid w:val="001B2A29"/>
    <w:rsid w:val="001B3E19"/>
    <w:rsid w:val="001B4088"/>
    <w:rsid w:val="001B45A6"/>
    <w:rsid w:val="001C11AF"/>
    <w:rsid w:val="001C2567"/>
    <w:rsid w:val="001C32BE"/>
    <w:rsid w:val="001C36E3"/>
    <w:rsid w:val="001C41B3"/>
    <w:rsid w:val="001C4C18"/>
    <w:rsid w:val="001C56CB"/>
    <w:rsid w:val="001C5E73"/>
    <w:rsid w:val="001C67D6"/>
    <w:rsid w:val="001D0BCA"/>
    <w:rsid w:val="001D20AF"/>
    <w:rsid w:val="001D431A"/>
    <w:rsid w:val="001D560B"/>
    <w:rsid w:val="001D6872"/>
    <w:rsid w:val="001E0886"/>
    <w:rsid w:val="001E244C"/>
    <w:rsid w:val="001E2C22"/>
    <w:rsid w:val="001E614C"/>
    <w:rsid w:val="001F2AFC"/>
    <w:rsid w:val="001F2F66"/>
    <w:rsid w:val="001F35B1"/>
    <w:rsid w:val="001F3B08"/>
    <w:rsid w:val="001F43EC"/>
    <w:rsid w:val="001F4913"/>
    <w:rsid w:val="001F4CCB"/>
    <w:rsid w:val="001F6CE7"/>
    <w:rsid w:val="001F7119"/>
    <w:rsid w:val="001F7F36"/>
    <w:rsid w:val="00204472"/>
    <w:rsid w:val="0020494A"/>
    <w:rsid w:val="00207DE7"/>
    <w:rsid w:val="00211983"/>
    <w:rsid w:val="00213E7A"/>
    <w:rsid w:val="00214F2C"/>
    <w:rsid w:val="00215DE0"/>
    <w:rsid w:val="002167E6"/>
    <w:rsid w:val="00217099"/>
    <w:rsid w:val="00220F2E"/>
    <w:rsid w:val="00223098"/>
    <w:rsid w:val="00224702"/>
    <w:rsid w:val="0022746D"/>
    <w:rsid w:val="00227BFC"/>
    <w:rsid w:val="0023061E"/>
    <w:rsid w:val="002312AB"/>
    <w:rsid w:val="002338C9"/>
    <w:rsid w:val="00233EE7"/>
    <w:rsid w:val="0023725F"/>
    <w:rsid w:val="002377E1"/>
    <w:rsid w:val="00237BC5"/>
    <w:rsid w:val="00241840"/>
    <w:rsid w:val="00242045"/>
    <w:rsid w:val="0024213B"/>
    <w:rsid w:val="00242261"/>
    <w:rsid w:val="002445CA"/>
    <w:rsid w:val="002457CC"/>
    <w:rsid w:val="00245A8D"/>
    <w:rsid w:val="00246E3E"/>
    <w:rsid w:val="0025102E"/>
    <w:rsid w:val="002525B9"/>
    <w:rsid w:val="00253452"/>
    <w:rsid w:val="00254ABD"/>
    <w:rsid w:val="00254F2A"/>
    <w:rsid w:val="0025597A"/>
    <w:rsid w:val="00260379"/>
    <w:rsid w:val="00263246"/>
    <w:rsid w:val="00263850"/>
    <w:rsid w:val="00264B37"/>
    <w:rsid w:val="00265D24"/>
    <w:rsid w:val="00265EBA"/>
    <w:rsid w:val="0027129B"/>
    <w:rsid w:val="00271593"/>
    <w:rsid w:val="002715A8"/>
    <w:rsid w:val="00271F04"/>
    <w:rsid w:val="002774CC"/>
    <w:rsid w:val="0028068D"/>
    <w:rsid w:val="00281ECA"/>
    <w:rsid w:val="002841FF"/>
    <w:rsid w:val="00285FEC"/>
    <w:rsid w:val="0028602A"/>
    <w:rsid w:val="00286B1C"/>
    <w:rsid w:val="002870A9"/>
    <w:rsid w:val="00291C4C"/>
    <w:rsid w:val="002932D0"/>
    <w:rsid w:val="0029379A"/>
    <w:rsid w:val="002937D3"/>
    <w:rsid w:val="00297880"/>
    <w:rsid w:val="002A02F4"/>
    <w:rsid w:val="002A3381"/>
    <w:rsid w:val="002A4FEE"/>
    <w:rsid w:val="002A7F88"/>
    <w:rsid w:val="002B084B"/>
    <w:rsid w:val="002B0AAE"/>
    <w:rsid w:val="002B1607"/>
    <w:rsid w:val="002B30FE"/>
    <w:rsid w:val="002B3768"/>
    <w:rsid w:val="002B72E4"/>
    <w:rsid w:val="002B7D10"/>
    <w:rsid w:val="002C4953"/>
    <w:rsid w:val="002C4A68"/>
    <w:rsid w:val="002C4E19"/>
    <w:rsid w:val="002C58DC"/>
    <w:rsid w:val="002C5AC5"/>
    <w:rsid w:val="002C6601"/>
    <w:rsid w:val="002C76E6"/>
    <w:rsid w:val="002D1142"/>
    <w:rsid w:val="002D1BC3"/>
    <w:rsid w:val="002D1E66"/>
    <w:rsid w:val="002D2139"/>
    <w:rsid w:val="002D2F03"/>
    <w:rsid w:val="002D3909"/>
    <w:rsid w:val="002D7CD7"/>
    <w:rsid w:val="002E00F6"/>
    <w:rsid w:val="002E0179"/>
    <w:rsid w:val="002E09BE"/>
    <w:rsid w:val="002E1251"/>
    <w:rsid w:val="002F599B"/>
    <w:rsid w:val="002F6828"/>
    <w:rsid w:val="002F7398"/>
    <w:rsid w:val="002F7A9D"/>
    <w:rsid w:val="0030718D"/>
    <w:rsid w:val="00314FB4"/>
    <w:rsid w:val="00316007"/>
    <w:rsid w:val="00316DE5"/>
    <w:rsid w:val="00317995"/>
    <w:rsid w:val="00317D0E"/>
    <w:rsid w:val="00320F17"/>
    <w:rsid w:val="00320F8E"/>
    <w:rsid w:val="00321F83"/>
    <w:rsid w:val="00322244"/>
    <w:rsid w:val="0032235F"/>
    <w:rsid w:val="00323C78"/>
    <w:rsid w:val="0033175F"/>
    <w:rsid w:val="0033258F"/>
    <w:rsid w:val="003356BC"/>
    <w:rsid w:val="003413F6"/>
    <w:rsid w:val="00341688"/>
    <w:rsid w:val="00341CC1"/>
    <w:rsid w:val="00343596"/>
    <w:rsid w:val="00343658"/>
    <w:rsid w:val="00344112"/>
    <w:rsid w:val="00344B38"/>
    <w:rsid w:val="003477CE"/>
    <w:rsid w:val="0035370F"/>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5E4"/>
    <w:rsid w:val="00370821"/>
    <w:rsid w:val="00371AC1"/>
    <w:rsid w:val="00371C9F"/>
    <w:rsid w:val="0037202D"/>
    <w:rsid w:val="003720F0"/>
    <w:rsid w:val="0037503E"/>
    <w:rsid w:val="003759F9"/>
    <w:rsid w:val="00376230"/>
    <w:rsid w:val="003771EA"/>
    <w:rsid w:val="003801E8"/>
    <w:rsid w:val="00382123"/>
    <w:rsid w:val="00385BDF"/>
    <w:rsid w:val="00387DCB"/>
    <w:rsid w:val="00391FA2"/>
    <w:rsid w:val="0039510D"/>
    <w:rsid w:val="003A098E"/>
    <w:rsid w:val="003A3BCB"/>
    <w:rsid w:val="003A53D3"/>
    <w:rsid w:val="003A57DF"/>
    <w:rsid w:val="003B12E9"/>
    <w:rsid w:val="003B1F82"/>
    <w:rsid w:val="003B208B"/>
    <w:rsid w:val="003B3A99"/>
    <w:rsid w:val="003B3CE7"/>
    <w:rsid w:val="003B46B3"/>
    <w:rsid w:val="003B4B04"/>
    <w:rsid w:val="003B4FF5"/>
    <w:rsid w:val="003B68F3"/>
    <w:rsid w:val="003C0852"/>
    <w:rsid w:val="003C1FD0"/>
    <w:rsid w:val="003C359B"/>
    <w:rsid w:val="003C3CD3"/>
    <w:rsid w:val="003C70A8"/>
    <w:rsid w:val="003C7D91"/>
    <w:rsid w:val="003C7F4F"/>
    <w:rsid w:val="003D038E"/>
    <w:rsid w:val="003D0D69"/>
    <w:rsid w:val="003D23DF"/>
    <w:rsid w:val="003D2D5B"/>
    <w:rsid w:val="003D3580"/>
    <w:rsid w:val="003E156A"/>
    <w:rsid w:val="003E2B1F"/>
    <w:rsid w:val="003E360A"/>
    <w:rsid w:val="003E3BE5"/>
    <w:rsid w:val="003E40F9"/>
    <w:rsid w:val="003E5E35"/>
    <w:rsid w:val="003E74BC"/>
    <w:rsid w:val="003E7F5A"/>
    <w:rsid w:val="003F0712"/>
    <w:rsid w:val="003F11C4"/>
    <w:rsid w:val="003F67B6"/>
    <w:rsid w:val="003F6987"/>
    <w:rsid w:val="003F70CA"/>
    <w:rsid w:val="00400544"/>
    <w:rsid w:val="004021DB"/>
    <w:rsid w:val="00402D41"/>
    <w:rsid w:val="00404B93"/>
    <w:rsid w:val="0040727B"/>
    <w:rsid w:val="00407476"/>
    <w:rsid w:val="00412104"/>
    <w:rsid w:val="0041519B"/>
    <w:rsid w:val="004167F4"/>
    <w:rsid w:val="00416E05"/>
    <w:rsid w:val="00417435"/>
    <w:rsid w:val="0042225F"/>
    <w:rsid w:val="00422C70"/>
    <w:rsid w:val="0042423B"/>
    <w:rsid w:val="0043162F"/>
    <w:rsid w:val="00432F89"/>
    <w:rsid w:val="00433BDD"/>
    <w:rsid w:val="004369CF"/>
    <w:rsid w:val="00436D92"/>
    <w:rsid w:val="00440D18"/>
    <w:rsid w:val="004410E3"/>
    <w:rsid w:val="0044245A"/>
    <w:rsid w:val="004442BE"/>
    <w:rsid w:val="00444D1E"/>
    <w:rsid w:val="00445768"/>
    <w:rsid w:val="004457BE"/>
    <w:rsid w:val="00446AE8"/>
    <w:rsid w:val="004517A7"/>
    <w:rsid w:val="00452908"/>
    <w:rsid w:val="00455199"/>
    <w:rsid w:val="00461D3E"/>
    <w:rsid w:val="00461D70"/>
    <w:rsid w:val="00462D4C"/>
    <w:rsid w:val="004644B7"/>
    <w:rsid w:val="00466422"/>
    <w:rsid w:val="00467181"/>
    <w:rsid w:val="00470C37"/>
    <w:rsid w:val="00476451"/>
    <w:rsid w:val="00476719"/>
    <w:rsid w:val="004775A8"/>
    <w:rsid w:val="004815C1"/>
    <w:rsid w:val="004821BE"/>
    <w:rsid w:val="004835AF"/>
    <w:rsid w:val="0048501C"/>
    <w:rsid w:val="004858B5"/>
    <w:rsid w:val="00486AEB"/>
    <w:rsid w:val="00486C97"/>
    <w:rsid w:val="00487FA7"/>
    <w:rsid w:val="004928F1"/>
    <w:rsid w:val="004937C8"/>
    <w:rsid w:val="00493E6F"/>
    <w:rsid w:val="004944D1"/>
    <w:rsid w:val="00494F61"/>
    <w:rsid w:val="004967FC"/>
    <w:rsid w:val="00497141"/>
    <w:rsid w:val="00497D0D"/>
    <w:rsid w:val="004A1221"/>
    <w:rsid w:val="004A1A83"/>
    <w:rsid w:val="004A23FF"/>
    <w:rsid w:val="004A2764"/>
    <w:rsid w:val="004A29A3"/>
    <w:rsid w:val="004A35D6"/>
    <w:rsid w:val="004A5846"/>
    <w:rsid w:val="004A772F"/>
    <w:rsid w:val="004B60A6"/>
    <w:rsid w:val="004C3212"/>
    <w:rsid w:val="004C48D5"/>
    <w:rsid w:val="004C5329"/>
    <w:rsid w:val="004C604F"/>
    <w:rsid w:val="004C6130"/>
    <w:rsid w:val="004C690A"/>
    <w:rsid w:val="004C71D3"/>
    <w:rsid w:val="004D1452"/>
    <w:rsid w:val="004D2931"/>
    <w:rsid w:val="004D2E8F"/>
    <w:rsid w:val="004D517B"/>
    <w:rsid w:val="004D7518"/>
    <w:rsid w:val="004E13B2"/>
    <w:rsid w:val="004E236A"/>
    <w:rsid w:val="004E543B"/>
    <w:rsid w:val="004E7BF7"/>
    <w:rsid w:val="004F2D03"/>
    <w:rsid w:val="004F3290"/>
    <w:rsid w:val="004F4A37"/>
    <w:rsid w:val="004F4E91"/>
    <w:rsid w:val="004F5889"/>
    <w:rsid w:val="004F6C20"/>
    <w:rsid w:val="004F7E62"/>
    <w:rsid w:val="00501FF3"/>
    <w:rsid w:val="00502428"/>
    <w:rsid w:val="00504027"/>
    <w:rsid w:val="00507A8F"/>
    <w:rsid w:val="0051150B"/>
    <w:rsid w:val="005117B5"/>
    <w:rsid w:val="005133AC"/>
    <w:rsid w:val="00514971"/>
    <w:rsid w:val="00514E1F"/>
    <w:rsid w:val="005165BC"/>
    <w:rsid w:val="00516BD5"/>
    <w:rsid w:val="00516F30"/>
    <w:rsid w:val="00517322"/>
    <w:rsid w:val="00520D5C"/>
    <w:rsid w:val="00521A58"/>
    <w:rsid w:val="00521B79"/>
    <w:rsid w:val="00521FF5"/>
    <w:rsid w:val="00525909"/>
    <w:rsid w:val="0052622A"/>
    <w:rsid w:val="00526B69"/>
    <w:rsid w:val="005279B2"/>
    <w:rsid w:val="005300B4"/>
    <w:rsid w:val="005303C6"/>
    <w:rsid w:val="00531A01"/>
    <w:rsid w:val="005326C2"/>
    <w:rsid w:val="00533473"/>
    <w:rsid w:val="00534A9C"/>
    <w:rsid w:val="00535706"/>
    <w:rsid w:val="0053570B"/>
    <w:rsid w:val="005414E2"/>
    <w:rsid w:val="0054164F"/>
    <w:rsid w:val="00541BAE"/>
    <w:rsid w:val="00541CF1"/>
    <w:rsid w:val="00542530"/>
    <w:rsid w:val="005427EA"/>
    <w:rsid w:val="0054298B"/>
    <w:rsid w:val="005435C9"/>
    <w:rsid w:val="00543D32"/>
    <w:rsid w:val="0054422D"/>
    <w:rsid w:val="00544D41"/>
    <w:rsid w:val="00545EC8"/>
    <w:rsid w:val="00545F43"/>
    <w:rsid w:val="00545FD5"/>
    <w:rsid w:val="0055118D"/>
    <w:rsid w:val="00551425"/>
    <w:rsid w:val="00551970"/>
    <w:rsid w:val="005519F5"/>
    <w:rsid w:val="00552183"/>
    <w:rsid w:val="00552572"/>
    <w:rsid w:val="00552B53"/>
    <w:rsid w:val="00556FE3"/>
    <w:rsid w:val="00557216"/>
    <w:rsid w:val="005573CE"/>
    <w:rsid w:val="005631A5"/>
    <w:rsid w:val="00563952"/>
    <w:rsid w:val="005639EC"/>
    <w:rsid w:val="005657FE"/>
    <w:rsid w:val="00566592"/>
    <w:rsid w:val="00566F77"/>
    <w:rsid w:val="00567BD8"/>
    <w:rsid w:val="00570562"/>
    <w:rsid w:val="00573402"/>
    <w:rsid w:val="0057589D"/>
    <w:rsid w:val="00577A98"/>
    <w:rsid w:val="00577E89"/>
    <w:rsid w:val="00580346"/>
    <w:rsid w:val="0058263F"/>
    <w:rsid w:val="00584687"/>
    <w:rsid w:val="005846DC"/>
    <w:rsid w:val="00585162"/>
    <w:rsid w:val="00585580"/>
    <w:rsid w:val="005865A8"/>
    <w:rsid w:val="005872F2"/>
    <w:rsid w:val="00592C1D"/>
    <w:rsid w:val="00592E67"/>
    <w:rsid w:val="00597C33"/>
    <w:rsid w:val="005A1243"/>
    <w:rsid w:val="005A1883"/>
    <w:rsid w:val="005A3E8E"/>
    <w:rsid w:val="005B0755"/>
    <w:rsid w:val="005B26BB"/>
    <w:rsid w:val="005B291E"/>
    <w:rsid w:val="005B356B"/>
    <w:rsid w:val="005B3D51"/>
    <w:rsid w:val="005B4834"/>
    <w:rsid w:val="005B491A"/>
    <w:rsid w:val="005B5C28"/>
    <w:rsid w:val="005B70AE"/>
    <w:rsid w:val="005B7E10"/>
    <w:rsid w:val="005C0214"/>
    <w:rsid w:val="005C1408"/>
    <w:rsid w:val="005C238A"/>
    <w:rsid w:val="005C2F0A"/>
    <w:rsid w:val="005C37CD"/>
    <w:rsid w:val="005C515C"/>
    <w:rsid w:val="005C708C"/>
    <w:rsid w:val="005D0D25"/>
    <w:rsid w:val="005D211F"/>
    <w:rsid w:val="005D2DF8"/>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F55"/>
    <w:rsid w:val="005F52E0"/>
    <w:rsid w:val="005F551B"/>
    <w:rsid w:val="005F59F2"/>
    <w:rsid w:val="005F5CFB"/>
    <w:rsid w:val="005F6DF0"/>
    <w:rsid w:val="006002D6"/>
    <w:rsid w:val="0060160F"/>
    <w:rsid w:val="00603008"/>
    <w:rsid w:val="00604758"/>
    <w:rsid w:val="00606640"/>
    <w:rsid w:val="00611CA2"/>
    <w:rsid w:val="00613E69"/>
    <w:rsid w:val="00614A44"/>
    <w:rsid w:val="006227CB"/>
    <w:rsid w:val="00624FB6"/>
    <w:rsid w:val="00627CEF"/>
    <w:rsid w:val="0063047E"/>
    <w:rsid w:val="0063363F"/>
    <w:rsid w:val="0063481B"/>
    <w:rsid w:val="00635B55"/>
    <w:rsid w:val="0063799E"/>
    <w:rsid w:val="006417FE"/>
    <w:rsid w:val="0064191F"/>
    <w:rsid w:val="00641D3B"/>
    <w:rsid w:val="006434BF"/>
    <w:rsid w:val="0064481A"/>
    <w:rsid w:val="0064584C"/>
    <w:rsid w:val="006463AB"/>
    <w:rsid w:val="00646485"/>
    <w:rsid w:val="00654308"/>
    <w:rsid w:val="00656AE3"/>
    <w:rsid w:val="0066172D"/>
    <w:rsid w:val="00661E9D"/>
    <w:rsid w:val="00664506"/>
    <w:rsid w:val="00665F3B"/>
    <w:rsid w:val="0066620E"/>
    <w:rsid w:val="006669A2"/>
    <w:rsid w:val="00667A0C"/>
    <w:rsid w:val="00671978"/>
    <w:rsid w:val="00672496"/>
    <w:rsid w:val="00673753"/>
    <w:rsid w:val="00674FD1"/>
    <w:rsid w:val="00675B76"/>
    <w:rsid w:val="00675F49"/>
    <w:rsid w:val="006769AA"/>
    <w:rsid w:val="00680B6D"/>
    <w:rsid w:val="00681111"/>
    <w:rsid w:val="00681677"/>
    <w:rsid w:val="0068424B"/>
    <w:rsid w:val="00684432"/>
    <w:rsid w:val="006874C4"/>
    <w:rsid w:val="006907E5"/>
    <w:rsid w:val="00690B48"/>
    <w:rsid w:val="006929A0"/>
    <w:rsid w:val="00692A00"/>
    <w:rsid w:val="006939B9"/>
    <w:rsid w:val="0069586A"/>
    <w:rsid w:val="00695DC9"/>
    <w:rsid w:val="006966E6"/>
    <w:rsid w:val="00696C68"/>
    <w:rsid w:val="00696EB0"/>
    <w:rsid w:val="006A1D2F"/>
    <w:rsid w:val="006A2F46"/>
    <w:rsid w:val="006A44E9"/>
    <w:rsid w:val="006A49E6"/>
    <w:rsid w:val="006A64A5"/>
    <w:rsid w:val="006A6F67"/>
    <w:rsid w:val="006A71D3"/>
    <w:rsid w:val="006A7275"/>
    <w:rsid w:val="006A730D"/>
    <w:rsid w:val="006B021D"/>
    <w:rsid w:val="006B06FB"/>
    <w:rsid w:val="006B3CEF"/>
    <w:rsid w:val="006B4542"/>
    <w:rsid w:val="006B4605"/>
    <w:rsid w:val="006C0612"/>
    <w:rsid w:val="006C09D1"/>
    <w:rsid w:val="006C1726"/>
    <w:rsid w:val="006C1B70"/>
    <w:rsid w:val="006C2AF4"/>
    <w:rsid w:val="006C3639"/>
    <w:rsid w:val="006C3D3B"/>
    <w:rsid w:val="006C5355"/>
    <w:rsid w:val="006C5EFF"/>
    <w:rsid w:val="006C6C65"/>
    <w:rsid w:val="006D0A45"/>
    <w:rsid w:val="006D0D71"/>
    <w:rsid w:val="006D130B"/>
    <w:rsid w:val="006D1D99"/>
    <w:rsid w:val="006D3606"/>
    <w:rsid w:val="006D4CE4"/>
    <w:rsid w:val="006D596A"/>
    <w:rsid w:val="006D7995"/>
    <w:rsid w:val="006E0215"/>
    <w:rsid w:val="006E0E2D"/>
    <w:rsid w:val="006E241E"/>
    <w:rsid w:val="006E6200"/>
    <w:rsid w:val="006E66A6"/>
    <w:rsid w:val="006E736A"/>
    <w:rsid w:val="006E787F"/>
    <w:rsid w:val="006E7DF3"/>
    <w:rsid w:val="006F113A"/>
    <w:rsid w:val="006F1BD2"/>
    <w:rsid w:val="006F24EF"/>
    <w:rsid w:val="006F29C9"/>
    <w:rsid w:val="006F2C20"/>
    <w:rsid w:val="006F44C7"/>
    <w:rsid w:val="006F53DF"/>
    <w:rsid w:val="006F7378"/>
    <w:rsid w:val="006F7497"/>
    <w:rsid w:val="007005DD"/>
    <w:rsid w:val="0070332B"/>
    <w:rsid w:val="00706819"/>
    <w:rsid w:val="00706B47"/>
    <w:rsid w:val="007075D0"/>
    <w:rsid w:val="00711F7E"/>
    <w:rsid w:val="00712077"/>
    <w:rsid w:val="007122AC"/>
    <w:rsid w:val="00712305"/>
    <w:rsid w:val="00712852"/>
    <w:rsid w:val="007134C4"/>
    <w:rsid w:val="007140B7"/>
    <w:rsid w:val="00716773"/>
    <w:rsid w:val="00717172"/>
    <w:rsid w:val="0071790E"/>
    <w:rsid w:val="007215AC"/>
    <w:rsid w:val="00722501"/>
    <w:rsid w:val="00724BFA"/>
    <w:rsid w:val="00725096"/>
    <w:rsid w:val="00730EF2"/>
    <w:rsid w:val="0073421F"/>
    <w:rsid w:val="00735264"/>
    <w:rsid w:val="00736590"/>
    <w:rsid w:val="00737215"/>
    <w:rsid w:val="00745389"/>
    <w:rsid w:val="00746973"/>
    <w:rsid w:val="00746D27"/>
    <w:rsid w:val="00747A81"/>
    <w:rsid w:val="0075012E"/>
    <w:rsid w:val="007503F6"/>
    <w:rsid w:val="00752D0B"/>
    <w:rsid w:val="00753CDB"/>
    <w:rsid w:val="007554E1"/>
    <w:rsid w:val="00755718"/>
    <w:rsid w:val="00756B4F"/>
    <w:rsid w:val="00757461"/>
    <w:rsid w:val="00757895"/>
    <w:rsid w:val="00757E0F"/>
    <w:rsid w:val="007615F4"/>
    <w:rsid w:val="007634D5"/>
    <w:rsid w:val="00767EE4"/>
    <w:rsid w:val="00770AD1"/>
    <w:rsid w:val="00770B61"/>
    <w:rsid w:val="007753FA"/>
    <w:rsid w:val="00776C01"/>
    <w:rsid w:val="00777555"/>
    <w:rsid w:val="007775EE"/>
    <w:rsid w:val="0078151D"/>
    <w:rsid w:val="00784633"/>
    <w:rsid w:val="00784E23"/>
    <w:rsid w:val="00784ED6"/>
    <w:rsid w:val="007860AC"/>
    <w:rsid w:val="007873EF"/>
    <w:rsid w:val="00787702"/>
    <w:rsid w:val="00787A82"/>
    <w:rsid w:val="00790625"/>
    <w:rsid w:val="00791976"/>
    <w:rsid w:val="0079228D"/>
    <w:rsid w:val="007926B3"/>
    <w:rsid w:val="0079301E"/>
    <w:rsid w:val="0079788F"/>
    <w:rsid w:val="007A0448"/>
    <w:rsid w:val="007A0EB9"/>
    <w:rsid w:val="007A46CD"/>
    <w:rsid w:val="007A52B3"/>
    <w:rsid w:val="007A78F4"/>
    <w:rsid w:val="007B12BE"/>
    <w:rsid w:val="007B1E98"/>
    <w:rsid w:val="007B439E"/>
    <w:rsid w:val="007B4E55"/>
    <w:rsid w:val="007B6546"/>
    <w:rsid w:val="007B78E3"/>
    <w:rsid w:val="007C01D3"/>
    <w:rsid w:val="007C162F"/>
    <w:rsid w:val="007C2B50"/>
    <w:rsid w:val="007C3F8A"/>
    <w:rsid w:val="007C4DED"/>
    <w:rsid w:val="007C5A2E"/>
    <w:rsid w:val="007C63B5"/>
    <w:rsid w:val="007C657F"/>
    <w:rsid w:val="007D0EE4"/>
    <w:rsid w:val="007D15FB"/>
    <w:rsid w:val="007D21A1"/>
    <w:rsid w:val="007D428E"/>
    <w:rsid w:val="007D435E"/>
    <w:rsid w:val="007D4824"/>
    <w:rsid w:val="007D616F"/>
    <w:rsid w:val="007D6C2D"/>
    <w:rsid w:val="007E046E"/>
    <w:rsid w:val="007E08FC"/>
    <w:rsid w:val="007E13BC"/>
    <w:rsid w:val="007E1FAB"/>
    <w:rsid w:val="007E2B45"/>
    <w:rsid w:val="007E35A4"/>
    <w:rsid w:val="007E3BBC"/>
    <w:rsid w:val="007E515C"/>
    <w:rsid w:val="007E53C2"/>
    <w:rsid w:val="007E55F0"/>
    <w:rsid w:val="007F15F5"/>
    <w:rsid w:val="007F1D42"/>
    <w:rsid w:val="007F211F"/>
    <w:rsid w:val="007F23E5"/>
    <w:rsid w:val="007F275F"/>
    <w:rsid w:val="007F4D93"/>
    <w:rsid w:val="007F5200"/>
    <w:rsid w:val="007F72FA"/>
    <w:rsid w:val="007F7BA0"/>
    <w:rsid w:val="008013CB"/>
    <w:rsid w:val="00801F6F"/>
    <w:rsid w:val="0080337D"/>
    <w:rsid w:val="0080495B"/>
    <w:rsid w:val="0080791E"/>
    <w:rsid w:val="00807FB4"/>
    <w:rsid w:val="00810EDF"/>
    <w:rsid w:val="00813E8B"/>
    <w:rsid w:val="0081470C"/>
    <w:rsid w:val="00817CE6"/>
    <w:rsid w:val="0082177A"/>
    <w:rsid w:val="00824B99"/>
    <w:rsid w:val="00825F42"/>
    <w:rsid w:val="008275DE"/>
    <w:rsid w:val="008300D2"/>
    <w:rsid w:val="00830826"/>
    <w:rsid w:val="00830D58"/>
    <w:rsid w:val="00832B66"/>
    <w:rsid w:val="008342D3"/>
    <w:rsid w:val="008362FE"/>
    <w:rsid w:val="00837824"/>
    <w:rsid w:val="00841E89"/>
    <w:rsid w:val="008436F8"/>
    <w:rsid w:val="00843BFA"/>
    <w:rsid w:val="00847A2B"/>
    <w:rsid w:val="00851687"/>
    <w:rsid w:val="00851805"/>
    <w:rsid w:val="0085268C"/>
    <w:rsid w:val="0085295A"/>
    <w:rsid w:val="00852D10"/>
    <w:rsid w:val="00852D22"/>
    <w:rsid w:val="008531B0"/>
    <w:rsid w:val="00853747"/>
    <w:rsid w:val="0085470E"/>
    <w:rsid w:val="00854746"/>
    <w:rsid w:val="00854F2D"/>
    <w:rsid w:val="00855313"/>
    <w:rsid w:val="0085563B"/>
    <w:rsid w:val="008563D3"/>
    <w:rsid w:val="008568DC"/>
    <w:rsid w:val="00860CBC"/>
    <w:rsid w:val="008614DB"/>
    <w:rsid w:val="0086444B"/>
    <w:rsid w:val="00864AB5"/>
    <w:rsid w:val="00866177"/>
    <w:rsid w:val="00866449"/>
    <w:rsid w:val="00866A0F"/>
    <w:rsid w:val="008735F0"/>
    <w:rsid w:val="00877252"/>
    <w:rsid w:val="00880AB6"/>
    <w:rsid w:val="00882905"/>
    <w:rsid w:val="00885334"/>
    <w:rsid w:val="00886662"/>
    <w:rsid w:val="00886D56"/>
    <w:rsid w:val="00887808"/>
    <w:rsid w:val="0089155A"/>
    <w:rsid w:val="008925DA"/>
    <w:rsid w:val="0089691F"/>
    <w:rsid w:val="0089756D"/>
    <w:rsid w:val="008A0001"/>
    <w:rsid w:val="008A112C"/>
    <w:rsid w:val="008A1380"/>
    <w:rsid w:val="008A22A8"/>
    <w:rsid w:val="008A22AD"/>
    <w:rsid w:val="008A23D8"/>
    <w:rsid w:val="008A2E3D"/>
    <w:rsid w:val="008A4605"/>
    <w:rsid w:val="008A4ED9"/>
    <w:rsid w:val="008A4F96"/>
    <w:rsid w:val="008A7404"/>
    <w:rsid w:val="008A7BAD"/>
    <w:rsid w:val="008B1F14"/>
    <w:rsid w:val="008B54F9"/>
    <w:rsid w:val="008B6A79"/>
    <w:rsid w:val="008B6BDD"/>
    <w:rsid w:val="008B6CC0"/>
    <w:rsid w:val="008B72BB"/>
    <w:rsid w:val="008C0042"/>
    <w:rsid w:val="008C259E"/>
    <w:rsid w:val="008C276E"/>
    <w:rsid w:val="008C326D"/>
    <w:rsid w:val="008C4083"/>
    <w:rsid w:val="008C42CD"/>
    <w:rsid w:val="008C70F9"/>
    <w:rsid w:val="008C79CF"/>
    <w:rsid w:val="008C7C53"/>
    <w:rsid w:val="008D1E48"/>
    <w:rsid w:val="008D4156"/>
    <w:rsid w:val="008D4282"/>
    <w:rsid w:val="008D4D96"/>
    <w:rsid w:val="008D5A87"/>
    <w:rsid w:val="008E1B11"/>
    <w:rsid w:val="008E3641"/>
    <w:rsid w:val="008E3D0D"/>
    <w:rsid w:val="008E4142"/>
    <w:rsid w:val="008E55F9"/>
    <w:rsid w:val="008E7E90"/>
    <w:rsid w:val="008F02CE"/>
    <w:rsid w:val="008F0CEE"/>
    <w:rsid w:val="008F1093"/>
    <w:rsid w:val="008F1711"/>
    <w:rsid w:val="008F6E10"/>
    <w:rsid w:val="0090175F"/>
    <w:rsid w:val="00901FA1"/>
    <w:rsid w:val="00907D1B"/>
    <w:rsid w:val="00907F32"/>
    <w:rsid w:val="009104B4"/>
    <w:rsid w:val="00911A04"/>
    <w:rsid w:val="00912AAA"/>
    <w:rsid w:val="00914FC7"/>
    <w:rsid w:val="00915A9A"/>
    <w:rsid w:val="009209FF"/>
    <w:rsid w:val="00923B09"/>
    <w:rsid w:val="009249E0"/>
    <w:rsid w:val="00926313"/>
    <w:rsid w:val="009308F5"/>
    <w:rsid w:val="00930A29"/>
    <w:rsid w:val="00930BF8"/>
    <w:rsid w:val="0093307D"/>
    <w:rsid w:val="00933408"/>
    <w:rsid w:val="0093362A"/>
    <w:rsid w:val="00933C60"/>
    <w:rsid w:val="00936731"/>
    <w:rsid w:val="00937139"/>
    <w:rsid w:val="00937909"/>
    <w:rsid w:val="00937CEB"/>
    <w:rsid w:val="009424B9"/>
    <w:rsid w:val="009449F6"/>
    <w:rsid w:val="0095306A"/>
    <w:rsid w:val="00953EC8"/>
    <w:rsid w:val="00954194"/>
    <w:rsid w:val="0095439D"/>
    <w:rsid w:val="009559F2"/>
    <w:rsid w:val="00957BA7"/>
    <w:rsid w:val="00961A99"/>
    <w:rsid w:val="00961C0B"/>
    <w:rsid w:val="00965F59"/>
    <w:rsid w:val="00965FCD"/>
    <w:rsid w:val="009667A6"/>
    <w:rsid w:val="00967D45"/>
    <w:rsid w:val="009735D8"/>
    <w:rsid w:val="00973A6E"/>
    <w:rsid w:val="00974B39"/>
    <w:rsid w:val="009760CB"/>
    <w:rsid w:val="00976259"/>
    <w:rsid w:val="00977FB0"/>
    <w:rsid w:val="0098097E"/>
    <w:rsid w:val="0098159E"/>
    <w:rsid w:val="00983670"/>
    <w:rsid w:val="00987896"/>
    <w:rsid w:val="009909D9"/>
    <w:rsid w:val="00991020"/>
    <w:rsid w:val="00991940"/>
    <w:rsid w:val="00991B1C"/>
    <w:rsid w:val="00992DAD"/>
    <w:rsid w:val="00992DEC"/>
    <w:rsid w:val="00992E7F"/>
    <w:rsid w:val="00995D7C"/>
    <w:rsid w:val="009A0B91"/>
    <w:rsid w:val="009A12D3"/>
    <w:rsid w:val="009A193D"/>
    <w:rsid w:val="009A605A"/>
    <w:rsid w:val="009A66CA"/>
    <w:rsid w:val="009A6B3B"/>
    <w:rsid w:val="009B06CE"/>
    <w:rsid w:val="009B11A9"/>
    <w:rsid w:val="009B1648"/>
    <w:rsid w:val="009B294A"/>
    <w:rsid w:val="009B683B"/>
    <w:rsid w:val="009B78FD"/>
    <w:rsid w:val="009B7983"/>
    <w:rsid w:val="009B7B48"/>
    <w:rsid w:val="009C0136"/>
    <w:rsid w:val="009C0925"/>
    <w:rsid w:val="009C43CA"/>
    <w:rsid w:val="009C7A4C"/>
    <w:rsid w:val="009D04DD"/>
    <w:rsid w:val="009D09F3"/>
    <w:rsid w:val="009D1B19"/>
    <w:rsid w:val="009D35F8"/>
    <w:rsid w:val="009D3B4C"/>
    <w:rsid w:val="009D456E"/>
    <w:rsid w:val="009D736B"/>
    <w:rsid w:val="009D76AC"/>
    <w:rsid w:val="009E3457"/>
    <w:rsid w:val="009E5058"/>
    <w:rsid w:val="009E5F72"/>
    <w:rsid w:val="009F00F9"/>
    <w:rsid w:val="009F35FC"/>
    <w:rsid w:val="009F4399"/>
    <w:rsid w:val="009F48EE"/>
    <w:rsid w:val="009F4933"/>
    <w:rsid w:val="009F5222"/>
    <w:rsid w:val="009F5521"/>
    <w:rsid w:val="009F67CC"/>
    <w:rsid w:val="00A0045F"/>
    <w:rsid w:val="00A015DD"/>
    <w:rsid w:val="00A042AA"/>
    <w:rsid w:val="00A075C3"/>
    <w:rsid w:val="00A10DE0"/>
    <w:rsid w:val="00A13A6D"/>
    <w:rsid w:val="00A15420"/>
    <w:rsid w:val="00A157CE"/>
    <w:rsid w:val="00A20B62"/>
    <w:rsid w:val="00A215FC"/>
    <w:rsid w:val="00A23360"/>
    <w:rsid w:val="00A24C98"/>
    <w:rsid w:val="00A258B8"/>
    <w:rsid w:val="00A26EDC"/>
    <w:rsid w:val="00A26F61"/>
    <w:rsid w:val="00A31CF4"/>
    <w:rsid w:val="00A32457"/>
    <w:rsid w:val="00A32880"/>
    <w:rsid w:val="00A3357E"/>
    <w:rsid w:val="00A34495"/>
    <w:rsid w:val="00A365E2"/>
    <w:rsid w:val="00A37C62"/>
    <w:rsid w:val="00A41AA9"/>
    <w:rsid w:val="00A4596D"/>
    <w:rsid w:val="00A4683C"/>
    <w:rsid w:val="00A46F35"/>
    <w:rsid w:val="00A50C62"/>
    <w:rsid w:val="00A52532"/>
    <w:rsid w:val="00A532FF"/>
    <w:rsid w:val="00A53FAB"/>
    <w:rsid w:val="00A563FB"/>
    <w:rsid w:val="00A607FF"/>
    <w:rsid w:val="00A62D19"/>
    <w:rsid w:val="00A63A1F"/>
    <w:rsid w:val="00A64559"/>
    <w:rsid w:val="00A64A4F"/>
    <w:rsid w:val="00A67D51"/>
    <w:rsid w:val="00A70B78"/>
    <w:rsid w:val="00A72FFB"/>
    <w:rsid w:val="00A74C98"/>
    <w:rsid w:val="00A75559"/>
    <w:rsid w:val="00A76EAB"/>
    <w:rsid w:val="00A8048B"/>
    <w:rsid w:val="00A80522"/>
    <w:rsid w:val="00A80F80"/>
    <w:rsid w:val="00A83542"/>
    <w:rsid w:val="00A83BC9"/>
    <w:rsid w:val="00A840CD"/>
    <w:rsid w:val="00A84331"/>
    <w:rsid w:val="00A84752"/>
    <w:rsid w:val="00A86446"/>
    <w:rsid w:val="00A865F7"/>
    <w:rsid w:val="00A86D76"/>
    <w:rsid w:val="00A86E44"/>
    <w:rsid w:val="00A96EBF"/>
    <w:rsid w:val="00A97B37"/>
    <w:rsid w:val="00AA0019"/>
    <w:rsid w:val="00AA0ABA"/>
    <w:rsid w:val="00AA12D0"/>
    <w:rsid w:val="00AA19F6"/>
    <w:rsid w:val="00AA2159"/>
    <w:rsid w:val="00AA30A8"/>
    <w:rsid w:val="00AA5847"/>
    <w:rsid w:val="00AA5DF7"/>
    <w:rsid w:val="00AA684A"/>
    <w:rsid w:val="00AA7FF1"/>
    <w:rsid w:val="00AB0625"/>
    <w:rsid w:val="00AB1A2A"/>
    <w:rsid w:val="00AB260C"/>
    <w:rsid w:val="00AB27A5"/>
    <w:rsid w:val="00AB442E"/>
    <w:rsid w:val="00AB5DA0"/>
    <w:rsid w:val="00AB7898"/>
    <w:rsid w:val="00AB79F3"/>
    <w:rsid w:val="00AB7BCF"/>
    <w:rsid w:val="00AC069B"/>
    <w:rsid w:val="00AC120B"/>
    <w:rsid w:val="00AC4756"/>
    <w:rsid w:val="00AC5017"/>
    <w:rsid w:val="00AC728C"/>
    <w:rsid w:val="00AC76AC"/>
    <w:rsid w:val="00AD18BB"/>
    <w:rsid w:val="00AD18C8"/>
    <w:rsid w:val="00AD2BB8"/>
    <w:rsid w:val="00AD3594"/>
    <w:rsid w:val="00AD4EF9"/>
    <w:rsid w:val="00AD58B2"/>
    <w:rsid w:val="00AD76D0"/>
    <w:rsid w:val="00AD7CD7"/>
    <w:rsid w:val="00AE1702"/>
    <w:rsid w:val="00AE3740"/>
    <w:rsid w:val="00AE72D3"/>
    <w:rsid w:val="00AF049D"/>
    <w:rsid w:val="00AF28F3"/>
    <w:rsid w:val="00AF2B93"/>
    <w:rsid w:val="00AF36B1"/>
    <w:rsid w:val="00AF3808"/>
    <w:rsid w:val="00AF736B"/>
    <w:rsid w:val="00AF7F33"/>
    <w:rsid w:val="00B015C5"/>
    <w:rsid w:val="00B02750"/>
    <w:rsid w:val="00B0329B"/>
    <w:rsid w:val="00B03AE4"/>
    <w:rsid w:val="00B04595"/>
    <w:rsid w:val="00B04683"/>
    <w:rsid w:val="00B0511B"/>
    <w:rsid w:val="00B05A86"/>
    <w:rsid w:val="00B05AEB"/>
    <w:rsid w:val="00B06776"/>
    <w:rsid w:val="00B1060D"/>
    <w:rsid w:val="00B12A20"/>
    <w:rsid w:val="00B135F0"/>
    <w:rsid w:val="00B14CA3"/>
    <w:rsid w:val="00B173E6"/>
    <w:rsid w:val="00B179D5"/>
    <w:rsid w:val="00B17B3C"/>
    <w:rsid w:val="00B20631"/>
    <w:rsid w:val="00B20FE1"/>
    <w:rsid w:val="00B213B5"/>
    <w:rsid w:val="00B25667"/>
    <w:rsid w:val="00B25AEC"/>
    <w:rsid w:val="00B25DDC"/>
    <w:rsid w:val="00B27B62"/>
    <w:rsid w:val="00B328EE"/>
    <w:rsid w:val="00B3350E"/>
    <w:rsid w:val="00B33A67"/>
    <w:rsid w:val="00B33F02"/>
    <w:rsid w:val="00B4020D"/>
    <w:rsid w:val="00B42D83"/>
    <w:rsid w:val="00B43FCC"/>
    <w:rsid w:val="00B448AB"/>
    <w:rsid w:val="00B44B4E"/>
    <w:rsid w:val="00B44D38"/>
    <w:rsid w:val="00B50FD0"/>
    <w:rsid w:val="00B55944"/>
    <w:rsid w:val="00B56D30"/>
    <w:rsid w:val="00B607F9"/>
    <w:rsid w:val="00B618BC"/>
    <w:rsid w:val="00B62A03"/>
    <w:rsid w:val="00B66BE2"/>
    <w:rsid w:val="00B677D2"/>
    <w:rsid w:val="00B712F5"/>
    <w:rsid w:val="00B720E8"/>
    <w:rsid w:val="00B724AB"/>
    <w:rsid w:val="00B73E4E"/>
    <w:rsid w:val="00B7431B"/>
    <w:rsid w:val="00B753A8"/>
    <w:rsid w:val="00B75856"/>
    <w:rsid w:val="00B7646E"/>
    <w:rsid w:val="00B80FB7"/>
    <w:rsid w:val="00B81591"/>
    <w:rsid w:val="00B85A31"/>
    <w:rsid w:val="00B85D22"/>
    <w:rsid w:val="00B8754C"/>
    <w:rsid w:val="00B87A9B"/>
    <w:rsid w:val="00B87F63"/>
    <w:rsid w:val="00B91C19"/>
    <w:rsid w:val="00B953D5"/>
    <w:rsid w:val="00B9643E"/>
    <w:rsid w:val="00B96FE8"/>
    <w:rsid w:val="00B97289"/>
    <w:rsid w:val="00BA417F"/>
    <w:rsid w:val="00BA4498"/>
    <w:rsid w:val="00BA5088"/>
    <w:rsid w:val="00BB09BA"/>
    <w:rsid w:val="00BB28E2"/>
    <w:rsid w:val="00BB3DCB"/>
    <w:rsid w:val="00BB4543"/>
    <w:rsid w:val="00BB522C"/>
    <w:rsid w:val="00BB5AA7"/>
    <w:rsid w:val="00BC3298"/>
    <w:rsid w:val="00BC677B"/>
    <w:rsid w:val="00BC77D4"/>
    <w:rsid w:val="00BC796B"/>
    <w:rsid w:val="00BC7D05"/>
    <w:rsid w:val="00BD1510"/>
    <w:rsid w:val="00BD1F9F"/>
    <w:rsid w:val="00BD3D9B"/>
    <w:rsid w:val="00BD4AF3"/>
    <w:rsid w:val="00BD58F6"/>
    <w:rsid w:val="00BD5D76"/>
    <w:rsid w:val="00BE1A98"/>
    <w:rsid w:val="00BE2F95"/>
    <w:rsid w:val="00BE341B"/>
    <w:rsid w:val="00BE7EC5"/>
    <w:rsid w:val="00BF0728"/>
    <w:rsid w:val="00BF1CA0"/>
    <w:rsid w:val="00BF429C"/>
    <w:rsid w:val="00BF42AA"/>
    <w:rsid w:val="00BF4487"/>
    <w:rsid w:val="00BF6398"/>
    <w:rsid w:val="00BF798B"/>
    <w:rsid w:val="00C01A81"/>
    <w:rsid w:val="00C02FBD"/>
    <w:rsid w:val="00C0300B"/>
    <w:rsid w:val="00C03BB0"/>
    <w:rsid w:val="00C05C73"/>
    <w:rsid w:val="00C067E0"/>
    <w:rsid w:val="00C06BCF"/>
    <w:rsid w:val="00C105C1"/>
    <w:rsid w:val="00C10773"/>
    <w:rsid w:val="00C11ADC"/>
    <w:rsid w:val="00C11F69"/>
    <w:rsid w:val="00C13BB1"/>
    <w:rsid w:val="00C14319"/>
    <w:rsid w:val="00C14BAE"/>
    <w:rsid w:val="00C14E20"/>
    <w:rsid w:val="00C164AB"/>
    <w:rsid w:val="00C16A3A"/>
    <w:rsid w:val="00C1756A"/>
    <w:rsid w:val="00C20CFF"/>
    <w:rsid w:val="00C21866"/>
    <w:rsid w:val="00C21909"/>
    <w:rsid w:val="00C22FA0"/>
    <w:rsid w:val="00C25036"/>
    <w:rsid w:val="00C25840"/>
    <w:rsid w:val="00C25862"/>
    <w:rsid w:val="00C26421"/>
    <w:rsid w:val="00C27CBD"/>
    <w:rsid w:val="00C300D8"/>
    <w:rsid w:val="00C305BA"/>
    <w:rsid w:val="00C32A45"/>
    <w:rsid w:val="00C33857"/>
    <w:rsid w:val="00C35A9A"/>
    <w:rsid w:val="00C35DF2"/>
    <w:rsid w:val="00C37411"/>
    <w:rsid w:val="00C37B13"/>
    <w:rsid w:val="00C41346"/>
    <w:rsid w:val="00C414D1"/>
    <w:rsid w:val="00C4283D"/>
    <w:rsid w:val="00C43E16"/>
    <w:rsid w:val="00C45CC0"/>
    <w:rsid w:val="00C47D18"/>
    <w:rsid w:val="00C50951"/>
    <w:rsid w:val="00C51F91"/>
    <w:rsid w:val="00C52E55"/>
    <w:rsid w:val="00C53A13"/>
    <w:rsid w:val="00C53C94"/>
    <w:rsid w:val="00C5488A"/>
    <w:rsid w:val="00C57C31"/>
    <w:rsid w:val="00C6071C"/>
    <w:rsid w:val="00C60C13"/>
    <w:rsid w:val="00C65CAA"/>
    <w:rsid w:val="00C703A7"/>
    <w:rsid w:val="00C70660"/>
    <w:rsid w:val="00C719E6"/>
    <w:rsid w:val="00C72170"/>
    <w:rsid w:val="00C722B0"/>
    <w:rsid w:val="00C73414"/>
    <w:rsid w:val="00C73D20"/>
    <w:rsid w:val="00C748AB"/>
    <w:rsid w:val="00C76B1E"/>
    <w:rsid w:val="00C77CB8"/>
    <w:rsid w:val="00C80057"/>
    <w:rsid w:val="00C81649"/>
    <w:rsid w:val="00C81A08"/>
    <w:rsid w:val="00C83AFD"/>
    <w:rsid w:val="00C83FA9"/>
    <w:rsid w:val="00C851E8"/>
    <w:rsid w:val="00C92517"/>
    <w:rsid w:val="00C96ADD"/>
    <w:rsid w:val="00CA2445"/>
    <w:rsid w:val="00CA366F"/>
    <w:rsid w:val="00CA50ED"/>
    <w:rsid w:val="00CA66DC"/>
    <w:rsid w:val="00CB0161"/>
    <w:rsid w:val="00CB1099"/>
    <w:rsid w:val="00CB1310"/>
    <w:rsid w:val="00CB15EB"/>
    <w:rsid w:val="00CB189A"/>
    <w:rsid w:val="00CB1D4A"/>
    <w:rsid w:val="00CB2F27"/>
    <w:rsid w:val="00CB3A5D"/>
    <w:rsid w:val="00CB3E2A"/>
    <w:rsid w:val="00CB564C"/>
    <w:rsid w:val="00CB7318"/>
    <w:rsid w:val="00CC0026"/>
    <w:rsid w:val="00CC041D"/>
    <w:rsid w:val="00CC1204"/>
    <w:rsid w:val="00CC1263"/>
    <w:rsid w:val="00CC2265"/>
    <w:rsid w:val="00CC63AD"/>
    <w:rsid w:val="00CC675C"/>
    <w:rsid w:val="00CD0B26"/>
    <w:rsid w:val="00CD2650"/>
    <w:rsid w:val="00CD2BA3"/>
    <w:rsid w:val="00CD430A"/>
    <w:rsid w:val="00CD5A06"/>
    <w:rsid w:val="00CD7DE5"/>
    <w:rsid w:val="00CE152C"/>
    <w:rsid w:val="00CE184F"/>
    <w:rsid w:val="00CE77F4"/>
    <w:rsid w:val="00CF07CF"/>
    <w:rsid w:val="00CF2768"/>
    <w:rsid w:val="00CF2A6A"/>
    <w:rsid w:val="00CF38D8"/>
    <w:rsid w:val="00CF76B8"/>
    <w:rsid w:val="00CF7C0F"/>
    <w:rsid w:val="00D003A5"/>
    <w:rsid w:val="00D00B31"/>
    <w:rsid w:val="00D0154C"/>
    <w:rsid w:val="00D01E88"/>
    <w:rsid w:val="00D02C13"/>
    <w:rsid w:val="00D03566"/>
    <w:rsid w:val="00D04F57"/>
    <w:rsid w:val="00D05288"/>
    <w:rsid w:val="00D1438E"/>
    <w:rsid w:val="00D145F5"/>
    <w:rsid w:val="00D17AE7"/>
    <w:rsid w:val="00D22955"/>
    <w:rsid w:val="00D23604"/>
    <w:rsid w:val="00D23CD2"/>
    <w:rsid w:val="00D2681D"/>
    <w:rsid w:val="00D3057C"/>
    <w:rsid w:val="00D3235E"/>
    <w:rsid w:val="00D334FB"/>
    <w:rsid w:val="00D355B7"/>
    <w:rsid w:val="00D36031"/>
    <w:rsid w:val="00D3711B"/>
    <w:rsid w:val="00D3765A"/>
    <w:rsid w:val="00D37755"/>
    <w:rsid w:val="00D37E55"/>
    <w:rsid w:val="00D409CC"/>
    <w:rsid w:val="00D42AF3"/>
    <w:rsid w:val="00D43B0A"/>
    <w:rsid w:val="00D43E33"/>
    <w:rsid w:val="00D44B09"/>
    <w:rsid w:val="00D45419"/>
    <w:rsid w:val="00D4585D"/>
    <w:rsid w:val="00D4627E"/>
    <w:rsid w:val="00D46DFC"/>
    <w:rsid w:val="00D51EAA"/>
    <w:rsid w:val="00D55AC9"/>
    <w:rsid w:val="00D57360"/>
    <w:rsid w:val="00D5753D"/>
    <w:rsid w:val="00D71AE8"/>
    <w:rsid w:val="00D71DA4"/>
    <w:rsid w:val="00D724AE"/>
    <w:rsid w:val="00D73536"/>
    <w:rsid w:val="00D74E60"/>
    <w:rsid w:val="00D76F3F"/>
    <w:rsid w:val="00D800FB"/>
    <w:rsid w:val="00D8019F"/>
    <w:rsid w:val="00D8207F"/>
    <w:rsid w:val="00D824A7"/>
    <w:rsid w:val="00D83252"/>
    <w:rsid w:val="00D90450"/>
    <w:rsid w:val="00D92AD4"/>
    <w:rsid w:val="00D96317"/>
    <w:rsid w:val="00D973E5"/>
    <w:rsid w:val="00DA2301"/>
    <w:rsid w:val="00DA50A4"/>
    <w:rsid w:val="00DA5FC6"/>
    <w:rsid w:val="00DA7A73"/>
    <w:rsid w:val="00DB140F"/>
    <w:rsid w:val="00DB2739"/>
    <w:rsid w:val="00DB2CDF"/>
    <w:rsid w:val="00DB323D"/>
    <w:rsid w:val="00DB3EA2"/>
    <w:rsid w:val="00DB6645"/>
    <w:rsid w:val="00DC1867"/>
    <w:rsid w:val="00DC1DBD"/>
    <w:rsid w:val="00DC1F41"/>
    <w:rsid w:val="00DC2D5A"/>
    <w:rsid w:val="00DC716E"/>
    <w:rsid w:val="00DC7C3B"/>
    <w:rsid w:val="00DD06D3"/>
    <w:rsid w:val="00DD1628"/>
    <w:rsid w:val="00DD4549"/>
    <w:rsid w:val="00DD77F2"/>
    <w:rsid w:val="00DE0530"/>
    <w:rsid w:val="00DE5644"/>
    <w:rsid w:val="00DE5DD6"/>
    <w:rsid w:val="00DE60B7"/>
    <w:rsid w:val="00DE68E1"/>
    <w:rsid w:val="00DE721D"/>
    <w:rsid w:val="00DF716C"/>
    <w:rsid w:val="00DF7D5B"/>
    <w:rsid w:val="00E00AF8"/>
    <w:rsid w:val="00E0224B"/>
    <w:rsid w:val="00E047FF"/>
    <w:rsid w:val="00E079EA"/>
    <w:rsid w:val="00E1182B"/>
    <w:rsid w:val="00E11E86"/>
    <w:rsid w:val="00E12AC5"/>
    <w:rsid w:val="00E12C9B"/>
    <w:rsid w:val="00E15EBD"/>
    <w:rsid w:val="00E2038B"/>
    <w:rsid w:val="00E2149F"/>
    <w:rsid w:val="00E25AAD"/>
    <w:rsid w:val="00E25E8A"/>
    <w:rsid w:val="00E270D2"/>
    <w:rsid w:val="00E27B87"/>
    <w:rsid w:val="00E30CC9"/>
    <w:rsid w:val="00E31CC0"/>
    <w:rsid w:val="00E33DCF"/>
    <w:rsid w:val="00E345B0"/>
    <w:rsid w:val="00E35E8C"/>
    <w:rsid w:val="00E36540"/>
    <w:rsid w:val="00E367F4"/>
    <w:rsid w:val="00E37FA0"/>
    <w:rsid w:val="00E40BE6"/>
    <w:rsid w:val="00E43AE3"/>
    <w:rsid w:val="00E44A06"/>
    <w:rsid w:val="00E46894"/>
    <w:rsid w:val="00E47A8E"/>
    <w:rsid w:val="00E5044D"/>
    <w:rsid w:val="00E50503"/>
    <w:rsid w:val="00E54743"/>
    <w:rsid w:val="00E55ABB"/>
    <w:rsid w:val="00E56AA0"/>
    <w:rsid w:val="00E62AAC"/>
    <w:rsid w:val="00E63FC8"/>
    <w:rsid w:val="00E70B41"/>
    <w:rsid w:val="00E7146E"/>
    <w:rsid w:val="00E733BA"/>
    <w:rsid w:val="00E74F9A"/>
    <w:rsid w:val="00E7634F"/>
    <w:rsid w:val="00E76D0B"/>
    <w:rsid w:val="00E835C9"/>
    <w:rsid w:val="00E838D7"/>
    <w:rsid w:val="00E83FBB"/>
    <w:rsid w:val="00E85C6C"/>
    <w:rsid w:val="00E8666C"/>
    <w:rsid w:val="00E86EA2"/>
    <w:rsid w:val="00E91F5F"/>
    <w:rsid w:val="00EA095F"/>
    <w:rsid w:val="00EA37F5"/>
    <w:rsid w:val="00EA4D0A"/>
    <w:rsid w:val="00EA735A"/>
    <w:rsid w:val="00EB08CC"/>
    <w:rsid w:val="00EB33FB"/>
    <w:rsid w:val="00EB3CDD"/>
    <w:rsid w:val="00EB5595"/>
    <w:rsid w:val="00EC04C1"/>
    <w:rsid w:val="00EC3306"/>
    <w:rsid w:val="00EC40D3"/>
    <w:rsid w:val="00EC440A"/>
    <w:rsid w:val="00EC47AF"/>
    <w:rsid w:val="00EC5578"/>
    <w:rsid w:val="00EC55AD"/>
    <w:rsid w:val="00EC6858"/>
    <w:rsid w:val="00EC747F"/>
    <w:rsid w:val="00EC7684"/>
    <w:rsid w:val="00ED2D8B"/>
    <w:rsid w:val="00ED3FB2"/>
    <w:rsid w:val="00ED4AA3"/>
    <w:rsid w:val="00ED5AE0"/>
    <w:rsid w:val="00ED5F4E"/>
    <w:rsid w:val="00EE2344"/>
    <w:rsid w:val="00EE272D"/>
    <w:rsid w:val="00EE4D2C"/>
    <w:rsid w:val="00EE503A"/>
    <w:rsid w:val="00EE55C0"/>
    <w:rsid w:val="00EE6575"/>
    <w:rsid w:val="00EE7D2C"/>
    <w:rsid w:val="00EF0278"/>
    <w:rsid w:val="00EF4331"/>
    <w:rsid w:val="00EF49AE"/>
    <w:rsid w:val="00EF7D59"/>
    <w:rsid w:val="00F028B4"/>
    <w:rsid w:val="00F03B1E"/>
    <w:rsid w:val="00F03BF9"/>
    <w:rsid w:val="00F03DAD"/>
    <w:rsid w:val="00F06A67"/>
    <w:rsid w:val="00F070D5"/>
    <w:rsid w:val="00F07290"/>
    <w:rsid w:val="00F078F8"/>
    <w:rsid w:val="00F10A4D"/>
    <w:rsid w:val="00F11D4F"/>
    <w:rsid w:val="00F12089"/>
    <w:rsid w:val="00F127AB"/>
    <w:rsid w:val="00F12833"/>
    <w:rsid w:val="00F12BE1"/>
    <w:rsid w:val="00F12F82"/>
    <w:rsid w:val="00F13061"/>
    <w:rsid w:val="00F137C0"/>
    <w:rsid w:val="00F146CB"/>
    <w:rsid w:val="00F15C72"/>
    <w:rsid w:val="00F16563"/>
    <w:rsid w:val="00F170A2"/>
    <w:rsid w:val="00F217E4"/>
    <w:rsid w:val="00F25831"/>
    <w:rsid w:val="00F27FE9"/>
    <w:rsid w:val="00F379A8"/>
    <w:rsid w:val="00F40093"/>
    <w:rsid w:val="00F413AF"/>
    <w:rsid w:val="00F42028"/>
    <w:rsid w:val="00F435C6"/>
    <w:rsid w:val="00F47236"/>
    <w:rsid w:val="00F4750C"/>
    <w:rsid w:val="00F51080"/>
    <w:rsid w:val="00F5279A"/>
    <w:rsid w:val="00F52CDE"/>
    <w:rsid w:val="00F545EA"/>
    <w:rsid w:val="00F606FE"/>
    <w:rsid w:val="00F62428"/>
    <w:rsid w:val="00F62682"/>
    <w:rsid w:val="00F6468C"/>
    <w:rsid w:val="00F64B80"/>
    <w:rsid w:val="00F66024"/>
    <w:rsid w:val="00F663AB"/>
    <w:rsid w:val="00F66C2D"/>
    <w:rsid w:val="00F66FAF"/>
    <w:rsid w:val="00F679A7"/>
    <w:rsid w:val="00F71374"/>
    <w:rsid w:val="00F74FF2"/>
    <w:rsid w:val="00F7512A"/>
    <w:rsid w:val="00F77178"/>
    <w:rsid w:val="00F8442C"/>
    <w:rsid w:val="00F873E6"/>
    <w:rsid w:val="00F9058E"/>
    <w:rsid w:val="00F90F13"/>
    <w:rsid w:val="00F9503A"/>
    <w:rsid w:val="00F9539D"/>
    <w:rsid w:val="00F956D5"/>
    <w:rsid w:val="00F96044"/>
    <w:rsid w:val="00F9613B"/>
    <w:rsid w:val="00F96BCB"/>
    <w:rsid w:val="00FA0E73"/>
    <w:rsid w:val="00FA1C0B"/>
    <w:rsid w:val="00FA328B"/>
    <w:rsid w:val="00FA3354"/>
    <w:rsid w:val="00FA3AB0"/>
    <w:rsid w:val="00FA64A9"/>
    <w:rsid w:val="00FA6A7E"/>
    <w:rsid w:val="00FA7174"/>
    <w:rsid w:val="00FA78E0"/>
    <w:rsid w:val="00FA7CA3"/>
    <w:rsid w:val="00FB09FA"/>
    <w:rsid w:val="00FB0CF9"/>
    <w:rsid w:val="00FB2101"/>
    <w:rsid w:val="00FB2453"/>
    <w:rsid w:val="00FB3525"/>
    <w:rsid w:val="00FB51CF"/>
    <w:rsid w:val="00FB6303"/>
    <w:rsid w:val="00FB7E6D"/>
    <w:rsid w:val="00FC0A88"/>
    <w:rsid w:val="00FC3B8C"/>
    <w:rsid w:val="00FC7B37"/>
    <w:rsid w:val="00FD0E3D"/>
    <w:rsid w:val="00FD1413"/>
    <w:rsid w:val="00FD1C13"/>
    <w:rsid w:val="00FD2E3F"/>
    <w:rsid w:val="00FD4AD3"/>
    <w:rsid w:val="00FD7CBE"/>
    <w:rsid w:val="00FE3B80"/>
    <w:rsid w:val="00FE42CD"/>
    <w:rsid w:val="00FE601F"/>
    <w:rsid w:val="00FF093A"/>
    <w:rsid w:val="00FF169C"/>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98D17"/>
  <w15:docId w15:val="{15408C5A-3959-48B5-8F68-F9B3488F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paragraph" w:styleId="Heading1">
    <w:name w:val="heading 1"/>
    <w:basedOn w:val="Normal"/>
    <w:next w:val="Normal"/>
    <w:link w:val="Heading1Char"/>
    <w:qFormat/>
    <w:rsid w:val="00DD1628"/>
    <w:pPr>
      <w:keepNext/>
      <w:keepLines/>
      <w:spacing w:before="300" w:after="120"/>
      <w:outlineLvl w:val="0"/>
    </w:pPr>
    <w:rPr>
      <w:rFonts w:eastAsiaTheme="majorEastAsia" w:cstheme="majorBidi"/>
      <w:b/>
      <w:sz w:val="26"/>
      <w:szCs w:val="32"/>
    </w:rPr>
  </w:style>
  <w:style w:type="paragraph" w:styleId="Heading2">
    <w:name w:val="heading 2"/>
    <w:basedOn w:val="Normal"/>
    <w:next w:val="Normal"/>
    <w:link w:val="Heading2Char"/>
    <w:semiHidden/>
    <w:unhideWhenUsed/>
    <w:qFormat/>
    <w:rsid w:val="00DD16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Bullets,CV text,Dot pt,F5 List Paragraph,FooterText,L,List Paragraph111,List Paragraph2,Medium Grid 1 - Accent 21,NAST Quote,NFP GP Bulleted List,Numbered Paragraph"/>
    <w:basedOn w:val="Normal"/>
    <w:link w:val="ListParagraphChar"/>
    <w:uiPriority w:val="34"/>
    <w:qFormat/>
    <w:rsid w:val="00B27B62"/>
    <w:pPr>
      <w:ind w:left="720"/>
      <w:contextualSpacing/>
    </w:pPr>
  </w:style>
  <w:style w:type="paragraph" w:styleId="Title">
    <w:name w:val="Title"/>
    <w:basedOn w:val="Normal"/>
    <w:link w:val="TitleChar"/>
    <w:uiPriority w:val="10"/>
    <w:qFormat/>
    <w:rsid w:val="00DD1628"/>
    <w:pPr>
      <w:spacing w:before="100" w:beforeAutospacing="1" w:after="100" w:afterAutospacing="1"/>
      <w:jc w:val="center"/>
    </w:pPr>
    <w:rPr>
      <w:b/>
      <w:sz w:val="28"/>
      <w:szCs w:val="24"/>
    </w:rPr>
  </w:style>
  <w:style w:type="character" w:customStyle="1" w:styleId="TitleChar">
    <w:name w:val="Title Char"/>
    <w:basedOn w:val="DefaultParagraphFont"/>
    <w:link w:val="Title"/>
    <w:uiPriority w:val="10"/>
    <w:rsid w:val="00DD1628"/>
    <w:rPr>
      <w:b/>
      <w:sz w:val="28"/>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Bullets Char,CV text Char,Dot pt Char,F5 List Paragraph Char,FooterText Char,L Char,List Paragraph111 Char,List Paragraph2 Char"/>
    <w:link w:val="ListParagraph"/>
    <w:uiPriority w:val="34"/>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 w:type="character" w:styleId="Hyperlink">
    <w:name w:val="Hyperlink"/>
    <w:basedOn w:val="DefaultParagraphFont"/>
    <w:uiPriority w:val="99"/>
    <w:unhideWhenUsed/>
    <w:rsid w:val="009735D8"/>
    <w:rPr>
      <w:color w:val="0000FF"/>
      <w:u w:val="single"/>
    </w:rPr>
  </w:style>
  <w:style w:type="paragraph" w:styleId="Revision">
    <w:name w:val="Revision"/>
    <w:hidden/>
    <w:uiPriority w:val="99"/>
    <w:semiHidden/>
    <w:rsid w:val="00AB0625"/>
    <w:rPr>
      <w:sz w:val="24"/>
    </w:rPr>
  </w:style>
  <w:style w:type="paragraph" w:styleId="ListBullet">
    <w:name w:val="List Bullet"/>
    <w:basedOn w:val="Normal"/>
    <w:unhideWhenUsed/>
    <w:rsid w:val="007C5A2E"/>
    <w:pPr>
      <w:numPr>
        <w:numId w:val="37"/>
      </w:numPr>
      <w:contextualSpacing/>
    </w:pPr>
    <w:rPr>
      <w:lang w:eastAsia="en-US"/>
    </w:rPr>
  </w:style>
  <w:style w:type="character" w:customStyle="1" w:styleId="Heading1Char">
    <w:name w:val="Heading 1 Char"/>
    <w:basedOn w:val="DefaultParagraphFont"/>
    <w:link w:val="Heading1"/>
    <w:rsid w:val="00DD1628"/>
    <w:rPr>
      <w:rFonts w:eastAsiaTheme="majorEastAsia" w:cstheme="majorBidi"/>
      <w:b/>
      <w:sz w:val="26"/>
      <w:szCs w:val="32"/>
    </w:rPr>
  </w:style>
  <w:style w:type="paragraph" w:customStyle="1" w:styleId="Head2">
    <w:name w:val="Head 2"/>
    <w:basedOn w:val="Heading2"/>
    <w:link w:val="Head2Char"/>
    <w:qFormat/>
    <w:rsid w:val="00DD1628"/>
    <w:pPr>
      <w:spacing w:before="240" w:after="120"/>
    </w:pPr>
    <w:rPr>
      <w:rFonts w:ascii="Times New Roman" w:hAnsi="Times New Roman"/>
      <w:i/>
      <w:color w:val="auto"/>
      <w:szCs w:val="24"/>
    </w:rPr>
  </w:style>
  <w:style w:type="character" w:customStyle="1" w:styleId="Heading2Char">
    <w:name w:val="Heading 2 Char"/>
    <w:basedOn w:val="DefaultParagraphFont"/>
    <w:link w:val="Heading2"/>
    <w:semiHidden/>
    <w:rsid w:val="00DD1628"/>
    <w:rPr>
      <w:rFonts w:asciiTheme="majorHAnsi" w:eastAsiaTheme="majorEastAsia" w:hAnsiTheme="majorHAnsi" w:cstheme="majorBidi"/>
      <w:color w:val="365F91" w:themeColor="accent1" w:themeShade="BF"/>
      <w:sz w:val="26"/>
      <w:szCs w:val="26"/>
    </w:rPr>
  </w:style>
  <w:style w:type="character" w:customStyle="1" w:styleId="Head2Char">
    <w:name w:val="Head 2 Char"/>
    <w:basedOn w:val="Heading2Char"/>
    <w:link w:val="Head2"/>
    <w:rsid w:val="00DD1628"/>
    <w:rPr>
      <w:rFonts w:asciiTheme="majorHAnsi" w:eastAsiaTheme="majorEastAsia" w:hAnsiTheme="majorHAnsi" w:cstheme="majorBidi"/>
      <w:i/>
      <w:color w:val="365F91" w:themeColor="accent1" w:themeShade="BF"/>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509450">
      <w:bodyDiv w:val="1"/>
      <w:marLeft w:val="0"/>
      <w:marRight w:val="0"/>
      <w:marTop w:val="0"/>
      <w:marBottom w:val="0"/>
      <w:divBdr>
        <w:top w:val="none" w:sz="0" w:space="0" w:color="auto"/>
        <w:left w:val="none" w:sz="0" w:space="0" w:color="auto"/>
        <w:bottom w:val="none" w:sz="0" w:space="0" w:color="auto"/>
        <w:right w:val="none" w:sz="0" w:space="0" w:color="auto"/>
      </w:divBdr>
    </w:div>
    <w:div w:id="583681512">
      <w:bodyDiv w:val="1"/>
      <w:marLeft w:val="0"/>
      <w:marRight w:val="0"/>
      <w:marTop w:val="0"/>
      <w:marBottom w:val="0"/>
      <w:divBdr>
        <w:top w:val="none" w:sz="0" w:space="0" w:color="auto"/>
        <w:left w:val="none" w:sz="0" w:space="0" w:color="auto"/>
        <w:bottom w:val="none" w:sz="0" w:space="0" w:color="auto"/>
        <w:right w:val="none" w:sz="0" w:space="0" w:color="auto"/>
      </w:divBdr>
    </w:div>
    <w:div w:id="631794017">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657996331">
      <w:bodyDiv w:val="1"/>
      <w:marLeft w:val="0"/>
      <w:marRight w:val="0"/>
      <w:marTop w:val="0"/>
      <w:marBottom w:val="0"/>
      <w:divBdr>
        <w:top w:val="none" w:sz="0" w:space="0" w:color="auto"/>
        <w:left w:val="none" w:sz="0" w:space="0" w:color="auto"/>
        <w:bottom w:val="none" w:sz="0" w:space="0" w:color="auto"/>
        <w:right w:val="none" w:sz="0" w:space="0" w:color="auto"/>
      </w:divBdr>
      <w:divsChild>
        <w:div w:id="81488224">
          <w:marLeft w:val="0"/>
          <w:marRight w:val="0"/>
          <w:marTop w:val="0"/>
          <w:marBottom w:val="0"/>
          <w:divBdr>
            <w:top w:val="none" w:sz="0" w:space="0" w:color="auto"/>
            <w:left w:val="none" w:sz="0" w:space="0" w:color="auto"/>
            <w:bottom w:val="none" w:sz="0" w:space="0" w:color="auto"/>
            <w:right w:val="none" w:sz="0" w:space="0" w:color="auto"/>
          </w:divBdr>
          <w:divsChild>
            <w:div w:id="483157613">
              <w:marLeft w:val="0"/>
              <w:marRight w:val="0"/>
              <w:marTop w:val="0"/>
              <w:marBottom w:val="0"/>
              <w:divBdr>
                <w:top w:val="none" w:sz="0" w:space="0" w:color="auto"/>
                <w:left w:val="none" w:sz="0" w:space="0" w:color="auto"/>
                <w:bottom w:val="none" w:sz="0" w:space="0" w:color="auto"/>
                <w:right w:val="none" w:sz="0" w:space="0" w:color="auto"/>
              </w:divBdr>
              <w:divsChild>
                <w:div w:id="1889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7158">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23883">
      <w:bodyDiv w:val="1"/>
      <w:marLeft w:val="0"/>
      <w:marRight w:val="0"/>
      <w:marTop w:val="0"/>
      <w:marBottom w:val="0"/>
      <w:divBdr>
        <w:top w:val="none" w:sz="0" w:space="0" w:color="auto"/>
        <w:left w:val="none" w:sz="0" w:space="0" w:color="auto"/>
        <w:bottom w:val="none" w:sz="0" w:space="0" w:color="auto"/>
        <w:right w:val="none" w:sz="0" w:space="0" w:color="auto"/>
      </w:divBdr>
      <w:divsChild>
        <w:div w:id="2084982758">
          <w:marLeft w:val="0"/>
          <w:marRight w:val="0"/>
          <w:marTop w:val="0"/>
          <w:marBottom w:val="0"/>
          <w:divBdr>
            <w:top w:val="none" w:sz="0" w:space="0" w:color="auto"/>
            <w:left w:val="none" w:sz="0" w:space="0" w:color="auto"/>
            <w:bottom w:val="none" w:sz="0" w:space="0" w:color="auto"/>
            <w:right w:val="none" w:sz="0" w:space="0" w:color="auto"/>
          </w:divBdr>
          <w:divsChild>
            <w:div w:id="416483869">
              <w:marLeft w:val="0"/>
              <w:marRight w:val="0"/>
              <w:marTop w:val="0"/>
              <w:marBottom w:val="0"/>
              <w:divBdr>
                <w:top w:val="none" w:sz="0" w:space="0" w:color="auto"/>
                <w:left w:val="none" w:sz="0" w:space="0" w:color="auto"/>
                <w:bottom w:val="none" w:sz="0" w:space="0" w:color="auto"/>
                <w:right w:val="none" w:sz="0" w:space="0" w:color="auto"/>
              </w:divBdr>
              <w:divsChild>
                <w:div w:id="19612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2911">
      <w:bodyDiv w:val="1"/>
      <w:marLeft w:val="0"/>
      <w:marRight w:val="0"/>
      <w:marTop w:val="0"/>
      <w:marBottom w:val="0"/>
      <w:divBdr>
        <w:top w:val="none" w:sz="0" w:space="0" w:color="auto"/>
        <w:left w:val="none" w:sz="0" w:space="0" w:color="auto"/>
        <w:bottom w:val="none" w:sz="0" w:space="0" w:color="auto"/>
        <w:right w:val="none" w:sz="0" w:space="0" w:color="auto"/>
      </w:divBdr>
    </w:div>
    <w:div w:id="1550458811">
      <w:bodyDiv w:val="1"/>
      <w:marLeft w:val="0"/>
      <w:marRight w:val="0"/>
      <w:marTop w:val="0"/>
      <w:marBottom w:val="0"/>
      <w:divBdr>
        <w:top w:val="none" w:sz="0" w:space="0" w:color="auto"/>
        <w:left w:val="none" w:sz="0" w:space="0" w:color="auto"/>
        <w:bottom w:val="none" w:sz="0" w:space="0" w:color="auto"/>
        <w:right w:val="none" w:sz="0" w:space="0" w:color="auto"/>
      </w:divBdr>
    </w:div>
    <w:div w:id="20559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475D-7DFD-4A23-A462-2C255E43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Pages>
  <Words>1486</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LARDNER, Ellen</cp:lastModifiedBy>
  <cp:revision>47</cp:revision>
  <cp:lastPrinted>2019-08-06T07:00:00Z</cp:lastPrinted>
  <dcterms:created xsi:type="dcterms:W3CDTF">2020-09-07T04:48:00Z</dcterms:created>
  <dcterms:modified xsi:type="dcterms:W3CDTF">2022-02-17T00:41:00Z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