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F7EC1" w14:textId="77777777" w:rsidR="00715914" w:rsidRPr="00320565" w:rsidRDefault="00DA186E" w:rsidP="00D02288">
      <w:pPr>
        <w:rPr>
          <w:sz w:val="28"/>
        </w:rPr>
      </w:pPr>
      <w:r w:rsidRPr="00320565">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320565" w:rsidRDefault="00715914" w:rsidP="00D02288">
      <w:pPr>
        <w:rPr>
          <w:sz w:val="19"/>
        </w:rPr>
      </w:pPr>
    </w:p>
    <w:p w14:paraId="6D141519" w14:textId="0E666EB7" w:rsidR="00554826" w:rsidRPr="00320565" w:rsidRDefault="00E81E54" w:rsidP="00D02288">
      <w:pPr>
        <w:pStyle w:val="ShortT"/>
      </w:pPr>
      <w:r w:rsidRPr="00320565">
        <w:t>Health Insurance Legislation Amendment (2022 Measures No. 2) Determination 2022</w:t>
      </w:r>
    </w:p>
    <w:p w14:paraId="367A4A2F" w14:textId="01AAEDE7" w:rsidR="00554826" w:rsidRPr="00320565" w:rsidRDefault="00554826" w:rsidP="00D02288">
      <w:pPr>
        <w:pStyle w:val="SignCoverPageStart"/>
        <w:spacing w:before="240"/>
        <w:ind w:right="91"/>
        <w:rPr>
          <w:szCs w:val="22"/>
        </w:rPr>
      </w:pPr>
      <w:r w:rsidRPr="00320565">
        <w:rPr>
          <w:szCs w:val="22"/>
        </w:rPr>
        <w:t xml:space="preserve">I, </w:t>
      </w:r>
      <w:r w:rsidR="00D02288" w:rsidRPr="00320565">
        <w:rPr>
          <w:szCs w:val="22"/>
        </w:rPr>
        <w:t>Nigel Murray</w:t>
      </w:r>
      <w:r w:rsidRPr="00320565">
        <w:rPr>
          <w:szCs w:val="22"/>
        </w:rPr>
        <w:t>,</w:t>
      </w:r>
      <w:r w:rsidRPr="00320565">
        <w:rPr>
          <w:color w:val="FF0000"/>
          <w:szCs w:val="22"/>
        </w:rPr>
        <w:t xml:space="preserve"> </w:t>
      </w:r>
      <w:r w:rsidR="00FF4480" w:rsidRPr="00320565">
        <w:rPr>
          <w:szCs w:val="22"/>
        </w:rPr>
        <w:t xml:space="preserve">delegate of the </w:t>
      </w:r>
      <w:r w:rsidR="009841B4" w:rsidRPr="00320565">
        <w:rPr>
          <w:szCs w:val="22"/>
        </w:rPr>
        <w:t>Minister for Health</w:t>
      </w:r>
      <w:r w:rsidR="00FE7510" w:rsidRPr="00320565">
        <w:rPr>
          <w:szCs w:val="22"/>
        </w:rPr>
        <w:t xml:space="preserve"> and Aged Care</w:t>
      </w:r>
      <w:r w:rsidR="009841B4" w:rsidRPr="00320565">
        <w:rPr>
          <w:szCs w:val="22"/>
        </w:rPr>
        <w:t xml:space="preserve">, </w:t>
      </w:r>
      <w:r w:rsidRPr="00320565">
        <w:rPr>
          <w:szCs w:val="22"/>
        </w:rPr>
        <w:t xml:space="preserve">make the following </w:t>
      </w:r>
      <w:r w:rsidR="009841B4" w:rsidRPr="00320565">
        <w:rPr>
          <w:szCs w:val="22"/>
        </w:rPr>
        <w:t>Determination</w:t>
      </w:r>
      <w:r w:rsidRPr="00320565">
        <w:rPr>
          <w:szCs w:val="22"/>
        </w:rPr>
        <w:t>.</w:t>
      </w:r>
    </w:p>
    <w:p w14:paraId="0C7CB3E3" w14:textId="32F1B218" w:rsidR="00554826" w:rsidRPr="00320565" w:rsidRDefault="00554826" w:rsidP="00D02288">
      <w:pPr>
        <w:keepNext/>
        <w:spacing w:before="300" w:line="240" w:lineRule="atLeast"/>
        <w:ind w:right="397"/>
        <w:jc w:val="both"/>
        <w:rPr>
          <w:szCs w:val="22"/>
        </w:rPr>
      </w:pPr>
      <w:r w:rsidRPr="00320565">
        <w:rPr>
          <w:szCs w:val="22"/>
        </w:rPr>
        <w:t>Dated</w:t>
      </w:r>
      <w:r w:rsidR="00320565">
        <w:rPr>
          <w:szCs w:val="22"/>
        </w:rPr>
        <w:t xml:space="preserve"> 24 </w:t>
      </w:r>
      <w:r w:rsidR="00D02288" w:rsidRPr="00320565">
        <w:rPr>
          <w:szCs w:val="22"/>
        </w:rPr>
        <w:t>February 2022</w:t>
      </w:r>
    </w:p>
    <w:p w14:paraId="270DB188" w14:textId="3FE8E82A" w:rsidR="00FF4480" w:rsidRPr="00320565" w:rsidRDefault="00D02288" w:rsidP="00D02288">
      <w:pPr>
        <w:keepNext/>
        <w:tabs>
          <w:tab w:val="left" w:pos="3402"/>
        </w:tabs>
        <w:spacing w:before="1440" w:line="300" w:lineRule="atLeast"/>
        <w:ind w:right="397"/>
        <w:rPr>
          <w:b/>
          <w:szCs w:val="22"/>
        </w:rPr>
      </w:pPr>
      <w:r w:rsidRPr="00320565">
        <w:rPr>
          <w:szCs w:val="22"/>
        </w:rPr>
        <w:t>Nigel Murray</w:t>
      </w:r>
    </w:p>
    <w:p w14:paraId="53606C5F" w14:textId="0BC529C7" w:rsidR="00FF4480" w:rsidRPr="00320565" w:rsidRDefault="00D02288" w:rsidP="00D02288">
      <w:pPr>
        <w:pStyle w:val="SignCoverPageEnd"/>
        <w:ind w:right="91"/>
        <w:rPr>
          <w:sz w:val="22"/>
        </w:rPr>
      </w:pPr>
      <w:r w:rsidRPr="00320565">
        <w:rPr>
          <w:sz w:val="22"/>
        </w:rPr>
        <w:t>Assistant Secretary</w:t>
      </w:r>
    </w:p>
    <w:p w14:paraId="352A5AAB" w14:textId="19E04EF2" w:rsidR="00FF4480" w:rsidRPr="00320565" w:rsidRDefault="00D02288" w:rsidP="00D02288">
      <w:pPr>
        <w:pStyle w:val="SignCoverPageEnd"/>
        <w:ind w:right="91"/>
        <w:rPr>
          <w:sz w:val="22"/>
        </w:rPr>
      </w:pPr>
      <w:r w:rsidRPr="00320565">
        <w:rPr>
          <w:sz w:val="22"/>
        </w:rPr>
        <w:t>MBS Policy and Specialist Services Branch</w:t>
      </w:r>
    </w:p>
    <w:p w14:paraId="34E52A03" w14:textId="4A1F7D39" w:rsidR="00FF4480" w:rsidRPr="00320565" w:rsidRDefault="00D02288" w:rsidP="00D02288">
      <w:pPr>
        <w:pStyle w:val="SignCoverPageEnd"/>
        <w:ind w:right="91"/>
        <w:rPr>
          <w:sz w:val="22"/>
        </w:rPr>
      </w:pPr>
      <w:r w:rsidRPr="00320565">
        <w:rPr>
          <w:sz w:val="22"/>
        </w:rPr>
        <w:t>Medical Benefits Division</w:t>
      </w:r>
    </w:p>
    <w:p w14:paraId="56899167" w14:textId="37546BE4" w:rsidR="00FF4480" w:rsidRPr="00320565" w:rsidRDefault="00D02288" w:rsidP="00D02288">
      <w:pPr>
        <w:pStyle w:val="SignCoverPageEnd"/>
        <w:ind w:right="91"/>
        <w:rPr>
          <w:sz w:val="22"/>
        </w:rPr>
      </w:pPr>
      <w:r w:rsidRPr="00320565">
        <w:rPr>
          <w:sz w:val="22"/>
        </w:rPr>
        <w:t>Health Resourcing Group</w:t>
      </w:r>
    </w:p>
    <w:p w14:paraId="769BEDDD" w14:textId="77777777" w:rsidR="00FF4480" w:rsidRPr="00320565" w:rsidRDefault="00FF4480" w:rsidP="00D02288">
      <w:pPr>
        <w:pStyle w:val="SignCoverPageEnd"/>
        <w:ind w:right="91"/>
        <w:rPr>
          <w:sz w:val="22"/>
        </w:rPr>
      </w:pPr>
      <w:r w:rsidRPr="00320565">
        <w:rPr>
          <w:sz w:val="22"/>
        </w:rPr>
        <w:t>Department of Health</w:t>
      </w:r>
    </w:p>
    <w:p w14:paraId="57012222" w14:textId="77777777" w:rsidR="00554826" w:rsidRPr="00320565" w:rsidRDefault="00554826" w:rsidP="00D02288"/>
    <w:p w14:paraId="61874D17" w14:textId="77777777" w:rsidR="00554826" w:rsidRPr="00320565" w:rsidRDefault="00554826" w:rsidP="00D02288"/>
    <w:p w14:paraId="1EA543EC" w14:textId="77777777" w:rsidR="00F6696E" w:rsidRPr="00320565" w:rsidRDefault="00F6696E" w:rsidP="00D02288"/>
    <w:p w14:paraId="452B8309" w14:textId="77777777" w:rsidR="00F6696E" w:rsidRPr="00320565" w:rsidRDefault="00F6696E" w:rsidP="00D02288">
      <w:pPr>
        <w:sectPr w:rsidR="00F6696E" w:rsidRPr="00320565"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320565" w:rsidRDefault="00715914" w:rsidP="00D02288">
      <w:pPr>
        <w:outlineLvl w:val="0"/>
        <w:rPr>
          <w:sz w:val="36"/>
        </w:rPr>
      </w:pPr>
      <w:r w:rsidRPr="00320565">
        <w:rPr>
          <w:sz w:val="36"/>
        </w:rPr>
        <w:lastRenderedPageBreak/>
        <w:t>Contents</w:t>
      </w:r>
    </w:p>
    <w:p w14:paraId="7CD5D2CA" w14:textId="3C08EDC1" w:rsidR="00D02288" w:rsidRPr="00320565" w:rsidRDefault="00B418CB" w:rsidP="00D02288">
      <w:pPr>
        <w:pStyle w:val="TOC5"/>
        <w:rPr>
          <w:rFonts w:asciiTheme="minorHAnsi" w:eastAsiaTheme="minorEastAsia" w:hAnsiTheme="minorHAnsi" w:cstheme="minorBidi"/>
          <w:noProof/>
          <w:kern w:val="0"/>
          <w:sz w:val="22"/>
          <w:szCs w:val="22"/>
        </w:rPr>
      </w:pPr>
      <w:r w:rsidRPr="00320565">
        <w:rPr>
          <w:szCs w:val="18"/>
        </w:rPr>
        <w:fldChar w:fldCharType="begin"/>
      </w:r>
      <w:r w:rsidRPr="00320565">
        <w:rPr>
          <w:szCs w:val="18"/>
        </w:rPr>
        <w:instrText xml:space="preserve"> TOC \o "1-9" </w:instrText>
      </w:r>
      <w:r w:rsidRPr="00320565">
        <w:rPr>
          <w:szCs w:val="18"/>
        </w:rPr>
        <w:fldChar w:fldCharType="separate"/>
      </w:r>
      <w:r w:rsidR="00D02288" w:rsidRPr="00320565">
        <w:rPr>
          <w:noProof/>
        </w:rPr>
        <w:t>1  Name</w:t>
      </w:r>
      <w:r w:rsidR="00D02288" w:rsidRPr="00320565">
        <w:rPr>
          <w:noProof/>
        </w:rPr>
        <w:tab/>
      </w:r>
      <w:r w:rsidR="00D02288" w:rsidRPr="00320565">
        <w:rPr>
          <w:noProof/>
        </w:rPr>
        <w:fldChar w:fldCharType="begin"/>
      </w:r>
      <w:r w:rsidR="00D02288" w:rsidRPr="00320565">
        <w:rPr>
          <w:noProof/>
        </w:rPr>
        <w:instrText xml:space="preserve"> PAGEREF _Toc96414672 \h </w:instrText>
      </w:r>
      <w:r w:rsidR="00D02288" w:rsidRPr="00320565">
        <w:rPr>
          <w:noProof/>
        </w:rPr>
      </w:r>
      <w:r w:rsidR="00D02288" w:rsidRPr="00320565">
        <w:rPr>
          <w:noProof/>
        </w:rPr>
        <w:fldChar w:fldCharType="separate"/>
      </w:r>
      <w:r w:rsidR="00D02288" w:rsidRPr="00320565">
        <w:rPr>
          <w:noProof/>
        </w:rPr>
        <w:t>1</w:t>
      </w:r>
      <w:r w:rsidR="00D02288" w:rsidRPr="00320565">
        <w:rPr>
          <w:noProof/>
        </w:rPr>
        <w:fldChar w:fldCharType="end"/>
      </w:r>
    </w:p>
    <w:p w14:paraId="320487DE" w14:textId="4B240452" w:rsidR="00D02288" w:rsidRPr="00320565" w:rsidRDefault="00D02288" w:rsidP="00D02288">
      <w:pPr>
        <w:pStyle w:val="TOC5"/>
        <w:rPr>
          <w:rFonts w:asciiTheme="minorHAnsi" w:eastAsiaTheme="minorEastAsia" w:hAnsiTheme="minorHAnsi" w:cstheme="minorBidi"/>
          <w:noProof/>
          <w:kern w:val="0"/>
          <w:sz w:val="22"/>
          <w:szCs w:val="22"/>
        </w:rPr>
      </w:pPr>
      <w:r w:rsidRPr="00320565">
        <w:rPr>
          <w:noProof/>
        </w:rPr>
        <w:t>2  Commencement</w:t>
      </w:r>
      <w:r w:rsidRPr="00320565">
        <w:rPr>
          <w:noProof/>
        </w:rPr>
        <w:tab/>
      </w:r>
      <w:r w:rsidRPr="00320565">
        <w:rPr>
          <w:noProof/>
        </w:rPr>
        <w:fldChar w:fldCharType="begin"/>
      </w:r>
      <w:r w:rsidRPr="00320565">
        <w:rPr>
          <w:noProof/>
        </w:rPr>
        <w:instrText xml:space="preserve"> PAGEREF _Toc96414673 \h </w:instrText>
      </w:r>
      <w:r w:rsidRPr="00320565">
        <w:rPr>
          <w:noProof/>
        </w:rPr>
      </w:r>
      <w:r w:rsidRPr="00320565">
        <w:rPr>
          <w:noProof/>
        </w:rPr>
        <w:fldChar w:fldCharType="separate"/>
      </w:r>
      <w:r w:rsidRPr="00320565">
        <w:rPr>
          <w:noProof/>
        </w:rPr>
        <w:t>1</w:t>
      </w:r>
      <w:r w:rsidRPr="00320565">
        <w:rPr>
          <w:noProof/>
        </w:rPr>
        <w:fldChar w:fldCharType="end"/>
      </w:r>
    </w:p>
    <w:p w14:paraId="72DD2C7B" w14:textId="5ECA479B" w:rsidR="00D02288" w:rsidRPr="00320565" w:rsidRDefault="00D02288" w:rsidP="00D02288">
      <w:pPr>
        <w:pStyle w:val="TOC5"/>
        <w:rPr>
          <w:rFonts w:asciiTheme="minorHAnsi" w:eastAsiaTheme="minorEastAsia" w:hAnsiTheme="minorHAnsi" w:cstheme="minorBidi"/>
          <w:noProof/>
          <w:kern w:val="0"/>
          <w:sz w:val="22"/>
          <w:szCs w:val="22"/>
        </w:rPr>
      </w:pPr>
      <w:r w:rsidRPr="00320565">
        <w:rPr>
          <w:noProof/>
        </w:rPr>
        <w:t>3  Authority</w:t>
      </w:r>
      <w:r w:rsidRPr="00320565">
        <w:rPr>
          <w:noProof/>
        </w:rPr>
        <w:tab/>
      </w:r>
      <w:r w:rsidRPr="00320565">
        <w:rPr>
          <w:noProof/>
        </w:rPr>
        <w:fldChar w:fldCharType="begin"/>
      </w:r>
      <w:r w:rsidRPr="00320565">
        <w:rPr>
          <w:noProof/>
        </w:rPr>
        <w:instrText xml:space="preserve"> PAGEREF _Toc96414674 \h </w:instrText>
      </w:r>
      <w:r w:rsidRPr="00320565">
        <w:rPr>
          <w:noProof/>
        </w:rPr>
      </w:r>
      <w:r w:rsidRPr="00320565">
        <w:rPr>
          <w:noProof/>
        </w:rPr>
        <w:fldChar w:fldCharType="separate"/>
      </w:r>
      <w:r w:rsidRPr="00320565">
        <w:rPr>
          <w:noProof/>
        </w:rPr>
        <w:t>1</w:t>
      </w:r>
      <w:r w:rsidRPr="00320565">
        <w:rPr>
          <w:noProof/>
        </w:rPr>
        <w:fldChar w:fldCharType="end"/>
      </w:r>
    </w:p>
    <w:p w14:paraId="2A006CE9" w14:textId="23AA5450" w:rsidR="00D02288" w:rsidRPr="00320565" w:rsidRDefault="00D02288" w:rsidP="00D02288">
      <w:pPr>
        <w:pStyle w:val="TOC5"/>
        <w:rPr>
          <w:rFonts w:eastAsiaTheme="minorEastAsia"/>
          <w:noProof/>
          <w:kern w:val="0"/>
          <w:sz w:val="22"/>
          <w:szCs w:val="22"/>
        </w:rPr>
      </w:pPr>
      <w:r w:rsidRPr="00320565">
        <w:rPr>
          <w:noProof/>
        </w:rPr>
        <w:t>4  Schedules</w:t>
      </w:r>
      <w:r w:rsidRPr="00320565">
        <w:rPr>
          <w:noProof/>
        </w:rPr>
        <w:tab/>
      </w:r>
      <w:r w:rsidRPr="00320565">
        <w:rPr>
          <w:noProof/>
        </w:rPr>
        <w:fldChar w:fldCharType="begin"/>
      </w:r>
      <w:r w:rsidRPr="00320565">
        <w:rPr>
          <w:noProof/>
        </w:rPr>
        <w:instrText xml:space="preserve"> PAGEREF _Toc96414675 \h </w:instrText>
      </w:r>
      <w:r w:rsidRPr="00320565">
        <w:rPr>
          <w:noProof/>
        </w:rPr>
      </w:r>
      <w:r w:rsidRPr="00320565">
        <w:rPr>
          <w:noProof/>
        </w:rPr>
        <w:fldChar w:fldCharType="separate"/>
      </w:r>
      <w:r w:rsidRPr="00320565">
        <w:rPr>
          <w:noProof/>
        </w:rPr>
        <w:t>1</w:t>
      </w:r>
      <w:r w:rsidRPr="00320565">
        <w:rPr>
          <w:noProof/>
        </w:rPr>
        <w:fldChar w:fldCharType="end"/>
      </w:r>
    </w:p>
    <w:p w14:paraId="6D5EF4CB" w14:textId="584F6129" w:rsidR="00D02288" w:rsidRPr="00320565" w:rsidRDefault="00D02288" w:rsidP="00D02288">
      <w:pPr>
        <w:pStyle w:val="TOC5"/>
        <w:rPr>
          <w:rFonts w:eastAsiaTheme="minorEastAsia"/>
          <w:noProof/>
          <w:kern w:val="0"/>
          <w:sz w:val="22"/>
          <w:szCs w:val="22"/>
        </w:rPr>
      </w:pPr>
      <w:r w:rsidRPr="00320565">
        <w:rPr>
          <w:noProof/>
        </w:rPr>
        <w:t>Schedule 1— Telehealth amendments</w:t>
      </w:r>
      <w:r w:rsidRPr="00320565">
        <w:rPr>
          <w:noProof/>
        </w:rPr>
        <w:tab/>
      </w:r>
      <w:r w:rsidRPr="00320565">
        <w:rPr>
          <w:noProof/>
        </w:rPr>
        <w:fldChar w:fldCharType="begin"/>
      </w:r>
      <w:r w:rsidRPr="00320565">
        <w:rPr>
          <w:noProof/>
        </w:rPr>
        <w:instrText xml:space="preserve"> PAGEREF _Toc96414676 \h </w:instrText>
      </w:r>
      <w:r w:rsidRPr="00320565">
        <w:rPr>
          <w:noProof/>
        </w:rPr>
      </w:r>
      <w:r w:rsidRPr="00320565">
        <w:rPr>
          <w:noProof/>
        </w:rPr>
        <w:fldChar w:fldCharType="separate"/>
      </w:r>
      <w:r w:rsidRPr="00320565">
        <w:rPr>
          <w:noProof/>
        </w:rPr>
        <w:t>2</w:t>
      </w:r>
      <w:r w:rsidRPr="00320565">
        <w:rPr>
          <w:noProof/>
        </w:rPr>
        <w:fldChar w:fldCharType="end"/>
      </w:r>
    </w:p>
    <w:p w14:paraId="6EE1FAE4" w14:textId="19864436" w:rsidR="00D02288" w:rsidRPr="00320565" w:rsidRDefault="00D02288" w:rsidP="00D02288">
      <w:pPr>
        <w:pStyle w:val="TOC5"/>
        <w:rPr>
          <w:rFonts w:eastAsiaTheme="minorEastAsia"/>
          <w:noProof/>
          <w:kern w:val="0"/>
          <w:sz w:val="22"/>
          <w:szCs w:val="22"/>
        </w:rPr>
      </w:pPr>
      <w:r w:rsidRPr="00320565">
        <w:rPr>
          <w:noProof/>
        </w:rPr>
        <w:t>Schedule 2— Extension of smoking cessation services</w:t>
      </w:r>
      <w:r w:rsidRPr="00320565">
        <w:rPr>
          <w:noProof/>
        </w:rPr>
        <w:tab/>
      </w:r>
      <w:r w:rsidRPr="00320565">
        <w:rPr>
          <w:noProof/>
        </w:rPr>
        <w:fldChar w:fldCharType="begin"/>
      </w:r>
      <w:r w:rsidRPr="00320565">
        <w:rPr>
          <w:noProof/>
        </w:rPr>
        <w:instrText xml:space="preserve"> PAGEREF _Toc96414677 \h </w:instrText>
      </w:r>
      <w:r w:rsidRPr="00320565">
        <w:rPr>
          <w:noProof/>
        </w:rPr>
      </w:r>
      <w:r w:rsidRPr="00320565">
        <w:rPr>
          <w:noProof/>
        </w:rPr>
        <w:fldChar w:fldCharType="separate"/>
      </w:r>
      <w:r w:rsidRPr="00320565">
        <w:rPr>
          <w:noProof/>
        </w:rPr>
        <w:t>4</w:t>
      </w:r>
      <w:r w:rsidRPr="00320565">
        <w:rPr>
          <w:noProof/>
        </w:rPr>
        <w:fldChar w:fldCharType="end"/>
      </w:r>
    </w:p>
    <w:p w14:paraId="6E62F370" w14:textId="6C61A024" w:rsidR="00D02288" w:rsidRPr="00320565" w:rsidRDefault="00D02288" w:rsidP="00D02288">
      <w:pPr>
        <w:pStyle w:val="TOC5"/>
        <w:rPr>
          <w:rFonts w:eastAsiaTheme="minorEastAsia"/>
          <w:noProof/>
          <w:kern w:val="0"/>
          <w:sz w:val="22"/>
          <w:szCs w:val="22"/>
        </w:rPr>
      </w:pPr>
      <w:r w:rsidRPr="00320565">
        <w:rPr>
          <w:noProof/>
        </w:rPr>
        <w:t>Schedule 3— Fee amendments</w:t>
      </w:r>
      <w:r w:rsidRPr="00320565">
        <w:rPr>
          <w:noProof/>
        </w:rPr>
        <w:tab/>
      </w:r>
      <w:r w:rsidRPr="00320565">
        <w:rPr>
          <w:noProof/>
        </w:rPr>
        <w:fldChar w:fldCharType="begin"/>
      </w:r>
      <w:r w:rsidRPr="00320565">
        <w:rPr>
          <w:noProof/>
        </w:rPr>
        <w:instrText xml:space="preserve"> PAGEREF _Toc96414678 \h </w:instrText>
      </w:r>
      <w:r w:rsidRPr="00320565">
        <w:rPr>
          <w:noProof/>
        </w:rPr>
      </w:r>
      <w:r w:rsidRPr="00320565">
        <w:rPr>
          <w:noProof/>
        </w:rPr>
        <w:fldChar w:fldCharType="separate"/>
      </w:r>
      <w:r w:rsidRPr="00320565">
        <w:rPr>
          <w:noProof/>
        </w:rPr>
        <w:t>5</w:t>
      </w:r>
      <w:r w:rsidRPr="00320565">
        <w:rPr>
          <w:noProof/>
        </w:rPr>
        <w:fldChar w:fldCharType="end"/>
      </w:r>
    </w:p>
    <w:p w14:paraId="2494364F" w14:textId="6521FE34" w:rsidR="00F6696E" w:rsidRPr="00320565" w:rsidRDefault="00B418CB" w:rsidP="00D02288">
      <w:pPr>
        <w:outlineLvl w:val="0"/>
        <w:rPr>
          <w:rFonts w:cs="Times New Roman"/>
          <w:sz w:val="18"/>
          <w:szCs w:val="18"/>
        </w:rPr>
      </w:pPr>
      <w:r w:rsidRPr="00320565">
        <w:rPr>
          <w:rFonts w:cs="Times New Roman"/>
          <w:sz w:val="18"/>
          <w:szCs w:val="18"/>
        </w:rPr>
        <w:fldChar w:fldCharType="end"/>
      </w:r>
    </w:p>
    <w:p w14:paraId="64F43A28" w14:textId="77777777" w:rsidR="00F6696E" w:rsidRPr="00320565" w:rsidRDefault="00F6696E" w:rsidP="00D02288">
      <w:pPr>
        <w:outlineLvl w:val="0"/>
        <w:rPr>
          <w:sz w:val="20"/>
        </w:rPr>
      </w:pPr>
    </w:p>
    <w:p w14:paraId="0867F8FC" w14:textId="77777777" w:rsidR="00F6696E" w:rsidRPr="00320565" w:rsidRDefault="00F6696E" w:rsidP="00D02288">
      <w:pPr>
        <w:sectPr w:rsidR="00F6696E" w:rsidRPr="00320565"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320565" w:rsidRDefault="00554826" w:rsidP="00D02288">
      <w:pPr>
        <w:pStyle w:val="ActHead5"/>
      </w:pPr>
      <w:bookmarkStart w:id="0" w:name="_Toc96414672"/>
      <w:r w:rsidRPr="00320565">
        <w:lastRenderedPageBreak/>
        <w:t>1  Name</w:t>
      </w:r>
      <w:bookmarkEnd w:id="0"/>
    </w:p>
    <w:p w14:paraId="5EF75D24" w14:textId="366ED56C" w:rsidR="00554826" w:rsidRPr="00320565" w:rsidRDefault="00554826" w:rsidP="00D02288">
      <w:pPr>
        <w:pStyle w:val="subsection"/>
        <w:tabs>
          <w:tab w:val="clear" w:pos="1021"/>
        </w:tabs>
        <w:ind w:left="709" w:hanging="709"/>
      </w:pPr>
      <w:r w:rsidRPr="00320565">
        <w:tab/>
      </w:r>
      <w:r w:rsidRPr="00320565">
        <w:tab/>
        <w:t xml:space="preserve">This instrument is the </w:t>
      </w:r>
      <w:bookmarkStart w:id="1" w:name="BKCheck15B_3"/>
      <w:bookmarkEnd w:id="1"/>
      <w:r w:rsidR="00E81E54" w:rsidRPr="00320565">
        <w:rPr>
          <w:i/>
          <w:iCs/>
        </w:rPr>
        <w:t>Health Insurance Legislation Amendment (2022 Measures No. 2) Determination 2022</w:t>
      </w:r>
      <w:r w:rsidR="009D4587" w:rsidRPr="00320565">
        <w:t>.</w:t>
      </w:r>
    </w:p>
    <w:p w14:paraId="52BD1EFF" w14:textId="77777777" w:rsidR="00554826" w:rsidRPr="00320565" w:rsidRDefault="00554826" w:rsidP="00D02288">
      <w:pPr>
        <w:pStyle w:val="ActHead5"/>
      </w:pPr>
      <w:bookmarkStart w:id="2" w:name="_Toc96414673"/>
      <w:r w:rsidRPr="00320565">
        <w:t>2  Commencement</w:t>
      </w:r>
      <w:bookmarkEnd w:id="2"/>
    </w:p>
    <w:p w14:paraId="3C5AEC36" w14:textId="77777777" w:rsidR="004940C4" w:rsidRPr="00320565" w:rsidRDefault="004940C4" w:rsidP="00D02288">
      <w:pPr>
        <w:pStyle w:val="subsection"/>
        <w:tabs>
          <w:tab w:val="left" w:pos="709"/>
        </w:tabs>
        <w:ind w:left="709" w:hanging="709"/>
      </w:pPr>
      <w:r w:rsidRPr="00320565">
        <w:t>(1)</w:t>
      </w:r>
      <w:r w:rsidRPr="00320565">
        <w:tab/>
      </w:r>
      <w:r w:rsidRPr="00320565">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320565" w:rsidRDefault="004940C4" w:rsidP="00D02288">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320565" w14:paraId="2F3A7035" w14:textId="77777777" w:rsidTr="00E52169">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Commencement information</w:t>
            </w:r>
          </w:p>
        </w:tc>
      </w:tr>
      <w:tr w:rsidR="004940C4" w:rsidRPr="00320565" w14:paraId="7B1560D1" w14:textId="77777777" w:rsidTr="00E52169">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Column 3</w:t>
            </w:r>
          </w:p>
        </w:tc>
      </w:tr>
      <w:tr w:rsidR="004940C4" w:rsidRPr="00320565" w14:paraId="4A74A92F" w14:textId="77777777" w:rsidTr="00E52169">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320565" w:rsidRDefault="004940C4" w:rsidP="00D02288">
            <w:pPr>
              <w:keepNext/>
              <w:autoSpaceDE w:val="0"/>
              <w:autoSpaceDN w:val="0"/>
              <w:spacing w:before="60" w:line="240" w:lineRule="atLeast"/>
              <w:rPr>
                <w:rFonts w:eastAsia="Times New Roman" w:cs="Times New Roman"/>
                <w:b/>
                <w:sz w:val="20"/>
                <w:szCs w:val="24"/>
                <w:lang w:eastAsia="en-AU"/>
              </w:rPr>
            </w:pPr>
            <w:r w:rsidRPr="00320565">
              <w:rPr>
                <w:rFonts w:eastAsia="Times New Roman" w:cs="Times New Roman"/>
                <w:b/>
                <w:sz w:val="20"/>
                <w:szCs w:val="24"/>
                <w:lang w:eastAsia="en-AU"/>
              </w:rPr>
              <w:t>Date/Details</w:t>
            </w:r>
          </w:p>
        </w:tc>
      </w:tr>
      <w:tr w:rsidR="004940C4" w:rsidRPr="00320565"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2CEF9939" w:rsidR="004940C4" w:rsidRPr="00320565" w:rsidRDefault="004940C4" w:rsidP="00D02288">
            <w:pPr>
              <w:keepNext/>
              <w:autoSpaceDE w:val="0"/>
              <w:autoSpaceDN w:val="0"/>
              <w:spacing w:before="60" w:line="240" w:lineRule="atLeast"/>
              <w:rPr>
                <w:rFonts w:eastAsia="Times New Roman" w:cs="Times New Roman"/>
                <w:sz w:val="20"/>
                <w:szCs w:val="24"/>
                <w:lang w:eastAsia="en-AU"/>
              </w:rPr>
            </w:pPr>
            <w:r w:rsidRPr="00320565">
              <w:rPr>
                <w:rFonts w:eastAsia="Times New Roman" w:cs="Times New Roman"/>
                <w:sz w:val="20"/>
                <w:szCs w:val="24"/>
                <w:lang w:eastAsia="en-AU"/>
              </w:rPr>
              <w:t xml:space="preserve">1.  </w:t>
            </w:r>
            <w:r w:rsidR="005C3730" w:rsidRPr="00320565">
              <w:rPr>
                <w:rFonts w:eastAsia="Times New Roman" w:cs="Times New Roman"/>
                <w:sz w:val="20"/>
                <w:szCs w:val="24"/>
                <w:lang w:eastAsia="en-AU"/>
              </w:rPr>
              <w:t>Sections 1 to 4</w:t>
            </w:r>
          </w:p>
        </w:tc>
        <w:tc>
          <w:tcPr>
            <w:tcW w:w="3367" w:type="dxa"/>
            <w:tcBorders>
              <w:top w:val="single" w:sz="12" w:space="0" w:color="auto"/>
              <w:left w:val="nil"/>
              <w:bottom w:val="single" w:sz="12" w:space="0" w:color="auto"/>
              <w:right w:val="nil"/>
            </w:tcBorders>
            <w:hideMark/>
          </w:tcPr>
          <w:p w14:paraId="156E075A" w14:textId="034E00E8" w:rsidR="004940C4" w:rsidRPr="00320565" w:rsidRDefault="005C3730" w:rsidP="00D02288">
            <w:pPr>
              <w:keepNext/>
              <w:autoSpaceDE w:val="0"/>
              <w:autoSpaceDN w:val="0"/>
              <w:spacing w:before="60" w:line="240" w:lineRule="atLeast"/>
              <w:rPr>
                <w:rFonts w:eastAsia="Times New Roman" w:cs="Times New Roman"/>
                <w:sz w:val="20"/>
                <w:szCs w:val="24"/>
                <w:lang w:eastAsia="en-AU"/>
              </w:rPr>
            </w:pPr>
            <w:r w:rsidRPr="00320565">
              <w:rPr>
                <w:rFonts w:eastAsia="Times New Roman" w:cs="Times New Roman"/>
                <w:sz w:val="20"/>
                <w:szCs w:val="24"/>
                <w:lang w:eastAsia="en-AU"/>
              </w:rPr>
              <w:t>Immediately after registration of this instrument.</w:t>
            </w:r>
          </w:p>
        </w:tc>
        <w:tc>
          <w:tcPr>
            <w:tcW w:w="1843" w:type="dxa"/>
            <w:tcBorders>
              <w:top w:val="single" w:sz="12" w:space="0" w:color="auto"/>
              <w:left w:val="nil"/>
              <w:bottom w:val="single" w:sz="12" w:space="0" w:color="auto"/>
              <w:right w:val="nil"/>
            </w:tcBorders>
          </w:tcPr>
          <w:p w14:paraId="391CC044" w14:textId="77777777" w:rsidR="004940C4" w:rsidRPr="00320565" w:rsidRDefault="004940C4" w:rsidP="00D02288">
            <w:pPr>
              <w:keepNext/>
              <w:autoSpaceDE w:val="0"/>
              <w:autoSpaceDN w:val="0"/>
              <w:spacing w:before="60" w:line="240" w:lineRule="atLeast"/>
              <w:rPr>
                <w:rFonts w:eastAsia="Times New Roman" w:cs="Times New Roman"/>
                <w:sz w:val="20"/>
                <w:szCs w:val="24"/>
                <w:lang w:eastAsia="en-AU"/>
              </w:rPr>
            </w:pPr>
          </w:p>
        </w:tc>
      </w:tr>
      <w:tr w:rsidR="003E73C0" w:rsidRPr="00320565" w14:paraId="757B5260" w14:textId="77777777" w:rsidTr="005C3730">
        <w:trPr>
          <w:cantSplit/>
        </w:trPr>
        <w:tc>
          <w:tcPr>
            <w:tcW w:w="3154" w:type="dxa"/>
            <w:tcBorders>
              <w:top w:val="single" w:sz="12" w:space="0" w:color="auto"/>
              <w:left w:val="nil"/>
              <w:bottom w:val="single" w:sz="12" w:space="0" w:color="auto"/>
              <w:right w:val="nil"/>
            </w:tcBorders>
          </w:tcPr>
          <w:p w14:paraId="301B1EFD" w14:textId="763D386F" w:rsidR="003E73C0" w:rsidRPr="00320565" w:rsidRDefault="005C3730" w:rsidP="00D02288">
            <w:pPr>
              <w:keepNext/>
              <w:autoSpaceDE w:val="0"/>
              <w:autoSpaceDN w:val="0"/>
              <w:spacing w:before="60" w:line="240" w:lineRule="atLeast"/>
              <w:rPr>
                <w:rFonts w:eastAsia="Times New Roman" w:cs="Times New Roman"/>
                <w:sz w:val="20"/>
                <w:szCs w:val="24"/>
                <w:lang w:eastAsia="en-AU"/>
              </w:rPr>
            </w:pPr>
            <w:r w:rsidRPr="00320565">
              <w:rPr>
                <w:rFonts w:eastAsia="Times New Roman" w:cs="Times New Roman"/>
                <w:sz w:val="20"/>
                <w:szCs w:val="24"/>
                <w:lang w:eastAsia="en-AU"/>
              </w:rPr>
              <w:t>2. Schedule</w:t>
            </w:r>
            <w:r w:rsidR="00EB5232" w:rsidRPr="00320565">
              <w:rPr>
                <w:rFonts w:eastAsia="Times New Roman" w:cs="Times New Roman"/>
                <w:sz w:val="20"/>
                <w:szCs w:val="24"/>
                <w:lang w:eastAsia="en-AU"/>
              </w:rPr>
              <w:t>s</w:t>
            </w:r>
            <w:r w:rsidRPr="00320565">
              <w:rPr>
                <w:rFonts w:eastAsia="Times New Roman" w:cs="Times New Roman"/>
                <w:sz w:val="20"/>
                <w:szCs w:val="24"/>
                <w:lang w:eastAsia="en-AU"/>
              </w:rPr>
              <w:t xml:space="preserve"> 1</w:t>
            </w:r>
            <w:r w:rsidR="00EB5232" w:rsidRPr="00320565">
              <w:rPr>
                <w:rFonts w:eastAsia="Times New Roman" w:cs="Times New Roman"/>
                <w:sz w:val="20"/>
                <w:szCs w:val="24"/>
                <w:lang w:eastAsia="en-AU"/>
              </w:rPr>
              <w:t xml:space="preserve"> to </w:t>
            </w:r>
            <w:r w:rsidR="0063239A" w:rsidRPr="00320565">
              <w:rPr>
                <w:rFonts w:eastAsia="Times New Roman" w:cs="Times New Roman"/>
                <w:sz w:val="20"/>
                <w:szCs w:val="24"/>
                <w:lang w:eastAsia="en-AU"/>
              </w:rPr>
              <w:t>2</w:t>
            </w:r>
          </w:p>
        </w:tc>
        <w:tc>
          <w:tcPr>
            <w:tcW w:w="3367" w:type="dxa"/>
            <w:tcBorders>
              <w:top w:val="single" w:sz="12" w:space="0" w:color="auto"/>
              <w:left w:val="nil"/>
              <w:bottom w:val="single" w:sz="12" w:space="0" w:color="auto"/>
              <w:right w:val="nil"/>
            </w:tcBorders>
          </w:tcPr>
          <w:p w14:paraId="1B809140" w14:textId="7AFC2D55" w:rsidR="003E73C0" w:rsidRPr="00320565" w:rsidRDefault="00EB5232" w:rsidP="00D02288">
            <w:pPr>
              <w:keepNext/>
              <w:autoSpaceDE w:val="0"/>
              <w:autoSpaceDN w:val="0"/>
              <w:spacing w:before="60" w:line="240" w:lineRule="atLeast"/>
              <w:rPr>
                <w:rFonts w:eastAsia="Times New Roman" w:cs="Times New Roman"/>
                <w:sz w:val="20"/>
                <w:szCs w:val="24"/>
                <w:lang w:eastAsia="en-AU"/>
              </w:rPr>
            </w:pPr>
            <w:r w:rsidRPr="00320565">
              <w:rPr>
                <w:rFonts w:eastAsia="Times New Roman" w:cs="Times New Roman"/>
                <w:sz w:val="20"/>
                <w:szCs w:val="24"/>
                <w:lang w:eastAsia="en-AU"/>
              </w:rPr>
              <w:t>Day after registration of this instrument.</w:t>
            </w:r>
          </w:p>
        </w:tc>
        <w:tc>
          <w:tcPr>
            <w:tcW w:w="1843" w:type="dxa"/>
            <w:tcBorders>
              <w:top w:val="single" w:sz="12" w:space="0" w:color="auto"/>
              <w:left w:val="nil"/>
              <w:bottom w:val="single" w:sz="12" w:space="0" w:color="auto"/>
              <w:right w:val="nil"/>
            </w:tcBorders>
          </w:tcPr>
          <w:p w14:paraId="2E5106B6" w14:textId="77777777" w:rsidR="003E73C0" w:rsidRPr="00320565" w:rsidRDefault="003E73C0" w:rsidP="00D02288">
            <w:pPr>
              <w:keepNext/>
              <w:autoSpaceDE w:val="0"/>
              <w:autoSpaceDN w:val="0"/>
              <w:spacing w:before="60" w:line="240" w:lineRule="atLeast"/>
              <w:rPr>
                <w:rFonts w:eastAsia="Times New Roman" w:cs="Times New Roman"/>
                <w:color w:val="FF0000"/>
                <w:sz w:val="20"/>
                <w:szCs w:val="24"/>
                <w:lang w:eastAsia="en-AU"/>
              </w:rPr>
            </w:pPr>
          </w:p>
        </w:tc>
      </w:tr>
      <w:tr w:rsidR="005C3730" w:rsidRPr="00320565" w14:paraId="6E3D2C40" w14:textId="77777777" w:rsidTr="003229D6">
        <w:trPr>
          <w:cantSplit/>
        </w:trPr>
        <w:tc>
          <w:tcPr>
            <w:tcW w:w="3154" w:type="dxa"/>
            <w:tcBorders>
              <w:top w:val="single" w:sz="12" w:space="0" w:color="auto"/>
              <w:left w:val="nil"/>
              <w:bottom w:val="single" w:sz="12" w:space="0" w:color="auto"/>
              <w:right w:val="nil"/>
            </w:tcBorders>
          </w:tcPr>
          <w:p w14:paraId="4C0F2B79" w14:textId="1CFE746D" w:rsidR="005C3730" w:rsidRPr="00320565" w:rsidRDefault="00B46A3C" w:rsidP="00D02288">
            <w:pPr>
              <w:keepNext/>
              <w:autoSpaceDE w:val="0"/>
              <w:autoSpaceDN w:val="0"/>
              <w:spacing w:before="60" w:line="240" w:lineRule="atLeast"/>
              <w:rPr>
                <w:rFonts w:eastAsia="Times New Roman" w:cs="Times New Roman"/>
                <w:sz w:val="20"/>
                <w:szCs w:val="24"/>
                <w:lang w:eastAsia="en-AU"/>
              </w:rPr>
            </w:pPr>
            <w:r w:rsidRPr="00320565">
              <w:rPr>
                <w:rFonts w:eastAsia="Times New Roman" w:cs="Times New Roman"/>
                <w:sz w:val="20"/>
                <w:szCs w:val="24"/>
                <w:lang w:eastAsia="en-AU"/>
              </w:rPr>
              <w:t>3</w:t>
            </w:r>
            <w:r w:rsidR="005C3730" w:rsidRPr="00320565">
              <w:rPr>
                <w:rFonts w:eastAsia="Times New Roman" w:cs="Times New Roman"/>
                <w:sz w:val="20"/>
                <w:szCs w:val="24"/>
                <w:lang w:eastAsia="en-AU"/>
              </w:rPr>
              <w:t xml:space="preserve">. Schedule </w:t>
            </w:r>
            <w:r w:rsidR="0063239A" w:rsidRPr="00320565">
              <w:rPr>
                <w:rFonts w:eastAsia="Times New Roman" w:cs="Times New Roman"/>
                <w:sz w:val="20"/>
                <w:szCs w:val="24"/>
                <w:lang w:eastAsia="en-AU"/>
              </w:rPr>
              <w:t>3</w:t>
            </w:r>
          </w:p>
        </w:tc>
        <w:tc>
          <w:tcPr>
            <w:tcW w:w="3367" w:type="dxa"/>
            <w:tcBorders>
              <w:top w:val="single" w:sz="12" w:space="0" w:color="auto"/>
              <w:left w:val="nil"/>
              <w:bottom w:val="single" w:sz="12" w:space="0" w:color="auto"/>
              <w:right w:val="nil"/>
            </w:tcBorders>
          </w:tcPr>
          <w:p w14:paraId="7D038F1B" w14:textId="24899152" w:rsidR="005C3730" w:rsidRPr="00320565" w:rsidRDefault="005C3730" w:rsidP="00D02288">
            <w:pPr>
              <w:keepNext/>
              <w:autoSpaceDE w:val="0"/>
              <w:autoSpaceDN w:val="0"/>
              <w:spacing w:before="60" w:line="240" w:lineRule="atLeast"/>
              <w:rPr>
                <w:rFonts w:eastAsia="Times New Roman" w:cs="Times New Roman"/>
                <w:sz w:val="20"/>
                <w:szCs w:val="24"/>
                <w:lang w:eastAsia="en-AU"/>
              </w:rPr>
            </w:pPr>
            <w:r w:rsidRPr="00320565">
              <w:rPr>
                <w:rFonts w:eastAsia="Times New Roman" w:cs="Times New Roman"/>
                <w:sz w:val="20"/>
                <w:szCs w:val="24"/>
                <w:lang w:eastAsia="en-AU"/>
              </w:rPr>
              <w:t xml:space="preserve">Immediately after commencement of </w:t>
            </w:r>
            <w:r w:rsidR="00EC0C22" w:rsidRPr="00320565">
              <w:rPr>
                <w:rFonts w:eastAsia="Times New Roman" w:cs="Times New Roman"/>
                <w:sz w:val="20"/>
                <w:szCs w:val="24"/>
                <w:lang w:eastAsia="en-AU"/>
              </w:rPr>
              <w:t xml:space="preserve">Schedule 1 of </w:t>
            </w:r>
            <w:r w:rsidRPr="00320565">
              <w:rPr>
                <w:rFonts w:eastAsia="Times New Roman" w:cs="Times New Roman"/>
                <w:sz w:val="20"/>
                <w:szCs w:val="24"/>
                <w:lang w:eastAsia="en-AU"/>
              </w:rPr>
              <w:t xml:space="preserve">the </w:t>
            </w:r>
            <w:r w:rsidRPr="00320565">
              <w:rPr>
                <w:rFonts w:eastAsia="Times New Roman" w:cs="Times New Roman"/>
                <w:i/>
                <w:iCs/>
                <w:sz w:val="20"/>
                <w:szCs w:val="24"/>
                <w:lang w:eastAsia="en-AU"/>
              </w:rPr>
              <w:t>Health Insurance Legislation Amendment (Section 3C General Medical Services – Telehealth and Phone GP Fee Alignment) Determination 2021</w:t>
            </w:r>
            <w:r w:rsidRPr="00320565">
              <w:rPr>
                <w:rFonts w:eastAsia="Times New Roman" w:cs="Times New Roman"/>
                <w:sz w:val="20"/>
                <w:szCs w:val="24"/>
                <w:lang w:eastAsia="en-AU"/>
              </w:rPr>
              <w:t>.</w:t>
            </w:r>
          </w:p>
        </w:tc>
        <w:tc>
          <w:tcPr>
            <w:tcW w:w="1843" w:type="dxa"/>
            <w:tcBorders>
              <w:top w:val="single" w:sz="12" w:space="0" w:color="auto"/>
              <w:left w:val="nil"/>
              <w:bottom w:val="single" w:sz="12" w:space="0" w:color="auto"/>
              <w:right w:val="nil"/>
            </w:tcBorders>
          </w:tcPr>
          <w:p w14:paraId="0C95E9F6" w14:textId="77777777" w:rsidR="005C3730" w:rsidRPr="00320565" w:rsidRDefault="005C3730" w:rsidP="00D02288">
            <w:pPr>
              <w:keepNext/>
              <w:autoSpaceDE w:val="0"/>
              <w:autoSpaceDN w:val="0"/>
              <w:spacing w:before="60" w:line="240" w:lineRule="atLeast"/>
              <w:rPr>
                <w:rFonts w:eastAsia="Times New Roman" w:cs="Times New Roman"/>
                <w:color w:val="FF0000"/>
                <w:sz w:val="20"/>
                <w:szCs w:val="24"/>
                <w:lang w:eastAsia="en-AU"/>
              </w:rPr>
            </w:pPr>
          </w:p>
        </w:tc>
      </w:tr>
    </w:tbl>
    <w:p w14:paraId="17141A0C" w14:textId="77777777" w:rsidR="004940C4" w:rsidRPr="00320565" w:rsidRDefault="004940C4" w:rsidP="00D02288">
      <w:pPr>
        <w:pStyle w:val="subsection"/>
        <w:tabs>
          <w:tab w:val="left" w:pos="709"/>
        </w:tabs>
        <w:ind w:left="709" w:hanging="709"/>
        <w:rPr>
          <w:sz w:val="18"/>
          <w:szCs w:val="18"/>
        </w:rPr>
      </w:pPr>
      <w:r w:rsidRPr="00320565">
        <w:rPr>
          <w:sz w:val="18"/>
          <w:szCs w:val="18"/>
        </w:rPr>
        <w:tab/>
        <w:t>Note:</w:t>
      </w:r>
      <w:r w:rsidRPr="00320565">
        <w:rPr>
          <w:sz w:val="18"/>
          <w:szCs w:val="18"/>
        </w:rPr>
        <w:tab/>
        <w:t>This table relates only to the provisions of this instrument as originally made. It will not be amended to deal with any later amendments of this instrument.</w:t>
      </w:r>
    </w:p>
    <w:p w14:paraId="79380ADC" w14:textId="77777777" w:rsidR="004940C4" w:rsidRPr="00320565" w:rsidRDefault="004940C4" w:rsidP="00D02288">
      <w:pPr>
        <w:pStyle w:val="subsection"/>
        <w:tabs>
          <w:tab w:val="clear" w:pos="1021"/>
          <w:tab w:val="left" w:pos="709"/>
        </w:tabs>
        <w:ind w:left="709" w:hanging="709"/>
      </w:pPr>
      <w:r w:rsidRPr="00320565">
        <w:t>(2)</w:t>
      </w:r>
      <w:r w:rsidRPr="00320565">
        <w:tab/>
        <w:t>Any information in column 3 of the table is not part of this instrument. Information may be inserted in this column, or information in it may be edited, in any published version of this instrument.</w:t>
      </w:r>
    </w:p>
    <w:p w14:paraId="76058537" w14:textId="77777777" w:rsidR="00554826" w:rsidRPr="00320565" w:rsidRDefault="00554826" w:rsidP="00D02288">
      <w:pPr>
        <w:pStyle w:val="ActHead5"/>
      </w:pPr>
      <w:bookmarkStart w:id="3" w:name="_Toc96414674"/>
      <w:r w:rsidRPr="00320565">
        <w:t>3  Authority</w:t>
      </w:r>
      <w:bookmarkEnd w:id="3"/>
    </w:p>
    <w:p w14:paraId="4CD49361" w14:textId="77777777" w:rsidR="00554826" w:rsidRPr="00320565" w:rsidRDefault="00554826" w:rsidP="00D02288">
      <w:pPr>
        <w:pStyle w:val="subsection"/>
        <w:tabs>
          <w:tab w:val="clear" w:pos="1021"/>
        </w:tabs>
        <w:ind w:left="709" w:hanging="709"/>
      </w:pPr>
      <w:r w:rsidRPr="00320565">
        <w:tab/>
      </w:r>
      <w:r w:rsidRPr="00320565">
        <w:tab/>
        <w:t xml:space="preserve">This instrument is </w:t>
      </w:r>
      <w:r w:rsidR="00FF4480" w:rsidRPr="00320565">
        <w:t xml:space="preserve">made under subsection 3C(1) of the </w:t>
      </w:r>
      <w:r w:rsidR="00FF4480" w:rsidRPr="00320565">
        <w:rPr>
          <w:i/>
        </w:rPr>
        <w:t>Health Insurance Act 1973</w:t>
      </w:r>
      <w:r w:rsidR="009D4587" w:rsidRPr="00320565">
        <w:t>.</w:t>
      </w:r>
    </w:p>
    <w:p w14:paraId="1226C895" w14:textId="77777777" w:rsidR="00554826" w:rsidRPr="00320565" w:rsidRDefault="00495AF2" w:rsidP="00D02288">
      <w:pPr>
        <w:pStyle w:val="ActHead5"/>
      </w:pPr>
      <w:bookmarkStart w:id="4" w:name="_Toc454781205"/>
      <w:bookmarkStart w:id="5" w:name="_Toc96414675"/>
      <w:r w:rsidRPr="00320565">
        <w:t>4</w:t>
      </w:r>
      <w:r w:rsidR="00554826" w:rsidRPr="00320565">
        <w:t xml:space="preserve">  Schedules</w:t>
      </w:r>
      <w:bookmarkEnd w:id="4"/>
      <w:bookmarkEnd w:id="5"/>
    </w:p>
    <w:p w14:paraId="74E9B585" w14:textId="77777777" w:rsidR="00554826" w:rsidRPr="00320565" w:rsidRDefault="00554826" w:rsidP="00D02288">
      <w:pPr>
        <w:pStyle w:val="subsection"/>
        <w:tabs>
          <w:tab w:val="clear" w:pos="1021"/>
        </w:tabs>
        <w:ind w:left="709" w:hanging="709"/>
      </w:pPr>
      <w:r w:rsidRPr="00320565">
        <w:tab/>
      </w:r>
      <w:r w:rsidRPr="00320565">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320565" w:rsidRDefault="00554826" w:rsidP="00D02288">
      <w:pPr>
        <w:spacing w:line="240" w:lineRule="auto"/>
        <w:rPr>
          <w:rFonts w:eastAsia="Times New Roman" w:cs="Times New Roman"/>
          <w:lang w:eastAsia="en-AU"/>
        </w:rPr>
      </w:pPr>
      <w:r w:rsidRPr="00320565">
        <w:br w:type="page"/>
      </w:r>
    </w:p>
    <w:p w14:paraId="3B548A03" w14:textId="49FFDD30" w:rsidR="00FF4480" w:rsidRPr="00320565" w:rsidRDefault="004E1307" w:rsidP="00D02288">
      <w:pPr>
        <w:pStyle w:val="ActHead5"/>
        <w:rPr>
          <w:rFonts w:ascii="Arial" w:hAnsi="Arial" w:cs="Arial"/>
        </w:rPr>
      </w:pPr>
      <w:bookmarkStart w:id="6" w:name="_Toc96414676"/>
      <w:r w:rsidRPr="00320565">
        <w:rPr>
          <w:rFonts w:ascii="Arial" w:hAnsi="Arial" w:cs="Arial"/>
        </w:rPr>
        <w:lastRenderedPageBreak/>
        <w:t xml:space="preserve">Schedule </w:t>
      </w:r>
      <w:r w:rsidR="00D6537E" w:rsidRPr="00320565">
        <w:rPr>
          <w:rFonts w:ascii="Arial" w:hAnsi="Arial" w:cs="Arial"/>
        </w:rPr>
        <w:t>1—</w:t>
      </w:r>
      <w:r w:rsidR="009D4587" w:rsidRPr="00320565">
        <w:rPr>
          <w:rFonts w:ascii="Arial" w:hAnsi="Arial" w:cs="Arial"/>
        </w:rPr>
        <w:t xml:space="preserve"> </w:t>
      </w:r>
      <w:r w:rsidR="00E76539" w:rsidRPr="00320565">
        <w:rPr>
          <w:rFonts w:ascii="Arial" w:hAnsi="Arial" w:cs="Arial"/>
        </w:rPr>
        <w:t>Telehealth a</w:t>
      </w:r>
      <w:r w:rsidR="009D4587" w:rsidRPr="00320565">
        <w:rPr>
          <w:rFonts w:ascii="Arial" w:hAnsi="Arial" w:cs="Arial"/>
        </w:rPr>
        <w:t>mendments</w:t>
      </w:r>
      <w:bookmarkEnd w:id="6"/>
    </w:p>
    <w:p w14:paraId="77D55D1D" w14:textId="305E3B40" w:rsidR="006E5B2B" w:rsidRPr="00320565" w:rsidRDefault="006E5B2B" w:rsidP="00D02288">
      <w:pPr>
        <w:pStyle w:val="subsection"/>
        <w:rPr>
          <w:rFonts w:ascii="Arial" w:hAnsi="Arial" w:cs="Arial"/>
          <w:b/>
          <w:bCs/>
          <w:i/>
          <w:iCs/>
          <w:sz w:val="24"/>
          <w:szCs w:val="22"/>
        </w:rPr>
      </w:pPr>
      <w:r w:rsidRPr="00320565">
        <w:rPr>
          <w:rFonts w:ascii="Arial" w:hAnsi="Arial" w:cs="Arial"/>
          <w:b/>
          <w:bCs/>
          <w:i/>
          <w:iCs/>
          <w:sz w:val="24"/>
          <w:szCs w:val="22"/>
        </w:rPr>
        <w:t>Health Insurance (Section 3C General Medical Services – Telehealth and Telephone Attendances) Determination 2021</w:t>
      </w:r>
    </w:p>
    <w:p w14:paraId="57CAC43D" w14:textId="5A9C187E" w:rsidR="00641C5C" w:rsidRPr="00320565" w:rsidRDefault="00641C5C" w:rsidP="00D02288">
      <w:pPr>
        <w:pStyle w:val="subsection"/>
        <w:numPr>
          <w:ilvl w:val="0"/>
          <w:numId w:val="21"/>
        </w:numPr>
        <w:rPr>
          <w:rFonts w:ascii="Arial" w:hAnsi="Arial" w:cs="Arial"/>
          <w:b/>
          <w:bCs/>
          <w:sz w:val="24"/>
          <w:szCs w:val="22"/>
        </w:rPr>
      </w:pPr>
      <w:r w:rsidRPr="00320565">
        <w:rPr>
          <w:rFonts w:ascii="Arial" w:hAnsi="Arial" w:cs="Arial"/>
          <w:b/>
          <w:bCs/>
          <w:sz w:val="24"/>
          <w:szCs w:val="22"/>
        </w:rPr>
        <w:t xml:space="preserve">Subsection 5(1) (definition of </w:t>
      </w:r>
      <w:r w:rsidR="00046EBF" w:rsidRPr="00320565">
        <w:rPr>
          <w:rFonts w:ascii="Arial" w:hAnsi="Arial" w:cs="Arial"/>
          <w:b/>
          <w:bCs/>
          <w:i/>
          <w:iCs/>
          <w:sz w:val="24"/>
          <w:szCs w:val="22"/>
        </w:rPr>
        <w:t xml:space="preserve">person who is in a </w:t>
      </w:r>
      <w:r w:rsidRPr="00320565">
        <w:rPr>
          <w:rFonts w:ascii="Arial" w:hAnsi="Arial" w:cs="Arial"/>
          <w:b/>
          <w:bCs/>
          <w:i/>
          <w:iCs/>
          <w:sz w:val="24"/>
          <w:szCs w:val="22"/>
        </w:rPr>
        <w:t>COVID-19 Commonwealth declared hotspot</w:t>
      </w:r>
      <w:r w:rsidRPr="00320565">
        <w:rPr>
          <w:rFonts w:ascii="Arial" w:hAnsi="Arial" w:cs="Arial"/>
          <w:b/>
          <w:bCs/>
          <w:sz w:val="24"/>
          <w:szCs w:val="22"/>
        </w:rPr>
        <w:t>)</w:t>
      </w:r>
    </w:p>
    <w:p w14:paraId="3E7253E5" w14:textId="61CEFAC7" w:rsidR="00641C5C" w:rsidRPr="00320565" w:rsidRDefault="00641C5C" w:rsidP="00D02288">
      <w:pPr>
        <w:pStyle w:val="subsection"/>
        <w:ind w:left="720" w:firstLine="0"/>
      </w:pPr>
      <w:r w:rsidRPr="00320565">
        <w:t>Repeal the definition.</w:t>
      </w:r>
    </w:p>
    <w:p w14:paraId="062B8A0B" w14:textId="46DE435B" w:rsidR="00E76539" w:rsidRPr="00320565" w:rsidRDefault="00885EAB" w:rsidP="00D02288">
      <w:pPr>
        <w:pStyle w:val="subsection"/>
        <w:numPr>
          <w:ilvl w:val="0"/>
          <w:numId w:val="21"/>
        </w:numPr>
        <w:rPr>
          <w:rFonts w:ascii="Arial" w:hAnsi="Arial" w:cs="Arial"/>
          <w:b/>
          <w:bCs/>
          <w:sz w:val="24"/>
          <w:szCs w:val="22"/>
        </w:rPr>
      </w:pPr>
      <w:r w:rsidRPr="00320565">
        <w:rPr>
          <w:rFonts w:ascii="Arial" w:hAnsi="Arial" w:cs="Arial"/>
          <w:b/>
          <w:bCs/>
          <w:sz w:val="24"/>
          <w:szCs w:val="22"/>
        </w:rPr>
        <w:t>Subsection 7(5)</w:t>
      </w:r>
    </w:p>
    <w:p w14:paraId="2C4C4C53" w14:textId="3D15645B" w:rsidR="00885EAB" w:rsidRPr="00320565" w:rsidRDefault="00885EAB" w:rsidP="00D02288">
      <w:pPr>
        <w:pStyle w:val="subsection"/>
        <w:ind w:left="720" w:firstLine="0"/>
      </w:pPr>
      <w:r w:rsidRPr="00320565">
        <w:t>After “Schedule 1”, insert “or 8”.</w:t>
      </w:r>
    </w:p>
    <w:p w14:paraId="78B7D52A" w14:textId="697DF732" w:rsidR="00885EAB" w:rsidRPr="00320565" w:rsidRDefault="00885EAB" w:rsidP="00D02288">
      <w:pPr>
        <w:pStyle w:val="subsection"/>
        <w:numPr>
          <w:ilvl w:val="0"/>
          <w:numId w:val="21"/>
        </w:numPr>
        <w:rPr>
          <w:rFonts w:ascii="Arial" w:hAnsi="Arial" w:cs="Arial"/>
          <w:b/>
          <w:bCs/>
          <w:sz w:val="24"/>
          <w:szCs w:val="22"/>
        </w:rPr>
      </w:pPr>
      <w:r w:rsidRPr="00320565">
        <w:rPr>
          <w:rFonts w:ascii="Arial" w:hAnsi="Arial" w:cs="Arial"/>
          <w:b/>
          <w:bCs/>
          <w:sz w:val="24"/>
          <w:szCs w:val="22"/>
        </w:rPr>
        <w:t>Paragraph 7(6)(a)</w:t>
      </w:r>
    </w:p>
    <w:p w14:paraId="18C6B2F7" w14:textId="1558D8FF" w:rsidR="00885EAB" w:rsidRPr="00320565" w:rsidRDefault="00885EAB" w:rsidP="00D02288">
      <w:pPr>
        <w:pStyle w:val="subsection"/>
        <w:ind w:left="720" w:firstLine="0"/>
      </w:pPr>
      <w:r w:rsidRPr="00320565">
        <w:t>Repeal the paragraph, substitute:</w:t>
      </w:r>
    </w:p>
    <w:p w14:paraId="4DC9E8B1" w14:textId="77777777" w:rsidR="00885EAB" w:rsidRPr="00320565" w:rsidRDefault="00885EAB" w:rsidP="00D02288">
      <w:pPr>
        <w:spacing w:before="120" w:after="120"/>
        <w:ind w:left="1843" w:hanging="403"/>
        <w:rPr>
          <w:rFonts w:eastAsia="Times New Roman" w:cs="Times New Roman"/>
          <w:color w:val="000000"/>
          <w:szCs w:val="22"/>
          <w:lang w:eastAsia="en-AU"/>
        </w:rPr>
      </w:pPr>
      <w:r w:rsidRPr="00320565">
        <w:rPr>
          <w:rFonts w:eastAsia="Times New Roman" w:cs="Times New Roman"/>
          <w:color w:val="000000"/>
          <w:szCs w:val="22"/>
          <w:lang w:eastAsia="en-AU"/>
        </w:rPr>
        <w:t>(a)   a service provided to:</w:t>
      </w:r>
    </w:p>
    <w:p w14:paraId="55F0A298" w14:textId="77777777" w:rsidR="00885EAB" w:rsidRPr="00320565" w:rsidRDefault="00885EAB" w:rsidP="00D02288">
      <w:pPr>
        <w:spacing w:before="120" w:after="120"/>
        <w:ind w:left="2410" w:hanging="567"/>
        <w:rPr>
          <w:rFonts w:eastAsia="Times New Roman" w:cs="Times New Roman"/>
          <w:color w:val="000000"/>
          <w:szCs w:val="22"/>
          <w:lang w:eastAsia="en-AU"/>
        </w:rPr>
      </w:pPr>
      <w:r w:rsidRPr="00320565">
        <w:rPr>
          <w:rFonts w:eastAsia="Times New Roman" w:cs="Times New Roman"/>
          <w:color w:val="000000"/>
          <w:sz w:val="24"/>
          <w:szCs w:val="24"/>
          <w:lang w:eastAsia="en-AU"/>
        </w:rPr>
        <w:t>(i)      </w:t>
      </w:r>
      <w:r w:rsidRPr="00320565">
        <w:rPr>
          <w:rFonts w:eastAsia="Times New Roman" w:cs="Times New Roman"/>
          <w:color w:val="000000"/>
          <w:szCs w:val="22"/>
          <w:lang w:eastAsia="en-AU"/>
        </w:rPr>
        <w:t>a person who is under the age of 12 months; or</w:t>
      </w:r>
    </w:p>
    <w:p w14:paraId="426C893B" w14:textId="0DC2F3C0" w:rsidR="00885EAB" w:rsidRPr="00320565" w:rsidRDefault="00885EAB" w:rsidP="00D02288">
      <w:pPr>
        <w:spacing w:before="120" w:after="120"/>
        <w:ind w:left="2410" w:hanging="567"/>
        <w:rPr>
          <w:rFonts w:eastAsia="Times New Roman" w:cs="Times New Roman"/>
          <w:color w:val="000000"/>
          <w:szCs w:val="22"/>
          <w:lang w:eastAsia="en-AU"/>
        </w:rPr>
      </w:pPr>
      <w:r w:rsidRPr="00320565">
        <w:rPr>
          <w:rFonts w:eastAsia="Times New Roman" w:cs="Times New Roman"/>
          <w:color w:val="000000"/>
          <w:sz w:val="24"/>
          <w:szCs w:val="24"/>
          <w:lang w:eastAsia="en-AU"/>
        </w:rPr>
        <w:t>(ii)     </w:t>
      </w:r>
      <w:r w:rsidRPr="00320565">
        <w:rPr>
          <w:rFonts w:eastAsia="Times New Roman" w:cs="Times New Roman"/>
          <w:color w:val="000000"/>
          <w:szCs w:val="22"/>
          <w:lang w:eastAsia="en-AU"/>
        </w:rPr>
        <w:t>a person who is experiencing homelessness; or</w:t>
      </w:r>
    </w:p>
    <w:p w14:paraId="58D9754C" w14:textId="53F0C2E7" w:rsidR="00885EAB" w:rsidRPr="00320565" w:rsidRDefault="00885EAB" w:rsidP="00D02288">
      <w:pPr>
        <w:spacing w:before="120" w:after="120"/>
        <w:ind w:left="2410" w:hanging="567"/>
        <w:rPr>
          <w:rFonts w:eastAsia="Times New Roman" w:cs="Times New Roman"/>
          <w:color w:val="000000"/>
          <w:szCs w:val="22"/>
          <w:lang w:eastAsia="en-AU"/>
        </w:rPr>
      </w:pPr>
      <w:r w:rsidRPr="00320565">
        <w:rPr>
          <w:rFonts w:eastAsia="Times New Roman" w:cs="Times New Roman"/>
          <w:color w:val="000000"/>
          <w:sz w:val="24"/>
          <w:szCs w:val="24"/>
          <w:lang w:eastAsia="en-AU"/>
        </w:rPr>
        <w:t>(iii)    </w:t>
      </w:r>
      <w:r w:rsidRPr="00320565">
        <w:rPr>
          <w:rFonts w:eastAsia="Times New Roman" w:cs="Times New Roman"/>
          <w:color w:val="000000"/>
          <w:szCs w:val="22"/>
          <w:shd w:val="clear" w:color="auto" w:fill="FFFFFF"/>
          <w:lang w:eastAsia="en-AU"/>
        </w:rPr>
        <w:t>a person who is in COVID</w:t>
      </w:r>
      <w:r w:rsidRPr="00320565">
        <w:rPr>
          <w:rFonts w:eastAsia="Times New Roman" w:cs="Times New Roman"/>
          <w:color w:val="000000"/>
          <w:szCs w:val="22"/>
          <w:shd w:val="clear" w:color="auto" w:fill="FFFFFF"/>
          <w:lang w:eastAsia="en-AU"/>
        </w:rPr>
        <w:noBreakHyphen/>
        <w:t>19 isolation because of a State or Territory public health order; or</w:t>
      </w:r>
    </w:p>
    <w:p w14:paraId="2975CEC9" w14:textId="5CC87221" w:rsidR="00885EAB" w:rsidRPr="00320565" w:rsidRDefault="00885EAB" w:rsidP="00D02288">
      <w:pPr>
        <w:spacing w:before="120" w:after="120"/>
        <w:ind w:left="2410" w:hanging="567"/>
        <w:rPr>
          <w:rFonts w:eastAsia="Times New Roman" w:cs="Times New Roman"/>
          <w:color w:val="000000"/>
          <w:szCs w:val="22"/>
          <w:lang w:eastAsia="en-AU"/>
        </w:rPr>
      </w:pPr>
      <w:r w:rsidRPr="00320565">
        <w:rPr>
          <w:rFonts w:eastAsia="Times New Roman" w:cs="Times New Roman"/>
          <w:color w:val="000000"/>
          <w:sz w:val="24"/>
          <w:szCs w:val="24"/>
          <w:lang w:eastAsia="en-AU"/>
        </w:rPr>
        <w:t>(iv)     </w:t>
      </w:r>
      <w:r w:rsidRPr="00320565">
        <w:rPr>
          <w:rFonts w:eastAsia="Times New Roman" w:cs="Times New Roman"/>
          <w:color w:val="000000"/>
          <w:szCs w:val="22"/>
          <w:shd w:val="clear" w:color="auto" w:fill="FFFFFF"/>
          <w:lang w:eastAsia="en-AU"/>
        </w:rPr>
        <w:t>a person who is in COVID</w:t>
      </w:r>
      <w:r w:rsidRPr="00320565">
        <w:rPr>
          <w:rFonts w:eastAsia="Times New Roman" w:cs="Times New Roman"/>
          <w:color w:val="000000"/>
          <w:szCs w:val="22"/>
          <w:shd w:val="clear" w:color="auto" w:fill="FFFFFF"/>
          <w:lang w:eastAsia="en-AU"/>
        </w:rPr>
        <w:noBreakHyphen/>
        <w:t>19 quarantine because of a State or Territory public health order; or</w:t>
      </w:r>
    </w:p>
    <w:p w14:paraId="278AB742" w14:textId="35943909" w:rsidR="00885EAB" w:rsidRPr="00320565" w:rsidRDefault="00885EAB" w:rsidP="00D02288">
      <w:pPr>
        <w:spacing w:before="120" w:after="120"/>
        <w:ind w:left="2410" w:hanging="567"/>
        <w:rPr>
          <w:rFonts w:eastAsia="Times New Roman" w:cs="Times New Roman"/>
          <w:color w:val="000000"/>
          <w:szCs w:val="22"/>
          <w:lang w:eastAsia="en-AU"/>
        </w:rPr>
      </w:pPr>
      <w:r w:rsidRPr="00320565">
        <w:rPr>
          <w:rFonts w:eastAsia="Times New Roman" w:cs="Times New Roman"/>
          <w:color w:val="000000"/>
          <w:sz w:val="24"/>
          <w:szCs w:val="24"/>
          <w:lang w:eastAsia="en-AU"/>
        </w:rPr>
        <w:t>(v)    </w:t>
      </w:r>
      <w:r w:rsidRPr="00320565">
        <w:rPr>
          <w:rFonts w:eastAsia="Times New Roman" w:cs="Times New Roman"/>
          <w:color w:val="000000"/>
          <w:szCs w:val="22"/>
          <w:lang w:eastAsia="en-AU"/>
        </w:rPr>
        <w:t>a person who receives the service from a medical practitioner located at an Aboriginal Medical Service or an Aboriginal Community Controlled Health Service; or</w:t>
      </w:r>
    </w:p>
    <w:p w14:paraId="0FA52856" w14:textId="45B330B7" w:rsidR="00885EAB" w:rsidRPr="00320565" w:rsidRDefault="00885EAB" w:rsidP="00D02288">
      <w:pPr>
        <w:spacing w:before="120" w:after="120"/>
        <w:ind w:left="2410" w:hanging="567"/>
        <w:rPr>
          <w:rFonts w:eastAsia="Times New Roman" w:cs="Times New Roman"/>
          <w:color w:val="000000"/>
          <w:szCs w:val="22"/>
          <w:lang w:eastAsia="en-AU"/>
        </w:rPr>
      </w:pPr>
      <w:r w:rsidRPr="00320565">
        <w:rPr>
          <w:rFonts w:eastAsia="Times New Roman" w:cs="Times New Roman"/>
          <w:color w:val="000000"/>
          <w:szCs w:val="22"/>
          <w:lang w:eastAsia="en-AU"/>
        </w:rPr>
        <w:t>(vi)   a person who is in a flood affected area; or</w:t>
      </w:r>
    </w:p>
    <w:p w14:paraId="0C895A53" w14:textId="425B63BD" w:rsidR="00885EAB" w:rsidRPr="00320565" w:rsidRDefault="00885EAB" w:rsidP="00D02288">
      <w:pPr>
        <w:pStyle w:val="subsection"/>
        <w:numPr>
          <w:ilvl w:val="0"/>
          <w:numId w:val="21"/>
        </w:numPr>
        <w:rPr>
          <w:rFonts w:ascii="Arial" w:hAnsi="Arial" w:cs="Arial"/>
          <w:b/>
          <w:bCs/>
          <w:sz w:val="24"/>
          <w:szCs w:val="22"/>
        </w:rPr>
      </w:pPr>
      <w:r w:rsidRPr="00320565">
        <w:rPr>
          <w:rFonts w:ascii="Arial" w:hAnsi="Arial" w:cs="Arial"/>
          <w:b/>
          <w:bCs/>
          <w:sz w:val="24"/>
          <w:szCs w:val="22"/>
        </w:rPr>
        <w:t>Schedule 3 (subclause 3.1.2(5))</w:t>
      </w:r>
    </w:p>
    <w:p w14:paraId="470E249F" w14:textId="2EE7B4B2" w:rsidR="00885EAB" w:rsidRPr="00320565" w:rsidRDefault="00A85949" w:rsidP="00D02288">
      <w:pPr>
        <w:pStyle w:val="subsection"/>
        <w:ind w:left="720" w:firstLine="0"/>
      </w:pPr>
      <w:r w:rsidRPr="00320565">
        <w:t>Repeal the subclause, substitute:</w:t>
      </w:r>
    </w:p>
    <w:p w14:paraId="0A0BD24E" w14:textId="21C0AA04" w:rsidR="00A85949" w:rsidRPr="00320565" w:rsidRDefault="00A85949" w:rsidP="00D02288">
      <w:pPr>
        <w:pStyle w:val="subsection"/>
        <w:ind w:left="1117" w:hanging="397"/>
      </w:pPr>
      <w:r w:rsidRPr="00320565">
        <w:rPr>
          <w:color w:val="000000"/>
          <w:szCs w:val="22"/>
          <w:shd w:val="clear" w:color="auto" w:fill="FFFFFF"/>
        </w:rPr>
        <w:t>(5)  If a child has previously been provided with a service mentioned in item 289 of the general medical services table or item 92434 or 92474, a consultant physician specialising in the practice of his or her field of psychiatry may only refer the child for a service to which any of items 296 to 352 of the general medical services table or to which any of items 91827, 91828, 91829, 91830, 91831, 91837, 91838, 91839, 91840, 91841, 92437, 92455, 92456, 92457, 92458, 92459 or 92460, 92477, 92495, 92496, 92497, 92498, 92499 or 92500 applies.</w:t>
      </w:r>
    </w:p>
    <w:p w14:paraId="39ADC6B0" w14:textId="2D39E833" w:rsidR="00885EAB" w:rsidRPr="00320565" w:rsidRDefault="00A85949" w:rsidP="00D02288">
      <w:pPr>
        <w:pStyle w:val="subsection"/>
        <w:numPr>
          <w:ilvl w:val="0"/>
          <w:numId w:val="21"/>
        </w:numPr>
        <w:rPr>
          <w:rFonts w:ascii="Arial" w:hAnsi="Arial" w:cs="Arial"/>
          <w:b/>
          <w:bCs/>
          <w:sz w:val="24"/>
          <w:szCs w:val="22"/>
        </w:rPr>
      </w:pPr>
      <w:r w:rsidRPr="00320565">
        <w:rPr>
          <w:rFonts w:ascii="Arial" w:hAnsi="Arial" w:cs="Arial"/>
          <w:b/>
          <w:bCs/>
          <w:sz w:val="24"/>
          <w:szCs w:val="22"/>
        </w:rPr>
        <w:t>Schedule 3 (subclause 3.1.2(7) and (8))</w:t>
      </w:r>
    </w:p>
    <w:p w14:paraId="713C9FB0" w14:textId="101DD594" w:rsidR="00A85949" w:rsidRPr="00320565" w:rsidRDefault="00A85949" w:rsidP="00D02288">
      <w:pPr>
        <w:pStyle w:val="subsection"/>
        <w:ind w:left="720" w:firstLine="0"/>
      </w:pPr>
      <w:r w:rsidRPr="00320565">
        <w:t>Repeal the subclause, substitute:</w:t>
      </w:r>
    </w:p>
    <w:p w14:paraId="72A7B560" w14:textId="7B9A879B" w:rsidR="00A85949" w:rsidRPr="00320565" w:rsidRDefault="00A85949" w:rsidP="00D02288">
      <w:pPr>
        <w:spacing w:before="180" w:line="240" w:lineRule="auto"/>
        <w:ind w:left="1004" w:hanging="360"/>
        <w:rPr>
          <w:rFonts w:eastAsia="Times New Roman" w:cs="Times New Roman"/>
          <w:color w:val="000000"/>
          <w:szCs w:val="22"/>
          <w:lang w:eastAsia="en-AU"/>
        </w:rPr>
      </w:pPr>
      <w:r w:rsidRPr="00320565">
        <w:rPr>
          <w:rFonts w:eastAsia="Times New Roman" w:cs="Times New Roman"/>
          <w:color w:val="000000"/>
          <w:szCs w:val="22"/>
          <w:lang w:eastAsia="en-AU"/>
        </w:rPr>
        <w:t xml:space="preserve">(7)  If a child has previously been provided with a service mentioned in item 135 of the general medical services table or item 92140 </w:t>
      </w:r>
      <w:r w:rsidRPr="00320565">
        <w:t>or 92143</w:t>
      </w:r>
      <w:r w:rsidRPr="00320565">
        <w:rPr>
          <w:rFonts w:eastAsia="Times New Roman" w:cs="Times New Roman"/>
          <w:color w:val="000000"/>
          <w:szCs w:val="22"/>
          <w:lang w:eastAsia="en-AU"/>
        </w:rPr>
        <w:t xml:space="preserve">, a consultant physician specialising in the practice of his or her field of paediatrics may only refer the </w:t>
      </w:r>
      <w:r w:rsidRPr="00320565">
        <w:rPr>
          <w:rFonts w:eastAsia="Times New Roman" w:cs="Times New Roman"/>
          <w:color w:val="000000"/>
          <w:szCs w:val="22"/>
          <w:lang w:eastAsia="en-AU"/>
        </w:rPr>
        <w:lastRenderedPageBreak/>
        <w:t>child for a service to which any of items 110 to 131 of the general medical services table or to which any of items 91824, 91825, 91826, 91834, 91835 or 91836 applies.</w:t>
      </w:r>
    </w:p>
    <w:p w14:paraId="63974E87" w14:textId="6C3B85C3" w:rsidR="00A85949" w:rsidRPr="00320565" w:rsidRDefault="00A85949" w:rsidP="00D02288">
      <w:pPr>
        <w:spacing w:before="180" w:line="240" w:lineRule="auto"/>
        <w:ind w:left="1004" w:hanging="360"/>
        <w:rPr>
          <w:rFonts w:eastAsia="Times New Roman" w:cs="Times New Roman"/>
          <w:color w:val="000000"/>
          <w:szCs w:val="22"/>
          <w:lang w:eastAsia="en-AU"/>
        </w:rPr>
      </w:pPr>
      <w:r w:rsidRPr="00320565">
        <w:rPr>
          <w:rFonts w:eastAsia="Times New Roman" w:cs="Times New Roman"/>
          <w:color w:val="000000"/>
          <w:szCs w:val="22"/>
          <w:lang w:eastAsia="en-AU"/>
        </w:rPr>
        <w:t>(8)  If a child has previously been provided with a service mentioned in item 137 or 139 of the general medical services table or item 92141, 92142</w:t>
      </w:r>
      <w:r w:rsidR="00371ACF" w:rsidRPr="00320565">
        <w:rPr>
          <w:rFonts w:eastAsia="Times New Roman" w:cs="Times New Roman"/>
          <w:color w:val="000000"/>
          <w:szCs w:val="22"/>
          <w:lang w:eastAsia="en-AU"/>
        </w:rPr>
        <w:t xml:space="preserve"> or</w:t>
      </w:r>
      <w:r w:rsidRPr="00320565">
        <w:rPr>
          <w:rFonts w:eastAsia="Times New Roman" w:cs="Times New Roman"/>
          <w:color w:val="000000"/>
          <w:szCs w:val="22"/>
          <w:lang w:eastAsia="en-AU"/>
        </w:rPr>
        <w:t xml:space="preserve"> 92144, the medical practitioner cannot refer the child for a service to which item 135 or 289 of the general medical services table or to which item 92140, 92434, 92474 or 92143 applies.</w:t>
      </w:r>
    </w:p>
    <w:p w14:paraId="3AC9D3DA" w14:textId="68C50A8B" w:rsidR="00A85949" w:rsidRPr="00320565" w:rsidRDefault="00442B06" w:rsidP="00D02288">
      <w:pPr>
        <w:pStyle w:val="subsection"/>
        <w:numPr>
          <w:ilvl w:val="0"/>
          <w:numId w:val="21"/>
        </w:numPr>
        <w:rPr>
          <w:rFonts w:ascii="Arial" w:hAnsi="Arial" w:cs="Arial"/>
          <w:b/>
          <w:bCs/>
          <w:sz w:val="24"/>
          <w:szCs w:val="22"/>
        </w:rPr>
      </w:pPr>
      <w:r w:rsidRPr="00320565">
        <w:rPr>
          <w:rFonts w:ascii="Arial" w:hAnsi="Arial" w:cs="Arial"/>
          <w:b/>
          <w:bCs/>
          <w:sz w:val="24"/>
          <w:szCs w:val="22"/>
        </w:rPr>
        <w:t>Schedule 3 (subclause 3.1.3(6))</w:t>
      </w:r>
    </w:p>
    <w:p w14:paraId="6A3266E3" w14:textId="717D7E14" w:rsidR="00442B06" w:rsidRPr="00320565" w:rsidRDefault="00442B06" w:rsidP="00D02288">
      <w:pPr>
        <w:pStyle w:val="subsection"/>
        <w:ind w:left="720" w:firstLine="0"/>
      </w:pPr>
      <w:r w:rsidRPr="00320565">
        <w:t>Repeal the subclause, substitute:</w:t>
      </w:r>
    </w:p>
    <w:p w14:paraId="765AC34B" w14:textId="6CF41D92" w:rsidR="00442B06" w:rsidRPr="00320565" w:rsidRDefault="00442B06" w:rsidP="00D02288">
      <w:pPr>
        <w:pStyle w:val="subsection"/>
        <w:ind w:left="1117" w:hanging="397"/>
      </w:pPr>
      <w:r w:rsidRPr="00320565">
        <w:rPr>
          <w:color w:val="000000"/>
          <w:szCs w:val="22"/>
          <w:shd w:val="clear" w:color="auto" w:fill="FFFFFF"/>
        </w:rPr>
        <w:t>(6)  If a child has previously been provided with a service mentioned in item 135 or 289 of the general medical services table or item 92140, 92143, 92434 or 92474 the medical practitioner cannot refer the child for a service to which item 137 or 139 of the general medical services table or item 92141, 92142</w:t>
      </w:r>
      <w:r w:rsidR="00371ACF" w:rsidRPr="00320565">
        <w:rPr>
          <w:color w:val="000000"/>
          <w:szCs w:val="22"/>
          <w:shd w:val="clear" w:color="auto" w:fill="FFFFFF"/>
        </w:rPr>
        <w:t xml:space="preserve"> or</w:t>
      </w:r>
      <w:r w:rsidRPr="00320565">
        <w:rPr>
          <w:color w:val="000000"/>
          <w:szCs w:val="22"/>
          <w:shd w:val="clear" w:color="auto" w:fill="FFFFFF"/>
        </w:rPr>
        <w:t xml:space="preserve"> 92144 applies.</w:t>
      </w:r>
    </w:p>
    <w:p w14:paraId="6128635E" w14:textId="4E0F49D0" w:rsidR="00442B06" w:rsidRPr="00320565" w:rsidRDefault="00442B06" w:rsidP="00D02288">
      <w:pPr>
        <w:pStyle w:val="subsection"/>
        <w:numPr>
          <w:ilvl w:val="0"/>
          <w:numId w:val="21"/>
        </w:numPr>
        <w:rPr>
          <w:rFonts w:ascii="Arial" w:hAnsi="Arial" w:cs="Arial"/>
          <w:b/>
          <w:bCs/>
          <w:sz w:val="24"/>
          <w:szCs w:val="22"/>
        </w:rPr>
      </w:pPr>
      <w:r w:rsidRPr="00320565">
        <w:rPr>
          <w:rFonts w:ascii="Arial" w:hAnsi="Arial" w:cs="Arial"/>
          <w:b/>
          <w:bCs/>
          <w:sz w:val="24"/>
          <w:szCs w:val="22"/>
        </w:rPr>
        <w:t>Schedule 7 (</w:t>
      </w:r>
      <w:r w:rsidR="006E5B2B" w:rsidRPr="00320565">
        <w:rPr>
          <w:rFonts w:ascii="Arial" w:hAnsi="Arial" w:cs="Arial"/>
          <w:b/>
          <w:bCs/>
          <w:sz w:val="24"/>
          <w:szCs w:val="22"/>
        </w:rPr>
        <w:t xml:space="preserve">after </w:t>
      </w:r>
      <w:r w:rsidRPr="00320565">
        <w:rPr>
          <w:rFonts w:ascii="Arial" w:hAnsi="Arial" w:cs="Arial"/>
          <w:b/>
          <w:bCs/>
          <w:sz w:val="24"/>
          <w:szCs w:val="22"/>
        </w:rPr>
        <w:t>subclause 7.1.1</w:t>
      </w:r>
      <w:r w:rsidR="006E5B2B" w:rsidRPr="00320565">
        <w:rPr>
          <w:rFonts w:ascii="Arial" w:hAnsi="Arial" w:cs="Arial"/>
          <w:b/>
          <w:bCs/>
          <w:sz w:val="24"/>
          <w:szCs w:val="22"/>
        </w:rPr>
        <w:t>(3)</w:t>
      </w:r>
      <w:r w:rsidRPr="00320565">
        <w:rPr>
          <w:rFonts w:ascii="Arial" w:hAnsi="Arial" w:cs="Arial"/>
          <w:b/>
          <w:bCs/>
          <w:sz w:val="24"/>
          <w:szCs w:val="22"/>
        </w:rPr>
        <w:t>)</w:t>
      </w:r>
    </w:p>
    <w:p w14:paraId="5A043EBF" w14:textId="08600CDD" w:rsidR="00442B06" w:rsidRPr="00320565" w:rsidRDefault="006E5B2B" w:rsidP="00D02288">
      <w:pPr>
        <w:pStyle w:val="subsection"/>
        <w:ind w:left="720" w:firstLine="0"/>
      </w:pPr>
      <w:r w:rsidRPr="00320565">
        <w:t>Insert:</w:t>
      </w:r>
    </w:p>
    <w:p w14:paraId="6BF99F1B" w14:textId="50F827AD" w:rsidR="006E5B2B" w:rsidRPr="00320565" w:rsidRDefault="006E5B2B" w:rsidP="00D02288">
      <w:pPr>
        <w:pStyle w:val="subsection"/>
        <w:ind w:left="1117" w:hanging="397"/>
      </w:pPr>
      <w:r w:rsidRPr="00320565">
        <w:rPr>
          <w:color w:val="000000"/>
          <w:shd w:val="clear" w:color="auto" w:fill="FFFFFF"/>
        </w:rPr>
        <w:t>(3)  </w:t>
      </w:r>
      <w:r w:rsidRPr="00320565">
        <w:rPr>
          <w:color w:val="000000"/>
          <w:szCs w:val="22"/>
          <w:shd w:val="clear" w:color="auto" w:fill="FFFFFF"/>
        </w:rPr>
        <w:t xml:space="preserve">Clause 2.1.4 of this Determination shall have effect as if items </w:t>
      </w:r>
      <w:r w:rsidRPr="00320565">
        <w:t>92523 and 92524</w:t>
      </w:r>
      <w:r w:rsidRPr="00320565">
        <w:rPr>
          <w:color w:val="000000"/>
          <w:szCs w:val="22"/>
          <w:shd w:val="clear" w:color="auto" w:fill="FFFFFF"/>
        </w:rPr>
        <w:t xml:space="preserve"> were specified in the clause.</w:t>
      </w:r>
    </w:p>
    <w:p w14:paraId="3224DDE3" w14:textId="2FD6DEA6" w:rsidR="00442B06" w:rsidRPr="00320565" w:rsidRDefault="00442B06" w:rsidP="00D02288">
      <w:pPr>
        <w:pStyle w:val="subsection"/>
        <w:numPr>
          <w:ilvl w:val="0"/>
          <w:numId w:val="21"/>
        </w:numPr>
        <w:rPr>
          <w:rFonts w:ascii="Arial" w:hAnsi="Arial" w:cs="Arial"/>
          <w:b/>
          <w:bCs/>
          <w:sz w:val="24"/>
          <w:szCs w:val="22"/>
        </w:rPr>
      </w:pPr>
      <w:r w:rsidRPr="00320565">
        <w:rPr>
          <w:rFonts w:ascii="Arial" w:hAnsi="Arial" w:cs="Arial"/>
          <w:b/>
          <w:bCs/>
          <w:sz w:val="24"/>
          <w:szCs w:val="22"/>
        </w:rPr>
        <w:t>Schedule 7 (item 92432, column 2)</w:t>
      </w:r>
    </w:p>
    <w:p w14:paraId="03C18124" w14:textId="5412F10C" w:rsidR="00E76539" w:rsidRPr="00320565" w:rsidRDefault="00442B06" w:rsidP="00D02288">
      <w:pPr>
        <w:pStyle w:val="subsection"/>
        <w:ind w:left="720" w:firstLine="0"/>
      </w:pPr>
      <w:r w:rsidRPr="00320565">
        <w:t>After “recommendations”, omit “; and”.</w:t>
      </w:r>
    </w:p>
    <w:p w14:paraId="666F12F1" w14:textId="77777777" w:rsidR="00E76539" w:rsidRPr="00320565" w:rsidRDefault="00E76539" w:rsidP="00D02288">
      <w:pPr>
        <w:spacing w:line="240" w:lineRule="auto"/>
        <w:rPr>
          <w:rFonts w:ascii="Arial" w:eastAsia="Times New Roman" w:hAnsi="Arial" w:cs="Arial"/>
          <w:b/>
          <w:kern w:val="28"/>
          <w:sz w:val="24"/>
          <w:lang w:eastAsia="en-AU"/>
        </w:rPr>
      </w:pPr>
      <w:r w:rsidRPr="00320565">
        <w:rPr>
          <w:rFonts w:ascii="Arial" w:hAnsi="Arial" w:cs="Arial"/>
        </w:rPr>
        <w:br w:type="page"/>
      </w:r>
    </w:p>
    <w:p w14:paraId="06DA5C23" w14:textId="4DC5F1FC" w:rsidR="00E76539" w:rsidRPr="00320565" w:rsidRDefault="00E76539" w:rsidP="00D02288">
      <w:pPr>
        <w:pStyle w:val="ActHead5"/>
        <w:rPr>
          <w:rFonts w:ascii="Arial" w:hAnsi="Arial" w:cs="Arial"/>
        </w:rPr>
      </w:pPr>
      <w:bookmarkStart w:id="7" w:name="_Toc96414677"/>
      <w:r w:rsidRPr="00320565">
        <w:rPr>
          <w:rFonts w:ascii="Arial" w:hAnsi="Arial" w:cs="Arial"/>
        </w:rPr>
        <w:lastRenderedPageBreak/>
        <w:t>Schedule 2— Extension of smoking cessation services</w:t>
      </w:r>
      <w:bookmarkEnd w:id="7"/>
    </w:p>
    <w:p w14:paraId="3DE14177" w14:textId="0EAD916D" w:rsidR="006E5B2B" w:rsidRPr="00320565" w:rsidRDefault="006E5B2B" w:rsidP="00D02288">
      <w:pPr>
        <w:pStyle w:val="subsection"/>
        <w:rPr>
          <w:rFonts w:ascii="Arial" w:hAnsi="Arial" w:cs="Arial"/>
          <w:b/>
          <w:bCs/>
          <w:i/>
          <w:iCs/>
          <w:sz w:val="24"/>
          <w:szCs w:val="22"/>
        </w:rPr>
      </w:pPr>
      <w:bookmarkStart w:id="8" w:name="_Hlk95817946"/>
      <w:r w:rsidRPr="00320565">
        <w:rPr>
          <w:rFonts w:ascii="Arial" w:hAnsi="Arial" w:cs="Arial"/>
          <w:b/>
          <w:bCs/>
          <w:i/>
          <w:iCs/>
          <w:sz w:val="24"/>
          <w:szCs w:val="22"/>
        </w:rPr>
        <w:t>Health Insurance (Section 3C General Medical Services – Smoking Cessation Services) Determination 2021</w:t>
      </w:r>
      <w:bookmarkEnd w:id="8"/>
    </w:p>
    <w:p w14:paraId="33B0CD61" w14:textId="13FE8A7F" w:rsidR="006E5B2B" w:rsidRPr="00320565" w:rsidRDefault="006E5B2B" w:rsidP="00D02288">
      <w:pPr>
        <w:pStyle w:val="subsection"/>
        <w:numPr>
          <w:ilvl w:val="0"/>
          <w:numId w:val="21"/>
        </w:numPr>
        <w:rPr>
          <w:rFonts w:ascii="Arial" w:hAnsi="Arial" w:cs="Arial"/>
          <w:b/>
          <w:bCs/>
          <w:sz w:val="24"/>
          <w:szCs w:val="22"/>
        </w:rPr>
      </w:pPr>
      <w:r w:rsidRPr="00320565">
        <w:rPr>
          <w:rFonts w:ascii="Arial" w:hAnsi="Arial" w:cs="Arial"/>
          <w:b/>
          <w:bCs/>
          <w:sz w:val="24"/>
          <w:szCs w:val="22"/>
        </w:rPr>
        <w:t>Section 4</w:t>
      </w:r>
    </w:p>
    <w:p w14:paraId="5233CF72" w14:textId="309611DB" w:rsidR="006E5B2B" w:rsidRPr="00320565" w:rsidRDefault="006E5B2B" w:rsidP="00D02288">
      <w:pPr>
        <w:pStyle w:val="subsection"/>
        <w:ind w:left="720" w:firstLine="0"/>
      </w:pPr>
      <w:r w:rsidRPr="00320565">
        <w:t>Omit “</w:t>
      </w:r>
      <w:r w:rsidRPr="00320565">
        <w:rPr>
          <w:color w:val="000000"/>
          <w:szCs w:val="22"/>
          <w:shd w:val="clear" w:color="auto" w:fill="FFFFFF"/>
        </w:rPr>
        <w:t>30 June 2022”, substitute “</w:t>
      </w:r>
      <w:r w:rsidRPr="00320565">
        <w:t>31 December 2023 at 11.59pm”.</w:t>
      </w:r>
    </w:p>
    <w:p w14:paraId="7FC57B0E" w14:textId="77777777" w:rsidR="006E5B2B" w:rsidRPr="00320565" w:rsidRDefault="006E5B2B" w:rsidP="00D02288">
      <w:pPr>
        <w:spacing w:line="240" w:lineRule="auto"/>
        <w:rPr>
          <w:rFonts w:ascii="Arial" w:eastAsia="Times New Roman" w:hAnsi="Arial" w:cs="Arial"/>
          <w:b/>
          <w:kern w:val="28"/>
          <w:sz w:val="24"/>
          <w:lang w:eastAsia="en-AU"/>
        </w:rPr>
      </w:pPr>
      <w:r w:rsidRPr="00320565">
        <w:rPr>
          <w:rFonts w:ascii="Arial" w:hAnsi="Arial" w:cs="Arial"/>
        </w:rPr>
        <w:br w:type="page"/>
      </w:r>
    </w:p>
    <w:p w14:paraId="0692E63F" w14:textId="4B700009" w:rsidR="00E76539" w:rsidRPr="00320565" w:rsidRDefault="00E76539" w:rsidP="00D02288">
      <w:pPr>
        <w:pStyle w:val="ActHead5"/>
        <w:rPr>
          <w:rFonts w:ascii="Arial" w:hAnsi="Arial" w:cs="Arial"/>
        </w:rPr>
      </w:pPr>
      <w:bookmarkStart w:id="9" w:name="_Toc96414678"/>
      <w:r w:rsidRPr="00320565">
        <w:rPr>
          <w:rFonts w:ascii="Arial" w:hAnsi="Arial" w:cs="Arial"/>
        </w:rPr>
        <w:lastRenderedPageBreak/>
        <w:t xml:space="preserve">Schedule </w:t>
      </w:r>
      <w:r w:rsidR="0063239A" w:rsidRPr="00320565">
        <w:rPr>
          <w:rFonts w:ascii="Arial" w:hAnsi="Arial" w:cs="Arial"/>
        </w:rPr>
        <w:t>3</w:t>
      </w:r>
      <w:r w:rsidRPr="00320565">
        <w:rPr>
          <w:rFonts w:ascii="Arial" w:hAnsi="Arial" w:cs="Arial"/>
        </w:rPr>
        <w:t xml:space="preserve">— Fee </w:t>
      </w:r>
      <w:r w:rsidR="005C3730" w:rsidRPr="00320565">
        <w:rPr>
          <w:rFonts w:ascii="Arial" w:hAnsi="Arial" w:cs="Arial"/>
        </w:rPr>
        <w:t>amendment</w:t>
      </w:r>
      <w:r w:rsidR="00B46A3C" w:rsidRPr="00320565">
        <w:rPr>
          <w:rFonts w:ascii="Arial" w:hAnsi="Arial" w:cs="Arial"/>
        </w:rPr>
        <w:t>s</w:t>
      </w:r>
      <w:bookmarkEnd w:id="9"/>
    </w:p>
    <w:p w14:paraId="405AC8E5" w14:textId="4D0C13C8" w:rsidR="005C3730" w:rsidRPr="00320565" w:rsidRDefault="005C3730" w:rsidP="00D02288">
      <w:pPr>
        <w:pStyle w:val="subsection"/>
        <w:rPr>
          <w:rFonts w:ascii="Arial" w:hAnsi="Arial" w:cs="Arial"/>
          <w:b/>
          <w:bCs/>
          <w:i/>
          <w:iCs/>
          <w:sz w:val="24"/>
          <w:szCs w:val="22"/>
        </w:rPr>
      </w:pPr>
      <w:bookmarkStart w:id="10" w:name="_Hlk95819535"/>
      <w:r w:rsidRPr="00320565">
        <w:rPr>
          <w:rFonts w:ascii="Arial" w:hAnsi="Arial" w:cs="Arial"/>
          <w:b/>
          <w:bCs/>
          <w:i/>
          <w:iCs/>
          <w:sz w:val="24"/>
          <w:szCs w:val="22"/>
        </w:rPr>
        <w:t>Health Insurance (Section 3C General Medical – Expansion of GP and Allied Health Mental Health Services) Determination 2020</w:t>
      </w:r>
    </w:p>
    <w:bookmarkEnd w:id="10"/>
    <w:p w14:paraId="3C40E2BA" w14:textId="5EB2FFBB" w:rsidR="005C3730" w:rsidRPr="00320565" w:rsidRDefault="005C3730" w:rsidP="00D02288">
      <w:pPr>
        <w:pStyle w:val="subsection"/>
        <w:numPr>
          <w:ilvl w:val="0"/>
          <w:numId w:val="21"/>
        </w:numPr>
        <w:rPr>
          <w:rFonts w:ascii="Arial" w:hAnsi="Arial" w:cs="Arial"/>
          <w:b/>
          <w:bCs/>
          <w:sz w:val="24"/>
          <w:szCs w:val="22"/>
        </w:rPr>
      </w:pPr>
      <w:r w:rsidRPr="00320565">
        <w:rPr>
          <w:rFonts w:ascii="Arial" w:hAnsi="Arial" w:cs="Arial"/>
          <w:b/>
          <w:bCs/>
          <w:sz w:val="24"/>
          <w:szCs w:val="22"/>
        </w:rPr>
        <w:t>Schedule 2 (item 93423, column 3)</w:t>
      </w:r>
    </w:p>
    <w:p w14:paraId="14099522" w14:textId="4E99D408" w:rsidR="005C3730" w:rsidRPr="00320565" w:rsidRDefault="005C3730" w:rsidP="00D02288">
      <w:pPr>
        <w:pStyle w:val="subsection"/>
        <w:ind w:left="720" w:firstLine="0"/>
      </w:pPr>
      <w:r w:rsidRPr="00320565">
        <w:t>Omit “74.60”, substitute “87.75”.</w:t>
      </w:r>
    </w:p>
    <w:p w14:paraId="597F3FFA" w14:textId="77777777" w:rsidR="00B46A3C" w:rsidRPr="00320565" w:rsidRDefault="00B46A3C" w:rsidP="00D02288">
      <w:pPr>
        <w:pStyle w:val="subsection"/>
        <w:rPr>
          <w:rFonts w:ascii="Arial" w:hAnsi="Arial" w:cs="Arial"/>
          <w:b/>
          <w:bCs/>
          <w:i/>
          <w:iCs/>
          <w:sz w:val="24"/>
          <w:szCs w:val="22"/>
        </w:rPr>
      </w:pPr>
      <w:r w:rsidRPr="00320565">
        <w:rPr>
          <w:rFonts w:ascii="Arial" w:hAnsi="Arial" w:cs="Arial"/>
          <w:b/>
          <w:bCs/>
          <w:i/>
          <w:iCs/>
          <w:sz w:val="24"/>
          <w:szCs w:val="22"/>
        </w:rPr>
        <w:t>Health Insurance (Section 3C General Medical Services – Telehealth and Telephone Attendances) Determination 2021</w:t>
      </w:r>
    </w:p>
    <w:p w14:paraId="01C64100" w14:textId="246F64A9" w:rsidR="00B46A3C" w:rsidRPr="00320565" w:rsidRDefault="00B46A3C" w:rsidP="00D02288">
      <w:pPr>
        <w:pStyle w:val="subsection"/>
        <w:numPr>
          <w:ilvl w:val="0"/>
          <w:numId w:val="21"/>
        </w:numPr>
      </w:pPr>
      <w:r w:rsidRPr="00320565">
        <w:rPr>
          <w:rFonts w:ascii="Arial" w:hAnsi="Arial" w:cs="Arial"/>
          <w:b/>
          <w:bCs/>
          <w:sz w:val="24"/>
          <w:szCs w:val="22"/>
        </w:rPr>
        <w:t>Schedule 8 (item 92746, column 3)</w:t>
      </w:r>
    </w:p>
    <w:p w14:paraId="2DB8550C" w14:textId="77777777" w:rsidR="00B46A3C" w:rsidRPr="00320565" w:rsidRDefault="00B46A3C" w:rsidP="00D02288">
      <w:pPr>
        <w:pStyle w:val="subsection"/>
        <w:ind w:left="720" w:firstLine="0"/>
      </w:pPr>
      <w:r w:rsidRPr="00320565">
        <w:t>Omit “89.10”, substitute “75.75”.</w:t>
      </w:r>
    </w:p>
    <w:p w14:paraId="13A3821C" w14:textId="77777777" w:rsidR="00B46A3C" w:rsidRPr="00320565" w:rsidRDefault="00B46A3C" w:rsidP="00D02288">
      <w:pPr>
        <w:pStyle w:val="subsection"/>
        <w:numPr>
          <w:ilvl w:val="0"/>
          <w:numId w:val="21"/>
        </w:numPr>
      </w:pPr>
      <w:r w:rsidRPr="00320565">
        <w:rPr>
          <w:rFonts w:ascii="Arial" w:hAnsi="Arial" w:cs="Arial"/>
          <w:b/>
          <w:bCs/>
          <w:sz w:val="24"/>
          <w:szCs w:val="22"/>
        </w:rPr>
        <w:t>Schedule 8 (item 92747, column 3)</w:t>
      </w:r>
    </w:p>
    <w:p w14:paraId="02C32100" w14:textId="77777777" w:rsidR="00B46A3C" w:rsidRPr="00E81E54" w:rsidRDefault="00B46A3C" w:rsidP="00D02288">
      <w:pPr>
        <w:pStyle w:val="subsection"/>
        <w:ind w:left="720" w:firstLine="0"/>
      </w:pPr>
      <w:r w:rsidRPr="00320565">
        <w:t>Omit “44.70”, substitute “38.00”.</w:t>
      </w:r>
    </w:p>
    <w:p w14:paraId="1648B8DC" w14:textId="76D48FA9" w:rsidR="00A362E1" w:rsidRPr="002B1CF5" w:rsidRDefault="00A362E1" w:rsidP="00D02288">
      <w:pPr>
        <w:spacing w:line="240" w:lineRule="auto"/>
        <w:rPr>
          <w:rFonts w:eastAsia="Times New Roman" w:cs="Times New Roman"/>
          <w:b/>
          <w:kern w:val="28"/>
          <w:sz w:val="24"/>
          <w:lang w:eastAsia="en-AU"/>
        </w:rPr>
      </w:pPr>
    </w:p>
    <w:sectPr w:rsidR="00A362E1" w:rsidRPr="002B1CF5"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267D3" w14:textId="77777777" w:rsidR="001A25F5" w:rsidRDefault="001A25F5" w:rsidP="00715914">
      <w:pPr>
        <w:spacing w:line="240" w:lineRule="auto"/>
      </w:pPr>
      <w:r>
        <w:separator/>
      </w:r>
    </w:p>
  </w:endnote>
  <w:endnote w:type="continuationSeparator" w:id="0">
    <w:p w14:paraId="4F9FF17C" w14:textId="77777777" w:rsidR="001A25F5" w:rsidRDefault="001A25F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5778" w14:textId="77777777" w:rsidR="00E52169" w:rsidRPr="00E33C1C" w:rsidRDefault="00E5216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2169" w14:paraId="7A9C1507" w14:textId="77777777" w:rsidTr="00B33709">
      <w:tc>
        <w:tcPr>
          <w:tcW w:w="709" w:type="dxa"/>
          <w:tcBorders>
            <w:top w:val="nil"/>
            <w:left w:val="nil"/>
            <w:bottom w:val="nil"/>
            <w:right w:val="nil"/>
          </w:tcBorders>
        </w:tcPr>
        <w:p w14:paraId="72FF7035" w14:textId="77777777" w:rsidR="00E52169" w:rsidRDefault="00E5216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E52169" w:rsidRPr="004E1307" w:rsidRDefault="00E5216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E52169" w:rsidRDefault="00E52169" w:rsidP="00A369E3">
          <w:pPr>
            <w:spacing w:line="0" w:lineRule="atLeast"/>
            <w:jc w:val="right"/>
            <w:rPr>
              <w:sz w:val="18"/>
            </w:rPr>
          </w:pPr>
        </w:p>
      </w:tc>
    </w:tr>
    <w:tr w:rsidR="00E52169"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E52169" w:rsidRDefault="00E52169" w:rsidP="00A369E3">
          <w:pPr>
            <w:jc w:val="right"/>
            <w:rPr>
              <w:sz w:val="18"/>
            </w:rPr>
          </w:pPr>
        </w:p>
      </w:tc>
    </w:tr>
  </w:tbl>
  <w:p w14:paraId="41BC7DA5" w14:textId="77777777" w:rsidR="00E52169" w:rsidRPr="00ED79B6" w:rsidRDefault="00E5216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2FF0" w14:textId="77777777" w:rsidR="00E52169" w:rsidRPr="00E33C1C" w:rsidRDefault="00E5216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E52169" w14:paraId="547D1AC2" w14:textId="77777777" w:rsidTr="00A369E3">
      <w:tc>
        <w:tcPr>
          <w:tcW w:w="1384" w:type="dxa"/>
          <w:tcBorders>
            <w:top w:val="nil"/>
            <w:left w:val="nil"/>
            <w:bottom w:val="nil"/>
            <w:right w:val="nil"/>
          </w:tcBorders>
        </w:tcPr>
        <w:p w14:paraId="5588C78E" w14:textId="77777777" w:rsidR="00E52169" w:rsidRDefault="00E52169" w:rsidP="00A369E3">
          <w:pPr>
            <w:spacing w:line="0" w:lineRule="atLeast"/>
            <w:rPr>
              <w:sz w:val="18"/>
            </w:rPr>
          </w:pPr>
        </w:p>
      </w:tc>
      <w:tc>
        <w:tcPr>
          <w:tcW w:w="6379" w:type="dxa"/>
          <w:tcBorders>
            <w:top w:val="nil"/>
            <w:left w:val="nil"/>
            <w:bottom w:val="nil"/>
            <w:right w:val="nil"/>
          </w:tcBorders>
        </w:tcPr>
        <w:p w14:paraId="7B5C635B" w14:textId="77777777" w:rsidR="00E52169" w:rsidRDefault="00E5216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E52169" w:rsidRDefault="00E5216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52169"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E52169" w:rsidRDefault="00E52169" w:rsidP="00A369E3">
          <w:pPr>
            <w:rPr>
              <w:sz w:val="18"/>
            </w:rPr>
          </w:pPr>
        </w:p>
      </w:tc>
    </w:tr>
  </w:tbl>
  <w:p w14:paraId="1B991271" w14:textId="77777777" w:rsidR="00E52169" w:rsidRPr="00ED79B6" w:rsidRDefault="00E5216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3C8E" w14:textId="77777777" w:rsidR="00E52169" w:rsidRPr="00E33C1C" w:rsidRDefault="00E5216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52169" w14:paraId="684E4D14" w14:textId="77777777" w:rsidTr="00B33709">
      <w:tc>
        <w:tcPr>
          <w:tcW w:w="1384" w:type="dxa"/>
          <w:tcBorders>
            <w:top w:val="nil"/>
            <w:left w:val="nil"/>
            <w:bottom w:val="nil"/>
            <w:right w:val="nil"/>
          </w:tcBorders>
        </w:tcPr>
        <w:p w14:paraId="5AB80F97" w14:textId="77777777" w:rsidR="00E52169" w:rsidRDefault="00E52169" w:rsidP="00A369E3">
          <w:pPr>
            <w:spacing w:line="0" w:lineRule="atLeast"/>
            <w:rPr>
              <w:sz w:val="18"/>
            </w:rPr>
          </w:pPr>
        </w:p>
      </w:tc>
      <w:tc>
        <w:tcPr>
          <w:tcW w:w="6379" w:type="dxa"/>
          <w:tcBorders>
            <w:top w:val="nil"/>
            <w:left w:val="nil"/>
            <w:bottom w:val="nil"/>
            <w:right w:val="nil"/>
          </w:tcBorders>
        </w:tcPr>
        <w:p w14:paraId="623B055F" w14:textId="77777777" w:rsidR="00E52169" w:rsidRDefault="00E52169" w:rsidP="00A369E3">
          <w:pPr>
            <w:spacing w:line="0" w:lineRule="atLeast"/>
            <w:jc w:val="center"/>
            <w:rPr>
              <w:sz w:val="18"/>
            </w:rPr>
          </w:pPr>
        </w:p>
      </w:tc>
      <w:tc>
        <w:tcPr>
          <w:tcW w:w="709" w:type="dxa"/>
          <w:tcBorders>
            <w:top w:val="nil"/>
            <w:left w:val="nil"/>
            <w:bottom w:val="nil"/>
            <w:right w:val="nil"/>
          </w:tcBorders>
        </w:tcPr>
        <w:p w14:paraId="0D49EE79" w14:textId="77777777" w:rsidR="00E52169" w:rsidRDefault="00E52169" w:rsidP="00A369E3">
          <w:pPr>
            <w:spacing w:line="0" w:lineRule="atLeast"/>
            <w:jc w:val="right"/>
            <w:rPr>
              <w:sz w:val="18"/>
            </w:rPr>
          </w:pPr>
        </w:p>
      </w:tc>
    </w:tr>
  </w:tbl>
  <w:p w14:paraId="1EEFF027" w14:textId="77777777" w:rsidR="00E52169" w:rsidRPr="00ED79B6" w:rsidRDefault="00E5216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1B3B" w14:textId="77777777" w:rsidR="00E52169" w:rsidRPr="002B0EA5" w:rsidRDefault="00E5216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52169" w14:paraId="3C05DE38" w14:textId="77777777" w:rsidTr="000E05F9">
      <w:tc>
        <w:tcPr>
          <w:tcW w:w="365" w:type="pct"/>
        </w:tcPr>
        <w:p w14:paraId="66C24B85" w14:textId="77777777" w:rsidR="00E52169" w:rsidRDefault="00E52169"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E52169" w:rsidRDefault="00E5216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E52169" w:rsidRDefault="00E52169" w:rsidP="000E05F9">
          <w:pPr>
            <w:spacing w:line="0" w:lineRule="atLeast"/>
            <w:jc w:val="right"/>
            <w:rPr>
              <w:sz w:val="18"/>
            </w:rPr>
          </w:pPr>
        </w:p>
      </w:tc>
    </w:tr>
    <w:tr w:rsidR="00E52169" w14:paraId="31FC1FAD" w14:textId="77777777" w:rsidTr="000E05F9">
      <w:tc>
        <w:tcPr>
          <w:tcW w:w="5000" w:type="pct"/>
          <w:gridSpan w:val="3"/>
        </w:tcPr>
        <w:p w14:paraId="482AEE13" w14:textId="77777777" w:rsidR="00E52169" w:rsidRDefault="00E52169" w:rsidP="000E05F9">
          <w:pPr>
            <w:jc w:val="right"/>
            <w:rPr>
              <w:sz w:val="18"/>
            </w:rPr>
          </w:pPr>
        </w:p>
      </w:tc>
    </w:tr>
  </w:tbl>
  <w:p w14:paraId="30580258" w14:textId="77777777" w:rsidR="00E52169" w:rsidRPr="00ED79B6" w:rsidRDefault="00E52169"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EC7" w14:textId="77777777" w:rsidR="00E52169" w:rsidRPr="002B0EA5" w:rsidRDefault="00E5216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52169" w14:paraId="16C96B4D" w14:textId="77777777" w:rsidTr="000E05F9">
      <w:tc>
        <w:tcPr>
          <w:tcW w:w="947" w:type="pct"/>
        </w:tcPr>
        <w:p w14:paraId="0850382C" w14:textId="77777777" w:rsidR="00E52169" w:rsidRDefault="00E52169" w:rsidP="000E05F9">
          <w:pPr>
            <w:spacing w:line="0" w:lineRule="atLeast"/>
            <w:rPr>
              <w:sz w:val="18"/>
            </w:rPr>
          </w:pPr>
        </w:p>
      </w:tc>
      <w:tc>
        <w:tcPr>
          <w:tcW w:w="3688" w:type="pct"/>
        </w:tcPr>
        <w:p w14:paraId="0887953A" w14:textId="31B9C594" w:rsidR="00E52169" w:rsidRDefault="00E5216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0565">
            <w:rPr>
              <w:i/>
              <w:noProof/>
              <w:sz w:val="18"/>
            </w:rPr>
            <w:t>Health Insurance Legislation Amendment (2022 Measures No. 2) Determination 2022</w:t>
          </w:r>
          <w:r w:rsidRPr="004E1307">
            <w:rPr>
              <w:i/>
              <w:sz w:val="18"/>
            </w:rPr>
            <w:fldChar w:fldCharType="end"/>
          </w:r>
        </w:p>
      </w:tc>
      <w:tc>
        <w:tcPr>
          <w:tcW w:w="365" w:type="pct"/>
        </w:tcPr>
        <w:p w14:paraId="5474901C" w14:textId="7A8A37CA" w:rsidR="00E52169" w:rsidRDefault="00E52169"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52169" w14:paraId="783563EC" w14:textId="77777777" w:rsidTr="000E05F9">
      <w:tc>
        <w:tcPr>
          <w:tcW w:w="5000" w:type="pct"/>
          <w:gridSpan w:val="3"/>
        </w:tcPr>
        <w:p w14:paraId="48261661" w14:textId="77777777" w:rsidR="00E52169" w:rsidRDefault="00E52169" w:rsidP="000E05F9">
          <w:pPr>
            <w:rPr>
              <w:sz w:val="18"/>
            </w:rPr>
          </w:pPr>
        </w:p>
      </w:tc>
    </w:tr>
  </w:tbl>
  <w:p w14:paraId="33474906" w14:textId="77777777" w:rsidR="00E52169" w:rsidRPr="00ED79B6" w:rsidRDefault="00E52169"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4C0" w14:textId="77777777" w:rsidR="00E52169" w:rsidRPr="002B0EA5" w:rsidRDefault="00E5216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52169" w14:paraId="44C0DBC8" w14:textId="77777777" w:rsidTr="000E05F9">
      <w:tc>
        <w:tcPr>
          <w:tcW w:w="365" w:type="pct"/>
        </w:tcPr>
        <w:p w14:paraId="25BE9428" w14:textId="6FD171DB" w:rsidR="00E52169" w:rsidRDefault="00E52169"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B46842C" w14:textId="78A8E43A" w:rsidR="00E52169" w:rsidRDefault="00E5216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0565">
            <w:rPr>
              <w:i/>
              <w:noProof/>
              <w:sz w:val="18"/>
            </w:rPr>
            <w:t>Health Insurance Legislation Amendment (2022 Measures No. 2) Determination 2022</w:t>
          </w:r>
          <w:r w:rsidRPr="004E1307">
            <w:rPr>
              <w:i/>
              <w:sz w:val="18"/>
            </w:rPr>
            <w:fldChar w:fldCharType="end"/>
          </w:r>
        </w:p>
      </w:tc>
      <w:tc>
        <w:tcPr>
          <w:tcW w:w="947" w:type="pct"/>
        </w:tcPr>
        <w:p w14:paraId="7B4943F4" w14:textId="77777777" w:rsidR="00E52169" w:rsidRDefault="00E52169" w:rsidP="000E05F9">
          <w:pPr>
            <w:spacing w:line="0" w:lineRule="atLeast"/>
            <w:jc w:val="right"/>
            <w:rPr>
              <w:sz w:val="18"/>
            </w:rPr>
          </w:pPr>
        </w:p>
      </w:tc>
    </w:tr>
    <w:tr w:rsidR="00E52169" w14:paraId="145A34D1" w14:textId="77777777" w:rsidTr="000E05F9">
      <w:tc>
        <w:tcPr>
          <w:tcW w:w="5000" w:type="pct"/>
          <w:gridSpan w:val="3"/>
        </w:tcPr>
        <w:p w14:paraId="35BC501D" w14:textId="77777777" w:rsidR="00E52169" w:rsidRDefault="00E52169" w:rsidP="000E05F9">
          <w:pPr>
            <w:jc w:val="right"/>
            <w:rPr>
              <w:sz w:val="18"/>
            </w:rPr>
          </w:pPr>
        </w:p>
      </w:tc>
    </w:tr>
  </w:tbl>
  <w:p w14:paraId="63A8E5F4" w14:textId="77777777" w:rsidR="00E52169" w:rsidRPr="00ED79B6" w:rsidRDefault="00E52169"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D2C7" w14:textId="77777777" w:rsidR="00E52169" w:rsidRPr="002B0EA5" w:rsidRDefault="00E5216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52169" w14:paraId="5DBDFC33" w14:textId="77777777" w:rsidTr="000E05F9">
      <w:tc>
        <w:tcPr>
          <w:tcW w:w="947" w:type="pct"/>
        </w:tcPr>
        <w:p w14:paraId="5B00D949" w14:textId="77777777" w:rsidR="00E52169" w:rsidRDefault="00E52169" w:rsidP="000E05F9">
          <w:pPr>
            <w:spacing w:line="0" w:lineRule="atLeast"/>
            <w:rPr>
              <w:sz w:val="18"/>
            </w:rPr>
          </w:pPr>
        </w:p>
      </w:tc>
      <w:tc>
        <w:tcPr>
          <w:tcW w:w="3688" w:type="pct"/>
        </w:tcPr>
        <w:p w14:paraId="4A9C99D0" w14:textId="554D8A4A" w:rsidR="00E52169" w:rsidRDefault="00E5216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0565">
            <w:rPr>
              <w:i/>
              <w:noProof/>
              <w:sz w:val="18"/>
            </w:rPr>
            <w:t>Health Insurance Legislation Amendment (2022 Measures No. 2) Determination 2022</w:t>
          </w:r>
          <w:r w:rsidRPr="004E1307">
            <w:rPr>
              <w:i/>
              <w:sz w:val="18"/>
            </w:rPr>
            <w:fldChar w:fldCharType="end"/>
          </w:r>
        </w:p>
      </w:tc>
      <w:tc>
        <w:tcPr>
          <w:tcW w:w="365" w:type="pct"/>
        </w:tcPr>
        <w:p w14:paraId="74C5A7A9" w14:textId="160F6691" w:rsidR="00E52169" w:rsidRDefault="00E52169"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E52169" w14:paraId="5D550B5F" w14:textId="77777777" w:rsidTr="000E05F9">
      <w:tc>
        <w:tcPr>
          <w:tcW w:w="5000" w:type="pct"/>
          <w:gridSpan w:val="3"/>
        </w:tcPr>
        <w:p w14:paraId="5C810977" w14:textId="77777777" w:rsidR="00E52169" w:rsidRDefault="00E52169" w:rsidP="000E05F9">
          <w:pPr>
            <w:rPr>
              <w:sz w:val="18"/>
            </w:rPr>
          </w:pPr>
        </w:p>
      </w:tc>
    </w:tr>
  </w:tbl>
  <w:p w14:paraId="22A21FFE" w14:textId="77777777" w:rsidR="00E52169" w:rsidRPr="00ED79B6" w:rsidRDefault="00E52169"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18032" w14:textId="77777777" w:rsidR="001A25F5" w:rsidRDefault="001A25F5" w:rsidP="00715914">
      <w:pPr>
        <w:spacing w:line="240" w:lineRule="auto"/>
      </w:pPr>
      <w:r>
        <w:separator/>
      </w:r>
    </w:p>
  </w:footnote>
  <w:footnote w:type="continuationSeparator" w:id="0">
    <w:p w14:paraId="1BF6CD96" w14:textId="77777777" w:rsidR="001A25F5" w:rsidRDefault="001A25F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2020" w14:textId="77777777" w:rsidR="00E52169" w:rsidRPr="005F1388" w:rsidRDefault="00E5216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E793" w14:textId="77777777" w:rsidR="00E52169" w:rsidRPr="005F1388" w:rsidRDefault="00E5216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513B" w14:textId="77777777" w:rsidR="00E52169" w:rsidRPr="00ED79B6" w:rsidRDefault="00E52169"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CE74" w14:textId="77777777" w:rsidR="00E52169" w:rsidRPr="00ED79B6" w:rsidRDefault="00E52169"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A8B2" w14:textId="77777777" w:rsidR="00E52169" w:rsidRPr="00ED79B6" w:rsidRDefault="00E52169"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72F7" w14:textId="77777777" w:rsidR="00E52169" w:rsidRDefault="00E52169" w:rsidP="00715914">
    <w:pPr>
      <w:rPr>
        <w:sz w:val="20"/>
      </w:rPr>
    </w:pPr>
  </w:p>
  <w:p w14:paraId="6C624911" w14:textId="77777777" w:rsidR="00E52169" w:rsidRDefault="00E52169" w:rsidP="00715914">
    <w:pPr>
      <w:rPr>
        <w:sz w:val="20"/>
      </w:rPr>
    </w:pPr>
  </w:p>
  <w:p w14:paraId="1199FB21" w14:textId="77777777" w:rsidR="00E52169" w:rsidRPr="007A1328" w:rsidRDefault="00E52169" w:rsidP="00715914">
    <w:pPr>
      <w:rPr>
        <w:sz w:val="20"/>
      </w:rPr>
    </w:pPr>
  </w:p>
  <w:p w14:paraId="5B43CE78" w14:textId="77777777" w:rsidR="00E52169" w:rsidRPr="007A1328" w:rsidRDefault="00E52169" w:rsidP="00715914">
    <w:pPr>
      <w:rPr>
        <w:b/>
        <w:sz w:val="24"/>
      </w:rPr>
    </w:pPr>
  </w:p>
  <w:p w14:paraId="5354B53F" w14:textId="77777777" w:rsidR="00E52169" w:rsidRPr="007A1328" w:rsidRDefault="00E52169"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49B4" w14:textId="77777777" w:rsidR="00E52169" w:rsidRPr="007A1328" w:rsidRDefault="00E52169" w:rsidP="00715914">
    <w:pPr>
      <w:jc w:val="right"/>
      <w:rPr>
        <w:sz w:val="20"/>
      </w:rPr>
    </w:pPr>
  </w:p>
  <w:p w14:paraId="4D4D5754" w14:textId="77777777" w:rsidR="00E52169" w:rsidRPr="007A1328" w:rsidRDefault="00E52169" w:rsidP="00715914">
    <w:pPr>
      <w:jc w:val="right"/>
      <w:rPr>
        <w:sz w:val="20"/>
      </w:rPr>
    </w:pPr>
  </w:p>
  <w:p w14:paraId="2B1C22A9" w14:textId="77777777" w:rsidR="00E52169" w:rsidRPr="007A1328" w:rsidRDefault="00E52169" w:rsidP="00715914">
    <w:pPr>
      <w:jc w:val="right"/>
      <w:rPr>
        <w:sz w:val="20"/>
      </w:rPr>
    </w:pPr>
  </w:p>
  <w:p w14:paraId="716A6B82" w14:textId="77777777" w:rsidR="00E52169" w:rsidRPr="007A1328" w:rsidRDefault="00E52169" w:rsidP="00715914">
    <w:pPr>
      <w:jc w:val="right"/>
      <w:rPr>
        <w:b/>
        <w:sz w:val="24"/>
      </w:rPr>
    </w:pPr>
  </w:p>
  <w:p w14:paraId="1AAB4A52" w14:textId="77777777" w:rsidR="00E52169" w:rsidRPr="007A1328" w:rsidRDefault="00E5216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5F545E"/>
    <w:multiLevelType w:val="hybridMultilevel"/>
    <w:tmpl w:val="F51246E6"/>
    <w:lvl w:ilvl="0" w:tplc="619031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874DF4"/>
    <w:multiLevelType w:val="hybridMultilevel"/>
    <w:tmpl w:val="F586B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8D336E0"/>
    <w:multiLevelType w:val="hybridMultilevel"/>
    <w:tmpl w:val="7EEA3996"/>
    <w:lvl w:ilvl="0" w:tplc="C07C0608">
      <w:start w:val="1"/>
      <w:numFmt w:val="decimal"/>
      <w:lvlText w:val="%1."/>
      <w:lvlJc w:val="left"/>
      <w:pPr>
        <w:ind w:left="720" w:hanging="360"/>
      </w:pPr>
      <w:rPr>
        <w:rFonts w:ascii="Arial" w:hAnsi="Arial" w:cs="Arial" w:hint="default"/>
        <w:b/>
        <w:bCs/>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C7547D"/>
    <w:multiLevelType w:val="hybridMultilevel"/>
    <w:tmpl w:val="5F4AFD84"/>
    <w:lvl w:ilvl="0" w:tplc="384E88FA">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90793"/>
    <w:multiLevelType w:val="hybridMultilevel"/>
    <w:tmpl w:val="93743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2D0AE8"/>
    <w:multiLevelType w:val="hybridMultilevel"/>
    <w:tmpl w:val="5F4AFD84"/>
    <w:lvl w:ilvl="0" w:tplc="384E88FA">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E535DE"/>
    <w:multiLevelType w:val="hybridMultilevel"/>
    <w:tmpl w:val="7EEA3996"/>
    <w:lvl w:ilvl="0" w:tplc="C07C0608">
      <w:start w:val="1"/>
      <w:numFmt w:val="decimal"/>
      <w:lvlText w:val="%1."/>
      <w:lvlJc w:val="left"/>
      <w:pPr>
        <w:ind w:left="720" w:hanging="360"/>
      </w:pPr>
      <w:rPr>
        <w:rFonts w:ascii="Arial" w:hAnsi="Arial" w:cs="Arial" w:hint="default"/>
        <w:b/>
        <w:bCs/>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651573"/>
    <w:multiLevelType w:val="hybridMultilevel"/>
    <w:tmpl w:val="5DC6D1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6"/>
  </w:num>
  <w:num w:numId="14">
    <w:abstractNumId w:val="10"/>
  </w:num>
  <w:num w:numId="15">
    <w:abstractNumId w:val="18"/>
  </w:num>
  <w:num w:numId="16">
    <w:abstractNumId w:val="12"/>
  </w:num>
  <w:num w:numId="17">
    <w:abstractNumId w:val="27"/>
  </w:num>
  <w:num w:numId="18">
    <w:abstractNumId w:val="14"/>
  </w:num>
  <w:num w:numId="19">
    <w:abstractNumId w:val="22"/>
  </w:num>
  <w:num w:numId="20">
    <w:abstractNumId w:val="13"/>
  </w:num>
  <w:num w:numId="21">
    <w:abstractNumId w:val="19"/>
  </w:num>
  <w:num w:numId="22">
    <w:abstractNumId w:val="26"/>
  </w:num>
  <w:num w:numId="23">
    <w:abstractNumId w:val="17"/>
  </w:num>
  <w:num w:numId="24">
    <w:abstractNumId w:val="23"/>
  </w:num>
  <w:num w:numId="25">
    <w:abstractNumId w:val="25"/>
  </w:num>
  <w:num w:numId="26">
    <w:abstractNumId w:val="20"/>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B"/>
    <w:rsid w:val="00004174"/>
    <w:rsid w:val="00004470"/>
    <w:rsid w:val="00005218"/>
    <w:rsid w:val="00012A37"/>
    <w:rsid w:val="000136AF"/>
    <w:rsid w:val="000258B1"/>
    <w:rsid w:val="00037A04"/>
    <w:rsid w:val="00040A89"/>
    <w:rsid w:val="0004338F"/>
    <w:rsid w:val="000437C1"/>
    <w:rsid w:val="0004455A"/>
    <w:rsid w:val="00046EBF"/>
    <w:rsid w:val="0005365D"/>
    <w:rsid w:val="000575FA"/>
    <w:rsid w:val="000614BF"/>
    <w:rsid w:val="0006709C"/>
    <w:rsid w:val="00074376"/>
    <w:rsid w:val="000872E3"/>
    <w:rsid w:val="000978F5"/>
    <w:rsid w:val="000B15CD"/>
    <w:rsid w:val="000B35EB"/>
    <w:rsid w:val="000D05EF"/>
    <w:rsid w:val="000E05F9"/>
    <w:rsid w:val="000E2261"/>
    <w:rsid w:val="000E78B7"/>
    <w:rsid w:val="000F21C1"/>
    <w:rsid w:val="001013CE"/>
    <w:rsid w:val="0010745C"/>
    <w:rsid w:val="00131922"/>
    <w:rsid w:val="00132CEB"/>
    <w:rsid w:val="001339B0"/>
    <w:rsid w:val="00142B62"/>
    <w:rsid w:val="001441B7"/>
    <w:rsid w:val="00144588"/>
    <w:rsid w:val="001516CB"/>
    <w:rsid w:val="00152336"/>
    <w:rsid w:val="00157B8B"/>
    <w:rsid w:val="00166C2F"/>
    <w:rsid w:val="0017256F"/>
    <w:rsid w:val="001809D7"/>
    <w:rsid w:val="001939E1"/>
    <w:rsid w:val="00194C3E"/>
    <w:rsid w:val="00195382"/>
    <w:rsid w:val="001A25F5"/>
    <w:rsid w:val="001B2CB6"/>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736C"/>
    <w:rsid w:val="00280E43"/>
    <w:rsid w:val="00281308"/>
    <w:rsid w:val="00283C8F"/>
    <w:rsid w:val="00283E94"/>
    <w:rsid w:val="00284719"/>
    <w:rsid w:val="00297ECB"/>
    <w:rsid w:val="002A7BCF"/>
    <w:rsid w:val="002B1CF5"/>
    <w:rsid w:val="002C3FD1"/>
    <w:rsid w:val="002D043A"/>
    <w:rsid w:val="002D266B"/>
    <w:rsid w:val="002D47E2"/>
    <w:rsid w:val="002D6224"/>
    <w:rsid w:val="002F2EF1"/>
    <w:rsid w:val="00304F8B"/>
    <w:rsid w:val="00320565"/>
    <w:rsid w:val="003229D6"/>
    <w:rsid w:val="00335BC6"/>
    <w:rsid w:val="003415D3"/>
    <w:rsid w:val="00344338"/>
    <w:rsid w:val="00344701"/>
    <w:rsid w:val="00347A5B"/>
    <w:rsid w:val="00352B0F"/>
    <w:rsid w:val="00355B22"/>
    <w:rsid w:val="00360459"/>
    <w:rsid w:val="00371ACF"/>
    <w:rsid w:val="0038049F"/>
    <w:rsid w:val="003820E6"/>
    <w:rsid w:val="003B0A72"/>
    <w:rsid w:val="003C170F"/>
    <w:rsid w:val="003C6231"/>
    <w:rsid w:val="003D0BFE"/>
    <w:rsid w:val="003D5700"/>
    <w:rsid w:val="003E2302"/>
    <w:rsid w:val="003E341B"/>
    <w:rsid w:val="003E4D00"/>
    <w:rsid w:val="003E73C0"/>
    <w:rsid w:val="0040393C"/>
    <w:rsid w:val="004116CD"/>
    <w:rsid w:val="00417EB9"/>
    <w:rsid w:val="004234CC"/>
    <w:rsid w:val="00424CA9"/>
    <w:rsid w:val="004276DF"/>
    <w:rsid w:val="00431E9B"/>
    <w:rsid w:val="004379E3"/>
    <w:rsid w:val="0044015E"/>
    <w:rsid w:val="0044291A"/>
    <w:rsid w:val="00442B06"/>
    <w:rsid w:val="00467661"/>
    <w:rsid w:val="004700C4"/>
    <w:rsid w:val="00471FFC"/>
    <w:rsid w:val="00472DBE"/>
    <w:rsid w:val="00474A19"/>
    <w:rsid w:val="00477830"/>
    <w:rsid w:val="00481A23"/>
    <w:rsid w:val="00487764"/>
    <w:rsid w:val="004940C4"/>
    <w:rsid w:val="00495AF2"/>
    <w:rsid w:val="00496F97"/>
    <w:rsid w:val="00497EB2"/>
    <w:rsid w:val="004A26CE"/>
    <w:rsid w:val="004A438A"/>
    <w:rsid w:val="004B6C48"/>
    <w:rsid w:val="004C4E59"/>
    <w:rsid w:val="004C6809"/>
    <w:rsid w:val="004D36AE"/>
    <w:rsid w:val="004E063A"/>
    <w:rsid w:val="004E1307"/>
    <w:rsid w:val="004E7BEC"/>
    <w:rsid w:val="00505D3D"/>
    <w:rsid w:val="00506AF6"/>
    <w:rsid w:val="00516B8D"/>
    <w:rsid w:val="00516E94"/>
    <w:rsid w:val="005303C8"/>
    <w:rsid w:val="005374BD"/>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730"/>
    <w:rsid w:val="005C3F41"/>
    <w:rsid w:val="005D1D92"/>
    <w:rsid w:val="005D2D09"/>
    <w:rsid w:val="005E4F7F"/>
    <w:rsid w:val="005F30B6"/>
    <w:rsid w:val="005F320F"/>
    <w:rsid w:val="00600219"/>
    <w:rsid w:val="00604F2A"/>
    <w:rsid w:val="00606F09"/>
    <w:rsid w:val="00620076"/>
    <w:rsid w:val="00627E0A"/>
    <w:rsid w:val="0063239A"/>
    <w:rsid w:val="00641C5C"/>
    <w:rsid w:val="00642331"/>
    <w:rsid w:val="006443F2"/>
    <w:rsid w:val="0064530A"/>
    <w:rsid w:val="006517C9"/>
    <w:rsid w:val="0065488B"/>
    <w:rsid w:val="00670EA1"/>
    <w:rsid w:val="00677CC2"/>
    <w:rsid w:val="0068744B"/>
    <w:rsid w:val="006905DE"/>
    <w:rsid w:val="0069207B"/>
    <w:rsid w:val="00693109"/>
    <w:rsid w:val="006A0839"/>
    <w:rsid w:val="006A154F"/>
    <w:rsid w:val="006A437B"/>
    <w:rsid w:val="006B1337"/>
    <w:rsid w:val="006B5789"/>
    <w:rsid w:val="006C30C5"/>
    <w:rsid w:val="006C41DF"/>
    <w:rsid w:val="006C7F8C"/>
    <w:rsid w:val="006D37D0"/>
    <w:rsid w:val="006E2E1C"/>
    <w:rsid w:val="006E4395"/>
    <w:rsid w:val="006E5B2B"/>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1D5D"/>
    <w:rsid w:val="007C2253"/>
    <w:rsid w:val="007D7911"/>
    <w:rsid w:val="007E163D"/>
    <w:rsid w:val="007E667A"/>
    <w:rsid w:val="007F28C9"/>
    <w:rsid w:val="007F51B2"/>
    <w:rsid w:val="008038CE"/>
    <w:rsid w:val="008040DD"/>
    <w:rsid w:val="008117E9"/>
    <w:rsid w:val="0082443C"/>
    <w:rsid w:val="00824498"/>
    <w:rsid w:val="00826BD1"/>
    <w:rsid w:val="00854D0B"/>
    <w:rsid w:val="00856A31"/>
    <w:rsid w:val="00860B4E"/>
    <w:rsid w:val="0086399C"/>
    <w:rsid w:val="00867B37"/>
    <w:rsid w:val="0087329B"/>
    <w:rsid w:val="008754D0"/>
    <w:rsid w:val="00875D13"/>
    <w:rsid w:val="008855C9"/>
    <w:rsid w:val="00885EAB"/>
    <w:rsid w:val="00886456"/>
    <w:rsid w:val="00896176"/>
    <w:rsid w:val="008A1D2A"/>
    <w:rsid w:val="008A46E1"/>
    <w:rsid w:val="008A4F43"/>
    <w:rsid w:val="008A6AAC"/>
    <w:rsid w:val="008B1786"/>
    <w:rsid w:val="008B2706"/>
    <w:rsid w:val="008C2EAC"/>
    <w:rsid w:val="008C71DB"/>
    <w:rsid w:val="008D0EE0"/>
    <w:rsid w:val="008D783B"/>
    <w:rsid w:val="008E0027"/>
    <w:rsid w:val="008E6067"/>
    <w:rsid w:val="008F54E7"/>
    <w:rsid w:val="00903422"/>
    <w:rsid w:val="00914E47"/>
    <w:rsid w:val="0092394C"/>
    <w:rsid w:val="009254C3"/>
    <w:rsid w:val="00932377"/>
    <w:rsid w:val="00941236"/>
    <w:rsid w:val="00943FD5"/>
    <w:rsid w:val="00947D5A"/>
    <w:rsid w:val="009532A5"/>
    <w:rsid w:val="009545BD"/>
    <w:rsid w:val="009634B6"/>
    <w:rsid w:val="00964CF0"/>
    <w:rsid w:val="00972FE2"/>
    <w:rsid w:val="00977806"/>
    <w:rsid w:val="00982242"/>
    <w:rsid w:val="009841B4"/>
    <w:rsid w:val="009868E9"/>
    <w:rsid w:val="009900A3"/>
    <w:rsid w:val="00995BB8"/>
    <w:rsid w:val="009A2865"/>
    <w:rsid w:val="009B3D15"/>
    <w:rsid w:val="009C1523"/>
    <w:rsid w:val="009C3413"/>
    <w:rsid w:val="009D4587"/>
    <w:rsid w:val="00A0441E"/>
    <w:rsid w:val="00A12128"/>
    <w:rsid w:val="00A22C98"/>
    <w:rsid w:val="00A231E2"/>
    <w:rsid w:val="00A250FB"/>
    <w:rsid w:val="00A362E1"/>
    <w:rsid w:val="00A369E3"/>
    <w:rsid w:val="00A42093"/>
    <w:rsid w:val="00A57600"/>
    <w:rsid w:val="00A606F0"/>
    <w:rsid w:val="00A64912"/>
    <w:rsid w:val="00A70A74"/>
    <w:rsid w:val="00A75FE9"/>
    <w:rsid w:val="00A777CD"/>
    <w:rsid w:val="00A85949"/>
    <w:rsid w:val="00A907E6"/>
    <w:rsid w:val="00AC32FB"/>
    <w:rsid w:val="00AD53CC"/>
    <w:rsid w:val="00AD5641"/>
    <w:rsid w:val="00AF06CF"/>
    <w:rsid w:val="00B07CDB"/>
    <w:rsid w:val="00B16A31"/>
    <w:rsid w:val="00B17DFD"/>
    <w:rsid w:val="00B25306"/>
    <w:rsid w:val="00B27831"/>
    <w:rsid w:val="00B308FE"/>
    <w:rsid w:val="00B33709"/>
    <w:rsid w:val="00B33B3C"/>
    <w:rsid w:val="00B36392"/>
    <w:rsid w:val="00B418CB"/>
    <w:rsid w:val="00B46A3C"/>
    <w:rsid w:val="00B47444"/>
    <w:rsid w:val="00B50ADC"/>
    <w:rsid w:val="00B566B1"/>
    <w:rsid w:val="00B63834"/>
    <w:rsid w:val="00B763B0"/>
    <w:rsid w:val="00B80199"/>
    <w:rsid w:val="00B83204"/>
    <w:rsid w:val="00B856E7"/>
    <w:rsid w:val="00BA220B"/>
    <w:rsid w:val="00BA3A57"/>
    <w:rsid w:val="00BB1533"/>
    <w:rsid w:val="00BB4E1A"/>
    <w:rsid w:val="00BC015E"/>
    <w:rsid w:val="00BC76AC"/>
    <w:rsid w:val="00BD0ECB"/>
    <w:rsid w:val="00BD4186"/>
    <w:rsid w:val="00BE2155"/>
    <w:rsid w:val="00BE719A"/>
    <w:rsid w:val="00BE720A"/>
    <w:rsid w:val="00BF0D73"/>
    <w:rsid w:val="00BF2465"/>
    <w:rsid w:val="00C16619"/>
    <w:rsid w:val="00C25E7F"/>
    <w:rsid w:val="00C26D04"/>
    <w:rsid w:val="00C2746F"/>
    <w:rsid w:val="00C323D6"/>
    <w:rsid w:val="00C324A0"/>
    <w:rsid w:val="00C42BF8"/>
    <w:rsid w:val="00C50043"/>
    <w:rsid w:val="00C53948"/>
    <w:rsid w:val="00C6549B"/>
    <w:rsid w:val="00C7171E"/>
    <w:rsid w:val="00C7573B"/>
    <w:rsid w:val="00C97A54"/>
    <w:rsid w:val="00CA5B23"/>
    <w:rsid w:val="00CB602E"/>
    <w:rsid w:val="00CB7E90"/>
    <w:rsid w:val="00CE051D"/>
    <w:rsid w:val="00CE1335"/>
    <w:rsid w:val="00CE493D"/>
    <w:rsid w:val="00CF07FA"/>
    <w:rsid w:val="00CF0BB2"/>
    <w:rsid w:val="00CF3EE8"/>
    <w:rsid w:val="00D02288"/>
    <w:rsid w:val="00D062B4"/>
    <w:rsid w:val="00D13441"/>
    <w:rsid w:val="00D150E7"/>
    <w:rsid w:val="00D26508"/>
    <w:rsid w:val="00D50EB1"/>
    <w:rsid w:val="00D52DC2"/>
    <w:rsid w:val="00D53BCC"/>
    <w:rsid w:val="00D54C9E"/>
    <w:rsid w:val="00D6537E"/>
    <w:rsid w:val="00D70DFB"/>
    <w:rsid w:val="00D766DF"/>
    <w:rsid w:val="00D8206C"/>
    <w:rsid w:val="00D91F10"/>
    <w:rsid w:val="00D96F1D"/>
    <w:rsid w:val="00DA186E"/>
    <w:rsid w:val="00DA4116"/>
    <w:rsid w:val="00DB251C"/>
    <w:rsid w:val="00DB4630"/>
    <w:rsid w:val="00DB4767"/>
    <w:rsid w:val="00DC4F88"/>
    <w:rsid w:val="00DD397B"/>
    <w:rsid w:val="00DE107C"/>
    <w:rsid w:val="00DE33D1"/>
    <w:rsid w:val="00DE4EF6"/>
    <w:rsid w:val="00DE524C"/>
    <w:rsid w:val="00DF2388"/>
    <w:rsid w:val="00E05704"/>
    <w:rsid w:val="00E144E9"/>
    <w:rsid w:val="00E311C8"/>
    <w:rsid w:val="00E338EF"/>
    <w:rsid w:val="00E52169"/>
    <w:rsid w:val="00E544BB"/>
    <w:rsid w:val="00E70D71"/>
    <w:rsid w:val="00E72953"/>
    <w:rsid w:val="00E748AB"/>
    <w:rsid w:val="00E74DC7"/>
    <w:rsid w:val="00E76539"/>
    <w:rsid w:val="00E8075A"/>
    <w:rsid w:val="00E8079E"/>
    <w:rsid w:val="00E81E54"/>
    <w:rsid w:val="00E940D8"/>
    <w:rsid w:val="00E94D5E"/>
    <w:rsid w:val="00EA7100"/>
    <w:rsid w:val="00EA7F9F"/>
    <w:rsid w:val="00EB1274"/>
    <w:rsid w:val="00EB5232"/>
    <w:rsid w:val="00EC0C22"/>
    <w:rsid w:val="00EC700C"/>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44B7"/>
    <w:rsid w:val="00F479C4"/>
    <w:rsid w:val="00F567F7"/>
    <w:rsid w:val="00F61E8A"/>
    <w:rsid w:val="00F6696E"/>
    <w:rsid w:val="00F73BD6"/>
    <w:rsid w:val="00F823E1"/>
    <w:rsid w:val="00F83989"/>
    <w:rsid w:val="00F85099"/>
    <w:rsid w:val="00F9379C"/>
    <w:rsid w:val="00F9632C"/>
    <w:rsid w:val="00FA1E52"/>
    <w:rsid w:val="00FB5A08"/>
    <w:rsid w:val="00FC6A80"/>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1479">
      <w:bodyDiv w:val="1"/>
      <w:marLeft w:val="0"/>
      <w:marRight w:val="0"/>
      <w:marTop w:val="0"/>
      <w:marBottom w:val="0"/>
      <w:divBdr>
        <w:top w:val="none" w:sz="0" w:space="0" w:color="auto"/>
        <w:left w:val="none" w:sz="0" w:space="0" w:color="auto"/>
        <w:bottom w:val="none" w:sz="0" w:space="0" w:color="auto"/>
        <w:right w:val="none" w:sz="0" w:space="0" w:color="auto"/>
      </w:divBdr>
    </w:div>
    <w:div w:id="201358529">
      <w:bodyDiv w:val="1"/>
      <w:marLeft w:val="0"/>
      <w:marRight w:val="0"/>
      <w:marTop w:val="0"/>
      <w:marBottom w:val="0"/>
      <w:divBdr>
        <w:top w:val="none" w:sz="0" w:space="0" w:color="auto"/>
        <w:left w:val="none" w:sz="0" w:space="0" w:color="auto"/>
        <w:bottom w:val="none" w:sz="0" w:space="0" w:color="auto"/>
        <w:right w:val="none" w:sz="0" w:space="0" w:color="auto"/>
      </w:divBdr>
    </w:div>
    <w:div w:id="651449478">
      <w:bodyDiv w:val="1"/>
      <w:marLeft w:val="0"/>
      <w:marRight w:val="0"/>
      <w:marTop w:val="0"/>
      <w:marBottom w:val="0"/>
      <w:divBdr>
        <w:top w:val="none" w:sz="0" w:space="0" w:color="auto"/>
        <w:left w:val="none" w:sz="0" w:space="0" w:color="auto"/>
        <w:bottom w:val="none" w:sz="0" w:space="0" w:color="auto"/>
        <w:right w:val="none" w:sz="0" w:space="0" w:color="auto"/>
      </w:divBdr>
    </w:div>
    <w:div w:id="1023213960">
      <w:bodyDiv w:val="1"/>
      <w:marLeft w:val="0"/>
      <w:marRight w:val="0"/>
      <w:marTop w:val="0"/>
      <w:marBottom w:val="0"/>
      <w:divBdr>
        <w:top w:val="none" w:sz="0" w:space="0" w:color="auto"/>
        <w:left w:val="none" w:sz="0" w:space="0" w:color="auto"/>
        <w:bottom w:val="none" w:sz="0" w:space="0" w:color="auto"/>
        <w:right w:val="none" w:sz="0" w:space="0" w:color="auto"/>
      </w:divBdr>
    </w:div>
    <w:div w:id="1081172473">
      <w:bodyDiv w:val="1"/>
      <w:marLeft w:val="0"/>
      <w:marRight w:val="0"/>
      <w:marTop w:val="0"/>
      <w:marBottom w:val="0"/>
      <w:divBdr>
        <w:top w:val="none" w:sz="0" w:space="0" w:color="auto"/>
        <w:left w:val="none" w:sz="0" w:space="0" w:color="auto"/>
        <w:bottom w:val="none" w:sz="0" w:space="0" w:color="auto"/>
        <w:right w:val="none" w:sz="0" w:space="0" w:color="auto"/>
      </w:divBdr>
    </w:div>
    <w:div w:id="1330937824">
      <w:bodyDiv w:val="1"/>
      <w:marLeft w:val="0"/>
      <w:marRight w:val="0"/>
      <w:marTop w:val="0"/>
      <w:marBottom w:val="0"/>
      <w:divBdr>
        <w:top w:val="none" w:sz="0" w:space="0" w:color="auto"/>
        <w:left w:val="none" w:sz="0" w:space="0" w:color="auto"/>
        <w:bottom w:val="none" w:sz="0" w:space="0" w:color="auto"/>
        <w:right w:val="none" w:sz="0" w:space="0" w:color="auto"/>
      </w:divBdr>
    </w:div>
    <w:div w:id="1332873355">
      <w:bodyDiv w:val="1"/>
      <w:marLeft w:val="0"/>
      <w:marRight w:val="0"/>
      <w:marTop w:val="0"/>
      <w:marBottom w:val="0"/>
      <w:divBdr>
        <w:top w:val="none" w:sz="0" w:space="0" w:color="auto"/>
        <w:left w:val="none" w:sz="0" w:space="0" w:color="auto"/>
        <w:bottom w:val="none" w:sz="0" w:space="0" w:color="auto"/>
        <w:right w:val="none" w:sz="0" w:space="0" w:color="auto"/>
      </w:divBdr>
    </w:div>
    <w:div w:id="1335186167">
      <w:bodyDiv w:val="1"/>
      <w:marLeft w:val="0"/>
      <w:marRight w:val="0"/>
      <w:marTop w:val="0"/>
      <w:marBottom w:val="0"/>
      <w:divBdr>
        <w:top w:val="none" w:sz="0" w:space="0" w:color="auto"/>
        <w:left w:val="none" w:sz="0" w:space="0" w:color="auto"/>
        <w:bottom w:val="none" w:sz="0" w:space="0" w:color="auto"/>
        <w:right w:val="none" w:sz="0" w:space="0" w:color="auto"/>
      </w:divBdr>
    </w:div>
    <w:div w:id="1708144351">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EA1DDED0-BFE8-4917-8B69-38B09902FFDD}">
  <ds:schemaRefs>
    <ds:schemaRef ds:uri="http://schemas.openxmlformats.org/officeDocument/2006/bibliography"/>
  </ds:schemaRefs>
</ds:datastoreItem>
</file>

<file path=customXml/itemProps2.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4.xml><?xml version="1.0" encoding="utf-8"?>
<ds:datastoreItem xmlns:ds="http://schemas.openxmlformats.org/officeDocument/2006/customXml" ds:itemID="{AB32D6C0-ACBE-4838-9F70-D449CBACE5B6}">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2019.DOTX</Template>
  <TotalTime>2</TotalTime>
  <Pages>9</Pages>
  <Words>892</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POHLMANN, Tilly</cp:lastModifiedBy>
  <cp:revision>2</cp:revision>
  <cp:lastPrinted>2019-09-26T05:45:00Z</cp:lastPrinted>
  <dcterms:created xsi:type="dcterms:W3CDTF">2022-02-27T23:33:00Z</dcterms:created>
  <dcterms:modified xsi:type="dcterms:W3CDTF">2022-02-27T23:33:00Z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