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3D87" w14:textId="70213715" w:rsidR="002436BD" w:rsidRPr="00613F01" w:rsidRDefault="00E62E09" w:rsidP="001A2234">
      <w:pPr>
        <w:pStyle w:val="Heading"/>
        <w:spacing w:after="240"/>
        <w:jc w:val="center"/>
        <w:rPr>
          <w:rFonts w:ascii="Times New Roman" w:hAnsi="Times New Roman"/>
          <w:sz w:val="24"/>
          <w:szCs w:val="24"/>
        </w:rPr>
      </w:pPr>
      <w:r w:rsidRPr="00613F01">
        <w:rPr>
          <w:rFonts w:ascii="Times New Roman" w:hAnsi="Times New Roman"/>
          <w:sz w:val="24"/>
          <w:szCs w:val="24"/>
        </w:rPr>
        <w:t>Financial Sector (Collection of Data</w:t>
      </w:r>
      <w:r w:rsidRPr="003F1335">
        <w:rPr>
          <w:rFonts w:ascii="Times New Roman" w:hAnsi="Times New Roman"/>
          <w:sz w:val="24"/>
          <w:szCs w:val="24"/>
        </w:rPr>
        <w:t>) (reporting standard)</w:t>
      </w:r>
      <w:r w:rsidR="001A2ADB" w:rsidRPr="003F1335">
        <w:rPr>
          <w:rFonts w:ascii="Times New Roman" w:hAnsi="Times New Roman"/>
          <w:sz w:val="24"/>
          <w:szCs w:val="24"/>
        </w:rPr>
        <w:t xml:space="preserve"> </w:t>
      </w:r>
      <w:r w:rsidR="002436BD" w:rsidRPr="003F1335">
        <w:rPr>
          <w:rFonts w:ascii="Times New Roman" w:hAnsi="Times New Roman"/>
          <w:sz w:val="24"/>
          <w:szCs w:val="24"/>
        </w:rPr>
        <w:t>determination No</w:t>
      </w:r>
      <w:r w:rsidR="00CF7DAA" w:rsidRPr="003F1335">
        <w:rPr>
          <w:rFonts w:ascii="Times New Roman" w:hAnsi="Times New Roman"/>
          <w:sz w:val="24"/>
          <w:szCs w:val="24"/>
        </w:rPr>
        <w:t>s</w:t>
      </w:r>
      <w:r w:rsidR="002436BD" w:rsidRPr="003F1335">
        <w:rPr>
          <w:rFonts w:ascii="Times New Roman" w:hAnsi="Times New Roman"/>
          <w:sz w:val="24"/>
          <w:szCs w:val="24"/>
        </w:rPr>
        <w:t xml:space="preserve">. </w:t>
      </w:r>
      <w:r w:rsidR="00620C3F">
        <w:rPr>
          <w:rFonts w:ascii="Times New Roman" w:hAnsi="Times New Roman"/>
          <w:sz w:val="24"/>
          <w:szCs w:val="24"/>
        </w:rPr>
        <w:t>1</w:t>
      </w:r>
      <w:r w:rsidR="00CF7DAA" w:rsidRPr="003F1335">
        <w:rPr>
          <w:rFonts w:ascii="Times New Roman" w:hAnsi="Times New Roman"/>
          <w:sz w:val="24"/>
          <w:szCs w:val="24"/>
        </w:rPr>
        <w:t xml:space="preserve"> to </w:t>
      </w:r>
      <w:r w:rsidR="00620C3F">
        <w:rPr>
          <w:rFonts w:ascii="Times New Roman" w:hAnsi="Times New Roman"/>
          <w:sz w:val="24"/>
          <w:szCs w:val="24"/>
        </w:rPr>
        <w:t>10</w:t>
      </w:r>
      <w:r w:rsidR="00C02366" w:rsidRPr="003F1335">
        <w:rPr>
          <w:rFonts w:ascii="Times New Roman" w:hAnsi="Times New Roman"/>
          <w:sz w:val="24"/>
          <w:szCs w:val="24"/>
        </w:rPr>
        <w:t xml:space="preserve"> of</w:t>
      </w:r>
      <w:r w:rsidR="00C02366" w:rsidRPr="004C5BC3">
        <w:rPr>
          <w:rFonts w:ascii="Times New Roman" w:hAnsi="Times New Roman"/>
          <w:sz w:val="24"/>
          <w:szCs w:val="24"/>
        </w:rPr>
        <w:t xml:space="preserve"> 202</w:t>
      </w:r>
      <w:r w:rsidR="006020ED">
        <w:rPr>
          <w:rFonts w:ascii="Times New Roman" w:hAnsi="Times New Roman"/>
          <w:sz w:val="24"/>
          <w:szCs w:val="24"/>
        </w:rPr>
        <w:t>2</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A5906BF"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7464B2FD" w14:textId="5F7E0FB3" w:rsidR="002436BD" w:rsidRPr="00AF72B8" w:rsidRDefault="002436BD" w:rsidP="001A2234">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rPr>
          <w:rFonts w:ascii="Times New Roman" w:hAnsi="Times New Roman"/>
          <w:sz w:val="24"/>
          <w:szCs w:val="24"/>
        </w:rPr>
        <w:t>Subsection</w:t>
      </w:r>
      <w:r w:rsidR="00C02366">
        <w:rPr>
          <w:rFonts w:ascii="Times New Roman" w:hAnsi="Times New Roman"/>
          <w:sz w:val="24"/>
          <w:szCs w:val="24"/>
        </w:rPr>
        <w:t> </w:t>
      </w:r>
      <w:r w:rsidR="00BD6360" w:rsidRPr="00BD6360">
        <w:rPr>
          <w:rFonts w:ascii="Times New Roman" w:hAnsi="Times New Roman"/>
          <w:sz w:val="24"/>
          <w:szCs w:val="24"/>
        </w:rPr>
        <w:t xml:space="preserve">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00BD6360" w:rsidRPr="00AF72B8">
        <w:rPr>
          <w:rFonts w:ascii="Times New Roman" w:hAnsi="Times New Roman"/>
          <w:sz w:val="24"/>
          <w:szCs w:val="24"/>
        </w:rPr>
        <w:t>if any) to revoke any such instrument.</w:t>
      </w:r>
    </w:p>
    <w:p w14:paraId="022D2D5C" w14:textId="33CFB527" w:rsidR="00C65D68" w:rsidRPr="00DF2C01" w:rsidRDefault="00C65D68" w:rsidP="001A2234">
      <w:pPr>
        <w:widowControl w:val="0"/>
        <w:spacing w:after="240"/>
        <w:jc w:val="both"/>
        <w:rPr>
          <w:rFonts w:ascii="Times New Roman" w:hAnsi="Times New Roman"/>
          <w:sz w:val="24"/>
          <w:szCs w:val="24"/>
        </w:rPr>
      </w:pPr>
      <w:bookmarkStart w:id="3" w:name="_Hlk67156972"/>
      <w:r w:rsidRPr="00AF72B8">
        <w:rPr>
          <w:rFonts w:ascii="Times New Roman" w:hAnsi="Times New Roman"/>
          <w:sz w:val="24"/>
          <w:szCs w:val="24"/>
        </w:rPr>
        <w:t>Subsection 15(1</w:t>
      </w:r>
      <w:r w:rsidRPr="0043748A">
        <w:rPr>
          <w:rFonts w:ascii="Times New Roman" w:hAnsi="Times New Roman"/>
          <w:sz w:val="24"/>
          <w:szCs w:val="24"/>
        </w:rPr>
        <w:t xml:space="preserve">) of the Act provides that APRA may declare a day on and after which </w:t>
      </w:r>
      <w:r w:rsidRPr="00DF2C01">
        <w:rPr>
          <w:rFonts w:ascii="Times New Roman" w:hAnsi="Times New Roman"/>
          <w:sz w:val="24"/>
          <w:szCs w:val="24"/>
        </w:rPr>
        <w:t xml:space="preserve">the reporting standards are to apply. </w:t>
      </w:r>
    </w:p>
    <w:bookmarkEnd w:id="3"/>
    <w:p w14:paraId="113F4DEA" w14:textId="359D3014" w:rsidR="0033665C" w:rsidRPr="00DF2C01" w:rsidRDefault="00246723" w:rsidP="00FE5F57">
      <w:pPr>
        <w:spacing w:after="240"/>
        <w:jc w:val="both"/>
        <w:rPr>
          <w:rFonts w:ascii="Times New Roman" w:hAnsi="Times New Roman"/>
          <w:sz w:val="24"/>
          <w:szCs w:val="24"/>
        </w:rPr>
      </w:pPr>
      <w:r w:rsidRPr="00DF2C01">
        <w:rPr>
          <w:rFonts w:ascii="Times New Roman" w:hAnsi="Times New Roman"/>
          <w:sz w:val="24"/>
          <w:szCs w:val="24"/>
        </w:rPr>
        <w:t xml:space="preserve">On </w:t>
      </w:r>
      <w:r w:rsidR="0032222D">
        <w:rPr>
          <w:rFonts w:ascii="Times New Roman" w:hAnsi="Times New Roman"/>
          <w:sz w:val="24"/>
          <w:szCs w:val="24"/>
        </w:rPr>
        <w:t>23</w:t>
      </w:r>
      <w:r w:rsidR="00D4429E">
        <w:rPr>
          <w:rFonts w:ascii="Times New Roman" w:hAnsi="Times New Roman"/>
          <w:sz w:val="24"/>
          <w:szCs w:val="24"/>
        </w:rPr>
        <w:t xml:space="preserve"> February</w:t>
      </w:r>
      <w:r w:rsidR="006020ED" w:rsidRPr="00DF2C01">
        <w:rPr>
          <w:rFonts w:ascii="Times New Roman" w:hAnsi="Times New Roman"/>
          <w:sz w:val="24"/>
          <w:szCs w:val="24"/>
        </w:rPr>
        <w:t xml:space="preserve"> 2022</w:t>
      </w:r>
      <w:r w:rsidRPr="00DF2C01">
        <w:rPr>
          <w:rFonts w:ascii="Times New Roman" w:hAnsi="Times New Roman"/>
          <w:sz w:val="24"/>
          <w:szCs w:val="24"/>
        </w:rPr>
        <w:t>, APRA made</w:t>
      </w:r>
      <w:r w:rsidR="00D30128" w:rsidRPr="00DF2C01">
        <w:rPr>
          <w:rFonts w:ascii="Times New Roman" w:hAnsi="Times New Roman"/>
          <w:sz w:val="24"/>
          <w:szCs w:val="24"/>
        </w:rPr>
        <w:t xml:space="preserve"> the following</w:t>
      </w:r>
      <w:r w:rsidR="00736D41" w:rsidRPr="00DF2C01">
        <w:rPr>
          <w:rFonts w:ascii="Times New Roman" w:hAnsi="Times New Roman"/>
          <w:sz w:val="24"/>
          <w:szCs w:val="24"/>
        </w:rPr>
        <w:t xml:space="preserve"> determination</w:t>
      </w:r>
      <w:r w:rsidR="0033665C" w:rsidRPr="00DF2C01">
        <w:rPr>
          <w:rFonts w:ascii="Times New Roman" w:hAnsi="Times New Roman"/>
          <w:sz w:val="24"/>
          <w:szCs w:val="24"/>
        </w:rPr>
        <w:t>s</w:t>
      </w:r>
      <w:r w:rsidR="00D30128" w:rsidRPr="00DF2C01">
        <w:rPr>
          <w:rFonts w:ascii="Times New Roman" w:hAnsi="Times New Roman"/>
          <w:sz w:val="24"/>
          <w:szCs w:val="24"/>
        </w:rPr>
        <w:t xml:space="preserve"> (the instruments)</w:t>
      </w:r>
      <w:r w:rsidR="0033665C" w:rsidRPr="00DF2C01">
        <w:rPr>
          <w:rFonts w:ascii="Times New Roman" w:hAnsi="Times New Roman"/>
          <w:sz w:val="24"/>
          <w:szCs w:val="24"/>
        </w:rPr>
        <w:t>:</w:t>
      </w:r>
      <w:r w:rsidR="00736D41" w:rsidRPr="00DF2C01">
        <w:rPr>
          <w:rFonts w:ascii="Times New Roman" w:hAnsi="Times New Roman"/>
          <w:sz w:val="24"/>
          <w:szCs w:val="24"/>
        </w:rPr>
        <w:t xml:space="preserve"> </w:t>
      </w:r>
    </w:p>
    <w:p w14:paraId="4B0EDDF2" w14:textId="6AB47D30" w:rsidR="00826A36" w:rsidRPr="00DF2C01" w:rsidRDefault="00826A36" w:rsidP="00826A36">
      <w:pPr>
        <w:pStyle w:val="ListParagraph"/>
        <w:numPr>
          <w:ilvl w:val="0"/>
          <w:numId w:val="13"/>
        </w:numPr>
        <w:spacing w:after="240"/>
        <w:ind w:left="567" w:hanging="567"/>
        <w:jc w:val="both"/>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3130A7" w:rsidRPr="00DF2C01">
        <w:rPr>
          <w:rFonts w:ascii="Times New Roman" w:hAnsi="Times New Roman"/>
          <w:sz w:val="24"/>
          <w:szCs w:val="24"/>
        </w:rPr>
        <w:t>1</w:t>
      </w:r>
      <w:r w:rsidRPr="00DF2C01">
        <w:rPr>
          <w:rFonts w:ascii="Times New Roman" w:hAnsi="Times New Roman"/>
          <w:sz w:val="24"/>
          <w:szCs w:val="24"/>
        </w:rPr>
        <w:t xml:space="preserve"> of 202</w:t>
      </w:r>
      <w:r w:rsidR="003130A7" w:rsidRPr="00DF2C01">
        <w:rPr>
          <w:rFonts w:ascii="Times New Roman" w:hAnsi="Times New Roman"/>
          <w:sz w:val="24"/>
          <w:szCs w:val="24"/>
        </w:rPr>
        <w:t>2</w:t>
      </w:r>
      <w:r w:rsidRPr="00DF2C01">
        <w:rPr>
          <w:rFonts w:ascii="Times New Roman" w:hAnsi="Times New Roman"/>
          <w:sz w:val="24"/>
          <w:szCs w:val="24"/>
        </w:rPr>
        <w:t xml:space="preserve"> which:</w:t>
      </w:r>
    </w:p>
    <w:p w14:paraId="14656F5F" w14:textId="13C40B57" w:rsidR="00826A36" w:rsidRPr="00DF2C01" w:rsidRDefault="00826A36" w:rsidP="00826A36">
      <w:pPr>
        <w:pStyle w:val="ListParagraph"/>
        <w:numPr>
          <w:ilvl w:val="1"/>
          <w:numId w:val="13"/>
        </w:numPr>
        <w:spacing w:after="240"/>
        <w:ind w:left="1134" w:hanging="567"/>
        <w:jc w:val="both"/>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sidR="005B0235" w:rsidRPr="00DF2C01">
        <w:rPr>
          <w:rFonts w:ascii="Times New Roman" w:hAnsi="Times New Roman"/>
          <w:i/>
          <w:sz w:val="24"/>
          <w:szCs w:val="24"/>
        </w:rPr>
        <w:t xml:space="preserve">ARS 112.1 Standardised Credit Risk – On-balance Sheet </w:t>
      </w:r>
      <w:proofErr w:type="gramStart"/>
      <w:r w:rsidR="005B0235" w:rsidRPr="00DF2C01">
        <w:rPr>
          <w:rFonts w:ascii="Times New Roman" w:hAnsi="Times New Roman"/>
          <w:i/>
          <w:sz w:val="24"/>
          <w:szCs w:val="24"/>
        </w:rPr>
        <w:t xml:space="preserve">Assets </w:t>
      </w:r>
      <w:r w:rsidRPr="00DF2C01">
        <w:rPr>
          <w:rFonts w:ascii="Times New Roman" w:hAnsi="Times New Roman"/>
          <w:sz w:val="24"/>
          <w:szCs w:val="24"/>
        </w:rPr>
        <w:t xml:space="preserve"> (</w:t>
      </w:r>
      <w:proofErr w:type="gramEnd"/>
      <w:r w:rsidRPr="00DF2C01">
        <w:rPr>
          <w:rFonts w:ascii="Times New Roman" w:hAnsi="Times New Roman"/>
          <w:sz w:val="24"/>
          <w:szCs w:val="24"/>
        </w:rPr>
        <w:t xml:space="preserve">ARS </w:t>
      </w:r>
      <w:r w:rsidR="005B0235" w:rsidRPr="00DF2C01">
        <w:rPr>
          <w:rFonts w:ascii="Times New Roman" w:hAnsi="Times New Roman"/>
          <w:sz w:val="24"/>
          <w:szCs w:val="24"/>
        </w:rPr>
        <w:t>112</w:t>
      </w:r>
      <w:r w:rsidRPr="00DF2C01">
        <w:rPr>
          <w:rFonts w:ascii="Times New Roman" w:hAnsi="Times New Roman"/>
          <w:sz w:val="24"/>
          <w:szCs w:val="24"/>
        </w:rPr>
        <w:t>.</w:t>
      </w:r>
      <w:r w:rsidR="005B0235" w:rsidRPr="00DF2C01">
        <w:rPr>
          <w:rFonts w:ascii="Times New Roman" w:hAnsi="Times New Roman"/>
          <w:sz w:val="24"/>
          <w:szCs w:val="24"/>
        </w:rPr>
        <w:t>1</w:t>
      </w:r>
      <w:r w:rsidRPr="00DF2C01">
        <w:rPr>
          <w:rFonts w:ascii="Times New Roman" w:hAnsi="Times New Roman"/>
          <w:sz w:val="24"/>
          <w:szCs w:val="24"/>
        </w:rPr>
        <w:t xml:space="preserve">) made under Financial Sector (Collection of Data) (reporting standard) determination No. </w:t>
      </w:r>
      <w:r w:rsidR="00DF2C01" w:rsidRPr="00DF2C01">
        <w:rPr>
          <w:rFonts w:ascii="Times New Roman" w:hAnsi="Times New Roman"/>
          <w:sz w:val="24"/>
          <w:szCs w:val="24"/>
        </w:rPr>
        <w:t>7</w:t>
      </w:r>
      <w:r w:rsidRPr="00DF2C01">
        <w:rPr>
          <w:rFonts w:ascii="Times New Roman" w:hAnsi="Times New Roman"/>
          <w:sz w:val="24"/>
          <w:szCs w:val="24"/>
        </w:rPr>
        <w:t xml:space="preserve"> of 201</w:t>
      </w:r>
      <w:r w:rsidR="00DF2C01" w:rsidRPr="00DF2C01">
        <w:rPr>
          <w:rFonts w:ascii="Times New Roman" w:hAnsi="Times New Roman"/>
          <w:sz w:val="24"/>
          <w:szCs w:val="24"/>
        </w:rPr>
        <w:t>2</w:t>
      </w:r>
      <w:r w:rsidRPr="00DF2C01">
        <w:rPr>
          <w:rFonts w:ascii="Times New Roman" w:hAnsi="Times New Roman"/>
          <w:sz w:val="24"/>
          <w:szCs w:val="24"/>
        </w:rPr>
        <w:t>; and</w:t>
      </w:r>
    </w:p>
    <w:p w14:paraId="126E5CEA" w14:textId="5DFE2D6B" w:rsidR="00826A36" w:rsidRPr="00DF2C01" w:rsidRDefault="00826A36" w:rsidP="00826A36">
      <w:pPr>
        <w:pStyle w:val="ListParagraph"/>
        <w:numPr>
          <w:ilvl w:val="1"/>
          <w:numId w:val="13"/>
        </w:numPr>
        <w:spacing w:after="240"/>
        <w:ind w:left="1134" w:hanging="567"/>
        <w:jc w:val="both"/>
        <w:rPr>
          <w:rFonts w:ascii="Times New Roman" w:hAnsi="Times New Roman"/>
          <w:sz w:val="24"/>
          <w:szCs w:val="24"/>
        </w:rPr>
      </w:pPr>
      <w:r w:rsidRPr="00DF2C01">
        <w:rPr>
          <w:rFonts w:ascii="Times New Roman" w:hAnsi="Times New Roman"/>
          <w:sz w:val="24"/>
          <w:szCs w:val="24"/>
        </w:rPr>
        <w:t xml:space="preserve">determines a new version of ARS </w:t>
      </w:r>
      <w:proofErr w:type="gramStart"/>
      <w:r w:rsidR="00A101AD" w:rsidRPr="00DF2C01">
        <w:rPr>
          <w:rFonts w:ascii="Times New Roman" w:hAnsi="Times New Roman"/>
          <w:sz w:val="24"/>
          <w:szCs w:val="24"/>
        </w:rPr>
        <w:t>112</w:t>
      </w:r>
      <w:r w:rsidRPr="00DF2C01">
        <w:rPr>
          <w:rFonts w:ascii="Times New Roman" w:hAnsi="Times New Roman"/>
          <w:sz w:val="24"/>
          <w:szCs w:val="24"/>
        </w:rPr>
        <w:t>.</w:t>
      </w:r>
      <w:r w:rsidR="00A101AD" w:rsidRPr="00DF2C01">
        <w:rPr>
          <w:rFonts w:ascii="Times New Roman" w:hAnsi="Times New Roman"/>
          <w:sz w:val="24"/>
          <w:szCs w:val="24"/>
        </w:rPr>
        <w:t>1</w:t>
      </w:r>
      <w:r w:rsidRPr="00DF2C01">
        <w:rPr>
          <w:rFonts w:ascii="Times New Roman" w:hAnsi="Times New Roman"/>
          <w:sz w:val="24"/>
          <w:szCs w:val="24"/>
        </w:rPr>
        <w:t>;</w:t>
      </w:r>
      <w:proofErr w:type="gramEnd"/>
    </w:p>
    <w:p w14:paraId="68D8A952" w14:textId="62F3C419" w:rsidR="005B5CA7" w:rsidRPr="005B0235" w:rsidRDefault="003130A7" w:rsidP="00A101AD">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Financial Sector (Collection of Data) (reporting standard) determination No. 2 of 2022 which</w:t>
      </w:r>
      <w:r w:rsidR="00A101AD" w:rsidRPr="005B0235">
        <w:rPr>
          <w:rFonts w:ascii="Times New Roman" w:hAnsi="Times New Roman"/>
          <w:sz w:val="24"/>
          <w:szCs w:val="24"/>
        </w:rPr>
        <w:t xml:space="preserve"> </w:t>
      </w:r>
      <w:r w:rsidR="005B5CA7" w:rsidRPr="005B0235">
        <w:rPr>
          <w:rFonts w:ascii="Times New Roman" w:hAnsi="Times New Roman"/>
          <w:sz w:val="24"/>
          <w:szCs w:val="24"/>
        </w:rPr>
        <w:t xml:space="preserve">determines a new </w:t>
      </w:r>
      <w:r w:rsidR="005B0235" w:rsidRPr="005B0235">
        <w:rPr>
          <w:rFonts w:ascii="Times New Roman" w:hAnsi="Times New Roman"/>
          <w:i/>
          <w:sz w:val="24"/>
          <w:szCs w:val="24"/>
        </w:rPr>
        <w:t xml:space="preserve">Reporting Standard ARS 115.0 Capital Adequacy: Standardised Measurement Approach to Operational Risk </w:t>
      </w:r>
      <w:r w:rsidR="005B0235" w:rsidRPr="005B0235">
        <w:rPr>
          <w:rFonts w:ascii="Times New Roman" w:hAnsi="Times New Roman"/>
          <w:sz w:val="24"/>
          <w:szCs w:val="24"/>
        </w:rPr>
        <w:t>(</w:t>
      </w:r>
      <w:r w:rsidR="005B5CA7" w:rsidRPr="005B0235">
        <w:rPr>
          <w:rFonts w:ascii="Times New Roman" w:hAnsi="Times New Roman"/>
          <w:sz w:val="24"/>
          <w:szCs w:val="24"/>
        </w:rPr>
        <w:t xml:space="preserve">ARS </w:t>
      </w:r>
      <w:r w:rsidR="00A101AD" w:rsidRPr="005B0235">
        <w:rPr>
          <w:rFonts w:ascii="Times New Roman" w:hAnsi="Times New Roman"/>
          <w:sz w:val="24"/>
          <w:szCs w:val="24"/>
        </w:rPr>
        <w:t>115</w:t>
      </w:r>
      <w:r w:rsidR="005B5CA7" w:rsidRPr="005B0235">
        <w:rPr>
          <w:rFonts w:ascii="Times New Roman" w:hAnsi="Times New Roman"/>
          <w:sz w:val="24"/>
          <w:szCs w:val="24"/>
        </w:rPr>
        <w:t>.</w:t>
      </w:r>
      <w:r w:rsidR="00A101AD" w:rsidRPr="005B0235">
        <w:rPr>
          <w:rFonts w:ascii="Times New Roman" w:hAnsi="Times New Roman"/>
          <w:sz w:val="24"/>
          <w:szCs w:val="24"/>
        </w:rPr>
        <w:t>0</w:t>
      </w:r>
      <w:proofErr w:type="gramStart"/>
      <w:r w:rsidR="005B0235" w:rsidRPr="005B0235">
        <w:rPr>
          <w:rFonts w:ascii="Times New Roman" w:hAnsi="Times New Roman"/>
          <w:sz w:val="24"/>
          <w:szCs w:val="24"/>
        </w:rPr>
        <w:t>)</w:t>
      </w:r>
      <w:r w:rsidR="005B5CA7" w:rsidRPr="005B0235">
        <w:rPr>
          <w:rFonts w:ascii="Times New Roman" w:hAnsi="Times New Roman"/>
          <w:sz w:val="24"/>
          <w:szCs w:val="24"/>
        </w:rPr>
        <w:t>;</w:t>
      </w:r>
      <w:proofErr w:type="gramEnd"/>
    </w:p>
    <w:p w14:paraId="747EB4EE" w14:textId="673AB73F" w:rsidR="003130A7" w:rsidRPr="00726D58"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 xml:space="preserve">Financial Sector (Collection of Data) (reporting standard) determination No. 3 of </w:t>
      </w:r>
      <w:r w:rsidRPr="00726D58">
        <w:rPr>
          <w:rFonts w:ascii="Times New Roman" w:hAnsi="Times New Roman"/>
          <w:sz w:val="24"/>
          <w:szCs w:val="24"/>
        </w:rPr>
        <w:t>2022 which:</w:t>
      </w:r>
    </w:p>
    <w:p w14:paraId="2BCCC267" w14:textId="5488C069" w:rsidR="00FB728D" w:rsidRPr="00726D58" w:rsidRDefault="00FB728D" w:rsidP="00FB728D">
      <w:pPr>
        <w:pStyle w:val="ListParagraph"/>
        <w:numPr>
          <w:ilvl w:val="1"/>
          <w:numId w:val="13"/>
        </w:numPr>
        <w:spacing w:after="240"/>
        <w:ind w:left="1134" w:hanging="567"/>
        <w:jc w:val="both"/>
        <w:rPr>
          <w:rFonts w:ascii="Times New Roman" w:hAnsi="Times New Roman"/>
          <w:sz w:val="24"/>
          <w:szCs w:val="24"/>
        </w:rPr>
      </w:pPr>
      <w:r w:rsidRPr="00726D58">
        <w:rPr>
          <w:rFonts w:ascii="Times New Roman" w:hAnsi="Times New Roman"/>
          <w:sz w:val="24"/>
          <w:szCs w:val="24"/>
        </w:rPr>
        <w:t xml:space="preserve">revokes </w:t>
      </w:r>
      <w:r w:rsidR="005B0235" w:rsidRPr="00726D58">
        <w:rPr>
          <w:rFonts w:ascii="Times New Roman" w:hAnsi="Times New Roman"/>
          <w:i/>
          <w:sz w:val="24"/>
          <w:szCs w:val="24"/>
        </w:rPr>
        <w:t xml:space="preserve">ARS 120.2 Securitisation — Supplementary Items </w:t>
      </w:r>
      <w:r w:rsidRPr="00726D58">
        <w:rPr>
          <w:rFonts w:ascii="Times New Roman" w:hAnsi="Times New Roman"/>
          <w:sz w:val="24"/>
          <w:szCs w:val="24"/>
        </w:rPr>
        <w:t xml:space="preserve">(ARS </w:t>
      </w:r>
      <w:r w:rsidR="005B0235" w:rsidRPr="00726D58">
        <w:rPr>
          <w:rFonts w:ascii="Times New Roman" w:hAnsi="Times New Roman"/>
          <w:sz w:val="24"/>
          <w:szCs w:val="24"/>
        </w:rPr>
        <w:t>1</w:t>
      </w:r>
      <w:r w:rsidRPr="00726D58">
        <w:rPr>
          <w:rFonts w:ascii="Times New Roman" w:hAnsi="Times New Roman"/>
          <w:sz w:val="24"/>
          <w:szCs w:val="24"/>
        </w:rPr>
        <w:t>20.</w:t>
      </w:r>
      <w:r w:rsidR="005B0235" w:rsidRPr="00726D58">
        <w:rPr>
          <w:rFonts w:ascii="Times New Roman" w:hAnsi="Times New Roman"/>
          <w:sz w:val="24"/>
          <w:szCs w:val="24"/>
        </w:rPr>
        <w:t>2</w:t>
      </w:r>
      <w:r w:rsidRPr="00726D58">
        <w:rPr>
          <w:rFonts w:ascii="Times New Roman" w:hAnsi="Times New Roman"/>
          <w:sz w:val="24"/>
          <w:szCs w:val="24"/>
        </w:rPr>
        <w:t xml:space="preserve">) made under Financial Sector (Collection of Data) (reporting standard) determination No. </w:t>
      </w:r>
      <w:r w:rsidR="00726D58" w:rsidRPr="00726D58">
        <w:rPr>
          <w:rFonts w:ascii="Times New Roman" w:hAnsi="Times New Roman"/>
          <w:sz w:val="24"/>
          <w:szCs w:val="24"/>
        </w:rPr>
        <w:t>17</w:t>
      </w:r>
      <w:r w:rsidRPr="00726D58">
        <w:rPr>
          <w:rFonts w:ascii="Times New Roman" w:hAnsi="Times New Roman"/>
          <w:sz w:val="24"/>
          <w:szCs w:val="24"/>
        </w:rPr>
        <w:t xml:space="preserve"> of 201</w:t>
      </w:r>
      <w:r w:rsidR="00726D58" w:rsidRPr="00726D58">
        <w:rPr>
          <w:rFonts w:ascii="Times New Roman" w:hAnsi="Times New Roman"/>
          <w:sz w:val="24"/>
          <w:szCs w:val="24"/>
        </w:rPr>
        <w:t>7</w:t>
      </w:r>
      <w:r w:rsidRPr="00726D58">
        <w:rPr>
          <w:rFonts w:ascii="Times New Roman" w:hAnsi="Times New Roman"/>
          <w:sz w:val="24"/>
          <w:szCs w:val="24"/>
        </w:rPr>
        <w:t>; and</w:t>
      </w:r>
    </w:p>
    <w:p w14:paraId="694AB8B1" w14:textId="46898696" w:rsidR="00FB728D" w:rsidRPr="005B0235" w:rsidRDefault="00FB728D" w:rsidP="00FB728D">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 xml:space="preserve">determines a new version of ARS </w:t>
      </w:r>
      <w:proofErr w:type="gramStart"/>
      <w:r w:rsidR="005B0235" w:rsidRPr="005B0235">
        <w:rPr>
          <w:rFonts w:ascii="Times New Roman" w:hAnsi="Times New Roman"/>
          <w:sz w:val="24"/>
          <w:szCs w:val="24"/>
        </w:rPr>
        <w:t>1</w:t>
      </w:r>
      <w:r w:rsidRPr="005B0235">
        <w:rPr>
          <w:rFonts w:ascii="Times New Roman" w:hAnsi="Times New Roman"/>
          <w:sz w:val="24"/>
          <w:szCs w:val="24"/>
        </w:rPr>
        <w:t>20.</w:t>
      </w:r>
      <w:r w:rsidR="005B0235" w:rsidRPr="005B0235">
        <w:rPr>
          <w:rFonts w:ascii="Times New Roman" w:hAnsi="Times New Roman"/>
          <w:sz w:val="24"/>
          <w:szCs w:val="24"/>
        </w:rPr>
        <w:t>2</w:t>
      </w:r>
      <w:r w:rsidRPr="005B0235">
        <w:rPr>
          <w:rFonts w:ascii="Times New Roman" w:hAnsi="Times New Roman"/>
          <w:sz w:val="24"/>
          <w:szCs w:val="24"/>
        </w:rPr>
        <w:t>;</w:t>
      </w:r>
      <w:proofErr w:type="gramEnd"/>
    </w:p>
    <w:p w14:paraId="5D18DB6A" w14:textId="13E11640" w:rsidR="003130A7" w:rsidRPr="005B0235"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Financial Sector (Collection of Data) (reporting standard) determination No. 4 of 2022 which:</w:t>
      </w:r>
    </w:p>
    <w:p w14:paraId="13A0AB2E" w14:textId="3F804FC3" w:rsidR="00ED54D8" w:rsidRPr="00E6673A" w:rsidRDefault="00ED54D8" w:rsidP="00ED54D8">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lastRenderedPageBreak/>
        <w:t xml:space="preserve">revokes </w:t>
      </w:r>
      <w:r w:rsidRPr="00E6673A">
        <w:rPr>
          <w:rFonts w:ascii="Times New Roman" w:hAnsi="Times New Roman"/>
          <w:i/>
          <w:sz w:val="24"/>
          <w:szCs w:val="24"/>
        </w:rPr>
        <w:t xml:space="preserve">Reporting Standard </w:t>
      </w:r>
      <w:r w:rsidR="005B0235" w:rsidRPr="00E6673A">
        <w:rPr>
          <w:rFonts w:ascii="Times New Roman" w:hAnsi="Times New Roman"/>
          <w:i/>
          <w:sz w:val="24"/>
          <w:szCs w:val="24"/>
        </w:rPr>
        <w:t xml:space="preserve">ARS 210.0 Liquidity </w:t>
      </w:r>
      <w:r w:rsidRPr="00E6673A">
        <w:rPr>
          <w:rFonts w:ascii="Times New Roman" w:hAnsi="Times New Roman"/>
          <w:sz w:val="24"/>
          <w:szCs w:val="24"/>
        </w:rPr>
        <w:t xml:space="preserve">(ARS </w:t>
      </w:r>
      <w:r w:rsidR="005B0235" w:rsidRPr="00E6673A">
        <w:rPr>
          <w:rFonts w:ascii="Times New Roman" w:hAnsi="Times New Roman"/>
          <w:sz w:val="24"/>
          <w:szCs w:val="24"/>
        </w:rPr>
        <w:t>21</w:t>
      </w:r>
      <w:r w:rsidRPr="00E6673A">
        <w:rPr>
          <w:rFonts w:ascii="Times New Roman" w:hAnsi="Times New Roman"/>
          <w:sz w:val="24"/>
          <w:szCs w:val="24"/>
        </w:rPr>
        <w:t>0.</w:t>
      </w:r>
      <w:r w:rsidR="005B0235" w:rsidRPr="00E6673A">
        <w:rPr>
          <w:rFonts w:ascii="Times New Roman" w:hAnsi="Times New Roman"/>
          <w:sz w:val="24"/>
          <w:szCs w:val="24"/>
        </w:rPr>
        <w:t>0</w:t>
      </w:r>
      <w:r w:rsidRPr="00E6673A">
        <w:rPr>
          <w:rFonts w:ascii="Times New Roman" w:hAnsi="Times New Roman"/>
          <w:sz w:val="24"/>
          <w:szCs w:val="24"/>
        </w:rPr>
        <w:t xml:space="preserve">) made under Financial Sector (Collection of Data) (reporting standard) determination No. </w:t>
      </w:r>
      <w:r w:rsidR="00E6673A" w:rsidRPr="00E6673A">
        <w:rPr>
          <w:rFonts w:ascii="Times New Roman" w:hAnsi="Times New Roman"/>
          <w:sz w:val="24"/>
          <w:szCs w:val="24"/>
        </w:rPr>
        <w:t>8</w:t>
      </w:r>
      <w:r w:rsidRPr="00E6673A">
        <w:rPr>
          <w:rFonts w:ascii="Times New Roman" w:hAnsi="Times New Roman"/>
          <w:sz w:val="24"/>
          <w:szCs w:val="24"/>
        </w:rPr>
        <w:t xml:space="preserve"> of 20</w:t>
      </w:r>
      <w:r w:rsidR="00E6673A" w:rsidRPr="00E6673A">
        <w:rPr>
          <w:rFonts w:ascii="Times New Roman" w:hAnsi="Times New Roman"/>
          <w:sz w:val="24"/>
          <w:szCs w:val="24"/>
        </w:rPr>
        <w:t>21</w:t>
      </w:r>
      <w:r w:rsidRPr="00E6673A">
        <w:rPr>
          <w:rFonts w:ascii="Times New Roman" w:hAnsi="Times New Roman"/>
          <w:sz w:val="24"/>
          <w:szCs w:val="24"/>
        </w:rPr>
        <w:t>; and</w:t>
      </w:r>
    </w:p>
    <w:p w14:paraId="15D3AD86" w14:textId="2BB01071" w:rsidR="00ED54D8" w:rsidRPr="005B0235" w:rsidRDefault="00ED54D8" w:rsidP="00ED54D8">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 xml:space="preserve">determines a new version of ARS </w:t>
      </w:r>
      <w:proofErr w:type="gramStart"/>
      <w:r w:rsidRPr="005B0235">
        <w:rPr>
          <w:rFonts w:ascii="Times New Roman" w:hAnsi="Times New Roman"/>
          <w:sz w:val="24"/>
          <w:szCs w:val="24"/>
        </w:rPr>
        <w:t>2</w:t>
      </w:r>
      <w:r w:rsidR="005B0235" w:rsidRPr="005B0235">
        <w:rPr>
          <w:rFonts w:ascii="Times New Roman" w:hAnsi="Times New Roman"/>
          <w:sz w:val="24"/>
          <w:szCs w:val="24"/>
        </w:rPr>
        <w:t>1</w:t>
      </w:r>
      <w:r w:rsidRPr="005B0235">
        <w:rPr>
          <w:rFonts w:ascii="Times New Roman" w:hAnsi="Times New Roman"/>
          <w:sz w:val="24"/>
          <w:szCs w:val="24"/>
        </w:rPr>
        <w:t>0.</w:t>
      </w:r>
      <w:r w:rsidR="005B0235" w:rsidRPr="005B0235">
        <w:rPr>
          <w:rFonts w:ascii="Times New Roman" w:hAnsi="Times New Roman"/>
          <w:sz w:val="24"/>
          <w:szCs w:val="24"/>
        </w:rPr>
        <w:t>0</w:t>
      </w:r>
      <w:r w:rsidRPr="005B0235">
        <w:rPr>
          <w:rFonts w:ascii="Times New Roman" w:hAnsi="Times New Roman"/>
          <w:sz w:val="24"/>
          <w:szCs w:val="24"/>
        </w:rPr>
        <w:t>;</w:t>
      </w:r>
      <w:proofErr w:type="gramEnd"/>
    </w:p>
    <w:p w14:paraId="6FE5CB77" w14:textId="0114AE3F" w:rsidR="003130A7" w:rsidRPr="005B0235"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Financial Sector (Collection of Data) (reporting standard) determination No. 5 of 2022 which:</w:t>
      </w:r>
    </w:p>
    <w:p w14:paraId="0C987893" w14:textId="6D663CA9" w:rsidR="007C4B98" w:rsidRPr="005B0235" w:rsidRDefault="007C4B98" w:rsidP="007C4B98">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 xml:space="preserve">revokes </w:t>
      </w:r>
      <w:r w:rsidRPr="005B0235">
        <w:rPr>
          <w:rFonts w:ascii="Times New Roman" w:hAnsi="Times New Roman"/>
          <w:i/>
          <w:sz w:val="24"/>
          <w:szCs w:val="24"/>
        </w:rPr>
        <w:t xml:space="preserve">Reporting Standard </w:t>
      </w:r>
      <w:r w:rsidR="005B0235" w:rsidRPr="005B0235">
        <w:rPr>
          <w:rFonts w:ascii="Times New Roman" w:hAnsi="Times New Roman"/>
          <w:i/>
          <w:sz w:val="24"/>
          <w:szCs w:val="24"/>
        </w:rPr>
        <w:t xml:space="preserve">ARS 220.0 Credit Quality </w:t>
      </w:r>
      <w:r w:rsidR="006B662A" w:rsidRPr="005B0235">
        <w:rPr>
          <w:rFonts w:ascii="Times New Roman" w:hAnsi="Times New Roman"/>
          <w:i/>
          <w:sz w:val="24"/>
          <w:szCs w:val="24"/>
        </w:rPr>
        <w:t>(</w:t>
      </w:r>
      <w:r w:rsidRPr="005B0235">
        <w:rPr>
          <w:rFonts w:ascii="Times New Roman" w:hAnsi="Times New Roman"/>
          <w:sz w:val="24"/>
          <w:szCs w:val="24"/>
        </w:rPr>
        <w:t xml:space="preserve">ARS </w:t>
      </w:r>
      <w:r w:rsidR="005B0235" w:rsidRPr="005B0235">
        <w:rPr>
          <w:rFonts w:ascii="Times New Roman" w:hAnsi="Times New Roman"/>
          <w:sz w:val="24"/>
          <w:szCs w:val="24"/>
        </w:rPr>
        <w:t>2</w:t>
      </w:r>
      <w:r w:rsidRPr="005B0235">
        <w:rPr>
          <w:rFonts w:ascii="Times New Roman" w:hAnsi="Times New Roman"/>
          <w:sz w:val="24"/>
          <w:szCs w:val="24"/>
        </w:rPr>
        <w:t>20.</w:t>
      </w:r>
      <w:r w:rsidR="005B0235" w:rsidRPr="005B0235">
        <w:rPr>
          <w:rFonts w:ascii="Times New Roman" w:hAnsi="Times New Roman"/>
          <w:sz w:val="24"/>
          <w:szCs w:val="24"/>
        </w:rPr>
        <w:t>0</w:t>
      </w:r>
      <w:r w:rsidRPr="005B0235">
        <w:rPr>
          <w:rFonts w:ascii="Times New Roman" w:hAnsi="Times New Roman"/>
          <w:sz w:val="24"/>
          <w:szCs w:val="24"/>
        </w:rPr>
        <w:t xml:space="preserve">) made under Financial Sector (Collection of Data) (reporting standard) </w:t>
      </w:r>
      <w:r w:rsidRPr="00E6673A">
        <w:rPr>
          <w:rFonts w:ascii="Times New Roman" w:hAnsi="Times New Roman"/>
          <w:sz w:val="24"/>
          <w:szCs w:val="24"/>
        </w:rPr>
        <w:t xml:space="preserve">determination No. </w:t>
      </w:r>
      <w:r w:rsidR="00E6673A" w:rsidRPr="00E6673A">
        <w:rPr>
          <w:rFonts w:ascii="Times New Roman" w:hAnsi="Times New Roman"/>
          <w:sz w:val="24"/>
          <w:szCs w:val="24"/>
        </w:rPr>
        <w:t>9</w:t>
      </w:r>
      <w:r w:rsidRPr="00E6673A">
        <w:rPr>
          <w:rFonts w:ascii="Times New Roman" w:hAnsi="Times New Roman"/>
          <w:sz w:val="24"/>
          <w:szCs w:val="24"/>
        </w:rPr>
        <w:t xml:space="preserve"> of 201</w:t>
      </w:r>
      <w:r w:rsidR="00E6673A" w:rsidRPr="00E6673A">
        <w:rPr>
          <w:rFonts w:ascii="Times New Roman" w:hAnsi="Times New Roman"/>
          <w:sz w:val="24"/>
          <w:szCs w:val="24"/>
        </w:rPr>
        <w:t>8</w:t>
      </w:r>
      <w:r w:rsidRPr="00E6673A">
        <w:rPr>
          <w:rFonts w:ascii="Times New Roman" w:hAnsi="Times New Roman"/>
          <w:sz w:val="24"/>
          <w:szCs w:val="24"/>
        </w:rPr>
        <w:t>; and</w:t>
      </w:r>
    </w:p>
    <w:p w14:paraId="50564A09" w14:textId="2C9AED11" w:rsidR="007C4B98" w:rsidRPr="005B0235" w:rsidRDefault="007C4B98" w:rsidP="007C4B98">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 xml:space="preserve">determines a new version of ARS </w:t>
      </w:r>
      <w:proofErr w:type="gramStart"/>
      <w:r w:rsidR="005B0235" w:rsidRPr="005B0235">
        <w:rPr>
          <w:rFonts w:ascii="Times New Roman" w:hAnsi="Times New Roman"/>
          <w:sz w:val="24"/>
          <w:szCs w:val="24"/>
        </w:rPr>
        <w:t>2</w:t>
      </w:r>
      <w:r w:rsidRPr="005B0235">
        <w:rPr>
          <w:rFonts w:ascii="Times New Roman" w:hAnsi="Times New Roman"/>
          <w:sz w:val="24"/>
          <w:szCs w:val="24"/>
        </w:rPr>
        <w:t>20.</w:t>
      </w:r>
      <w:r w:rsidR="005B0235" w:rsidRPr="005B0235">
        <w:rPr>
          <w:rFonts w:ascii="Times New Roman" w:hAnsi="Times New Roman"/>
          <w:sz w:val="24"/>
          <w:szCs w:val="24"/>
        </w:rPr>
        <w:t>0</w:t>
      </w:r>
      <w:r w:rsidRPr="005B0235">
        <w:rPr>
          <w:rFonts w:ascii="Times New Roman" w:hAnsi="Times New Roman"/>
          <w:sz w:val="24"/>
          <w:szCs w:val="24"/>
        </w:rPr>
        <w:t>;</w:t>
      </w:r>
      <w:proofErr w:type="gramEnd"/>
    </w:p>
    <w:p w14:paraId="479D7211" w14:textId="3F3183FC" w:rsidR="003130A7" w:rsidRPr="00E6673A"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 xml:space="preserve">Financial </w:t>
      </w:r>
      <w:r w:rsidRPr="00E6673A">
        <w:rPr>
          <w:rFonts w:ascii="Times New Roman" w:hAnsi="Times New Roman"/>
          <w:sz w:val="24"/>
          <w:szCs w:val="24"/>
        </w:rPr>
        <w:t>Sector (Collection of Data) (reporting standard) determination No. 6 of 2022 which:</w:t>
      </w:r>
    </w:p>
    <w:p w14:paraId="0820032B" w14:textId="097673B2" w:rsidR="006B662A" w:rsidRPr="00E6673A" w:rsidRDefault="006B662A" w:rsidP="006B662A">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Pr="00E6673A">
        <w:rPr>
          <w:rFonts w:ascii="Times New Roman" w:hAnsi="Times New Roman"/>
          <w:i/>
          <w:sz w:val="24"/>
          <w:szCs w:val="24"/>
        </w:rPr>
        <w:t>Reporting Standard</w:t>
      </w:r>
      <w:r w:rsidR="005B0235" w:rsidRPr="00E6673A">
        <w:rPr>
          <w:rFonts w:ascii="Times New Roman" w:hAnsi="Times New Roman"/>
          <w:i/>
          <w:sz w:val="24"/>
          <w:szCs w:val="24"/>
        </w:rPr>
        <w:t xml:space="preserve"> ARS 223.0 Residential Mortgage Lending </w:t>
      </w:r>
      <w:r w:rsidRPr="00E6673A">
        <w:rPr>
          <w:rFonts w:ascii="Times New Roman" w:hAnsi="Times New Roman"/>
          <w:i/>
          <w:sz w:val="24"/>
          <w:szCs w:val="24"/>
        </w:rPr>
        <w:t>(</w:t>
      </w:r>
      <w:r w:rsidRPr="00E6673A">
        <w:rPr>
          <w:rFonts w:ascii="Times New Roman" w:hAnsi="Times New Roman"/>
          <w:sz w:val="24"/>
          <w:szCs w:val="24"/>
        </w:rPr>
        <w:t xml:space="preserve">ARS </w:t>
      </w:r>
      <w:r w:rsidR="005B0235" w:rsidRPr="00E6673A">
        <w:rPr>
          <w:rFonts w:ascii="Times New Roman" w:hAnsi="Times New Roman"/>
          <w:sz w:val="24"/>
          <w:szCs w:val="24"/>
        </w:rPr>
        <w:t>223</w:t>
      </w:r>
      <w:r w:rsidRPr="00E6673A">
        <w:rPr>
          <w:rFonts w:ascii="Times New Roman" w:hAnsi="Times New Roman"/>
          <w:sz w:val="24"/>
          <w:szCs w:val="24"/>
        </w:rPr>
        <w:t>.</w:t>
      </w:r>
      <w:r w:rsidR="005B0235" w:rsidRPr="00E6673A">
        <w:rPr>
          <w:rFonts w:ascii="Times New Roman" w:hAnsi="Times New Roman"/>
          <w:sz w:val="24"/>
          <w:szCs w:val="24"/>
        </w:rPr>
        <w:t>0</w:t>
      </w:r>
      <w:r w:rsidRPr="00E6673A">
        <w:rPr>
          <w:rFonts w:ascii="Times New Roman" w:hAnsi="Times New Roman"/>
          <w:sz w:val="24"/>
          <w:szCs w:val="24"/>
        </w:rPr>
        <w:t xml:space="preserve">) made under Financial Sector (Collection of Data) (reporting standard) determination No. </w:t>
      </w:r>
      <w:r w:rsidR="00E6673A" w:rsidRPr="00E6673A">
        <w:rPr>
          <w:rFonts w:ascii="Times New Roman" w:hAnsi="Times New Roman"/>
          <w:sz w:val="24"/>
          <w:szCs w:val="24"/>
        </w:rPr>
        <w:t>2</w:t>
      </w:r>
      <w:r w:rsidRPr="00E6673A">
        <w:rPr>
          <w:rFonts w:ascii="Times New Roman" w:hAnsi="Times New Roman"/>
          <w:sz w:val="24"/>
          <w:szCs w:val="24"/>
        </w:rPr>
        <w:t xml:space="preserve"> of 201</w:t>
      </w:r>
      <w:r w:rsidR="00E6673A" w:rsidRPr="00E6673A">
        <w:rPr>
          <w:rFonts w:ascii="Times New Roman" w:hAnsi="Times New Roman"/>
          <w:sz w:val="24"/>
          <w:szCs w:val="24"/>
        </w:rPr>
        <w:t>8</w:t>
      </w:r>
      <w:r w:rsidRPr="00E6673A">
        <w:rPr>
          <w:rFonts w:ascii="Times New Roman" w:hAnsi="Times New Roman"/>
          <w:sz w:val="24"/>
          <w:szCs w:val="24"/>
        </w:rPr>
        <w:t>; and</w:t>
      </w:r>
    </w:p>
    <w:p w14:paraId="4F262ACA" w14:textId="7264711B" w:rsidR="006B662A" w:rsidRPr="00E6673A" w:rsidRDefault="006B662A" w:rsidP="006B662A">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determines a new version of ARS </w:t>
      </w:r>
      <w:proofErr w:type="gramStart"/>
      <w:r w:rsidRPr="00E6673A">
        <w:rPr>
          <w:rFonts w:ascii="Times New Roman" w:hAnsi="Times New Roman"/>
          <w:sz w:val="24"/>
          <w:szCs w:val="24"/>
        </w:rPr>
        <w:t>2</w:t>
      </w:r>
      <w:r w:rsidR="005B0235" w:rsidRPr="00E6673A">
        <w:rPr>
          <w:rFonts w:ascii="Times New Roman" w:hAnsi="Times New Roman"/>
          <w:sz w:val="24"/>
          <w:szCs w:val="24"/>
        </w:rPr>
        <w:t>23</w:t>
      </w:r>
      <w:r w:rsidRPr="00E6673A">
        <w:rPr>
          <w:rFonts w:ascii="Times New Roman" w:hAnsi="Times New Roman"/>
          <w:sz w:val="24"/>
          <w:szCs w:val="24"/>
        </w:rPr>
        <w:t>.</w:t>
      </w:r>
      <w:r w:rsidR="005B0235" w:rsidRPr="00E6673A">
        <w:rPr>
          <w:rFonts w:ascii="Times New Roman" w:hAnsi="Times New Roman"/>
          <w:sz w:val="24"/>
          <w:szCs w:val="24"/>
        </w:rPr>
        <w:t>0</w:t>
      </w:r>
      <w:r w:rsidRPr="00E6673A">
        <w:rPr>
          <w:rFonts w:ascii="Times New Roman" w:hAnsi="Times New Roman"/>
          <w:sz w:val="24"/>
          <w:szCs w:val="24"/>
        </w:rPr>
        <w:t>;</w:t>
      </w:r>
      <w:proofErr w:type="gramEnd"/>
    </w:p>
    <w:p w14:paraId="2671970C" w14:textId="4C9662A9" w:rsidR="003130A7" w:rsidRPr="00E6673A" w:rsidRDefault="003130A7" w:rsidP="003130A7">
      <w:pPr>
        <w:pStyle w:val="ListParagraph"/>
        <w:numPr>
          <w:ilvl w:val="0"/>
          <w:numId w:val="13"/>
        </w:numPr>
        <w:spacing w:after="240"/>
        <w:ind w:left="567" w:hanging="567"/>
        <w:jc w:val="both"/>
        <w:rPr>
          <w:rFonts w:ascii="Times New Roman" w:hAnsi="Times New Roman"/>
          <w:sz w:val="24"/>
          <w:szCs w:val="24"/>
        </w:rPr>
      </w:pPr>
      <w:r w:rsidRPr="00E6673A">
        <w:rPr>
          <w:rFonts w:ascii="Times New Roman" w:hAnsi="Times New Roman"/>
          <w:sz w:val="24"/>
          <w:szCs w:val="24"/>
        </w:rPr>
        <w:t>Financial Sector (Collection of Data) (reporting standard) determination No. 7 of 2022 which:</w:t>
      </w:r>
    </w:p>
    <w:p w14:paraId="383FBBF4" w14:textId="4175FE41" w:rsidR="00737E47" w:rsidRPr="00E6673A" w:rsidRDefault="00737E47" w:rsidP="00737E47">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Pr="00E6673A">
        <w:rPr>
          <w:rFonts w:ascii="Times New Roman" w:hAnsi="Times New Roman"/>
          <w:i/>
          <w:sz w:val="24"/>
          <w:szCs w:val="24"/>
        </w:rPr>
        <w:t xml:space="preserve">Reporting Standard </w:t>
      </w:r>
      <w:r w:rsidR="005B0235" w:rsidRPr="00E6673A">
        <w:rPr>
          <w:rFonts w:ascii="Times New Roman" w:hAnsi="Times New Roman"/>
          <w:i/>
          <w:sz w:val="24"/>
          <w:szCs w:val="24"/>
        </w:rPr>
        <w:t xml:space="preserve">ARS 230.0 Commercial Property </w:t>
      </w:r>
      <w:r w:rsidRPr="00E6673A">
        <w:rPr>
          <w:rFonts w:ascii="Times New Roman" w:hAnsi="Times New Roman"/>
          <w:i/>
          <w:sz w:val="24"/>
          <w:szCs w:val="24"/>
        </w:rPr>
        <w:t>(</w:t>
      </w:r>
      <w:r w:rsidRPr="00E6673A">
        <w:rPr>
          <w:rFonts w:ascii="Times New Roman" w:hAnsi="Times New Roman"/>
          <w:sz w:val="24"/>
          <w:szCs w:val="24"/>
        </w:rPr>
        <w:t xml:space="preserve">ARS </w:t>
      </w:r>
      <w:r w:rsidR="005B0235" w:rsidRPr="00E6673A">
        <w:rPr>
          <w:rFonts w:ascii="Times New Roman" w:hAnsi="Times New Roman"/>
          <w:sz w:val="24"/>
          <w:szCs w:val="24"/>
        </w:rPr>
        <w:t>230</w:t>
      </w:r>
      <w:r w:rsidRPr="00E6673A">
        <w:rPr>
          <w:rFonts w:ascii="Times New Roman" w:hAnsi="Times New Roman"/>
          <w:sz w:val="24"/>
          <w:szCs w:val="24"/>
        </w:rPr>
        <w:t>.0) made under Financial Sector (Collection of Data) (reporting standard) determination No. 1</w:t>
      </w:r>
      <w:r w:rsidR="00E6673A" w:rsidRPr="00E6673A">
        <w:rPr>
          <w:rFonts w:ascii="Times New Roman" w:hAnsi="Times New Roman"/>
          <w:sz w:val="24"/>
          <w:szCs w:val="24"/>
        </w:rPr>
        <w:t>3</w:t>
      </w:r>
      <w:r w:rsidRPr="00E6673A">
        <w:rPr>
          <w:rFonts w:ascii="Times New Roman" w:hAnsi="Times New Roman"/>
          <w:sz w:val="24"/>
          <w:szCs w:val="24"/>
        </w:rPr>
        <w:t xml:space="preserve"> of 201</w:t>
      </w:r>
      <w:r w:rsidR="00E6673A" w:rsidRPr="00E6673A">
        <w:rPr>
          <w:rFonts w:ascii="Times New Roman" w:hAnsi="Times New Roman"/>
          <w:sz w:val="24"/>
          <w:szCs w:val="24"/>
        </w:rPr>
        <w:t>8</w:t>
      </w:r>
      <w:r w:rsidRPr="00E6673A">
        <w:rPr>
          <w:rFonts w:ascii="Times New Roman" w:hAnsi="Times New Roman"/>
          <w:sz w:val="24"/>
          <w:szCs w:val="24"/>
        </w:rPr>
        <w:t>; and</w:t>
      </w:r>
    </w:p>
    <w:p w14:paraId="001A42A1" w14:textId="22FA7A3C" w:rsidR="00737E47" w:rsidRPr="00E6673A" w:rsidRDefault="00737E47" w:rsidP="00737E47">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determines a new version of ARS </w:t>
      </w:r>
      <w:proofErr w:type="gramStart"/>
      <w:r w:rsidR="005B0235" w:rsidRPr="00E6673A">
        <w:rPr>
          <w:rFonts w:ascii="Times New Roman" w:hAnsi="Times New Roman"/>
          <w:sz w:val="24"/>
          <w:szCs w:val="24"/>
        </w:rPr>
        <w:t>230</w:t>
      </w:r>
      <w:r w:rsidRPr="00E6673A">
        <w:rPr>
          <w:rFonts w:ascii="Times New Roman" w:hAnsi="Times New Roman"/>
          <w:sz w:val="24"/>
          <w:szCs w:val="24"/>
        </w:rPr>
        <w:t>.0;</w:t>
      </w:r>
      <w:proofErr w:type="gramEnd"/>
    </w:p>
    <w:p w14:paraId="55C6F7CE" w14:textId="7C9854C7" w:rsidR="003130A7" w:rsidRPr="00E6673A" w:rsidRDefault="003130A7" w:rsidP="003130A7">
      <w:pPr>
        <w:pStyle w:val="ListParagraph"/>
        <w:numPr>
          <w:ilvl w:val="0"/>
          <w:numId w:val="13"/>
        </w:numPr>
        <w:spacing w:after="240"/>
        <w:ind w:left="567" w:hanging="567"/>
        <w:jc w:val="both"/>
        <w:rPr>
          <w:rFonts w:ascii="Times New Roman" w:hAnsi="Times New Roman"/>
          <w:sz w:val="24"/>
          <w:szCs w:val="24"/>
        </w:rPr>
      </w:pPr>
      <w:r w:rsidRPr="00E6673A">
        <w:rPr>
          <w:rFonts w:ascii="Times New Roman" w:hAnsi="Times New Roman"/>
          <w:sz w:val="24"/>
          <w:szCs w:val="24"/>
        </w:rPr>
        <w:t>Financial Sector (Collection of Data) (reporting standard) determination No. 8 of 2022 which:</w:t>
      </w:r>
    </w:p>
    <w:p w14:paraId="2F2CB3BD" w14:textId="2AD8CF1F" w:rsidR="00003A57" w:rsidRPr="00E6673A" w:rsidRDefault="00003A57" w:rsidP="00003A57">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005B0235" w:rsidRPr="00E6673A">
        <w:rPr>
          <w:rFonts w:ascii="Times New Roman" w:hAnsi="Times New Roman"/>
          <w:i/>
          <w:sz w:val="24"/>
          <w:szCs w:val="24"/>
        </w:rPr>
        <w:t xml:space="preserve">ARS 701.0 ABS/RBA Definitions for the EFS Collection </w:t>
      </w:r>
      <w:r w:rsidRPr="00E6673A">
        <w:rPr>
          <w:rFonts w:ascii="Times New Roman" w:hAnsi="Times New Roman"/>
          <w:i/>
          <w:sz w:val="24"/>
          <w:szCs w:val="24"/>
        </w:rPr>
        <w:t>(</w:t>
      </w:r>
      <w:r w:rsidRPr="00E6673A">
        <w:rPr>
          <w:rFonts w:ascii="Times New Roman" w:hAnsi="Times New Roman"/>
          <w:sz w:val="24"/>
          <w:szCs w:val="24"/>
        </w:rPr>
        <w:t>ARS 70</w:t>
      </w:r>
      <w:r w:rsidR="005B0235" w:rsidRPr="00E6673A">
        <w:rPr>
          <w:rFonts w:ascii="Times New Roman" w:hAnsi="Times New Roman"/>
          <w:sz w:val="24"/>
          <w:szCs w:val="24"/>
        </w:rPr>
        <w:t>1</w:t>
      </w:r>
      <w:r w:rsidRPr="00E6673A">
        <w:rPr>
          <w:rFonts w:ascii="Times New Roman" w:hAnsi="Times New Roman"/>
          <w:sz w:val="24"/>
          <w:szCs w:val="24"/>
        </w:rPr>
        <w:t>.0) made under Financial Sector (Collection of Data) (reporting standard) determination No. 2</w:t>
      </w:r>
      <w:r w:rsidR="00E6673A" w:rsidRPr="00E6673A">
        <w:rPr>
          <w:rFonts w:ascii="Times New Roman" w:hAnsi="Times New Roman"/>
          <w:sz w:val="24"/>
          <w:szCs w:val="24"/>
        </w:rPr>
        <w:t>3</w:t>
      </w:r>
      <w:r w:rsidRPr="00E6673A">
        <w:rPr>
          <w:rFonts w:ascii="Times New Roman" w:hAnsi="Times New Roman"/>
          <w:sz w:val="24"/>
          <w:szCs w:val="24"/>
        </w:rPr>
        <w:t xml:space="preserve"> of 20</w:t>
      </w:r>
      <w:r w:rsidR="00E6673A" w:rsidRPr="00E6673A">
        <w:rPr>
          <w:rFonts w:ascii="Times New Roman" w:hAnsi="Times New Roman"/>
          <w:sz w:val="24"/>
          <w:szCs w:val="24"/>
        </w:rPr>
        <w:t>21</w:t>
      </w:r>
      <w:r w:rsidRPr="00E6673A">
        <w:rPr>
          <w:rFonts w:ascii="Times New Roman" w:hAnsi="Times New Roman"/>
          <w:sz w:val="24"/>
          <w:szCs w:val="24"/>
        </w:rPr>
        <w:t>; and</w:t>
      </w:r>
    </w:p>
    <w:p w14:paraId="60F82C01" w14:textId="13AF7DF5" w:rsidR="00003A57" w:rsidRPr="005B0235" w:rsidRDefault="00003A57" w:rsidP="00003A57">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 xml:space="preserve">determines a new version of ARS </w:t>
      </w:r>
      <w:proofErr w:type="gramStart"/>
      <w:r w:rsidRPr="005B0235">
        <w:rPr>
          <w:rFonts w:ascii="Times New Roman" w:hAnsi="Times New Roman"/>
          <w:sz w:val="24"/>
          <w:szCs w:val="24"/>
        </w:rPr>
        <w:t>70</w:t>
      </w:r>
      <w:r w:rsidR="005B0235" w:rsidRPr="005B0235">
        <w:rPr>
          <w:rFonts w:ascii="Times New Roman" w:hAnsi="Times New Roman"/>
          <w:sz w:val="24"/>
          <w:szCs w:val="24"/>
        </w:rPr>
        <w:t>1</w:t>
      </w:r>
      <w:r w:rsidRPr="005B0235">
        <w:rPr>
          <w:rFonts w:ascii="Times New Roman" w:hAnsi="Times New Roman"/>
          <w:sz w:val="24"/>
          <w:szCs w:val="24"/>
        </w:rPr>
        <w:t>.0;</w:t>
      </w:r>
      <w:proofErr w:type="gramEnd"/>
    </w:p>
    <w:p w14:paraId="64E9F457" w14:textId="40408051" w:rsidR="003130A7" w:rsidRPr="005B0235"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t>Financial Sector (Collection of Data) (reporting standard) determination No. 9 of 2022 which:</w:t>
      </w:r>
    </w:p>
    <w:p w14:paraId="7BD46620" w14:textId="2CA73FE6" w:rsidR="009F0895" w:rsidRPr="00E6673A" w:rsidRDefault="009F0895" w:rsidP="009F0895">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005B0235" w:rsidRPr="00E6673A">
        <w:rPr>
          <w:rFonts w:ascii="Times New Roman" w:hAnsi="Times New Roman"/>
          <w:i/>
          <w:sz w:val="24"/>
          <w:szCs w:val="24"/>
        </w:rPr>
        <w:t xml:space="preserve">ARS 720.1 ABS/RBA Loans and Finance Leases </w:t>
      </w:r>
      <w:r w:rsidRPr="00E6673A">
        <w:rPr>
          <w:rFonts w:ascii="Times New Roman" w:hAnsi="Times New Roman"/>
          <w:i/>
          <w:sz w:val="24"/>
          <w:szCs w:val="24"/>
        </w:rPr>
        <w:t>(</w:t>
      </w:r>
      <w:r w:rsidRPr="00E6673A">
        <w:rPr>
          <w:rFonts w:ascii="Times New Roman" w:hAnsi="Times New Roman"/>
          <w:sz w:val="24"/>
          <w:szCs w:val="24"/>
        </w:rPr>
        <w:t>ARS 7</w:t>
      </w:r>
      <w:r w:rsidR="005B0235" w:rsidRPr="00E6673A">
        <w:rPr>
          <w:rFonts w:ascii="Times New Roman" w:hAnsi="Times New Roman"/>
          <w:sz w:val="24"/>
          <w:szCs w:val="24"/>
        </w:rPr>
        <w:t>20</w:t>
      </w:r>
      <w:r w:rsidRPr="00E6673A">
        <w:rPr>
          <w:rFonts w:ascii="Times New Roman" w:hAnsi="Times New Roman"/>
          <w:sz w:val="24"/>
          <w:szCs w:val="24"/>
        </w:rPr>
        <w:t>.</w:t>
      </w:r>
      <w:r w:rsidR="005B0235" w:rsidRPr="00E6673A">
        <w:rPr>
          <w:rFonts w:ascii="Times New Roman" w:hAnsi="Times New Roman"/>
          <w:sz w:val="24"/>
          <w:szCs w:val="24"/>
        </w:rPr>
        <w:t>1</w:t>
      </w:r>
      <w:r w:rsidRPr="00E6673A">
        <w:rPr>
          <w:rFonts w:ascii="Times New Roman" w:hAnsi="Times New Roman"/>
          <w:sz w:val="24"/>
          <w:szCs w:val="24"/>
        </w:rPr>
        <w:t xml:space="preserve">) made under Financial Sector (Collection of Data) (reporting standard) determination No. </w:t>
      </w:r>
      <w:r w:rsidR="00E6673A" w:rsidRPr="00E6673A">
        <w:rPr>
          <w:rFonts w:ascii="Times New Roman" w:hAnsi="Times New Roman"/>
          <w:sz w:val="24"/>
          <w:szCs w:val="24"/>
        </w:rPr>
        <w:t>3</w:t>
      </w:r>
      <w:r w:rsidRPr="00E6673A">
        <w:rPr>
          <w:rFonts w:ascii="Times New Roman" w:hAnsi="Times New Roman"/>
          <w:sz w:val="24"/>
          <w:szCs w:val="24"/>
        </w:rPr>
        <w:t xml:space="preserve"> of 2019; and</w:t>
      </w:r>
    </w:p>
    <w:p w14:paraId="1E5EE093" w14:textId="1F24DD36" w:rsidR="009F0895" w:rsidRPr="005B0235" w:rsidRDefault="009F0895" w:rsidP="009F0895">
      <w:pPr>
        <w:pStyle w:val="ListParagraph"/>
        <w:numPr>
          <w:ilvl w:val="1"/>
          <w:numId w:val="13"/>
        </w:numPr>
        <w:spacing w:after="240"/>
        <w:ind w:left="1134" w:hanging="567"/>
        <w:jc w:val="both"/>
        <w:rPr>
          <w:rFonts w:ascii="Times New Roman" w:hAnsi="Times New Roman"/>
          <w:sz w:val="24"/>
          <w:szCs w:val="24"/>
        </w:rPr>
      </w:pPr>
      <w:r w:rsidRPr="005B0235">
        <w:rPr>
          <w:rFonts w:ascii="Times New Roman" w:hAnsi="Times New Roman"/>
          <w:sz w:val="24"/>
          <w:szCs w:val="24"/>
        </w:rPr>
        <w:t xml:space="preserve">determines a new version of ARS </w:t>
      </w:r>
      <w:proofErr w:type="gramStart"/>
      <w:r w:rsidRPr="005B0235">
        <w:rPr>
          <w:rFonts w:ascii="Times New Roman" w:hAnsi="Times New Roman"/>
          <w:sz w:val="24"/>
          <w:szCs w:val="24"/>
        </w:rPr>
        <w:t>7</w:t>
      </w:r>
      <w:r w:rsidR="005B0235" w:rsidRPr="005B0235">
        <w:rPr>
          <w:rFonts w:ascii="Times New Roman" w:hAnsi="Times New Roman"/>
          <w:sz w:val="24"/>
          <w:szCs w:val="24"/>
        </w:rPr>
        <w:t>20</w:t>
      </w:r>
      <w:r w:rsidRPr="005B0235">
        <w:rPr>
          <w:rFonts w:ascii="Times New Roman" w:hAnsi="Times New Roman"/>
          <w:sz w:val="24"/>
          <w:szCs w:val="24"/>
        </w:rPr>
        <w:t>.</w:t>
      </w:r>
      <w:r w:rsidR="005B0235" w:rsidRPr="005B0235">
        <w:rPr>
          <w:rFonts w:ascii="Times New Roman" w:hAnsi="Times New Roman"/>
          <w:sz w:val="24"/>
          <w:szCs w:val="24"/>
        </w:rPr>
        <w:t>1</w:t>
      </w:r>
      <w:r w:rsidRPr="005B0235">
        <w:rPr>
          <w:rFonts w:ascii="Times New Roman" w:hAnsi="Times New Roman"/>
          <w:sz w:val="24"/>
          <w:szCs w:val="24"/>
        </w:rPr>
        <w:t>;</w:t>
      </w:r>
      <w:proofErr w:type="gramEnd"/>
    </w:p>
    <w:p w14:paraId="0402AA5A" w14:textId="754E0101" w:rsidR="003130A7" w:rsidRPr="00E6673A" w:rsidRDefault="003130A7" w:rsidP="003130A7">
      <w:pPr>
        <w:pStyle w:val="ListParagraph"/>
        <w:numPr>
          <w:ilvl w:val="0"/>
          <w:numId w:val="13"/>
        </w:numPr>
        <w:spacing w:after="240"/>
        <w:ind w:left="567" w:hanging="567"/>
        <w:jc w:val="both"/>
        <w:rPr>
          <w:rFonts w:ascii="Times New Roman" w:hAnsi="Times New Roman"/>
          <w:sz w:val="24"/>
          <w:szCs w:val="24"/>
        </w:rPr>
      </w:pPr>
      <w:r w:rsidRPr="005B0235">
        <w:rPr>
          <w:rFonts w:ascii="Times New Roman" w:hAnsi="Times New Roman"/>
          <w:sz w:val="24"/>
          <w:szCs w:val="24"/>
        </w:rPr>
        <w:lastRenderedPageBreak/>
        <w:t xml:space="preserve">Financial Sector (Collection of Data) (reporting standard) determination No. 10 of 2022 </w:t>
      </w:r>
      <w:r w:rsidRPr="00E6673A">
        <w:rPr>
          <w:rFonts w:ascii="Times New Roman" w:hAnsi="Times New Roman"/>
          <w:sz w:val="24"/>
          <w:szCs w:val="24"/>
        </w:rPr>
        <w:t>which:</w:t>
      </w:r>
    </w:p>
    <w:p w14:paraId="71D7EFBF" w14:textId="4DD0A239" w:rsidR="007E6940" w:rsidRPr="00E6673A" w:rsidRDefault="007E6940" w:rsidP="007E6940">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 xml:space="preserve">revokes </w:t>
      </w:r>
      <w:r w:rsidRPr="00E6673A">
        <w:rPr>
          <w:rFonts w:ascii="Times New Roman" w:hAnsi="Times New Roman"/>
          <w:i/>
          <w:sz w:val="24"/>
          <w:szCs w:val="24"/>
        </w:rPr>
        <w:t>Reporting Standard ARS </w:t>
      </w:r>
      <w:r w:rsidR="005B0235" w:rsidRPr="00E6673A">
        <w:rPr>
          <w:rFonts w:ascii="Times New Roman" w:hAnsi="Times New Roman"/>
          <w:i/>
          <w:sz w:val="24"/>
          <w:szCs w:val="24"/>
        </w:rPr>
        <w:t>743.0 ABS/RBA Housing Finance</w:t>
      </w:r>
      <w:r w:rsidRPr="00E6673A">
        <w:rPr>
          <w:rFonts w:ascii="Times New Roman" w:hAnsi="Times New Roman"/>
          <w:i/>
          <w:sz w:val="24"/>
          <w:szCs w:val="24"/>
        </w:rPr>
        <w:t xml:space="preserve"> (</w:t>
      </w:r>
      <w:r w:rsidRPr="00E6673A">
        <w:rPr>
          <w:rFonts w:ascii="Times New Roman" w:hAnsi="Times New Roman"/>
          <w:sz w:val="24"/>
          <w:szCs w:val="24"/>
        </w:rPr>
        <w:t>ARS 74</w:t>
      </w:r>
      <w:r w:rsidR="005B0235" w:rsidRPr="00E6673A">
        <w:rPr>
          <w:rFonts w:ascii="Times New Roman" w:hAnsi="Times New Roman"/>
          <w:sz w:val="24"/>
          <w:szCs w:val="24"/>
        </w:rPr>
        <w:t>3</w:t>
      </w:r>
      <w:r w:rsidRPr="00E6673A">
        <w:rPr>
          <w:rFonts w:ascii="Times New Roman" w:hAnsi="Times New Roman"/>
          <w:sz w:val="24"/>
          <w:szCs w:val="24"/>
        </w:rPr>
        <w:t xml:space="preserve">.0) made under Financial Sector (Collection of Data) (reporting standard) determination No. </w:t>
      </w:r>
      <w:r w:rsidR="00E6673A" w:rsidRPr="00E6673A">
        <w:rPr>
          <w:rFonts w:ascii="Times New Roman" w:hAnsi="Times New Roman"/>
          <w:sz w:val="24"/>
          <w:szCs w:val="24"/>
        </w:rPr>
        <w:t>36</w:t>
      </w:r>
      <w:r w:rsidRPr="00E6673A">
        <w:rPr>
          <w:rFonts w:ascii="Times New Roman" w:hAnsi="Times New Roman"/>
          <w:sz w:val="24"/>
          <w:szCs w:val="24"/>
        </w:rPr>
        <w:t xml:space="preserve"> of 20</w:t>
      </w:r>
      <w:r w:rsidR="00E6673A" w:rsidRPr="00E6673A">
        <w:rPr>
          <w:rFonts w:ascii="Times New Roman" w:hAnsi="Times New Roman"/>
          <w:sz w:val="24"/>
          <w:szCs w:val="24"/>
        </w:rPr>
        <w:t>21</w:t>
      </w:r>
      <w:r w:rsidRPr="00E6673A">
        <w:rPr>
          <w:rFonts w:ascii="Times New Roman" w:hAnsi="Times New Roman"/>
          <w:sz w:val="24"/>
          <w:szCs w:val="24"/>
        </w:rPr>
        <w:t>; and</w:t>
      </w:r>
    </w:p>
    <w:p w14:paraId="041575DA" w14:textId="42B5D460" w:rsidR="007E6940" w:rsidRPr="00E6673A" w:rsidRDefault="007E6940" w:rsidP="007E6940">
      <w:pPr>
        <w:pStyle w:val="ListParagraph"/>
        <w:numPr>
          <w:ilvl w:val="1"/>
          <w:numId w:val="13"/>
        </w:numPr>
        <w:spacing w:after="240"/>
        <w:ind w:left="1134" w:hanging="567"/>
        <w:jc w:val="both"/>
        <w:rPr>
          <w:rFonts w:ascii="Times New Roman" w:hAnsi="Times New Roman"/>
          <w:sz w:val="24"/>
          <w:szCs w:val="24"/>
        </w:rPr>
      </w:pPr>
      <w:r w:rsidRPr="00E6673A">
        <w:rPr>
          <w:rFonts w:ascii="Times New Roman" w:hAnsi="Times New Roman"/>
          <w:sz w:val="24"/>
          <w:szCs w:val="24"/>
        </w:rPr>
        <w:t>determines a new version of ARS 74</w:t>
      </w:r>
      <w:r w:rsidR="005B0235" w:rsidRPr="00E6673A">
        <w:rPr>
          <w:rFonts w:ascii="Times New Roman" w:hAnsi="Times New Roman"/>
          <w:sz w:val="24"/>
          <w:szCs w:val="24"/>
        </w:rPr>
        <w:t>3</w:t>
      </w:r>
      <w:r w:rsidRPr="00E6673A">
        <w:rPr>
          <w:rFonts w:ascii="Times New Roman" w:hAnsi="Times New Roman"/>
          <w:sz w:val="24"/>
          <w:szCs w:val="24"/>
        </w:rPr>
        <w:t>.0</w:t>
      </w:r>
      <w:r w:rsidR="00A85418">
        <w:rPr>
          <w:rFonts w:ascii="Times New Roman" w:hAnsi="Times New Roman"/>
          <w:sz w:val="24"/>
          <w:szCs w:val="24"/>
        </w:rPr>
        <w:t>.</w:t>
      </w:r>
    </w:p>
    <w:p w14:paraId="00A7386E" w14:textId="24E4FC44"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t>T</w:t>
      </w:r>
      <w:r w:rsidR="00FE5F57">
        <w:rPr>
          <w:rFonts w:ascii="Times New Roman" w:hAnsi="Times New Roman"/>
          <w:sz w:val="24"/>
          <w:szCs w:val="24"/>
        </w:rPr>
        <w:t>he instrument</w:t>
      </w:r>
      <w:r w:rsidR="0033665C">
        <w:rPr>
          <w:rFonts w:ascii="Times New Roman" w:hAnsi="Times New Roman"/>
          <w:sz w:val="24"/>
          <w:szCs w:val="24"/>
        </w:rPr>
        <w:t>s</w:t>
      </w:r>
      <w:r>
        <w:rPr>
          <w:rFonts w:ascii="Times New Roman" w:hAnsi="Times New Roman"/>
          <w:sz w:val="24"/>
          <w:szCs w:val="24"/>
        </w:rPr>
        <w:t xml:space="preserve"> </w:t>
      </w:r>
      <w:r w:rsidRPr="00580FC3">
        <w:rPr>
          <w:rFonts w:ascii="Times New Roman" w:hAnsi="Times New Roman"/>
          <w:sz w:val="24"/>
          <w:szCs w:val="24"/>
        </w:rPr>
        <w:t xml:space="preserve">commence </w:t>
      </w:r>
      <w:r w:rsidR="00A50412">
        <w:rPr>
          <w:rFonts w:ascii="Times New Roman" w:hAnsi="Times New Roman"/>
          <w:sz w:val="24"/>
          <w:szCs w:val="24"/>
        </w:rPr>
        <w:t xml:space="preserve">upon registration on the Federal Register of Legislation. </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C65C964" w14:textId="64C67B57" w:rsidR="00875FB7" w:rsidRDefault="00875FB7" w:rsidP="00875FB7">
      <w:pPr>
        <w:pStyle w:val="heading0"/>
        <w:shd w:val="clear" w:color="auto" w:fill="FFFFFF"/>
        <w:spacing w:before="0" w:beforeAutospacing="0" w:after="240" w:afterAutospacing="0"/>
        <w:jc w:val="both"/>
        <w:rPr>
          <w:rFonts w:ascii="Trebuchet MS" w:hAnsi="Trebuchet MS"/>
          <w:b/>
          <w:bCs/>
          <w:color w:val="000000"/>
          <w:sz w:val="26"/>
          <w:szCs w:val="26"/>
        </w:rPr>
      </w:pPr>
      <w:bookmarkStart w:id="4" w:name="bkBackground"/>
      <w:bookmarkEnd w:id="4"/>
      <w:r>
        <w:rPr>
          <w:color w:val="000000"/>
        </w:rPr>
        <w:t xml:space="preserve">APRA’s mandate is to ensure the safety and soundness of prudentially regulated financial institutions so that they can meet their financial promises to depositors, </w:t>
      </w:r>
      <w:proofErr w:type="gramStart"/>
      <w:r>
        <w:rPr>
          <w:color w:val="000000"/>
        </w:rPr>
        <w:t>policyholders</w:t>
      </w:r>
      <w:proofErr w:type="gramEnd"/>
      <w:r>
        <w:rPr>
          <w:color w:val="000000"/>
        </w:rPr>
        <w:t xml:space="preserve"> and fund members within a stable, efficient and competitive financial system. APRA gives effect to its mandate by establishing minimum expectations for prudentially regulated financial institutions. The </w:t>
      </w:r>
      <w:r>
        <w:rPr>
          <w:i/>
          <w:color w:val="000000"/>
        </w:rPr>
        <w:t>Banking Act 1959</w:t>
      </w:r>
      <w:r>
        <w:rPr>
          <w:color w:val="000000"/>
        </w:rPr>
        <w:t xml:space="preserve"> enables APRA to issue legally binding prudential standards that set out specific prudential requirements with which ADIs must comply.</w:t>
      </w:r>
      <w:r w:rsidR="00C61ABA">
        <w:rPr>
          <w:color w:val="000000"/>
        </w:rPr>
        <w:t xml:space="preserve"> APRA collects data under reporting standards made under the Act that enable APRA to assess ADIs’ compliance with these prudential requirements.</w:t>
      </w:r>
    </w:p>
    <w:p w14:paraId="04E3BA5C" w14:textId="219CB708" w:rsidR="00875FB7" w:rsidRDefault="00875FB7" w:rsidP="00875FB7">
      <w:pPr>
        <w:pStyle w:val="heading0"/>
        <w:shd w:val="clear" w:color="auto" w:fill="FFFFFF"/>
        <w:spacing w:before="0" w:beforeAutospacing="0" w:after="240" w:afterAutospacing="0"/>
        <w:jc w:val="both"/>
        <w:rPr>
          <w:color w:val="000000"/>
          <w:shd w:val="clear" w:color="auto" w:fill="FFFFFF"/>
        </w:rPr>
      </w:pPr>
      <w:r>
        <w:rPr>
          <w:color w:val="000000"/>
          <w:shd w:val="clear" w:color="auto" w:fill="FFFFFF"/>
        </w:rPr>
        <w:t>Two key components of APRA’s prudential and reporting framework for ADIs are the prudential standards for credit quality and operational risk and their accompanying reporting standards. </w:t>
      </w:r>
    </w:p>
    <w:p w14:paraId="57EBD94B" w14:textId="02C65620" w:rsidR="00875FB7" w:rsidRDefault="00C61ABA" w:rsidP="00875FB7">
      <w:pPr>
        <w:pStyle w:val="heading0"/>
        <w:shd w:val="clear" w:color="auto" w:fill="FFFFFF"/>
        <w:spacing w:before="0" w:beforeAutospacing="0" w:after="240" w:afterAutospacing="0"/>
        <w:jc w:val="both"/>
        <w:rPr>
          <w:color w:val="000000"/>
        </w:rPr>
      </w:pPr>
      <w:r>
        <w:rPr>
          <w:color w:val="000000"/>
        </w:rPr>
        <w:t xml:space="preserve">Updates to </w:t>
      </w:r>
      <w:r w:rsidR="00875FB7">
        <w:rPr>
          <w:color w:val="000000"/>
        </w:rPr>
        <w:t>APRA’s prudential and accompanying reporting standards are often informed by developments in international standards. In the banking industry, the primary international standard setting body is the Basel Committee on Banking Supervision (Basel Committee). As a member of the Basel Committee, APRA’s prudential requirements are expected to be consistent with those set by the Basel Committee. To facilitate an international level playing-field, APRA is also expected to align its domestic implementation of prudential requirements with the internationally agreed timetables.</w:t>
      </w:r>
    </w:p>
    <w:p w14:paraId="5BAB2B23" w14:textId="25A4BAF7" w:rsidR="0082684B" w:rsidRPr="007941EE" w:rsidRDefault="0082684B" w:rsidP="00D4429E">
      <w:pPr>
        <w:pStyle w:val="heading0"/>
        <w:shd w:val="clear" w:color="auto" w:fill="FFFFFF"/>
        <w:spacing w:before="0" w:beforeAutospacing="0" w:after="240" w:afterAutospacing="0"/>
        <w:jc w:val="both"/>
      </w:pPr>
      <w:r>
        <w:t xml:space="preserve">APRA also acts as </w:t>
      </w:r>
      <w:r w:rsidRPr="007941EE">
        <w:t>national</w:t>
      </w:r>
      <w:r w:rsidR="0032222D">
        <w:t xml:space="preserve"> data collection</w:t>
      </w:r>
      <w:r w:rsidRPr="007941EE">
        <w:t xml:space="preserve"> agency for the financial sector</w:t>
      </w:r>
      <w:r>
        <w:t>.</w:t>
      </w:r>
      <w:r w:rsidRPr="007941EE">
        <w:t xml:space="preserve"> The economic and financial statistics (EFS) collection – previously the Domestic Books collection – is a series of reporting requirements administered on behalf of the Australian Bureau of Statistics (ABS) and the Reserve Bank of Australia (RBA) (collectively, the agencies) by APRA. The collection focuses on the Australian (domestic) operations and activities of authorised deposit-taking institutions (ADIs) and Registered Financial Corporations (RFCs).</w:t>
      </w:r>
    </w:p>
    <w:p w14:paraId="0FBF389B" w14:textId="20B30A55" w:rsidR="00461BBD" w:rsidRPr="007941EE" w:rsidRDefault="0082684B" w:rsidP="0082684B">
      <w:pPr>
        <w:spacing w:after="240"/>
        <w:ind w:right="113"/>
        <w:jc w:val="both"/>
        <w:rPr>
          <w:rFonts w:ascii="Times New Roman" w:hAnsi="Times New Roman"/>
          <w:sz w:val="24"/>
          <w:szCs w:val="24"/>
        </w:rPr>
      </w:pPr>
      <w:r w:rsidRPr="007941EE">
        <w:rPr>
          <w:rFonts w:ascii="Times New Roman" w:hAnsi="Times New Roman"/>
          <w:sz w:val="24"/>
          <w:szCs w:val="24"/>
        </w:rPr>
        <w:t>The data collected from ADIs and RFCs in the EFS data collection are used by the ABS and the RBA to compile and publish key macroeconomic indicators for Australia and are also used for analysis and policy purposes by the RBA. Data collected on the EFS forms are also used by APRA for prudential supervision and other purposes. Aggregated data are used by other economic policy makers and to meet Australia’s international reporting obligations.</w:t>
      </w:r>
      <w:bookmarkStart w:id="5" w:name="_Hlk94539316"/>
    </w:p>
    <w:bookmarkEnd w:id="5"/>
    <w:p w14:paraId="7FA50A5F" w14:textId="79629302"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765EBA">
        <w:rPr>
          <w:rFonts w:ascii="Times New Roman" w:hAnsi="Times New Roman"/>
          <w:sz w:val="24"/>
          <w:szCs w:val="24"/>
        </w:rPr>
        <w:t>s</w:t>
      </w:r>
    </w:p>
    <w:p w14:paraId="4F38595D" w14:textId="3E83F898" w:rsidR="000269E8" w:rsidRDefault="003F7007" w:rsidP="00A62A13">
      <w:pPr>
        <w:spacing w:after="240"/>
        <w:ind w:right="113"/>
        <w:jc w:val="both"/>
        <w:rPr>
          <w:rFonts w:ascii="Times New Roman" w:hAnsi="Times New Roman"/>
          <w:sz w:val="24"/>
          <w:szCs w:val="24"/>
        </w:rPr>
      </w:pPr>
      <w:bookmarkStart w:id="6" w:name="bkPurpose"/>
      <w:bookmarkEnd w:id="6"/>
      <w:r>
        <w:rPr>
          <w:rFonts w:ascii="Times New Roman" w:hAnsi="Times New Roman"/>
          <w:sz w:val="24"/>
          <w:szCs w:val="24"/>
        </w:rPr>
        <w:t>The purpose of t</w:t>
      </w:r>
      <w:r w:rsidR="009226AE">
        <w:rPr>
          <w:rFonts w:ascii="Times New Roman" w:hAnsi="Times New Roman"/>
          <w:sz w:val="24"/>
          <w:szCs w:val="24"/>
        </w:rPr>
        <w:t>he instrument</w:t>
      </w:r>
      <w:r w:rsidR="00765EBA">
        <w:rPr>
          <w:rFonts w:ascii="Times New Roman" w:hAnsi="Times New Roman"/>
          <w:sz w:val="24"/>
          <w:szCs w:val="24"/>
        </w:rPr>
        <w:t>s</w:t>
      </w:r>
      <w:r w:rsidR="009226AE">
        <w:rPr>
          <w:rFonts w:ascii="Times New Roman" w:hAnsi="Times New Roman"/>
          <w:sz w:val="24"/>
          <w:szCs w:val="24"/>
        </w:rPr>
        <w:t xml:space="preserve"> is to</w:t>
      </w:r>
      <w:r w:rsidR="000E15F4">
        <w:rPr>
          <w:rFonts w:ascii="Times New Roman" w:hAnsi="Times New Roman"/>
          <w:sz w:val="24"/>
          <w:szCs w:val="24"/>
        </w:rPr>
        <w:t xml:space="preserve">: determine a new ARS </w:t>
      </w:r>
      <w:proofErr w:type="gramStart"/>
      <w:r w:rsidR="000E15F4">
        <w:rPr>
          <w:rFonts w:ascii="Times New Roman" w:hAnsi="Times New Roman"/>
          <w:sz w:val="24"/>
          <w:szCs w:val="24"/>
        </w:rPr>
        <w:t>115.0, and</w:t>
      </w:r>
      <w:proofErr w:type="gramEnd"/>
      <w:r w:rsidR="00A62A13">
        <w:rPr>
          <w:rFonts w:ascii="Times New Roman" w:hAnsi="Times New Roman"/>
          <w:sz w:val="24"/>
          <w:szCs w:val="24"/>
        </w:rPr>
        <w:t xml:space="preserve"> </w:t>
      </w:r>
      <w:r w:rsidR="00004E0C">
        <w:rPr>
          <w:rFonts w:ascii="Times New Roman" w:hAnsi="Times New Roman"/>
          <w:sz w:val="24"/>
          <w:szCs w:val="24"/>
        </w:rPr>
        <w:t>r</w:t>
      </w:r>
      <w:r w:rsidR="006A1555">
        <w:rPr>
          <w:rFonts w:ascii="Times New Roman" w:hAnsi="Times New Roman"/>
          <w:sz w:val="24"/>
          <w:szCs w:val="24"/>
        </w:rPr>
        <w:t xml:space="preserve">evoke existing </w:t>
      </w:r>
      <w:r w:rsidR="00A62A13">
        <w:rPr>
          <w:rFonts w:ascii="Times New Roman" w:hAnsi="Times New Roman"/>
          <w:sz w:val="24"/>
          <w:szCs w:val="24"/>
        </w:rPr>
        <w:t>instruments</w:t>
      </w:r>
      <w:r w:rsidR="006A1555">
        <w:rPr>
          <w:rFonts w:ascii="Times New Roman" w:hAnsi="Times New Roman"/>
          <w:sz w:val="24"/>
          <w:szCs w:val="24"/>
        </w:rPr>
        <w:t xml:space="preserve"> and replace </w:t>
      </w:r>
      <w:r w:rsidR="00A62A13">
        <w:rPr>
          <w:rFonts w:ascii="Times New Roman" w:hAnsi="Times New Roman"/>
          <w:sz w:val="24"/>
          <w:szCs w:val="24"/>
        </w:rPr>
        <w:t>them</w:t>
      </w:r>
      <w:r w:rsidR="006A1555">
        <w:rPr>
          <w:rFonts w:ascii="Times New Roman" w:hAnsi="Times New Roman"/>
          <w:sz w:val="24"/>
          <w:szCs w:val="24"/>
        </w:rPr>
        <w:t xml:space="preserve"> with new version</w:t>
      </w:r>
      <w:r w:rsidR="008A38F8">
        <w:rPr>
          <w:rFonts w:ascii="Times New Roman" w:hAnsi="Times New Roman"/>
          <w:sz w:val="24"/>
          <w:szCs w:val="24"/>
        </w:rPr>
        <w:t>s</w:t>
      </w:r>
      <w:r w:rsidR="00A62A13">
        <w:rPr>
          <w:rFonts w:ascii="Times New Roman" w:hAnsi="Times New Roman"/>
          <w:sz w:val="24"/>
          <w:szCs w:val="24"/>
        </w:rPr>
        <w:t>.</w:t>
      </w:r>
    </w:p>
    <w:p w14:paraId="1971B6A5" w14:textId="6EA873B1" w:rsidR="00225D0F" w:rsidRDefault="00792E0A" w:rsidP="00BF17E6">
      <w:pPr>
        <w:spacing w:after="240"/>
        <w:ind w:right="113"/>
        <w:jc w:val="both"/>
        <w:rPr>
          <w:rFonts w:ascii="Times New Roman" w:hAnsi="Times New Roman"/>
          <w:sz w:val="24"/>
          <w:szCs w:val="24"/>
        </w:rPr>
      </w:pPr>
      <w:r w:rsidRPr="00BF17E6">
        <w:rPr>
          <w:rFonts w:ascii="Times New Roman" w:hAnsi="Times New Roman"/>
          <w:sz w:val="24"/>
          <w:szCs w:val="24"/>
        </w:rPr>
        <w:t xml:space="preserve">Each </w:t>
      </w:r>
      <w:r w:rsidR="00F83FD4">
        <w:rPr>
          <w:rFonts w:ascii="Times New Roman" w:hAnsi="Times New Roman"/>
          <w:sz w:val="24"/>
          <w:szCs w:val="24"/>
        </w:rPr>
        <w:t>instrument</w:t>
      </w:r>
      <w:r w:rsidR="00965040">
        <w:rPr>
          <w:rFonts w:ascii="Times New Roman" w:hAnsi="Times New Roman"/>
          <w:sz w:val="24"/>
          <w:szCs w:val="24"/>
        </w:rPr>
        <w:t xml:space="preserve"> revoke</w:t>
      </w:r>
      <w:r w:rsidR="00F83FD4">
        <w:rPr>
          <w:rFonts w:ascii="Times New Roman" w:hAnsi="Times New Roman"/>
          <w:sz w:val="24"/>
          <w:szCs w:val="24"/>
        </w:rPr>
        <w:t>s</w:t>
      </w:r>
      <w:r w:rsidR="00965040">
        <w:rPr>
          <w:rFonts w:ascii="Times New Roman" w:hAnsi="Times New Roman"/>
          <w:sz w:val="24"/>
          <w:szCs w:val="24"/>
        </w:rPr>
        <w:t xml:space="preserve"> and</w:t>
      </w:r>
      <w:r w:rsidR="000E15F4">
        <w:rPr>
          <w:rFonts w:ascii="Times New Roman" w:hAnsi="Times New Roman"/>
          <w:sz w:val="24"/>
          <w:szCs w:val="24"/>
        </w:rPr>
        <w:t>/or</w:t>
      </w:r>
      <w:r w:rsidRPr="00BF17E6">
        <w:rPr>
          <w:rFonts w:ascii="Times New Roman" w:hAnsi="Times New Roman"/>
          <w:sz w:val="24"/>
          <w:szCs w:val="24"/>
        </w:rPr>
        <w:t xml:space="preserve"> determine</w:t>
      </w:r>
      <w:r w:rsidR="00F83FD4">
        <w:rPr>
          <w:rFonts w:ascii="Times New Roman" w:hAnsi="Times New Roman"/>
          <w:sz w:val="24"/>
          <w:szCs w:val="24"/>
        </w:rPr>
        <w:t>s</w:t>
      </w:r>
      <w:r w:rsidR="00BF17E6" w:rsidRPr="00BF17E6">
        <w:rPr>
          <w:rFonts w:ascii="Times New Roman" w:hAnsi="Times New Roman"/>
          <w:sz w:val="24"/>
          <w:szCs w:val="24"/>
        </w:rPr>
        <w:t xml:space="preserve"> </w:t>
      </w:r>
      <w:r w:rsidR="00965040">
        <w:rPr>
          <w:rFonts w:ascii="Times New Roman" w:hAnsi="Times New Roman"/>
          <w:sz w:val="24"/>
          <w:szCs w:val="24"/>
        </w:rPr>
        <w:t xml:space="preserve">a </w:t>
      </w:r>
      <w:r w:rsidRPr="00BF17E6">
        <w:rPr>
          <w:rFonts w:ascii="Times New Roman" w:hAnsi="Times New Roman"/>
          <w:sz w:val="24"/>
          <w:szCs w:val="24"/>
        </w:rPr>
        <w:t xml:space="preserve">reporting standard </w:t>
      </w:r>
      <w:r w:rsidR="002D0429">
        <w:rPr>
          <w:rFonts w:ascii="Times New Roman" w:hAnsi="Times New Roman"/>
          <w:sz w:val="24"/>
          <w:szCs w:val="24"/>
        </w:rPr>
        <w:t xml:space="preserve">that </w:t>
      </w:r>
      <w:r w:rsidRPr="00BF17E6">
        <w:rPr>
          <w:rFonts w:ascii="Times New Roman" w:hAnsi="Times New Roman"/>
          <w:sz w:val="24"/>
          <w:szCs w:val="24"/>
        </w:rPr>
        <w:t xml:space="preserve">requires an ADI or RFC to provide information to APRA about their businesses and activities. </w:t>
      </w:r>
      <w:r w:rsidR="002D0429">
        <w:rPr>
          <w:rFonts w:ascii="Times New Roman" w:hAnsi="Times New Roman"/>
          <w:sz w:val="24"/>
          <w:szCs w:val="24"/>
        </w:rPr>
        <w:t>The</w:t>
      </w:r>
      <w:r w:rsidRPr="00BF17E6">
        <w:rPr>
          <w:rFonts w:ascii="Times New Roman" w:hAnsi="Times New Roman"/>
          <w:sz w:val="24"/>
          <w:szCs w:val="24"/>
        </w:rPr>
        <w:t xml:space="preserve"> reporting standard</w:t>
      </w:r>
      <w:r w:rsidR="002D0429">
        <w:rPr>
          <w:rFonts w:ascii="Times New Roman" w:hAnsi="Times New Roman"/>
          <w:sz w:val="24"/>
          <w:szCs w:val="24"/>
        </w:rPr>
        <w:t xml:space="preserve">s </w:t>
      </w:r>
      <w:r w:rsidRPr="00BF17E6">
        <w:rPr>
          <w:rFonts w:ascii="Times New Roman" w:hAnsi="Times New Roman"/>
          <w:sz w:val="24"/>
          <w:szCs w:val="24"/>
        </w:rPr>
        <w:t>include a reporting form that an ADI</w:t>
      </w:r>
      <w:r w:rsidR="008A38F8">
        <w:rPr>
          <w:rFonts w:ascii="Times New Roman" w:hAnsi="Times New Roman"/>
          <w:sz w:val="24"/>
          <w:szCs w:val="24"/>
        </w:rPr>
        <w:t xml:space="preserve"> or RFC</w:t>
      </w:r>
      <w:r w:rsidRPr="00BF17E6">
        <w:rPr>
          <w:rFonts w:ascii="Times New Roman" w:hAnsi="Times New Roman"/>
          <w:sz w:val="24"/>
          <w:szCs w:val="24"/>
        </w:rPr>
        <w:t xml:space="preserve"> must complete and submit to APRA, and instructions to completing the reporting form</w:t>
      </w:r>
      <w:r w:rsidR="00BF17E6" w:rsidRPr="00BF17E6">
        <w:rPr>
          <w:rFonts w:ascii="Times New Roman" w:hAnsi="Times New Roman"/>
          <w:sz w:val="24"/>
          <w:szCs w:val="24"/>
        </w:rPr>
        <w:t>.</w:t>
      </w:r>
    </w:p>
    <w:p w14:paraId="5CE79DA0" w14:textId="1C236644" w:rsidR="00A00578" w:rsidRDefault="00BF17E6" w:rsidP="00792E0A">
      <w:pPr>
        <w:spacing w:after="240"/>
        <w:ind w:right="113"/>
        <w:jc w:val="both"/>
        <w:rPr>
          <w:rFonts w:ascii="Times New Roman" w:hAnsi="Times New Roman"/>
          <w:sz w:val="24"/>
          <w:szCs w:val="24"/>
        </w:rPr>
      </w:pPr>
      <w:r>
        <w:rPr>
          <w:rFonts w:ascii="Times New Roman" w:hAnsi="Times New Roman"/>
          <w:sz w:val="24"/>
          <w:szCs w:val="24"/>
        </w:rPr>
        <w:t>Specifically:</w:t>
      </w:r>
    </w:p>
    <w:p w14:paraId="33FFC781" w14:textId="23D08A0C" w:rsidR="0037609D" w:rsidRDefault="0037609D" w:rsidP="00BF17E6">
      <w:pPr>
        <w:pStyle w:val="ListParagraph"/>
        <w:numPr>
          <w:ilvl w:val="0"/>
          <w:numId w:val="15"/>
        </w:numPr>
        <w:spacing w:after="240"/>
        <w:ind w:right="113"/>
        <w:jc w:val="both"/>
        <w:rPr>
          <w:rFonts w:ascii="Times New Roman" w:hAnsi="Times New Roman"/>
          <w:sz w:val="24"/>
          <w:szCs w:val="24"/>
        </w:rPr>
      </w:pPr>
      <w:bookmarkStart w:id="7" w:name="_Hlk67220703"/>
      <w:r>
        <w:rPr>
          <w:rFonts w:ascii="Times New Roman" w:hAnsi="Times New Roman"/>
          <w:sz w:val="24"/>
          <w:szCs w:val="24"/>
        </w:rPr>
        <w:t>ARS 112.1 outlines the requirements for the provision of information to APRA by ADIs on their on-balance sheet assets.</w:t>
      </w:r>
    </w:p>
    <w:p w14:paraId="0EA391A0" w14:textId="2E66ACCC" w:rsidR="00BF17E6" w:rsidRPr="00074BB4" w:rsidRDefault="00BF17E6" w:rsidP="00BF17E6">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E265A2">
        <w:rPr>
          <w:rFonts w:ascii="Times New Roman" w:hAnsi="Times New Roman"/>
          <w:sz w:val="24"/>
          <w:szCs w:val="24"/>
        </w:rPr>
        <w:t>115.0</w:t>
      </w:r>
      <w:r w:rsidR="00E7345E" w:rsidRPr="00074BB4">
        <w:rPr>
          <w:rFonts w:ascii="Times New Roman" w:hAnsi="Times New Roman"/>
          <w:sz w:val="24"/>
          <w:szCs w:val="24"/>
        </w:rPr>
        <w:t xml:space="preserve"> outlines the requirements for the provision of information to APRA</w:t>
      </w:r>
      <w:r w:rsidR="008B3AFF" w:rsidRPr="00074BB4">
        <w:rPr>
          <w:rFonts w:ascii="Times New Roman" w:hAnsi="Times New Roman"/>
          <w:sz w:val="24"/>
          <w:szCs w:val="24"/>
        </w:rPr>
        <w:t xml:space="preserve"> by </w:t>
      </w:r>
      <w:r w:rsidR="008701ED" w:rsidRPr="00074BB4">
        <w:rPr>
          <w:rFonts w:ascii="Times New Roman" w:hAnsi="Times New Roman"/>
          <w:sz w:val="24"/>
          <w:szCs w:val="24"/>
        </w:rPr>
        <w:t>ADIs</w:t>
      </w:r>
      <w:r w:rsidR="008B3AFF" w:rsidRPr="00074BB4">
        <w:rPr>
          <w:rFonts w:ascii="Times New Roman" w:hAnsi="Times New Roman"/>
          <w:sz w:val="24"/>
          <w:szCs w:val="24"/>
        </w:rPr>
        <w:t xml:space="preserve"> </w:t>
      </w:r>
      <w:r w:rsidR="00573EED" w:rsidRPr="00074BB4">
        <w:rPr>
          <w:rFonts w:ascii="Times New Roman" w:hAnsi="Times New Roman"/>
          <w:sz w:val="24"/>
          <w:szCs w:val="24"/>
        </w:rPr>
        <w:t xml:space="preserve">and RFCs </w:t>
      </w:r>
      <w:r w:rsidR="00957E44" w:rsidRPr="00074BB4">
        <w:rPr>
          <w:rFonts w:ascii="Times New Roman" w:hAnsi="Times New Roman"/>
          <w:sz w:val="24"/>
          <w:szCs w:val="24"/>
        </w:rPr>
        <w:t xml:space="preserve">on </w:t>
      </w:r>
      <w:r w:rsidR="00E265A2">
        <w:rPr>
          <w:rFonts w:ascii="Times New Roman" w:hAnsi="Times New Roman"/>
          <w:sz w:val="24"/>
          <w:szCs w:val="24"/>
        </w:rPr>
        <w:t>their operational risk measured using the standardised approach set by APRA</w:t>
      </w:r>
      <w:r w:rsidR="00E7345E" w:rsidRPr="00074BB4">
        <w:rPr>
          <w:rFonts w:ascii="Times New Roman" w:hAnsi="Times New Roman"/>
          <w:sz w:val="24"/>
          <w:szCs w:val="24"/>
        </w:rPr>
        <w:t>.</w:t>
      </w:r>
      <w:r w:rsidR="008701ED" w:rsidRPr="00074BB4">
        <w:rPr>
          <w:rFonts w:ascii="Times New Roman" w:hAnsi="Times New Roman"/>
          <w:sz w:val="24"/>
          <w:szCs w:val="24"/>
        </w:rPr>
        <w:t xml:space="preserve"> </w:t>
      </w:r>
    </w:p>
    <w:p w14:paraId="77F010F7" w14:textId="172D1182" w:rsidR="0037609D" w:rsidRDefault="0037609D" w:rsidP="0037609D">
      <w:pPr>
        <w:pStyle w:val="ListParagraph"/>
        <w:numPr>
          <w:ilvl w:val="0"/>
          <w:numId w:val="15"/>
        </w:numPr>
        <w:spacing w:after="240"/>
        <w:ind w:right="113"/>
        <w:jc w:val="both"/>
        <w:rPr>
          <w:rFonts w:ascii="Times New Roman" w:hAnsi="Times New Roman"/>
          <w:sz w:val="24"/>
          <w:szCs w:val="24"/>
        </w:rPr>
      </w:pPr>
      <w:bookmarkStart w:id="8" w:name="_Hlk65769522"/>
      <w:bookmarkEnd w:id="7"/>
      <w:r>
        <w:rPr>
          <w:rFonts w:ascii="Times New Roman" w:hAnsi="Times New Roman"/>
          <w:sz w:val="24"/>
          <w:szCs w:val="24"/>
        </w:rPr>
        <w:t>ARS</w:t>
      </w:r>
      <w:r w:rsidR="00BD0BC9">
        <w:rPr>
          <w:rFonts w:ascii="Times New Roman" w:hAnsi="Times New Roman"/>
          <w:sz w:val="24"/>
          <w:szCs w:val="24"/>
        </w:rPr>
        <w:t xml:space="preserve"> </w:t>
      </w:r>
      <w:r>
        <w:rPr>
          <w:rFonts w:ascii="Times New Roman" w:hAnsi="Times New Roman"/>
          <w:sz w:val="24"/>
          <w:szCs w:val="24"/>
        </w:rPr>
        <w:t>120.2 outlines the requirements for the provision of supplementary information to APRA by ADIs on their securitisation activity.</w:t>
      </w:r>
    </w:p>
    <w:p w14:paraId="43E1EC4C" w14:textId="5D5186EF" w:rsidR="003A652F" w:rsidRPr="00074BB4" w:rsidRDefault="000A1787" w:rsidP="003A652F">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E265A2">
        <w:rPr>
          <w:rFonts w:ascii="Times New Roman" w:hAnsi="Times New Roman"/>
          <w:sz w:val="24"/>
          <w:szCs w:val="24"/>
        </w:rPr>
        <w:t>210</w:t>
      </w:r>
      <w:r w:rsidRPr="00074BB4">
        <w:rPr>
          <w:rFonts w:ascii="Times New Roman" w:hAnsi="Times New Roman"/>
          <w:sz w:val="24"/>
          <w:szCs w:val="24"/>
        </w:rPr>
        <w:t>.</w:t>
      </w:r>
      <w:r w:rsidR="00E265A2">
        <w:rPr>
          <w:rFonts w:ascii="Times New Roman" w:hAnsi="Times New Roman"/>
          <w:sz w:val="24"/>
          <w:szCs w:val="24"/>
        </w:rPr>
        <w:t>0</w:t>
      </w:r>
      <w:r w:rsidRPr="00074BB4">
        <w:rPr>
          <w:rFonts w:ascii="Times New Roman" w:hAnsi="Times New Roman"/>
          <w:sz w:val="24"/>
          <w:szCs w:val="24"/>
        </w:rPr>
        <w:t xml:space="preserve"> outlines the requirements for the provision of information to APRA by ADIs </w:t>
      </w:r>
      <w:r w:rsidR="00E265A2">
        <w:rPr>
          <w:rFonts w:ascii="Times New Roman" w:hAnsi="Times New Roman"/>
          <w:sz w:val="24"/>
          <w:szCs w:val="24"/>
        </w:rPr>
        <w:t>on their liquidity risk</w:t>
      </w:r>
      <w:r w:rsidRPr="00074BB4">
        <w:rPr>
          <w:rFonts w:ascii="Times New Roman" w:hAnsi="Times New Roman"/>
          <w:sz w:val="24"/>
          <w:szCs w:val="24"/>
        </w:rPr>
        <w:t xml:space="preserve">. </w:t>
      </w:r>
      <w:r w:rsidR="00BD0BC9">
        <w:rPr>
          <w:rFonts w:ascii="Times New Roman" w:hAnsi="Times New Roman"/>
          <w:sz w:val="24"/>
          <w:szCs w:val="24"/>
        </w:rPr>
        <w:t xml:space="preserve">ARS 210.0 also contains references to </w:t>
      </w:r>
      <w:r w:rsidR="00BD0BC9" w:rsidRPr="00BD0BC9">
        <w:rPr>
          <w:rFonts w:ascii="Times New Roman" w:hAnsi="Times New Roman"/>
          <w:i/>
          <w:sz w:val="24"/>
          <w:szCs w:val="24"/>
        </w:rPr>
        <w:t>Prudential Practice Guide APG 210 Liquidity</w:t>
      </w:r>
      <w:r w:rsidR="00BD0BC9">
        <w:rPr>
          <w:rStyle w:val="FootnoteReference"/>
          <w:rFonts w:ascii="Times New Roman" w:hAnsi="Times New Roman"/>
          <w:i/>
          <w:sz w:val="24"/>
          <w:szCs w:val="24"/>
        </w:rPr>
        <w:footnoteReference w:id="2"/>
      </w:r>
      <w:r w:rsidR="00BD0BC9">
        <w:rPr>
          <w:rFonts w:ascii="Times New Roman" w:hAnsi="Times New Roman"/>
          <w:sz w:val="24"/>
          <w:szCs w:val="24"/>
        </w:rPr>
        <w:t>.</w:t>
      </w:r>
    </w:p>
    <w:p w14:paraId="27B7D0E6" w14:textId="23632B92" w:rsidR="0037609D" w:rsidRPr="00074BB4" w:rsidRDefault="0037609D" w:rsidP="0037609D">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Pr>
          <w:rFonts w:ascii="Times New Roman" w:hAnsi="Times New Roman"/>
          <w:sz w:val="24"/>
          <w:szCs w:val="24"/>
        </w:rPr>
        <w:t>220.0</w:t>
      </w:r>
      <w:r w:rsidRPr="00074BB4">
        <w:rPr>
          <w:rFonts w:ascii="Times New Roman" w:hAnsi="Times New Roman"/>
          <w:sz w:val="24"/>
          <w:szCs w:val="24"/>
        </w:rPr>
        <w:t xml:space="preserve"> outlines the requirements for the provision of information to APRA by ADIs on their </w:t>
      </w:r>
      <w:r>
        <w:rPr>
          <w:rFonts w:ascii="Times New Roman" w:hAnsi="Times New Roman"/>
          <w:sz w:val="24"/>
          <w:szCs w:val="24"/>
        </w:rPr>
        <w:t>credit risk</w:t>
      </w:r>
      <w:r w:rsidRPr="00074BB4">
        <w:rPr>
          <w:rFonts w:ascii="Times New Roman" w:hAnsi="Times New Roman"/>
          <w:sz w:val="24"/>
          <w:szCs w:val="24"/>
        </w:rPr>
        <w:t xml:space="preserve">. </w:t>
      </w:r>
    </w:p>
    <w:p w14:paraId="482D492C" w14:textId="301D6564" w:rsidR="003A652F" w:rsidRPr="00074BB4" w:rsidRDefault="003A652F" w:rsidP="003A652F">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E265A2">
        <w:rPr>
          <w:rFonts w:ascii="Times New Roman" w:hAnsi="Times New Roman"/>
          <w:sz w:val="24"/>
          <w:szCs w:val="24"/>
        </w:rPr>
        <w:t>223</w:t>
      </w:r>
      <w:r w:rsidRPr="00074BB4">
        <w:rPr>
          <w:rFonts w:ascii="Times New Roman" w:hAnsi="Times New Roman"/>
          <w:sz w:val="24"/>
          <w:szCs w:val="24"/>
        </w:rPr>
        <w:t>.</w:t>
      </w:r>
      <w:r w:rsidR="0037609D">
        <w:rPr>
          <w:rFonts w:ascii="Times New Roman" w:hAnsi="Times New Roman"/>
          <w:sz w:val="24"/>
          <w:szCs w:val="24"/>
        </w:rPr>
        <w:t>0</w:t>
      </w:r>
      <w:r w:rsidRPr="00074BB4">
        <w:rPr>
          <w:rFonts w:ascii="Times New Roman" w:hAnsi="Times New Roman"/>
          <w:sz w:val="24"/>
          <w:szCs w:val="24"/>
        </w:rPr>
        <w:t xml:space="preserve"> outlines the requirements for the provision of information to APRA by ADIs on their </w:t>
      </w:r>
      <w:r w:rsidR="00E265A2">
        <w:rPr>
          <w:rFonts w:ascii="Times New Roman" w:hAnsi="Times New Roman"/>
          <w:sz w:val="24"/>
          <w:szCs w:val="24"/>
        </w:rPr>
        <w:t>residential mortgage lending</w:t>
      </w:r>
      <w:r w:rsidRPr="00074BB4">
        <w:rPr>
          <w:rFonts w:ascii="Times New Roman" w:hAnsi="Times New Roman"/>
          <w:sz w:val="24"/>
          <w:szCs w:val="24"/>
        </w:rPr>
        <w:t xml:space="preserve">. </w:t>
      </w:r>
    </w:p>
    <w:p w14:paraId="740C3565" w14:textId="67547703"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37609D">
        <w:rPr>
          <w:rFonts w:ascii="Times New Roman" w:hAnsi="Times New Roman"/>
          <w:sz w:val="24"/>
          <w:szCs w:val="24"/>
        </w:rPr>
        <w:t>230.0</w:t>
      </w:r>
      <w:r w:rsidRPr="00074BB4">
        <w:rPr>
          <w:rFonts w:ascii="Times New Roman" w:hAnsi="Times New Roman"/>
          <w:sz w:val="24"/>
          <w:szCs w:val="24"/>
        </w:rPr>
        <w:t xml:space="preserve"> outlines the requirements for the provision of information to APRA by ADIs on their </w:t>
      </w:r>
      <w:r w:rsidR="0037609D">
        <w:rPr>
          <w:rFonts w:ascii="Times New Roman" w:hAnsi="Times New Roman"/>
          <w:sz w:val="24"/>
          <w:szCs w:val="24"/>
        </w:rPr>
        <w:t>commercial property activity</w:t>
      </w:r>
      <w:r w:rsidRPr="00074BB4">
        <w:rPr>
          <w:rFonts w:ascii="Times New Roman" w:hAnsi="Times New Roman"/>
          <w:sz w:val="24"/>
          <w:szCs w:val="24"/>
        </w:rPr>
        <w:t xml:space="preserve">. </w:t>
      </w:r>
    </w:p>
    <w:p w14:paraId="6864D6D3" w14:textId="6AB7C867"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 xml:space="preserve">ARS </w:t>
      </w:r>
      <w:r w:rsidR="0037609D">
        <w:rPr>
          <w:rFonts w:ascii="Times New Roman" w:hAnsi="Times New Roman"/>
          <w:sz w:val="24"/>
          <w:szCs w:val="24"/>
        </w:rPr>
        <w:t>701.0</w:t>
      </w:r>
      <w:r w:rsidRPr="00074BB4">
        <w:rPr>
          <w:rFonts w:ascii="Times New Roman" w:hAnsi="Times New Roman"/>
          <w:sz w:val="24"/>
          <w:szCs w:val="24"/>
        </w:rPr>
        <w:t xml:space="preserve"> outlines the </w:t>
      </w:r>
      <w:r w:rsidR="0037609D">
        <w:rPr>
          <w:rFonts w:ascii="Times New Roman" w:hAnsi="Times New Roman"/>
          <w:sz w:val="24"/>
          <w:szCs w:val="24"/>
        </w:rPr>
        <w:t>definitions</w:t>
      </w:r>
      <w:r w:rsidRPr="00074BB4">
        <w:rPr>
          <w:rFonts w:ascii="Times New Roman" w:hAnsi="Times New Roman"/>
          <w:sz w:val="24"/>
          <w:szCs w:val="24"/>
        </w:rPr>
        <w:t xml:space="preserve"> </w:t>
      </w:r>
      <w:r w:rsidR="0037609D">
        <w:rPr>
          <w:rFonts w:ascii="Times New Roman" w:hAnsi="Times New Roman"/>
          <w:sz w:val="24"/>
          <w:szCs w:val="24"/>
        </w:rPr>
        <w:t>that apply to the EFS data collection, which ADIs and RFCs submit to APRA</w:t>
      </w:r>
      <w:r w:rsidRPr="00074BB4">
        <w:rPr>
          <w:rFonts w:ascii="Times New Roman" w:hAnsi="Times New Roman"/>
          <w:sz w:val="24"/>
          <w:szCs w:val="24"/>
        </w:rPr>
        <w:t>.</w:t>
      </w:r>
    </w:p>
    <w:p w14:paraId="7F923F67" w14:textId="71297F89" w:rsidR="00411387" w:rsidRPr="00074BB4" w:rsidRDefault="00411387" w:rsidP="00411387">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72</w:t>
      </w:r>
      <w:r w:rsidR="0037609D">
        <w:rPr>
          <w:rFonts w:ascii="Times New Roman" w:hAnsi="Times New Roman"/>
          <w:sz w:val="24"/>
          <w:szCs w:val="24"/>
        </w:rPr>
        <w:t>0</w:t>
      </w:r>
      <w:r w:rsidRPr="00074BB4">
        <w:rPr>
          <w:rFonts w:ascii="Times New Roman" w:hAnsi="Times New Roman"/>
          <w:sz w:val="24"/>
          <w:szCs w:val="24"/>
        </w:rPr>
        <w:t>.</w:t>
      </w:r>
      <w:r w:rsidR="0037609D">
        <w:rPr>
          <w:rFonts w:ascii="Times New Roman" w:hAnsi="Times New Roman"/>
          <w:sz w:val="24"/>
          <w:szCs w:val="24"/>
        </w:rPr>
        <w:t>1</w:t>
      </w:r>
      <w:r w:rsidRPr="00074BB4">
        <w:rPr>
          <w:rFonts w:ascii="Times New Roman" w:hAnsi="Times New Roman"/>
          <w:sz w:val="24"/>
          <w:szCs w:val="24"/>
        </w:rPr>
        <w:t xml:space="preserve"> outlines the requirements for the provision of information to APRA by ADIs and RFCs on </w:t>
      </w:r>
      <w:r w:rsidR="0037609D">
        <w:rPr>
          <w:rFonts w:ascii="Times New Roman" w:hAnsi="Times New Roman"/>
          <w:sz w:val="24"/>
          <w:szCs w:val="24"/>
        </w:rPr>
        <w:t>their loans and finance leases</w:t>
      </w:r>
      <w:r w:rsidR="00F40E5E" w:rsidRPr="00F40E5E">
        <w:rPr>
          <w:rFonts w:ascii="Times New Roman" w:hAnsi="Times New Roman"/>
          <w:sz w:val="24"/>
          <w:szCs w:val="24"/>
        </w:rPr>
        <w:t xml:space="preserve">. </w:t>
      </w:r>
    </w:p>
    <w:p w14:paraId="16AE95F2" w14:textId="4408160E" w:rsidR="00E23211" w:rsidRPr="00074BB4" w:rsidRDefault="00E23211" w:rsidP="00E23211">
      <w:pPr>
        <w:pStyle w:val="ListParagraph"/>
        <w:numPr>
          <w:ilvl w:val="0"/>
          <w:numId w:val="15"/>
        </w:numPr>
        <w:spacing w:after="240"/>
        <w:ind w:right="113"/>
        <w:jc w:val="both"/>
        <w:rPr>
          <w:rFonts w:ascii="Times New Roman" w:hAnsi="Times New Roman"/>
          <w:sz w:val="24"/>
          <w:szCs w:val="24"/>
        </w:rPr>
      </w:pPr>
      <w:r w:rsidRPr="00074BB4">
        <w:rPr>
          <w:rFonts w:ascii="Times New Roman" w:hAnsi="Times New Roman"/>
          <w:sz w:val="24"/>
          <w:szCs w:val="24"/>
        </w:rPr>
        <w:t>ARS 7</w:t>
      </w:r>
      <w:r w:rsidR="00DC19B3" w:rsidRPr="00074BB4">
        <w:rPr>
          <w:rFonts w:ascii="Times New Roman" w:hAnsi="Times New Roman"/>
          <w:sz w:val="24"/>
          <w:szCs w:val="24"/>
        </w:rPr>
        <w:t>4</w:t>
      </w:r>
      <w:r w:rsidRPr="00074BB4">
        <w:rPr>
          <w:rFonts w:ascii="Times New Roman" w:hAnsi="Times New Roman"/>
          <w:sz w:val="24"/>
          <w:szCs w:val="24"/>
        </w:rPr>
        <w:t xml:space="preserve">3.0 outlines the requirements for the provision of information to APRA by ADIs and RFCs on their </w:t>
      </w:r>
      <w:r w:rsidR="000F4125" w:rsidRPr="00074BB4">
        <w:rPr>
          <w:rFonts w:ascii="Times New Roman" w:hAnsi="Times New Roman"/>
          <w:sz w:val="24"/>
          <w:szCs w:val="24"/>
        </w:rPr>
        <w:t>provision of housing finance to households</w:t>
      </w:r>
      <w:r w:rsidRPr="00074BB4">
        <w:rPr>
          <w:rFonts w:ascii="Times New Roman" w:hAnsi="Times New Roman"/>
          <w:sz w:val="24"/>
          <w:szCs w:val="24"/>
        </w:rPr>
        <w:t xml:space="preserve">. </w:t>
      </w:r>
      <w:r w:rsidR="00074BB4" w:rsidRPr="00074BB4">
        <w:rPr>
          <w:rFonts w:ascii="Times New Roman" w:hAnsi="Times New Roman"/>
          <w:sz w:val="24"/>
          <w:szCs w:val="24"/>
        </w:rPr>
        <w:t xml:space="preserve">This includes information relating to “new applications for housing loans”, “new borrower-accepted commitments for housing loans” and “new borrower-accepted commitments for housing loans to resident first-home buyers”. </w:t>
      </w:r>
    </w:p>
    <w:p w14:paraId="028CE9ED" w14:textId="77777777" w:rsidR="00B0402E" w:rsidRDefault="00B0402E" w:rsidP="00620C3F">
      <w:pPr>
        <w:spacing w:after="240"/>
        <w:ind w:right="113"/>
        <w:jc w:val="both"/>
        <w:rPr>
          <w:rFonts w:ascii="Times New Roman" w:hAnsi="Times New Roman"/>
          <w:sz w:val="24"/>
          <w:szCs w:val="24"/>
        </w:rPr>
      </w:pPr>
    </w:p>
    <w:p w14:paraId="709292B1" w14:textId="0DFB738F" w:rsidR="007676E5" w:rsidRDefault="00697B47" w:rsidP="00620C3F">
      <w:pPr>
        <w:spacing w:after="240"/>
        <w:ind w:right="113"/>
        <w:jc w:val="both"/>
        <w:rPr>
          <w:rFonts w:ascii="Times New Roman" w:hAnsi="Times New Roman"/>
          <w:sz w:val="24"/>
          <w:szCs w:val="24"/>
        </w:rPr>
      </w:pPr>
      <w:r>
        <w:rPr>
          <w:rFonts w:ascii="Times New Roman" w:hAnsi="Times New Roman"/>
          <w:sz w:val="24"/>
          <w:szCs w:val="24"/>
        </w:rPr>
        <w:lastRenderedPageBreak/>
        <w:t>The new versions of the reporting standards contain changes that</w:t>
      </w:r>
      <w:r w:rsidR="00620C3F">
        <w:rPr>
          <w:rFonts w:ascii="Times New Roman" w:hAnsi="Times New Roman"/>
          <w:sz w:val="24"/>
          <w:szCs w:val="24"/>
        </w:rPr>
        <w:t xml:space="preserve"> align them with APRA’s new credit risk management framework.</w:t>
      </w:r>
      <w:r w:rsidR="000235F1">
        <w:rPr>
          <w:rFonts w:ascii="Times New Roman" w:hAnsi="Times New Roman"/>
          <w:sz w:val="24"/>
          <w:szCs w:val="24"/>
        </w:rPr>
        <w:t xml:space="preserve"> ARS 701.0 also contains an updated definition for Reporting Category A ADIs, to ensure that less complex ADIs report a simpler set of data to APRA under the EFS data collection.</w:t>
      </w:r>
      <w:bookmarkStart w:id="9" w:name="_Hlk94603992"/>
    </w:p>
    <w:bookmarkEnd w:id="9"/>
    <w:p w14:paraId="567F7BBB" w14:textId="76D90040" w:rsidR="00816E71" w:rsidRDefault="00816E71" w:rsidP="00816E71">
      <w:pPr>
        <w:spacing w:after="240"/>
        <w:jc w:val="both"/>
        <w:rPr>
          <w:rStyle w:val="Hyperlink"/>
          <w:rFonts w:ascii="Times New Roman" w:hAnsi="Times New Roman"/>
          <w:sz w:val="24"/>
          <w:szCs w:val="24"/>
        </w:rPr>
      </w:pPr>
      <w:r w:rsidRPr="00AD1E70">
        <w:rPr>
          <w:rFonts w:ascii="Times New Roman" w:hAnsi="Times New Roman"/>
          <w:sz w:val="24"/>
          <w:szCs w:val="24"/>
        </w:rPr>
        <w:t xml:space="preserve">Where </w:t>
      </w:r>
      <w:r>
        <w:rPr>
          <w:rFonts w:ascii="Times New Roman" w:hAnsi="Times New Roman"/>
          <w:sz w:val="24"/>
          <w:szCs w:val="24"/>
        </w:rPr>
        <w:t>the instruments refer to an Act, Regulation,</w:t>
      </w:r>
      <w:r w:rsidRPr="008B659C">
        <w:rPr>
          <w:rFonts w:ascii="Times New Roman" w:hAnsi="Times New Roman"/>
          <w:sz w:val="24"/>
          <w:szCs w:val="24"/>
        </w:rPr>
        <w:t xml:space="preserve"> Prudential Standard, Reporting Standard, Australian Accounting</w:t>
      </w:r>
      <w:r>
        <w:rPr>
          <w:rFonts w:ascii="Times New Roman" w:hAnsi="Times New Roman"/>
          <w:sz w:val="24"/>
          <w:szCs w:val="24"/>
        </w:rPr>
        <w:t xml:space="preserve"> Standard</w:t>
      </w:r>
      <w:r w:rsidRPr="008B659C">
        <w:rPr>
          <w:rFonts w:ascii="Times New Roman" w:hAnsi="Times New Roman"/>
          <w:sz w:val="24"/>
          <w:szCs w:val="24"/>
        </w:rPr>
        <w:t xml:space="preserve"> or Auditing Standard, this is a reference to the document as it exists from time to time</w:t>
      </w:r>
      <w:r w:rsidRPr="008B659C">
        <w:rPr>
          <w:rFonts w:ascii="Times New Roman" w:hAnsi="Times New Roman"/>
          <w:b/>
          <w:sz w:val="24"/>
          <w:szCs w:val="24"/>
        </w:rPr>
        <w:t xml:space="preserve">, </w:t>
      </w:r>
      <w:r w:rsidRPr="008B659C">
        <w:rPr>
          <w:rFonts w:ascii="Times New Roman" w:hAnsi="Times New Roman"/>
          <w:sz w:val="24"/>
          <w:szCs w:val="24"/>
        </w:rPr>
        <w:t xml:space="preserve">and </w:t>
      </w:r>
      <w:r>
        <w:rPr>
          <w:rFonts w:ascii="Times New Roman" w:hAnsi="Times New Roman"/>
          <w:sz w:val="24"/>
          <w:szCs w:val="24"/>
        </w:rPr>
        <w:t>which is</w:t>
      </w:r>
      <w:r w:rsidRPr="008B659C">
        <w:rPr>
          <w:rFonts w:ascii="Times New Roman" w:hAnsi="Times New Roman"/>
          <w:sz w:val="24"/>
          <w:szCs w:val="24"/>
        </w:rPr>
        <w:t xml:space="preserve"> available on the Federal Register of Legislation at </w:t>
      </w:r>
      <w:hyperlink r:id="rId11" w:history="1">
        <w:r w:rsidRPr="008B659C">
          <w:rPr>
            <w:rStyle w:val="Hyperlink"/>
            <w:rFonts w:ascii="Times New Roman" w:hAnsi="Times New Roman"/>
            <w:sz w:val="24"/>
            <w:szCs w:val="24"/>
          </w:rPr>
          <w:t>www.legislation.gov.au</w:t>
        </w:r>
      </w:hyperlink>
      <w:r>
        <w:rPr>
          <w:rStyle w:val="Hyperlink"/>
          <w:rFonts w:ascii="Times New Roman" w:hAnsi="Times New Roman"/>
          <w:sz w:val="24"/>
          <w:szCs w:val="24"/>
        </w:rPr>
        <w:t>.</w:t>
      </w:r>
      <w:r w:rsidR="009E67D8">
        <w:rPr>
          <w:rStyle w:val="Hyperlink"/>
          <w:rFonts w:ascii="Times New Roman" w:hAnsi="Times New Roman"/>
          <w:sz w:val="24"/>
          <w:szCs w:val="24"/>
        </w:rPr>
        <w:t xml:space="preserve"> </w:t>
      </w:r>
    </w:p>
    <w:p w14:paraId="73BA8C5F" w14:textId="4F6B47CF" w:rsidR="00816E71" w:rsidRDefault="00816E71" w:rsidP="00816E71">
      <w:pPr>
        <w:spacing w:after="240"/>
        <w:jc w:val="both"/>
        <w:rPr>
          <w:rFonts w:ascii="Times New Roman" w:hAnsi="Times New Roman"/>
          <w:sz w:val="24"/>
          <w:szCs w:val="24"/>
        </w:rPr>
      </w:pPr>
      <w:r w:rsidRPr="00DF7D68">
        <w:rPr>
          <w:rFonts w:ascii="Times New Roman" w:hAnsi="Times New Roman"/>
          <w:sz w:val="24"/>
          <w:szCs w:val="24"/>
        </w:rPr>
        <w:t xml:space="preserve">There are a number of powers that may be exercised by APRA in reporting standards that involve an element of </w:t>
      </w:r>
      <w:proofErr w:type="gramStart"/>
      <w:r w:rsidRPr="00DF7D68">
        <w:rPr>
          <w:rFonts w:ascii="Times New Roman" w:hAnsi="Times New Roman"/>
          <w:sz w:val="24"/>
          <w:szCs w:val="24"/>
        </w:rPr>
        <w:t>discretion</w:t>
      </w:r>
      <w:proofErr w:type="gramEnd"/>
      <w:r w:rsidRPr="00DF7D68">
        <w:rPr>
          <w:rFonts w:ascii="Times New Roman" w:hAnsi="Times New Roman"/>
          <w:sz w:val="24"/>
          <w:szCs w:val="24"/>
        </w:rPr>
        <w:t xml:space="preserve"> and which may impact the interests of the financial sector entity to which the reporting standard applies. These decisions include APRA refusing to change a reporting period or due date for an ADI to provide information required by </w:t>
      </w:r>
      <w:r w:rsidR="009C24D6">
        <w:rPr>
          <w:rFonts w:ascii="Times New Roman" w:hAnsi="Times New Roman"/>
          <w:sz w:val="24"/>
          <w:szCs w:val="24"/>
        </w:rPr>
        <w:t>each of the instruments</w:t>
      </w:r>
      <w:r w:rsidRPr="00DF7D68">
        <w:rPr>
          <w:rFonts w:ascii="Times New Roman" w:hAnsi="Times New Roman"/>
          <w:sz w:val="24"/>
          <w:szCs w:val="24"/>
        </w:rPr>
        <w:t>. Decisions made by APRA exercising those powers are not subject to merits review.</w:t>
      </w:r>
    </w:p>
    <w:p w14:paraId="61AEA970" w14:textId="3FD8E9C9" w:rsidR="000E15F4" w:rsidRPr="00DF7D68" w:rsidRDefault="000E15F4" w:rsidP="00816E71">
      <w:pPr>
        <w:spacing w:after="240"/>
        <w:jc w:val="both"/>
        <w:rPr>
          <w:rFonts w:ascii="Times New Roman" w:hAnsi="Times New Roman"/>
          <w:sz w:val="24"/>
          <w:szCs w:val="24"/>
        </w:rPr>
      </w:pPr>
      <w:r>
        <w:rPr>
          <w:rFonts w:ascii="Times New Roman" w:hAnsi="Times New Roman"/>
          <w:sz w:val="24"/>
          <w:szCs w:val="24"/>
        </w:rPr>
        <w:t xml:space="preserve">Paragraphs 7 and 12 ARS 210.0 contain </w:t>
      </w:r>
      <w:r w:rsidR="00F347C0">
        <w:rPr>
          <w:rFonts w:ascii="Times New Roman" w:hAnsi="Times New Roman"/>
          <w:sz w:val="24"/>
          <w:szCs w:val="24"/>
        </w:rPr>
        <w:t xml:space="preserve">discretions where APRA may require ADIs to report information required by ARS 210.0 when asked by APRA to do so, in addition to regular reporting. APRA would typically decide to request an ADI to report additional information under paragraphs 7 and/or 12 in a situation of significant liquidity stress, where APRA requires timely and/or additional information on an ADI’s liquidity risk. </w:t>
      </w:r>
    </w:p>
    <w:p w14:paraId="56A817BD"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09A397FD"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 xml:space="preserve">APRA’s reporting standards collect financial data from regulated entities. This data contains critical indicators of a regulated entity’s financial wellbeing, including data on an entity’s assets, capital, liquidity, </w:t>
      </w:r>
      <w:proofErr w:type="gramStart"/>
      <w:r w:rsidRPr="00DF7D68">
        <w:rPr>
          <w:rFonts w:ascii="Times New Roman" w:hAnsi="Times New Roman"/>
          <w:sz w:val="24"/>
          <w:szCs w:val="24"/>
        </w:rPr>
        <w:t>expenses</w:t>
      </w:r>
      <w:proofErr w:type="gramEnd"/>
      <w:r w:rsidRPr="00DF7D68">
        <w:rPr>
          <w:rFonts w:ascii="Times New Roman" w:hAnsi="Times New Roman"/>
          <w:sz w:val="24"/>
          <w:szCs w:val="24"/>
        </w:rPr>
        <w:t xml:space="preserve"> and risk exposures. APRA relies heavily on this financial data to inform its supervisory actions towards its regulated entities. Without timely and complete data, APRA may miss indicators that an ADI is taking on imprudent risk or is in distress. APRA’s supervisory decisions may be jeopardised if its receipt of data is unreliable due to entities seeking merits review under its reporting standards.</w:t>
      </w:r>
    </w:p>
    <w:p w14:paraId="640A6EB8" w14:textId="77777777" w:rsidR="00816E71" w:rsidRPr="00DF7D68" w:rsidRDefault="00816E71" w:rsidP="00816E71">
      <w:pPr>
        <w:spacing w:after="240"/>
        <w:jc w:val="both"/>
        <w:rPr>
          <w:rFonts w:ascii="Times New Roman" w:hAnsi="Times New Roman"/>
          <w:sz w:val="24"/>
          <w:szCs w:val="24"/>
        </w:rPr>
      </w:pPr>
      <w:r w:rsidRPr="00DF7D68">
        <w:rPr>
          <w:rFonts w:ascii="Times New Roman" w:hAnsi="Times New Roman"/>
          <w:sz w:val="24"/>
          <w:szCs w:val="24"/>
        </w:rPr>
        <w:t xml:space="preserve">The data collected by APRA’s reporting standards is also often used to compile key macroeconomic indicators for Australia. The Reserve Bank of Australia uses the data to compile and publish its monetary and credit aggregates. The Australian Bureau of Statistics uses the data to compile the national accounts. The data is also used to meet Australia’s international reporting obligations. </w:t>
      </w:r>
    </w:p>
    <w:p w14:paraId="25B8F027" w14:textId="4BF2D1B3" w:rsidR="00E7345E" w:rsidRDefault="00816E71" w:rsidP="00225D0F">
      <w:pPr>
        <w:spacing w:after="240"/>
        <w:jc w:val="both"/>
        <w:rPr>
          <w:rFonts w:ascii="Times New Roman" w:hAnsi="Times New Roman"/>
          <w:sz w:val="24"/>
          <w:szCs w:val="24"/>
        </w:rPr>
      </w:pPr>
      <w:r w:rsidRPr="00DF7D68">
        <w:rPr>
          <w:rFonts w:ascii="Times New Roman" w:hAnsi="Times New Roman"/>
          <w:sz w:val="24"/>
          <w:szCs w:val="24"/>
        </w:rPr>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3D6393CC" w14:textId="2238E7D2" w:rsidR="00F55800" w:rsidRDefault="00F55800" w:rsidP="00225D0F">
      <w:pPr>
        <w:spacing w:after="240"/>
        <w:jc w:val="both"/>
        <w:rPr>
          <w:rFonts w:ascii="Times New Roman" w:hAnsi="Times New Roman"/>
          <w:sz w:val="24"/>
          <w:szCs w:val="24"/>
        </w:rPr>
      </w:pPr>
    </w:p>
    <w:p w14:paraId="05E2C946" w14:textId="77777777" w:rsidR="00B0402E" w:rsidRDefault="00B0402E" w:rsidP="00B0402E">
      <w:pPr>
        <w:pStyle w:val="Heading"/>
        <w:spacing w:after="240"/>
        <w:ind w:left="360"/>
        <w:rPr>
          <w:rFonts w:ascii="Times New Roman" w:hAnsi="Times New Roman"/>
          <w:sz w:val="24"/>
          <w:szCs w:val="24"/>
        </w:rPr>
      </w:pPr>
      <w:bookmarkStart w:id="10" w:name="bkoperation"/>
      <w:bookmarkStart w:id="11" w:name="bkConsultationNo"/>
      <w:bookmarkEnd w:id="8"/>
      <w:bookmarkEnd w:id="10"/>
      <w:bookmarkEnd w:id="11"/>
    </w:p>
    <w:p w14:paraId="620C833F" w14:textId="72F6ECAE" w:rsidR="002436BD" w:rsidRDefault="002436BD" w:rsidP="001A2234">
      <w:pPr>
        <w:pStyle w:val="Heading"/>
        <w:numPr>
          <w:ilvl w:val="0"/>
          <w:numId w:val="2"/>
        </w:numPr>
        <w:spacing w:after="240"/>
        <w:rPr>
          <w:rFonts w:ascii="Times New Roman" w:hAnsi="Times New Roman"/>
          <w:sz w:val="24"/>
          <w:szCs w:val="24"/>
        </w:rPr>
      </w:pPr>
      <w:r w:rsidRPr="002C6D26">
        <w:rPr>
          <w:rFonts w:ascii="Times New Roman" w:hAnsi="Times New Roman"/>
          <w:sz w:val="24"/>
          <w:szCs w:val="24"/>
        </w:rPr>
        <w:lastRenderedPageBreak/>
        <w:t>Consultation</w:t>
      </w:r>
    </w:p>
    <w:p w14:paraId="7AB106D9" w14:textId="71255F49" w:rsidR="008679F3" w:rsidRPr="00B0402E" w:rsidRDefault="008679F3" w:rsidP="00010D4C">
      <w:pPr>
        <w:pStyle w:val="heading0"/>
        <w:shd w:val="clear" w:color="auto" w:fill="FFFFFF"/>
        <w:spacing w:before="0" w:beforeAutospacing="0" w:after="240" w:afterAutospacing="0"/>
        <w:jc w:val="both"/>
        <w:rPr>
          <w:i/>
          <w:color w:val="000000"/>
        </w:rPr>
      </w:pPr>
      <w:r w:rsidRPr="00B0402E">
        <w:rPr>
          <w:i/>
          <w:color w:val="000000"/>
        </w:rPr>
        <w:t xml:space="preserve">Consultation on </w:t>
      </w:r>
      <w:r>
        <w:rPr>
          <w:i/>
          <w:color w:val="000000"/>
        </w:rPr>
        <w:t xml:space="preserve">Operational Risk Reporting Standards </w:t>
      </w:r>
    </w:p>
    <w:p w14:paraId="5E117068" w14:textId="7D0F30D9" w:rsidR="00010D4C" w:rsidRDefault="00D4429E" w:rsidP="00010D4C">
      <w:pPr>
        <w:pStyle w:val="heading0"/>
        <w:shd w:val="clear" w:color="auto" w:fill="FFFFFF"/>
        <w:spacing w:before="0" w:beforeAutospacing="0" w:after="240" w:afterAutospacing="0"/>
        <w:jc w:val="both"/>
        <w:rPr>
          <w:color w:val="000000"/>
        </w:rPr>
      </w:pPr>
      <w:r>
        <w:rPr>
          <w:color w:val="000000"/>
        </w:rPr>
        <w:t xml:space="preserve">In August 2018, APRA commenced consultation on a revised operational risk capital framework, including for operational risk. </w:t>
      </w:r>
      <w:r w:rsidR="00010D4C">
        <w:rPr>
          <w:color w:val="000000"/>
        </w:rPr>
        <w:t xml:space="preserve">APRA released a final operational risk prudential standard and a draft ARS 115.0 for consultation in December 2019. In March 2021, APRA released a final version of ARS 115.0. </w:t>
      </w:r>
      <w:r w:rsidR="00010D4C" w:rsidRPr="00964D4F">
        <w:rPr>
          <w:color w:val="000000"/>
        </w:rPr>
        <w:t>After further discussion with industry</w:t>
      </w:r>
      <w:r w:rsidR="00010D4C">
        <w:rPr>
          <w:color w:val="000000"/>
        </w:rPr>
        <w:t xml:space="preserve"> participants</w:t>
      </w:r>
      <w:r w:rsidR="00010D4C" w:rsidRPr="00964D4F">
        <w:rPr>
          <w:color w:val="000000"/>
        </w:rPr>
        <w:t>, APRA</w:t>
      </w:r>
      <w:r w:rsidR="00010D4C">
        <w:rPr>
          <w:color w:val="000000"/>
        </w:rPr>
        <w:t xml:space="preserve"> released an updated ARS 115.0 in January 2022 to </w:t>
      </w:r>
      <w:r w:rsidR="00010D4C" w:rsidRPr="00964D4F">
        <w:rPr>
          <w:color w:val="000000"/>
        </w:rPr>
        <w:t>revis</w:t>
      </w:r>
      <w:r w:rsidR="00010D4C">
        <w:rPr>
          <w:color w:val="000000"/>
        </w:rPr>
        <w:t>e</w:t>
      </w:r>
      <w:r w:rsidR="00010D4C" w:rsidRPr="00964D4F">
        <w:rPr>
          <w:color w:val="000000"/>
        </w:rPr>
        <w:t xml:space="preserve"> the reporting frequency for the reporting standard from quarterly to annually</w:t>
      </w:r>
      <w:r w:rsidR="00010D4C">
        <w:rPr>
          <w:color w:val="000000"/>
        </w:rPr>
        <w:t>, and to provide ADIs with additional time to submit annual operational risk data to APRA</w:t>
      </w:r>
      <w:r w:rsidR="00010D4C">
        <w:rPr>
          <w:rStyle w:val="FootnoteReference"/>
          <w:color w:val="000000"/>
        </w:rPr>
        <w:footnoteReference w:id="3"/>
      </w:r>
      <w:r w:rsidR="00010D4C" w:rsidRPr="00964D4F">
        <w:rPr>
          <w:color w:val="000000"/>
        </w:rPr>
        <w:t>.</w:t>
      </w:r>
    </w:p>
    <w:p w14:paraId="04FA121C" w14:textId="11A90AAF" w:rsidR="008679F3" w:rsidRPr="00B0402E" w:rsidRDefault="008679F3" w:rsidP="00010D4C">
      <w:pPr>
        <w:pStyle w:val="heading0"/>
        <w:shd w:val="clear" w:color="auto" w:fill="FFFFFF"/>
        <w:spacing w:before="0" w:beforeAutospacing="0" w:after="240" w:afterAutospacing="0"/>
        <w:jc w:val="both"/>
        <w:rPr>
          <w:i/>
          <w:color w:val="000000"/>
        </w:rPr>
      </w:pPr>
      <w:r>
        <w:rPr>
          <w:i/>
          <w:color w:val="000000"/>
        </w:rPr>
        <w:t xml:space="preserve">Consultation on Credit Risk Reporting Standards </w:t>
      </w:r>
    </w:p>
    <w:p w14:paraId="142D67E2" w14:textId="0F2DCAF2" w:rsidR="00307E48" w:rsidRDefault="00D4429E" w:rsidP="00307E48">
      <w:pPr>
        <w:pStyle w:val="Heading"/>
        <w:tabs>
          <w:tab w:val="left" w:pos="360"/>
        </w:tabs>
        <w:spacing w:after="240"/>
        <w:rPr>
          <w:rFonts w:ascii="Times New Roman" w:hAnsi="Times New Roman"/>
          <w:b w:val="0"/>
          <w:sz w:val="24"/>
          <w:szCs w:val="24"/>
        </w:rPr>
      </w:pPr>
      <w:r w:rsidRPr="00B0402E" w:rsidDel="00F677BC">
        <w:rPr>
          <w:rFonts w:ascii="Times New Roman" w:hAnsi="Times New Roman"/>
          <w:b w:val="0"/>
          <w:color w:val="000000"/>
          <w:sz w:val="24"/>
          <w:szCs w:val="24"/>
        </w:rPr>
        <w:t xml:space="preserve">In March 2019, APRA proposed to modernise the credit risk management framework for ADIs, including modernising the Prudential Standard APS 220 Credit Risk Management (APS 220). </w:t>
      </w:r>
      <w:r w:rsidRPr="00B0402E">
        <w:rPr>
          <w:rFonts w:ascii="Times New Roman" w:hAnsi="Times New Roman"/>
          <w:b w:val="0"/>
          <w:color w:val="000000"/>
          <w:sz w:val="24"/>
          <w:szCs w:val="24"/>
        </w:rPr>
        <w:t xml:space="preserve">APRA consulted on the updated credit risk prudential standards from March – December 2019. </w:t>
      </w:r>
    </w:p>
    <w:p w14:paraId="147599FD" w14:textId="743CD4E9" w:rsidR="00D4429E" w:rsidRDefault="00A83721" w:rsidP="00D4429E">
      <w:pPr>
        <w:pStyle w:val="heading0"/>
        <w:shd w:val="clear" w:color="auto" w:fill="FFFFFF"/>
        <w:spacing w:before="0" w:beforeAutospacing="0" w:after="240" w:afterAutospacing="0"/>
        <w:jc w:val="both"/>
        <w:rPr>
          <w:color w:val="000000"/>
        </w:rPr>
      </w:pPr>
      <w:r>
        <w:rPr>
          <w:color w:val="000000"/>
        </w:rPr>
        <w:t xml:space="preserve">APRA commenced consultation on ARS 220.0 in October 2020, releasing a draft reporting standard and letter to industry. </w:t>
      </w:r>
      <w:r w:rsidR="00DA0F27">
        <w:rPr>
          <w:color w:val="000000"/>
        </w:rPr>
        <w:t xml:space="preserve">In January 2021, </w:t>
      </w:r>
      <w:r w:rsidR="00F55800">
        <w:rPr>
          <w:color w:val="000000"/>
        </w:rPr>
        <w:t>APRA released an optional template to provide feedback on</w:t>
      </w:r>
      <w:r w:rsidR="00463203">
        <w:rPr>
          <w:color w:val="000000"/>
        </w:rPr>
        <w:t xml:space="preserve"> ARS 220.0</w:t>
      </w:r>
      <w:r w:rsidR="00F55800">
        <w:rPr>
          <w:color w:val="000000"/>
        </w:rPr>
        <w:t xml:space="preserve">. </w:t>
      </w:r>
      <w:r w:rsidR="00757391">
        <w:rPr>
          <w:color w:val="000000"/>
        </w:rPr>
        <w:t xml:space="preserve">As part of its consultation on ARS 220.0, </w:t>
      </w:r>
      <w:r w:rsidR="00D4429E" w:rsidRPr="00D4429E">
        <w:rPr>
          <w:color w:val="000000"/>
        </w:rPr>
        <w:t xml:space="preserve">APRA held </w:t>
      </w:r>
      <w:proofErr w:type="gramStart"/>
      <w:r w:rsidR="00D4429E" w:rsidRPr="00D4429E">
        <w:rPr>
          <w:color w:val="000000"/>
        </w:rPr>
        <w:t>a number of</w:t>
      </w:r>
      <w:proofErr w:type="gramEnd"/>
      <w:r w:rsidR="00D4429E" w:rsidRPr="00D4429E">
        <w:rPr>
          <w:color w:val="000000"/>
        </w:rPr>
        <w:t xml:space="preserve"> bilateral discussions with ADIs and industry bodies to gain feedback on the proposals and APRA’s likely response. APRA incorporated feedback from these discussions and its formal consultation to develop its response</w:t>
      </w:r>
      <w:r w:rsidR="00D4429E">
        <w:rPr>
          <w:color w:val="000000"/>
        </w:rPr>
        <w:t xml:space="preserve">. </w:t>
      </w:r>
    </w:p>
    <w:p w14:paraId="6A6A5938" w14:textId="5CC0E375" w:rsidR="00463203" w:rsidRDefault="00D4429E" w:rsidP="00D4429E">
      <w:pPr>
        <w:pStyle w:val="heading0"/>
        <w:shd w:val="clear" w:color="auto" w:fill="FFFFFF"/>
        <w:spacing w:before="0" w:beforeAutospacing="0" w:after="240" w:afterAutospacing="0"/>
        <w:jc w:val="both"/>
        <w:rPr>
          <w:color w:val="000000"/>
        </w:rPr>
      </w:pPr>
      <w:r w:rsidDel="00F677BC">
        <w:rPr>
          <w:color w:val="000000"/>
        </w:rPr>
        <w:t xml:space="preserve">In June 2021, APRA </w:t>
      </w:r>
      <w:r w:rsidR="00757391">
        <w:rPr>
          <w:color w:val="000000"/>
        </w:rPr>
        <w:t xml:space="preserve">published a letter </w:t>
      </w:r>
      <w:r w:rsidR="00F55800">
        <w:rPr>
          <w:color w:val="000000"/>
        </w:rPr>
        <w:t>t</w:t>
      </w:r>
      <w:r w:rsidR="00757391">
        <w:rPr>
          <w:color w:val="000000"/>
        </w:rPr>
        <w:t xml:space="preserve">o industry </w:t>
      </w:r>
      <w:r w:rsidDel="00F677BC">
        <w:rPr>
          <w:color w:val="000000"/>
        </w:rPr>
        <w:t>commenc</w:t>
      </w:r>
      <w:r w:rsidR="00A83721">
        <w:rPr>
          <w:color w:val="000000"/>
        </w:rPr>
        <w:t>ing</w:t>
      </w:r>
      <w:r w:rsidDel="00F677BC">
        <w:rPr>
          <w:color w:val="000000"/>
        </w:rPr>
        <w:t xml:space="preserve"> consultation on consequential changes to other ADI reporting standards affected by the implementation of APS 220</w:t>
      </w:r>
      <w:r w:rsidR="00463203">
        <w:rPr>
          <w:color w:val="000000"/>
        </w:rPr>
        <w:t>, and release</w:t>
      </w:r>
      <w:r w:rsidR="00A83721">
        <w:rPr>
          <w:color w:val="000000"/>
        </w:rPr>
        <w:t>d</w:t>
      </w:r>
      <w:r w:rsidR="00463203">
        <w:rPr>
          <w:color w:val="000000"/>
        </w:rPr>
        <w:t xml:space="preserve"> drafts of</w:t>
      </w:r>
      <w:r w:rsidR="003E5151">
        <w:rPr>
          <w:color w:val="000000"/>
        </w:rPr>
        <w:t xml:space="preserve"> </w:t>
      </w:r>
      <w:r w:rsidR="00463203">
        <w:rPr>
          <w:color w:val="000000"/>
        </w:rPr>
        <w:t xml:space="preserve">the following reporting standards: </w:t>
      </w:r>
    </w:p>
    <w:p w14:paraId="398660FF" w14:textId="6EE2E03C" w:rsidR="00757391" w:rsidRDefault="00463203" w:rsidP="00463203">
      <w:pPr>
        <w:pStyle w:val="heading0"/>
        <w:numPr>
          <w:ilvl w:val="0"/>
          <w:numId w:val="18"/>
        </w:numPr>
        <w:shd w:val="clear" w:color="auto" w:fill="FFFFFF"/>
        <w:spacing w:before="0" w:beforeAutospacing="0" w:after="240" w:afterAutospacing="0"/>
        <w:jc w:val="both"/>
        <w:rPr>
          <w:color w:val="000000"/>
        </w:rPr>
      </w:pPr>
      <w:r>
        <w:rPr>
          <w:color w:val="000000"/>
        </w:rPr>
        <w:t xml:space="preserve">ARS </w:t>
      </w:r>
      <w:proofErr w:type="gramStart"/>
      <w:r>
        <w:rPr>
          <w:color w:val="000000"/>
        </w:rPr>
        <w:t>112.1</w:t>
      </w:r>
      <w:r w:rsidR="007D39C6">
        <w:rPr>
          <w:color w:val="000000"/>
        </w:rPr>
        <w:t>;</w:t>
      </w:r>
      <w:proofErr w:type="gramEnd"/>
      <w:r w:rsidR="007D39C6">
        <w:rPr>
          <w:color w:val="000000"/>
        </w:rPr>
        <w:t xml:space="preserve"> </w:t>
      </w:r>
    </w:p>
    <w:p w14:paraId="049E7783" w14:textId="5C71E172" w:rsidR="007D39C6" w:rsidRDefault="007D39C6" w:rsidP="00463203">
      <w:pPr>
        <w:pStyle w:val="heading0"/>
        <w:numPr>
          <w:ilvl w:val="0"/>
          <w:numId w:val="18"/>
        </w:numPr>
        <w:shd w:val="clear" w:color="auto" w:fill="FFFFFF"/>
        <w:spacing w:before="0" w:beforeAutospacing="0" w:after="240" w:afterAutospacing="0"/>
        <w:jc w:val="both"/>
        <w:rPr>
          <w:color w:val="000000"/>
        </w:rPr>
      </w:pPr>
      <w:r>
        <w:rPr>
          <w:color w:val="000000"/>
        </w:rPr>
        <w:t xml:space="preserve">ARS </w:t>
      </w:r>
      <w:proofErr w:type="gramStart"/>
      <w:r>
        <w:rPr>
          <w:color w:val="000000"/>
        </w:rPr>
        <w:t>120.2;</w:t>
      </w:r>
      <w:proofErr w:type="gramEnd"/>
      <w:r>
        <w:rPr>
          <w:color w:val="000000"/>
        </w:rPr>
        <w:t xml:space="preserve"> </w:t>
      </w:r>
    </w:p>
    <w:p w14:paraId="17E2C0F0" w14:textId="09DF4AEB" w:rsidR="007D39C6" w:rsidRDefault="007D39C6" w:rsidP="00463203">
      <w:pPr>
        <w:pStyle w:val="heading0"/>
        <w:numPr>
          <w:ilvl w:val="0"/>
          <w:numId w:val="18"/>
        </w:numPr>
        <w:shd w:val="clear" w:color="auto" w:fill="FFFFFF"/>
        <w:spacing w:before="0" w:beforeAutospacing="0" w:after="240" w:afterAutospacing="0"/>
        <w:jc w:val="both"/>
        <w:rPr>
          <w:color w:val="000000"/>
        </w:rPr>
      </w:pPr>
      <w:r>
        <w:rPr>
          <w:color w:val="000000"/>
        </w:rPr>
        <w:t xml:space="preserve">ARS </w:t>
      </w:r>
      <w:proofErr w:type="gramStart"/>
      <w:r>
        <w:rPr>
          <w:color w:val="000000"/>
        </w:rPr>
        <w:t>210.0;</w:t>
      </w:r>
      <w:proofErr w:type="gramEnd"/>
      <w:r>
        <w:rPr>
          <w:color w:val="000000"/>
        </w:rPr>
        <w:t xml:space="preserve"> </w:t>
      </w:r>
    </w:p>
    <w:p w14:paraId="0C54D222" w14:textId="63AB2F32" w:rsidR="003E5151" w:rsidRDefault="003E5151" w:rsidP="00463203">
      <w:pPr>
        <w:pStyle w:val="heading0"/>
        <w:numPr>
          <w:ilvl w:val="0"/>
          <w:numId w:val="18"/>
        </w:numPr>
        <w:shd w:val="clear" w:color="auto" w:fill="FFFFFF"/>
        <w:spacing w:before="0" w:beforeAutospacing="0" w:after="240" w:afterAutospacing="0"/>
        <w:jc w:val="both"/>
        <w:rPr>
          <w:color w:val="000000"/>
        </w:rPr>
      </w:pPr>
      <w:r>
        <w:rPr>
          <w:color w:val="000000"/>
        </w:rPr>
        <w:t xml:space="preserve">ARS 223.0; </w:t>
      </w:r>
      <w:r w:rsidR="00111382">
        <w:rPr>
          <w:color w:val="000000"/>
        </w:rPr>
        <w:t>and</w:t>
      </w:r>
    </w:p>
    <w:p w14:paraId="346B01C3" w14:textId="10C14ABF" w:rsidR="003E5151" w:rsidRDefault="003E5151" w:rsidP="00463203">
      <w:pPr>
        <w:pStyle w:val="heading0"/>
        <w:numPr>
          <w:ilvl w:val="0"/>
          <w:numId w:val="18"/>
        </w:numPr>
        <w:shd w:val="clear" w:color="auto" w:fill="FFFFFF"/>
        <w:spacing w:before="0" w:beforeAutospacing="0" w:after="240" w:afterAutospacing="0"/>
        <w:jc w:val="both"/>
        <w:rPr>
          <w:color w:val="000000"/>
        </w:rPr>
      </w:pPr>
      <w:r>
        <w:rPr>
          <w:color w:val="000000"/>
        </w:rPr>
        <w:t>ARS 230.0</w:t>
      </w:r>
      <w:r w:rsidR="00111382">
        <w:rPr>
          <w:color w:val="000000"/>
        </w:rPr>
        <w:t>.</w:t>
      </w:r>
    </w:p>
    <w:p w14:paraId="77B3C399" w14:textId="013BCA7B" w:rsidR="0008668B" w:rsidRPr="0008668B" w:rsidRDefault="0008668B" w:rsidP="00D4429E">
      <w:pPr>
        <w:pStyle w:val="heading0"/>
        <w:shd w:val="clear" w:color="auto" w:fill="FFFFFF"/>
        <w:spacing w:before="0" w:beforeAutospacing="0" w:after="240" w:afterAutospacing="0"/>
        <w:jc w:val="both"/>
        <w:rPr>
          <w:b/>
        </w:rPr>
      </w:pPr>
      <w:r w:rsidRPr="0008668B">
        <w:t xml:space="preserve">APRA </w:t>
      </w:r>
      <w:r w:rsidR="00D4429E">
        <w:t xml:space="preserve">also </w:t>
      </w:r>
      <w:r w:rsidRPr="0008668B">
        <w:t xml:space="preserve">proposed a phased implementation of ARS 220.0, with an interim ARS 220.0 which would apply while ADIs develop their solutions for delivering the full </w:t>
      </w:r>
      <w:r w:rsidR="002875EC">
        <w:t xml:space="preserve">set of </w:t>
      </w:r>
      <w:r w:rsidRPr="0008668B">
        <w:t>ARS 220.0 data. The interim ARS 220.0 was proposed to apply from the beginning of 2022, being replaced by ARS 220.0 starting in the second quarter of 2023.</w:t>
      </w:r>
    </w:p>
    <w:p w14:paraId="4275A6FF" w14:textId="77777777" w:rsidR="00A42F89" w:rsidRDefault="00A42F89" w:rsidP="00010D4C">
      <w:pPr>
        <w:spacing w:after="240"/>
        <w:ind w:right="113"/>
        <w:jc w:val="both"/>
        <w:rPr>
          <w:rFonts w:ascii="Times New Roman" w:hAnsi="Times New Roman"/>
          <w:sz w:val="24"/>
          <w:szCs w:val="24"/>
        </w:rPr>
      </w:pPr>
    </w:p>
    <w:p w14:paraId="747AC5AE" w14:textId="77777777" w:rsidR="00A42F89" w:rsidRDefault="00A42F89" w:rsidP="00010D4C">
      <w:pPr>
        <w:spacing w:after="240"/>
        <w:ind w:right="113"/>
        <w:jc w:val="both"/>
        <w:rPr>
          <w:rFonts w:ascii="Times New Roman" w:hAnsi="Times New Roman"/>
          <w:sz w:val="24"/>
          <w:szCs w:val="24"/>
        </w:rPr>
      </w:pPr>
    </w:p>
    <w:p w14:paraId="77862F56" w14:textId="36945B2E" w:rsidR="00990D39" w:rsidRPr="00010D4C" w:rsidRDefault="00010D4C" w:rsidP="00010D4C">
      <w:pPr>
        <w:spacing w:after="240"/>
        <w:ind w:right="113"/>
        <w:jc w:val="both"/>
        <w:rPr>
          <w:rFonts w:ascii="Times New Roman" w:hAnsi="Times New Roman"/>
          <w:sz w:val="24"/>
          <w:szCs w:val="24"/>
        </w:rPr>
      </w:pPr>
      <w:r w:rsidRPr="00A83721">
        <w:rPr>
          <w:rFonts w:ascii="Times New Roman" w:hAnsi="Times New Roman"/>
          <w:sz w:val="24"/>
          <w:szCs w:val="24"/>
        </w:rPr>
        <w:lastRenderedPageBreak/>
        <w:t>In August 2021</w:t>
      </w:r>
      <w:r w:rsidR="003E5151" w:rsidRPr="00A83721">
        <w:rPr>
          <w:rFonts w:ascii="Times New Roman" w:hAnsi="Times New Roman"/>
          <w:sz w:val="24"/>
          <w:szCs w:val="24"/>
        </w:rPr>
        <w:t xml:space="preserve">, </w:t>
      </w:r>
      <w:r w:rsidR="002278D5" w:rsidRPr="00B0402E">
        <w:rPr>
          <w:rFonts w:ascii="Times New Roman" w:hAnsi="Times New Roman"/>
          <w:color w:val="000000"/>
          <w:sz w:val="24"/>
          <w:szCs w:val="24"/>
        </w:rPr>
        <w:t>APRA published a letter to industry detailing its response to submissions on interim reporting standard ARS 220.0 and the consequential amendments to reporting standards released for consultation in June 2021</w:t>
      </w:r>
      <w:r w:rsidR="003E5151" w:rsidRPr="00B0402E" w:rsidDel="00F677BC">
        <w:rPr>
          <w:rFonts w:ascii="Times New Roman" w:hAnsi="Times New Roman"/>
          <w:color w:val="000000"/>
          <w:sz w:val="24"/>
          <w:szCs w:val="24"/>
        </w:rPr>
        <w:t>.</w:t>
      </w:r>
      <w:r w:rsidR="003E5151" w:rsidRPr="00B0402E">
        <w:rPr>
          <w:rFonts w:ascii="Times New Roman" w:hAnsi="Times New Roman"/>
          <w:sz w:val="24"/>
          <w:szCs w:val="24"/>
        </w:rPr>
        <w:t xml:space="preserve"> </w:t>
      </w:r>
      <w:r w:rsidR="00111382">
        <w:rPr>
          <w:rFonts w:ascii="Times New Roman" w:hAnsi="Times New Roman"/>
          <w:sz w:val="24"/>
          <w:szCs w:val="24"/>
        </w:rPr>
        <w:t xml:space="preserve">In response to consultation feedback, APRA released an updated version of ARS 743.0 that contained </w:t>
      </w:r>
      <w:r w:rsidR="00F1003F">
        <w:rPr>
          <w:rFonts w:ascii="Times New Roman" w:hAnsi="Times New Roman"/>
          <w:sz w:val="24"/>
          <w:szCs w:val="24"/>
        </w:rPr>
        <w:t xml:space="preserve">consequential changes for implementation of APS 220. </w:t>
      </w:r>
      <w:r w:rsidRPr="00A83721">
        <w:rPr>
          <w:rFonts w:ascii="Times New Roman" w:hAnsi="Times New Roman"/>
          <w:sz w:val="24"/>
          <w:szCs w:val="24"/>
        </w:rPr>
        <w:t xml:space="preserve">APRA </w:t>
      </w:r>
      <w:r w:rsidR="002278D5" w:rsidRPr="00A83721">
        <w:rPr>
          <w:rFonts w:ascii="Times New Roman" w:hAnsi="Times New Roman"/>
          <w:sz w:val="24"/>
          <w:szCs w:val="24"/>
        </w:rPr>
        <w:t>also</w:t>
      </w:r>
      <w:r w:rsidR="002278D5">
        <w:rPr>
          <w:rFonts w:ascii="Times New Roman" w:hAnsi="Times New Roman"/>
          <w:sz w:val="24"/>
          <w:szCs w:val="24"/>
        </w:rPr>
        <w:t xml:space="preserve"> </w:t>
      </w:r>
      <w:r>
        <w:rPr>
          <w:rFonts w:ascii="Times New Roman" w:hAnsi="Times New Roman"/>
          <w:sz w:val="24"/>
          <w:szCs w:val="24"/>
        </w:rPr>
        <w:t>consulted on further changes to ARS 720.1 to align it accurately with APS 220.0. In October 2021, APRA released a response to submissions and final ARS 720.1. The changes were to align terminology used in the reporting standard with updated terms used in APS 220.</w:t>
      </w:r>
      <w:r w:rsidR="0058660B">
        <w:rPr>
          <w:rFonts w:ascii="Times New Roman" w:hAnsi="Times New Roman"/>
          <w:sz w:val="24"/>
          <w:szCs w:val="24"/>
        </w:rPr>
        <w:t xml:space="preserve"> APRA also consulted directly with affected ADIs in August 2021 on a proposed correction to a definition in ARS 701.0. The correction was to an ADI reporting category definition, and was aimed at ensuring smaller, less complex ADIs continue to report a simpler set of EFS data.</w:t>
      </w:r>
    </w:p>
    <w:p w14:paraId="53D8EB30" w14:textId="77777777" w:rsidR="002436BD" w:rsidRDefault="00DF524E" w:rsidP="001A2234">
      <w:pPr>
        <w:pStyle w:val="Heading"/>
        <w:tabs>
          <w:tab w:val="left" w:pos="360"/>
        </w:tabs>
        <w:spacing w:after="240"/>
        <w:rPr>
          <w:rFonts w:ascii="Times New Roman" w:hAnsi="Times New Roman"/>
          <w:sz w:val="24"/>
          <w:szCs w:val="24"/>
        </w:rPr>
      </w:pPr>
      <w:bookmarkStart w:id="12" w:name="bkConsultation"/>
      <w:bookmarkStart w:id="13" w:name="bkRISNO"/>
      <w:bookmarkStart w:id="14" w:name="bkRIS"/>
      <w:bookmarkEnd w:id="12"/>
      <w:bookmarkEnd w:id="13"/>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43C369FA" w14:textId="56681679" w:rsidR="002436BD" w:rsidRDefault="009B02DA" w:rsidP="001A2234">
      <w:pPr>
        <w:pStyle w:val="Heading"/>
        <w:spacing w:after="240"/>
        <w:rPr>
          <w:rFonts w:ascii="Times New Roman" w:hAnsi="Times New Roman"/>
          <w:b w:val="0"/>
          <w:sz w:val="24"/>
          <w:szCs w:val="24"/>
        </w:rPr>
      </w:pPr>
      <w:r w:rsidRPr="009B02DA">
        <w:rPr>
          <w:rFonts w:ascii="Times New Roman" w:hAnsi="Times New Roman"/>
          <w:b w:val="0"/>
          <w:sz w:val="24"/>
          <w:szCs w:val="24"/>
        </w:rPr>
        <w:t>The Office of Best Practice Regulation has advised that a Regulation Impact Statement is not required for these legislative instruments</w:t>
      </w:r>
      <w:r w:rsidR="00A279AF">
        <w:rPr>
          <w:rFonts w:ascii="Times New Roman" w:hAnsi="Times New Roman"/>
          <w:b w:val="0"/>
          <w:sz w:val="24"/>
          <w:szCs w:val="24"/>
        </w:rPr>
        <w:t>.</w:t>
      </w:r>
      <w:bookmarkEnd w:id="14"/>
    </w:p>
    <w:p w14:paraId="3359862D" w14:textId="4E215104"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BE4AEA7" w:rsidR="00864003" w:rsidRPr="00C02366"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20951FB5"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Statement of Compatibility with Human Rights</w:t>
      </w:r>
    </w:p>
    <w:p w14:paraId="13EE363A"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sz w:val="24"/>
          <w:szCs w:val="24"/>
        </w:rPr>
        <w:t xml:space="preserve">Prepared in accordance with Part 3 of the </w:t>
      </w:r>
      <w:r w:rsidRPr="007D54B9">
        <w:rPr>
          <w:rFonts w:ascii="Times New Roman" w:hAnsi="Times New Roman"/>
          <w:i/>
          <w:iCs/>
          <w:sz w:val="24"/>
          <w:szCs w:val="24"/>
        </w:rPr>
        <w:t>Human Rights (Parliamentary Scrutiny) Act 2011</w:t>
      </w:r>
    </w:p>
    <w:p w14:paraId="34A30FE2" w14:textId="3015A094"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 xml:space="preserve">Financial Sector (Collection of Data) (reporting standard) </w:t>
      </w:r>
      <w:r w:rsidRPr="003E3C20">
        <w:rPr>
          <w:rFonts w:ascii="Times New Roman" w:hAnsi="Times New Roman"/>
          <w:b/>
          <w:bCs/>
          <w:sz w:val="24"/>
          <w:szCs w:val="24"/>
        </w:rPr>
        <w:t xml:space="preserve">determination </w:t>
      </w:r>
      <w:r w:rsidR="000E2BDB" w:rsidRPr="003E3C20">
        <w:rPr>
          <w:rFonts w:ascii="Times New Roman" w:hAnsi="Times New Roman"/>
          <w:b/>
          <w:sz w:val="24"/>
          <w:szCs w:val="24"/>
        </w:rPr>
        <w:t xml:space="preserve">Nos. </w:t>
      </w:r>
      <w:r w:rsidR="00620C3F">
        <w:rPr>
          <w:rFonts w:ascii="Times New Roman" w:hAnsi="Times New Roman"/>
          <w:b/>
          <w:sz w:val="24"/>
          <w:szCs w:val="24"/>
        </w:rPr>
        <w:t>1</w:t>
      </w:r>
      <w:r w:rsidR="00850CFB">
        <w:rPr>
          <w:rFonts w:ascii="Times New Roman" w:hAnsi="Times New Roman"/>
          <w:b/>
          <w:sz w:val="24"/>
          <w:szCs w:val="24"/>
        </w:rPr>
        <w:t xml:space="preserve"> and </w:t>
      </w:r>
      <w:r w:rsidR="00620C3F">
        <w:rPr>
          <w:rFonts w:ascii="Times New Roman" w:hAnsi="Times New Roman"/>
          <w:b/>
          <w:sz w:val="24"/>
          <w:szCs w:val="24"/>
        </w:rPr>
        <w:t>10</w:t>
      </w:r>
      <w:r w:rsidR="000E2BDB" w:rsidRPr="00613F01">
        <w:rPr>
          <w:rFonts w:ascii="Times New Roman" w:hAnsi="Times New Roman"/>
          <w:sz w:val="24"/>
          <w:szCs w:val="24"/>
        </w:rPr>
        <w:t xml:space="preserve"> </w:t>
      </w:r>
      <w:r>
        <w:rPr>
          <w:rFonts w:ascii="Times New Roman" w:hAnsi="Times New Roman"/>
          <w:b/>
          <w:bCs/>
          <w:sz w:val="24"/>
          <w:szCs w:val="24"/>
        </w:rPr>
        <w:t>of 202</w:t>
      </w:r>
      <w:r w:rsidR="00620C3F">
        <w:rPr>
          <w:rFonts w:ascii="Times New Roman" w:hAnsi="Times New Roman"/>
          <w:b/>
          <w:bCs/>
          <w:sz w:val="24"/>
          <w:szCs w:val="24"/>
        </w:rPr>
        <w:t>2</w:t>
      </w:r>
    </w:p>
    <w:p w14:paraId="6EA52F82" w14:textId="66BA8425"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sz w:val="24"/>
          <w:szCs w:val="24"/>
        </w:rPr>
        <w:t>Th</w:t>
      </w:r>
      <w:r w:rsidR="000E2BDB">
        <w:rPr>
          <w:rFonts w:ascii="Times New Roman" w:hAnsi="Times New Roman"/>
          <w:sz w:val="24"/>
          <w:szCs w:val="24"/>
        </w:rPr>
        <w:t>e</w:t>
      </w:r>
      <w:r w:rsidRPr="007D54B9">
        <w:rPr>
          <w:rFonts w:ascii="Times New Roman" w:hAnsi="Times New Roman"/>
          <w:sz w:val="24"/>
          <w:szCs w:val="24"/>
        </w:rPr>
        <w:t xml:space="preserve"> legislative instrument</w:t>
      </w:r>
      <w:r w:rsidR="000E2BDB">
        <w:rPr>
          <w:rFonts w:ascii="Times New Roman" w:hAnsi="Times New Roman"/>
          <w:sz w:val="24"/>
          <w:szCs w:val="24"/>
        </w:rPr>
        <w:t>s</w:t>
      </w:r>
      <w:r w:rsidRPr="007D54B9">
        <w:rPr>
          <w:rFonts w:ascii="Times New Roman" w:hAnsi="Times New Roman"/>
          <w:sz w:val="24"/>
          <w:szCs w:val="24"/>
        </w:rPr>
        <w:t xml:space="preserve"> </w:t>
      </w:r>
      <w:r w:rsidR="000E2BDB">
        <w:rPr>
          <w:rFonts w:ascii="Times New Roman" w:hAnsi="Times New Roman"/>
          <w:sz w:val="24"/>
          <w:szCs w:val="24"/>
        </w:rPr>
        <w:t>are</w:t>
      </w:r>
      <w:r w:rsidRPr="007D54B9">
        <w:rPr>
          <w:rFonts w:ascii="Times New Roman" w:hAnsi="Times New Roman"/>
          <w:sz w:val="24"/>
          <w:szCs w:val="24"/>
        </w:rPr>
        <w:t xml:space="preserve"> compatible with the human rights and freedoms recognised or declared in the international instruments listed in section 3 of the </w:t>
      </w:r>
      <w:r w:rsidRPr="007D54B9">
        <w:rPr>
          <w:rFonts w:ascii="Times New Roman" w:hAnsi="Times New Roman"/>
          <w:i/>
          <w:iCs/>
          <w:sz w:val="24"/>
          <w:szCs w:val="24"/>
        </w:rPr>
        <w:t>Human Rights (Parliamentary Scrutiny) Act 2011</w:t>
      </w:r>
      <w:r w:rsidRPr="007D54B9">
        <w:rPr>
          <w:rFonts w:ascii="Times New Roman" w:hAnsi="Times New Roman"/>
          <w:sz w:val="24"/>
          <w:szCs w:val="24"/>
        </w:rPr>
        <w:t xml:space="preserve"> (HRPS Act).</w:t>
      </w:r>
    </w:p>
    <w:p w14:paraId="521C8955" w14:textId="2BEE7504"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Overview of the Legislative Instrument</w:t>
      </w:r>
      <w:r w:rsidR="00787FD5">
        <w:rPr>
          <w:rFonts w:ascii="Times New Roman" w:hAnsi="Times New Roman"/>
          <w:b/>
          <w:bCs/>
          <w:sz w:val="24"/>
          <w:szCs w:val="24"/>
        </w:rPr>
        <w:t>s</w:t>
      </w:r>
    </w:p>
    <w:p w14:paraId="2BCD6C81" w14:textId="50177925" w:rsidR="007D54B9" w:rsidRPr="00AF72B8" w:rsidRDefault="007D54B9" w:rsidP="000B5660">
      <w:pPr>
        <w:spacing w:after="240"/>
        <w:jc w:val="both"/>
        <w:rPr>
          <w:rFonts w:ascii="Times New Roman" w:hAnsi="Times New Roman"/>
          <w:sz w:val="24"/>
          <w:szCs w:val="24"/>
        </w:rPr>
      </w:pPr>
      <w:r w:rsidRPr="007D54B9">
        <w:rPr>
          <w:rFonts w:ascii="Times New Roman" w:hAnsi="Times New Roman"/>
          <w:sz w:val="24"/>
          <w:szCs w:val="24"/>
        </w:rPr>
        <w:t>The purpose of the instrument</w:t>
      </w:r>
      <w:r w:rsidR="000E2BDB">
        <w:rPr>
          <w:rFonts w:ascii="Times New Roman" w:hAnsi="Times New Roman"/>
          <w:sz w:val="24"/>
          <w:szCs w:val="24"/>
        </w:rPr>
        <w:t>s</w:t>
      </w:r>
      <w:r w:rsidRPr="007D54B9">
        <w:rPr>
          <w:rFonts w:ascii="Times New Roman" w:hAnsi="Times New Roman"/>
          <w:sz w:val="24"/>
          <w:szCs w:val="24"/>
        </w:rPr>
        <w:t xml:space="preserve"> </w:t>
      </w:r>
      <w:r w:rsidR="00887F52">
        <w:rPr>
          <w:rFonts w:ascii="Times New Roman" w:hAnsi="Times New Roman"/>
          <w:sz w:val="24"/>
          <w:szCs w:val="24"/>
        </w:rPr>
        <w:t>is</w:t>
      </w:r>
      <w:r w:rsidRPr="007D54B9">
        <w:rPr>
          <w:rFonts w:ascii="Times New Roman" w:hAnsi="Times New Roman"/>
          <w:sz w:val="24"/>
          <w:szCs w:val="24"/>
        </w:rPr>
        <w:t xml:space="preserve"> to</w:t>
      </w:r>
      <w:r w:rsidR="00E23211">
        <w:rPr>
          <w:rFonts w:ascii="Times New Roman" w:hAnsi="Times New Roman"/>
          <w:sz w:val="24"/>
          <w:szCs w:val="24"/>
        </w:rPr>
        <w:t xml:space="preserve"> </w:t>
      </w:r>
      <w:r w:rsidR="000B5660">
        <w:rPr>
          <w:rFonts w:ascii="Times New Roman" w:hAnsi="Times New Roman"/>
          <w:sz w:val="24"/>
          <w:szCs w:val="24"/>
        </w:rPr>
        <w:t xml:space="preserve">revoke the existing reporting standards and replace them with versions </w:t>
      </w:r>
      <w:r w:rsidR="00D35711">
        <w:rPr>
          <w:rFonts w:ascii="Times New Roman" w:hAnsi="Times New Roman"/>
          <w:sz w:val="24"/>
          <w:szCs w:val="24"/>
        </w:rPr>
        <w:t>that are aligned with APRA’s updated credit risk capital framework, and to determine a new operational risk capital reporting standard.</w:t>
      </w:r>
    </w:p>
    <w:p w14:paraId="1B43C034" w14:textId="77777777" w:rsidR="000B5660" w:rsidRDefault="00520F14" w:rsidP="007D54B9">
      <w:pPr>
        <w:spacing w:after="240"/>
        <w:jc w:val="both"/>
        <w:rPr>
          <w:rFonts w:ascii="Times New Roman" w:hAnsi="Times New Roman"/>
          <w:sz w:val="24"/>
          <w:szCs w:val="24"/>
        </w:rPr>
      </w:pPr>
      <w:bookmarkStart w:id="15" w:name="_Hlk67221361"/>
      <w:r w:rsidRPr="00F841D8">
        <w:rPr>
          <w:rFonts w:ascii="Times New Roman" w:hAnsi="Times New Roman"/>
          <w:sz w:val="24"/>
          <w:szCs w:val="24"/>
        </w:rPr>
        <w:t xml:space="preserve">The </w:t>
      </w:r>
      <w:r>
        <w:rPr>
          <w:rFonts w:ascii="Times New Roman" w:hAnsi="Times New Roman"/>
          <w:sz w:val="24"/>
          <w:szCs w:val="24"/>
        </w:rPr>
        <w:t xml:space="preserve">legislative </w:t>
      </w:r>
      <w:r w:rsidRPr="00F841D8">
        <w:rPr>
          <w:rFonts w:ascii="Times New Roman" w:hAnsi="Times New Roman"/>
          <w:sz w:val="24"/>
          <w:szCs w:val="24"/>
        </w:rPr>
        <w:t>instruments determine reporting standards which apply to</w:t>
      </w:r>
      <w:r>
        <w:rPr>
          <w:rFonts w:ascii="Times New Roman" w:hAnsi="Times New Roman"/>
          <w:sz w:val="24"/>
          <w:szCs w:val="24"/>
        </w:rPr>
        <w:t xml:space="preserve"> </w:t>
      </w:r>
      <w:r w:rsidR="00F07A76" w:rsidRPr="007941EE">
        <w:rPr>
          <w:rFonts w:ascii="Times New Roman" w:hAnsi="Times New Roman"/>
          <w:sz w:val="24"/>
          <w:szCs w:val="24"/>
        </w:rPr>
        <w:t>authorised deposit-taking institutions (ADIs)</w:t>
      </w:r>
      <w:r w:rsidR="000B5660">
        <w:rPr>
          <w:rFonts w:ascii="Times New Roman" w:hAnsi="Times New Roman"/>
          <w:sz w:val="24"/>
          <w:szCs w:val="24"/>
        </w:rPr>
        <w:t xml:space="preserve"> and registered financial corporations (RFCs)</w:t>
      </w:r>
      <w:r>
        <w:rPr>
          <w:rFonts w:ascii="Times New Roman" w:hAnsi="Times New Roman"/>
          <w:sz w:val="24"/>
          <w:szCs w:val="24"/>
        </w:rPr>
        <w:t xml:space="preserve">. </w:t>
      </w:r>
    </w:p>
    <w:p w14:paraId="1FF00091" w14:textId="2314AAA3" w:rsidR="00520F14" w:rsidRPr="007D54B9" w:rsidRDefault="000B5660" w:rsidP="007D54B9">
      <w:pPr>
        <w:spacing w:after="240"/>
        <w:jc w:val="both"/>
        <w:rPr>
          <w:rFonts w:ascii="Times New Roman" w:hAnsi="Times New Roman"/>
          <w:sz w:val="24"/>
          <w:szCs w:val="24"/>
        </w:rPr>
      </w:pPr>
      <w:r w:rsidRPr="000B5660">
        <w:rPr>
          <w:rFonts w:ascii="Times New Roman" w:hAnsi="Times New Roman"/>
          <w:sz w:val="24"/>
          <w:szCs w:val="24"/>
        </w:rPr>
        <w:t>The reporting standards set out requirements for ADIs and RFCs to report key data on their domestic operations</w:t>
      </w:r>
      <w:r w:rsidR="00D35711">
        <w:rPr>
          <w:rFonts w:ascii="Times New Roman" w:hAnsi="Times New Roman"/>
          <w:sz w:val="24"/>
          <w:szCs w:val="24"/>
        </w:rPr>
        <w:t>, credit risk, and operational risk</w:t>
      </w:r>
      <w:r w:rsidRPr="000B5660">
        <w:rPr>
          <w:rFonts w:ascii="Times New Roman" w:hAnsi="Times New Roman"/>
          <w:sz w:val="24"/>
          <w:szCs w:val="24"/>
        </w:rPr>
        <w:t xml:space="preserve">. The data collected from </w:t>
      </w:r>
      <w:proofErr w:type="gramStart"/>
      <w:r w:rsidRPr="000B5660">
        <w:rPr>
          <w:rFonts w:ascii="Times New Roman" w:hAnsi="Times New Roman"/>
          <w:sz w:val="24"/>
          <w:szCs w:val="24"/>
        </w:rPr>
        <w:t>ADIs</w:t>
      </w:r>
      <w:proofErr w:type="gramEnd"/>
      <w:r w:rsidRPr="000B5660">
        <w:rPr>
          <w:rFonts w:ascii="Times New Roman" w:hAnsi="Times New Roman"/>
          <w:sz w:val="24"/>
          <w:szCs w:val="24"/>
        </w:rPr>
        <w:t xml:space="preserve"> and RFCs are used </w:t>
      </w:r>
      <w:r w:rsidR="00D35711">
        <w:rPr>
          <w:rFonts w:ascii="Times New Roman" w:hAnsi="Times New Roman"/>
          <w:sz w:val="24"/>
          <w:szCs w:val="24"/>
        </w:rPr>
        <w:t xml:space="preserve">by APRA for prudential supervision and other purposes. The data are also used </w:t>
      </w:r>
      <w:r w:rsidRPr="000B5660">
        <w:rPr>
          <w:rFonts w:ascii="Times New Roman" w:hAnsi="Times New Roman"/>
          <w:sz w:val="24"/>
          <w:szCs w:val="24"/>
        </w:rPr>
        <w:t>to compile key macroeconomic indicators for Australia published by the ABS and the RBA and are used for analysis and policy purposes by the RBA. Aggregated data are used by other economic policy makers and to meet Australia’s international reporting obligations.</w:t>
      </w:r>
    </w:p>
    <w:bookmarkEnd w:id="15"/>
    <w:p w14:paraId="3C45F39E" w14:textId="77777777" w:rsidR="007D54B9" w:rsidRPr="007D54B9" w:rsidRDefault="007D54B9" w:rsidP="007D54B9">
      <w:pPr>
        <w:spacing w:after="240"/>
        <w:jc w:val="both"/>
        <w:rPr>
          <w:rFonts w:ascii="Times New Roman" w:hAnsi="Times New Roman"/>
          <w:sz w:val="24"/>
          <w:szCs w:val="24"/>
          <w:lang w:val="en-US"/>
        </w:rPr>
      </w:pPr>
      <w:r w:rsidRPr="007D54B9">
        <w:rPr>
          <w:rFonts w:ascii="Times New Roman" w:hAnsi="Times New Roman"/>
          <w:b/>
          <w:bCs/>
          <w:sz w:val="24"/>
          <w:szCs w:val="24"/>
        </w:rPr>
        <w:t>Human rights implications</w:t>
      </w:r>
    </w:p>
    <w:p w14:paraId="629FC193" w14:textId="42FE4C43" w:rsidR="007D54B9" w:rsidRPr="007D54B9" w:rsidRDefault="007D54B9" w:rsidP="007D54B9">
      <w:pPr>
        <w:keepNext/>
        <w:shd w:val="clear" w:color="auto" w:fill="FFFFFF"/>
        <w:spacing w:before="100" w:beforeAutospacing="1" w:after="240"/>
        <w:jc w:val="both"/>
        <w:rPr>
          <w:rFonts w:ascii="Times New Roman" w:hAnsi="Times New Roman"/>
          <w:sz w:val="24"/>
          <w:szCs w:val="24"/>
        </w:rPr>
      </w:pPr>
      <w:r w:rsidRPr="007D54B9">
        <w:rPr>
          <w:rFonts w:ascii="Times New Roman" w:hAnsi="Times New Roman"/>
          <w:sz w:val="24"/>
          <w:szCs w:val="24"/>
        </w:rPr>
        <w:t>APRA has assessed the instrument</w:t>
      </w:r>
      <w:r w:rsidR="000E2BDB">
        <w:rPr>
          <w:rFonts w:ascii="Times New Roman" w:hAnsi="Times New Roman"/>
          <w:sz w:val="24"/>
          <w:szCs w:val="24"/>
        </w:rPr>
        <w:t>s</w:t>
      </w:r>
      <w:r w:rsidRPr="007D54B9">
        <w:rPr>
          <w:rFonts w:ascii="Times New Roman" w:hAnsi="Times New Roman"/>
          <w:sz w:val="24"/>
          <w:szCs w:val="24"/>
        </w:rPr>
        <w:t xml:space="preserve"> and is of the view that </w:t>
      </w:r>
      <w:r w:rsidR="000E2BDB">
        <w:rPr>
          <w:rFonts w:ascii="Times New Roman" w:hAnsi="Times New Roman"/>
          <w:sz w:val="24"/>
          <w:szCs w:val="24"/>
        </w:rPr>
        <w:t>the instruments</w:t>
      </w:r>
      <w:r w:rsidRPr="007D54B9">
        <w:rPr>
          <w:rFonts w:ascii="Times New Roman" w:hAnsi="Times New Roman"/>
          <w:sz w:val="24"/>
          <w:szCs w:val="24"/>
        </w:rPr>
        <w:t xml:space="preserve"> do not engage any of the applicable rights or freedoms recognised or declared in the international instruments listed in section 3 of the HRPS Act. Accordingly, in APRA’s assessment, the instrument</w:t>
      </w:r>
      <w:r w:rsidR="000E2BDB">
        <w:rPr>
          <w:rFonts w:ascii="Times New Roman" w:hAnsi="Times New Roman"/>
          <w:sz w:val="24"/>
          <w:szCs w:val="24"/>
        </w:rPr>
        <w:t>s are</w:t>
      </w:r>
      <w:r w:rsidRPr="007D54B9">
        <w:rPr>
          <w:rFonts w:ascii="Times New Roman" w:hAnsi="Times New Roman"/>
          <w:sz w:val="24"/>
          <w:szCs w:val="24"/>
        </w:rPr>
        <w:t xml:space="preserve"> compatible with human rights.</w:t>
      </w:r>
    </w:p>
    <w:p w14:paraId="25D201B1"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Conclusion</w:t>
      </w:r>
    </w:p>
    <w:p w14:paraId="04979C40" w14:textId="128E2CCB" w:rsidR="007D54B9" w:rsidRPr="007D54B9" w:rsidRDefault="007D54B9" w:rsidP="007D54B9">
      <w:pPr>
        <w:shd w:val="clear" w:color="auto" w:fill="FFFFFF"/>
        <w:spacing w:before="100" w:beforeAutospacing="1" w:after="240"/>
        <w:rPr>
          <w:rFonts w:ascii="Times New Roman" w:hAnsi="Times New Roman"/>
          <w:sz w:val="24"/>
          <w:szCs w:val="24"/>
          <w:lang w:val="en-US"/>
        </w:rPr>
      </w:pPr>
      <w:r w:rsidRPr="007D54B9">
        <w:rPr>
          <w:rFonts w:ascii="Times New Roman" w:hAnsi="Times New Roman"/>
          <w:sz w:val="24"/>
          <w:szCs w:val="24"/>
        </w:rPr>
        <w:t>The legislative instrument</w:t>
      </w:r>
      <w:r w:rsidR="00EC10D5">
        <w:rPr>
          <w:rFonts w:ascii="Times New Roman" w:hAnsi="Times New Roman"/>
          <w:sz w:val="24"/>
          <w:szCs w:val="24"/>
        </w:rPr>
        <w:t>s are</w:t>
      </w:r>
      <w:r w:rsidRPr="007D54B9">
        <w:rPr>
          <w:rFonts w:ascii="Times New Roman" w:hAnsi="Times New Roman"/>
          <w:sz w:val="24"/>
          <w:szCs w:val="24"/>
        </w:rPr>
        <w:t xml:space="preserve"> compatible with human rights as </w:t>
      </w:r>
      <w:r w:rsidR="00EC10D5">
        <w:rPr>
          <w:rFonts w:ascii="Times New Roman" w:hAnsi="Times New Roman"/>
          <w:sz w:val="24"/>
          <w:szCs w:val="24"/>
        </w:rPr>
        <w:t>the instruments</w:t>
      </w:r>
      <w:r w:rsidRPr="007D54B9">
        <w:rPr>
          <w:rFonts w:ascii="Times New Roman" w:hAnsi="Times New Roman"/>
          <w:sz w:val="24"/>
          <w:szCs w:val="24"/>
        </w:rPr>
        <w:t xml:space="preserve"> do not raise any human rights issues.</w:t>
      </w:r>
    </w:p>
    <w:p w14:paraId="6E05734B" w14:textId="1DC819DE" w:rsidR="00864003" w:rsidRPr="00F510E0" w:rsidRDefault="00864003" w:rsidP="007D54B9">
      <w:pPr>
        <w:shd w:val="clear" w:color="auto" w:fill="FFFFFF"/>
        <w:spacing w:before="100" w:beforeAutospacing="1" w:after="240"/>
        <w:jc w:val="center"/>
        <w:rPr>
          <w:rFonts w:ascii="Times New Roman" w:hAnsi="Times New Roman"/>
          <w:sz w:val="24"/>
          <w:szCs w:val="24"/>
        </w:rPr>
      </w:pPr>
    </w:p>
    <w:sectPr w:rsidR="00864003" w:rsidRPr="00F510E0" w:rsidSect="003D5032">
      <w:headerReference w:type="even" r:id="rId12"/>
      <w:headerReference w:type="default" r:id="rId13"/>
      <w:footerReference w:type="even" r:id="rId14"/>
      <w:footerReference w:type="default" r:id="rId15"/>
      <w:headerReference w:type="first" r:id="rId16"/>
      <w:footerReference w:type="first" r:id="rId17"/>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FCF6" w14:textId="77777777" w:rsidR="00825851" w:rsidRDefault="00825851" w:rsidP="001A2234">
      <w:r>
        <w:separator/>
      </w:r>
    </w:p>
  </w:endnote>
  <w:endnote w:type="continuationSeparator" w:id="0">
    <w:p w14:paraId="4294C823" w14:textId="77777777" w:rsidR="00825851" w:rsidRDefault="00825851" w:rsidP="001A2234">
      <w:r>
        <w:continuationSeparator/>
      </w:r>
    </w:p>
  </w:endnote>
  <w:endnote w:type="continuationNotice" w:id="1">
    <w:p w14:paraId="749E91B3" w14:textId="77777777" w:rsidR="00825851" w:rsidRDefault="00825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4A17" w14:textId="1A202297" w:rsidR="003420F0" w:rsidRDefault="0034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0C99" w14:textId="62080F0E" w:rsidR="003420F0" w:rsidRPr="001A2234" w:rsidRDefault="00260854" w:rsidP="001A2234">
    <w:pPr>
      <w:pStyle w:val="Footer"/>
      <w:jc w:val="center"/>
      <w:rPr>
        <w:rFonts w:ascii="Times New Roman" w:hAnsi="Times New Roman"/>
        <w:sz w:val="24"/>
        <w:szCs w:val="24"/>
      </w:rPr>
    </w:pPr>
    <w:sdt>
      <w:sdtPr>
        <w:id w:val="860082579"/>
        <w:docPartObj>
          <w:docPartGallery w:val="Page Numbers (Top of Page)"/>
          <w:docPartUnique/>
        </w:docPartObj>
      </w:sdtPr>
      <w:sdtEndPr>
        <w:rPr>
          <w:rFonts w:ascii="Times New Roman" w:hAnsi="Times New Roman"/>
          <w:sz w:val="24"/>
          <w:szCs w:val="24"/>
        </w:rPr>
      </w:sdtEndPr>
      <w:sdtContent>
        <w:r w:rsidR="003420F0" w:rsidRPr="001A2234">
          <w:rPr>
            <w:rFonts w:ascii="Times New Roman" w:hAnsi="Times New Roman"/>
            <w:bCs/>
            <w:sz w:val="24"/>
            <w:szCs w:val="24"/>
          </w:rPr>
          <w:fldChar w:fldCharType="begin"/>
        </w:r>
        <w:r w:rsidR="003420F0" w:rsidRPr="001A2234">
          <w:rPr>
            <w:rFonts w:ascii="Times New Roman" w:hAnsi="Times New Roman"/>
            <w:bCs/>
            <w:sz w:val="24"/>
            <w:szCs w:val="24"/>
          </w:rPr>
          <w:instrText xml:space="preserve"> PAGE </w:instrText>
        </w:r>
        <w:r w:rsidR="003420F0" w:rsidRPr="001A2234">
          <w:rPr>
            <w:rFonts w:ascii="Times New Roman" w:hAnsi="Times New Roman"/>
            <w:bCs/>
            <w:sz w:val="24"/>
            <w:szCs w:val="24"/>
          </w:rPr>
          <w:fldChar w:fldCharType="separate"/>
        </w:r>
        <w:r w:rsidR="003420F0">
          <w:rPr>
            <w:rFonts w:ascii="Times New Roman" w:hAnsi="Times New Roman"/>
            <w:bCs/>
            <w:noProof/>
            <w:sz w:val="24"/>
            <w:szCs w:val="24"/>
          </w:rPr>
          <w:t>3</w:t>
        </w:r>
        <w:r w:rsidR="003420F0" w:rsidRPr="001A2234">
          <w:rPr>
            <w:rFonts w:ascii="Times New Roman" w:hAnsi="Times New Roman"/>
            <w:bCs/>
            <w:sz w:val="24"/>
            <w:szCs w:val="24"/>
          </w:rPr>
          <w:fldChar w:fldCharType="end"/>
        </w:r>
      </w:sdtContent>
    </w:sdt>
  </w:p>
  <w:p w14:paraId="4ACC2704" w14:textId="77777777" w:rsidR="003420F0" w:rsidRDefault="00342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2A5C" w14:textId="2BBA7A47" w:rsidR="003420F0" w:rsidRDefault="0034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A7A2" w14:textId="77777777" w:rsidR="00825851" w:rsidRDefault="00825851" w:rsidP="001A2234">
      <w:r>
        <w:separator/>
      </w:r>
    </w:p>
  </w:footnote>
  <w:footnote w:type="continuationSeparator" w:id="0">
    <w:p w14:paraId="689E1E53" w14:textId="77777777" w:rsidR="00825851" w:rsidRDefault="00825851" w:rsidP="001A2234">
      <w:r>
        <w:continuationSeparator/>
      </w:r>
    </w:p>
  </w:footnote>
  <w:footnote w:type="continuationNotice" w:id="1">
    <w:p w14:paraId="7BE7B6DE" w14:textId="77777777" w:rsidR="00825851" w:rsidRDefault="00825851"/>
  </w:footnote>
  <w:footnote w:id="2">
    <w:p w14:paraId="1BB26B3F" w14:textId="0680DF72" w:rsidR="003420F0" w:rsidRDefault="003420F0">
      <w:pPr>
        <w:pStyle w:val="FootnoteText"/>
      </w:pPr>
      <w:r>
        <w:rPr>
          <w:rStyle w:val="FootnoteReference"/>
        </w:rPr>
        <w:footnoteRef/>
      </w:r>
      <w:r>
        <w:t xml:space="preserve"> </w:t>
      </w:r>
      <w:hyperlink r:id="rId1" w:history="1">
        <w:r w:rsidRPr="00330962">
          <w:rPr>
            <w:rStyle w:val="Hyperlink"/>
            <w:rFonts w:ascii="Times New Roman" w:hAnsi="Times New Roman"/>
          </w:rPr>
          <w:t>https://www.apra.gov.au/sites/default/files/APG-210%20Liquidity.pdf</w:t>
        </w:r>
      </w:hyperlink>
      <w:r>
        <w:rPr>
          <w:rFonts w:ascii="Times New Roman" w:hAnsi="Times New Roman"/>
        </w:rPr>
        <w:t xml:space="preserve"> </w:t>
      </w:r>
    </w:p>
  </w:footnote>
  <w:footnote w:id="3">
    <w:p w14:paraId="5E123D11" w14:textId="77777777" w:rsidR="003420F0" w:rsidRDefault="003420F0" w:rsidP="00010D4C">
      <w:pPr>
        <w:pStyle w:val="FootnoteText"/>
      </w:pPr>
      <w:r>
        <w:rPr>
          <w:rStyle w:val="FootnoteReference"/>
        </w:rPr>
        <w:footnoteRef/>
      </w:r>
      <w:r>
        <w:t xml:space="preserve"> </w:t>
      </w:r>
      <w:hyperlink r:id="rId2" w:history="1">
        <w:r>
          <w:rPr>
            <w:rStyle w:val="Hyperlink"/>
            <w:rFonts w:ascii="Times New Roman" w:hAnsi="Times New Roman"/>
          </w:rPr>
          <w:t>https://www.apra.gov.au/update-of-reporting-schedule-for-reporting-standard-ars-1150-capital-adequacy-standardised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2078" w14:textId="6A6BA1F0" w:rsidR="003420F0" w:rsidRDefault="0034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C230" w14:textId="1C85C3F4" w:rsidR="003420F0" w:rsidRDefault="00342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884F" w14:textId="093C8C76" w:rsidR="003420F0" w:rsidRDefault="0034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C610CE"/>
    <w:multiLevelType w:val="hybridMultilevel"/>
    <w:tmpl w:val="CFEC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0B7F57"/>
    <w:multiLevelType w:val="hybridMultilevel"/>
    <w:tmpl w:val="0A1E8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867519"/>
    <w:multiLevelType w:val="hybridMultilevel"/>
    <w:tmpl w:val="07F0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121CB3"/>
    <w:multiLevelType w:val="hybridMultilevel"/>
    <w:tmpl w:val="51325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BD0615C"/>
    <w:multiLevelType w:val="hybridMultilevel"/>
    <w:tmpl w:val="B302D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04218838">
    <w:abstractNumId w:val="7"/>
  </w:num>
  <w:num w:numId="2" w16cid:durableId="1294018929">
    <w:abstractNumId w:val="1"/>
  </w:num>
  <w:num w:numId="3" w16cid:durableId="910191131">
    <w:abstractNumId w:val="13"/>
  </w:num>
  <w:num w:numId="4" w16cid:durableId="2118325314">
    <w:abstractNumId w:val="3"/>
  </w:num>
  <w:num w:numId="5" w16cid:durableId="2102141687">
    <w:abstractNumId w:val="4"/>
  </w:num>
  <w:num w:numId="6" w16cid:durableId="293757145">
    <w:abstractNumId w:val="2"/>
  </w:num>
  <w:num w:numId="7" w16cid:durableId="1927880241">
    <w:abstractNumId w:val="6"/>
  </w:num>
  <w:num w:numId="8" w16cid:durableId="1206723043">
    <w:abstractNumId w:val="5"/>
  </w:num>
  <w:num w:numId="9" w16cid:durableId="1638605365">
    <w:abstractNumId w:val="9"/>
  </w:num>
  <w:num w:numId="10" w16cid:durableId="852962728">
    <w:abstractNumId w:val="15"/>
  </w:num>
  <w:num w:numId="11" w16cid:durableId="396829989">
    <w:abstractNumId w:val="17"/>
  </w:num>
  <w:num w:numId="12" w16cid:durableId="1855652597">
    <w:abstractNumId w:val="0"/>
  </w:num>
  <w:num w:numId="13" w16cid:durableId="4672193">
    <w:abstractNumId w:val="8"/>
  </w:num>
  <w:num w:numId="14" w16cid:durableId="879784565">
    <w:abstractNumId w:val="11"/>
  </w:num>
  <w:num w:numId="15" w16cid:durableId="1194534940">
    <w:abstractNumId w:val="10"/>
  </w:num>
  <w:num w:numId="16" w16cid:durableId="2031180287">
    <w:abstractNumId w:val="14"/>
  </w:num>
  <w:num w:numId="17" w16cid:durableId="793786914">
    <w:abstractNumId w:val="16"/>
  </w:num>
  <w:num w:numId="18" w16cid:durableId="557404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3A57"/>
    <w:rsid w:val="00004E0C"/>
    <w:rsid w:val="00010A0B"/>
    <w:rsid w:val="00010D4C"/>
    <w:rsid w:val="00013534"/>
    <w:rsid w:val="00022BE7"/>
    <w:rsid w:val="000235F1"/>
    <w:rsid w:val="000243C4"/>
    <w:rsid w:val="000269E8"/>
    <w:rsid w:val="000304AA"/>
    <w:rsid w:val="000317CA"/>
    <w:rsid w:val="00033B31"/>
    <w:rsid w:val="000401FC"/>
    <w:rsid w:val="000559AF"/>
    <w:rsid w:val="0006782F"/>
    <w:rsid w:val="00074BB4"/>
    <w:rsid w:val="00074CEB"/>
    <w:rsid w:val="00076618"/>
    <w:rsid w:val="00083727"/>
    <w:rsid w:val="0008668B"/>
    <w:rsid w:val="0008681E"/>
    <w:rsid w:val="00087248"/>
    <w:rsid w:val="000979B1"/>
    <w:rsid w:val="00097A59"/>
    <w:rsid w:val="000A1787"/>
    <w:rsid w:val="000A575A"/>
    <w:rsid w:val="000A5AA9"/>
    <w:rsid w:val="000B14BD"/>
    <w:rsid w:val="000B14BF"/>
    <w:rsid w:val="000B5660"/>
    <w:rsid w:val="000B5BB6"/>
    <w:rsid w:val="000D0015"/>
    <w:rsid w:val="000D3451"/>
    <w:rsid w:val="000D73D7"/>
    <w:rsid w:val="000D76DC"/>
    <w:rsid w:val="000E0FF5"/>
    <w:rsid w:val="000E15E6"/>
    <w:rsid w:val="000E15F4"/>
    <w:rsid w:val="000E20F6"/>
    <w:rsid w:val="000E2BDB"/>
    <w:rsid w:val="000E369C"/>
    <w:rsid w:val="000E3A02"/>
    <w:rsid w:val="000E6D7E"/>
    <w:rsid w:val="000E7A4A"/>
    <w:rsid w:val="000F32F5"/>
    <w:rsid w:val="000F3FD2"/>
    <w:rsid w:val="000F4125"/>
    <w:rsid w:val="001062E7"/>
    <w:rsid w:val="00111382"/>
    <w:rsid w:val="00113307"/>
    <w:rsid w:val="0011393A"/>
    <w:rsid w:val="00117D61"/>
    <w:rsid w:val="00122C95"/>
    <w:rsid w:val="00126870"/>
    <w:rsid w:val="00132748"/>
    <w:rsid w:val="00134D2D"/>
    <w:rsid w:val="00136013"/>
    <w:rsid w:val="00137F0E"/>
    <w:rsid w:val="00142358"/>
    <w:rsid w:val="00143FBB"/>
    <w:rsid w:val="00144E65"/>
    <w:rsid w:val="00146622"/>
    <w:rsid w:val="00151AD5"/>
    <w:rsid w:val="00156332"/>
    <w:rsid w:val="00157FF6"/>
    <w:rsid w:val="00162333"/>
    <w:rsid w:val="0016436B"/>
    <w:rsid w:val="00165E81"/>
    <w:rsid w:val="0016652D"/>
    <w:rsid w:val="001670B6"/>
    <w:rsid w:val="001810E0"/>
    <w:rsid w:val="0018173C"/>
    <w:rsid w:val="00182FA1"/>
    <w:rsid w:val="0018346E"/>
    <w:rsid w:val="00185387"/>
    <w:rsid w:val="001870BD"/>
    <w:rsid w:val="00187486"/>
    <w:rsid w:val="00191481"/>
    <w:rsid w:val="00191866"/>
    <w:rsid w:val="001947CA"/>
    <w:rsid w:val="00194899"/>
    <w:rsid w:val="001A075E"/>
    <w:rsid w:val="001A2234"/>
    <w:rsid w:val="001A2ADB"/>
    <w:rsid w:val="001B2A41"/>
    <w:rsid w:val="001C166C"/>
    <w:rsid w:val="001C2D20"/>
    <w:rsid w:val="001C310E"/>
    <w:rsid w:val="001C463B"/>
    <w:rsid w:val="001E394D"/>
    <w:rsid w:val="001E4FD3"/>
    <w:rsid w:val="001F2777"/>
    <w:rsid w:val="001F6192"/>
    <w:rsid w:val="0021596D"/>
    <w:rsid w:val="00216DB2"/>
    <w:rsid w:val="00225D0F"/>
    <w:rsid w:val="00227391"/>
    <w:rsid w:val="002278D5"/>
    <w:rsid w:val="00230B05"/>
    <w:rsid w:val="002436BD"/>
    <w:rsid w:val="00245634"/>
    <w:rsid w:val="00246723"/>
    <w:rsid w:val="00260854"/>
    <w:rsid w:val="00264B90"/>
    <w:rsid w:val="00267087"/>
    <w:rsid w:val="00275936"/>
    <w:rsid w:val="00277E16"/>
    <w:rsid w:val="00281F8F"/>
    <w:rsid w:val="00283FF6"/>
    <w:rsid w:val="00285923"/>
    <w:rsid w:val="002875EC"/>
    <w:rsid w:val="00291EEA"/>
    <w:rsid w:val="00294ADD"/>
    <w:rsid w:val="002A0F07"/>
    <w:rsid w:val="002A5F5F"/>
    <w:rsid w:val="002A73BD"/>
    <w:rsid w:val="002B526C"/>
    <w:rsid w:val="002B5971"/>
    <w:rsid w:val="002C0701"/>
    <w:rsid w:val="002C2806"/>
    <w:rsid w:val="002C6B46"/>
    <w:rsid w:val="002C7948"/>
    <w:rsid w:val="002D0429"/>
    <w:rsid w:val="002D4BAF"/>
    <w:rsid w:val="002D7C33"/>
    <w:rsid w:val="002E0CDA"/>
    <w:rsid w:val="002F123D"/>
    <w:rsid w:val="002F70A2"/>
    <w:rsid w:val="00300EEF"/>
    <w:rsid w:val="003015DA"/>
    <w:rsid w:val="0030506B"/>
    <w:rsid w:val="00305648"/>
    <w:rsid w:val="00305A9C"/>
    <w:rsid w:val="00305E5F"/>
    <w:rsid w:val="00307E48"/>
    <w:rsid w:val="00310CF8"/>
    <w:rsid w:val="003130A7"/>
    <w:rsid w:val="0032222D"/>
    <w:rsid w:val="00331ED2"/>
    <w:rsid w:val="00333172"/>
    <w:rsid w:val="00333AAB"/>
    <w:rsid w:val="0033665C"/>
    <w:rsid w:val="00341B48"/>
    <w:rsid w:val="00341DA7"/>
    <w:rsid w:val="003420F0"/>
    <w:rsid w:val="00343074"/>
    <w:rsid w:val="00343D8A"/>
    <w:rsid w:val="003509F8"/>
    <w:rsid w:val="0035215A"/>
    <w:rsid w:val="00352654"/>
    <w:rsid w:val="00354CB8"/>
    <w:rsid w:val="00357500"/>
    <w:rsid w:val="003575C3"/>
    <w:rsid w:val="003609B7"/>
    <w:rsid w:val="00361F8E"/>
    <w:rsid w:val="0036419F"/>
    <w:rsid w:val="0036534B"/>
    <w:rsid w:val="00366055"/>
    <w:rsid w:val="0037609D"/>
    <w:rsid w:val="00380068"/>
    <w:rsid w:val="00382846"/>
    <w:rsid w:val="003843DB"/>
    <w:rsid w:val="00384D39"/>
    <w:rsid w:val="00385F12"/>
    <w:rsid w:val="003866AD"/>
    <w:rsid w:val="00396D2C"/>
    <w:rsid w:val="003977AE"/>
    <w:rsid w:val="003A2840"/>
    <w:rsid w:val="003A3C21"/>
    <w:rsid w:val="003A52A5"/>
    <w:rsid w:val="003A652F"/>
    <w:rsid w:val="003B09ED"/>
    <w:rsid w:val="003B1BE0"/>
    <w:rsid w:val="003C18BE"/>
    <w:rsid w:val="003C2395"/>
    <w:rsid w:val="003C2529"/>
    <w:rsid w:val="003D5032"/>
    <w:rsid w:val="003D73E4"/>
    <w:rsid w:val="003E269D"/>
    <w:rsid w:val="003E3C20"/>
    <w:rsid w:val="003E4F75"/>
    <w:rsid w:val="003E5151"/>
    <w:rsid w:val="003E74CF"/>
    <w:rsid w:val="003F1335"/>
    <w:rsid w:val="003F1F60"/>
    <w:rsid w:val="003F7007"/>
    <w:rsid w:val="003F712D"/>
    <w:rsid w:val="0040175E"/>
    <w:rsid w:val="00404BBB"/>
    <w:rsid w:val="00405B27"/>
    <w:rsid w:val="00407BAB"/>
    <w:rsid w:val="00411387"/>
    <w:rsid w:val="004139D9"/>
    <w:rsid w:val="004145BC"/>
    <w:rsid w:val="00420DB0"/>
    <w:rsid w:val="00422164"/>
    <w:rsid w:val="00425D5C"/>
    <w:rsid w:val="00426D24"/>
    <w:rsid w:val="00426E3F"/>
    <w:rsid w:val="004272EB"/>
    <w:rsid w:val="004275FF"/>
    <w:rsid w:val="00427A88"/>
    <w:rsid w:val="004324C9"/>
    <w:rsid w:val="00434568"/>
    <w:rsid w:val="00435131"/>
    <w:rsid w:val="0043679F"/>
    <w:rsid w:val="0043748A"/>
    <w:rsid w:val="00441720"/>
    <w:rsid w:val="00443A02"/>
    <w:rsid w:val="0044432C"/>
    <w:rsid w:val="004455DC"/>
    <w:rsid w:val="00453D19"/>
    <w:rsid w:val="00453D3C"/>
    <w:rsid w:val="00456BE0"/>
    <w:rsid w:val="004571DA"/>
    <w:rsid w:val="00461BBD"/>
    <w:rsid w:val="00463203"/>
    <w:rsid w:val="00464570"/>
    <w:rsid w:val="00473A51"/>
    <w:rsid w:val="004776F6"/>
    <w:rsid w:val="00481AC4"/>
    <w:rsid w:val="00482857"/>
    <w:rsid w:val="00482F85"/>
    <w:rsid w:val="00491310"/>
    <w:rsid w:val="00493583"/>
    <w:rsid w:val="004937A3"/>
    <w:rsid w:val="00497860"/>
    <w:rsid w:val="004A14E0"/>
    <w:rsid w:val="004A358E"/>
    <w:rsid w:val="004A707E"/>
    <w:rsid w:val="004B3BAA"/>
    <w:rsid w:val="004B599F"/>
    <w:rsid w:val="004C3D07"/>
    <w:rsid w:val="004C5BC3"/>
    <w:rsid w:val="004C7E36"/>
    <w:rsid w:val="004D07D2"/>
    <w:rsid w:val="004D30A1"/>
    <w:rsid w:val="004E2008"/>
    <w:rsid w:val="004E5201"/>
    <w:rsid w:val="004E6D9E"/>
    <w:rsid w:val="004F2722"/>
    <w:rsid w:val="004F2954"/>
    <w:rsid w:val="004F29DC"/>
    <w:rsid w:val="004F3323"/>
    <w:rsid w:val="004F70BE"/>
    <w:rsid w:val="005002DD"/>
    <w:rsid w:val="00511825"/>
    <w:rsid w:val="00514AE1"/>
    <w:rsid w:val="005152C0"/>
    <w:rsid w:val="0051575B"/>
    <w:rsid w:val="00517CB6"/>
    <w:rsid w:val="00520F14"/>
    <w:rsid w:val="00525C88"/>
    <w:rsid w:val="005261FD"/>
    <w:rsid w:val="00530368"/>
    <w:rsid w:val="005318E1"/>
    <w:rsid w:val="005373BC"/>
    <w:rsid w:val="00540092"/>
    <w:rsid w:val="0054111E"/>
    <w:rsid w:val="00541A8B"/>
    <w:rsid w:val="00545F91"/>
    <w:rsid w:val="00546DC7"/>
    <w:rsid w:val="005502D1"/>
    <w:rsid w:val="00550C0F"/>
    <w:rsid w:val="00552287"/>
    <w:rsid w:val="005568DD"/>
    <w:rsid w:val="00556D12"/>
    <w:rsid w:val="0056141D"/>
    <w:rsid w:val="00561601"/>
    <w:rsid w:val="00561FB7"/>
    <w:rsid w:val="005633DE"/>
    <w:rsid w:val="005638DE"/>
    <w:rsid w:val="005666AB"/>
    <w:rsid w:val="00566B0B"/>
    <w:rsid w:val="005706B1"/>
    <w:rsid w:val="005711FF"/>
    <w:rsid w:val="00573EED"/>
    <w:rsid w:val="00575541"/>
    <w:rsid w:val="00580FC3"/>
    <w:rsid w:val="00583F21"/>
    <w:rsid w:val="00585BF8"/>
    <w:rsid w:val="0058660B"/>
    <w:rsid w:val="00590F40"/>
    <w:rsid w:val="005953C6"/>
    <w:rsid w:val="00595FA1"/>
    <w:rsid w:val="005A32C7"/>
    <w:rsid w:val="005A51DD"/>
    <w:rsid w:val="005B0235"/>
    <w:rsid w:val="005B44A1"/>
    <w:rsid w:val="005B5CA7"/>
    <w:rsid w:val="005C33BD"/>
    <w:rsid w:val="005D4287"/>
    <w:rsid w:val="005E0BCF"/>
    <w:rsid w:val="005E5910"/>
    <w:rsid w:val="005F2967"/>
    <w:rsid w:val="005F297E"/>
    <w:rsid w:val="005F685E"/>
    <w:rsid w:val="005F7DAA"/>
    <w:rsid w:val="00600599"/>
    <w:rsid w:val="006020ED"/>
    <w:rsid w:val="00607A85"/>
    <w:rsid w:val="00610CFB"/>
    <w:rsid w:val="00613F01"/>
    <w:rsid w:val="006142AE"/>
    <w:rsid w:val="00614388"/>
    <w:rsid w:val="00616B20"/>
    <w:rsid w:val="006202A3"/>
    <w:rsid w:val="00620C3F"/>
    <w:rsid w:val="00621C3B"/>
    <w:rsid w:val="00622480"/>
    <w:rsid w:val="00631116"/>
    <w:rsid w:val="00635169"/>
    <w:rsid w:val="006432C1"/>
    <w:rsid w:val="00644CBA"/>
    <w:rsid w:val="0064561F"/>
    <w:rsid w:val="00647D58"/>
    <w:rsid w:val="00652745"/>
    <w:rsid w:val="006544E1"/>
    <w:rsid w:val="00656C38"/>
    <w:rsid w:val="00657678"/>
    <w:rsid w:val="00657D0A"/>
    <w:rsid w:val="00661569"/>
    <w:rsid w:val="00666614"/>
    <w:rsid w:val="006776C1"/>
    <w:rsid w:val="00682865"/>
    <w:rsid w:val="00684900"/>
    <w:rsid w:val="00684F73"/>
    <w:rsid w:val="006911DA"/>
    <w:rsid w:val="00697B47"/>
    <w:rsid w:val="006A1555"/>
    <w:rsid w:val="006A383F"/>
    <w:rsid w:val="006A43F1"/>
    <w:rsid w:val="006A7F9A"/>
    <w:rsid w:val="006B093F"/>
    <w:rsid w:val="006B0B74"/>
    <w:rsid w:val="006B4B39"/>
    <w:rsid w:val="006B662A"/>
    <w:rsid w:val="006B6FD2"/>
    <w:rsid w:val="006C2A2F"/>
    <w:rsid w:val="006C591F"/>
    <w:rsid w:val="006C59B9"/>
    <w:rsid w:val="006D6CB4"/>
    <w:rsid w:val="006E7887"/>
    <w:rsid w:val="006F1C44"/>
    <w:rsid w:val="006F7A58"/>
    <w:rsid w:val="007031F4"/>
    <w:rsid w:val="007049CF"/>
    <w:rsid w:val="00707277"/>
    <w:rsid w:val="00722647"/>
    <w:rsid w:val="00724F0B"/>
    <w:rsid w:val="00726D58"/>
    <w:rsid w:val="00730E49"/>
    <w:rsid w:val="00734541"/>
    <w:rsid w:val="007368AD"/>
    <w:rsid w:val="00736D41"/>
    <w:rsid w:val="00736D9A"/>
    <w:rsid w:val="00737E47"/>
    <w:rsid w:val="00740229"/>
    <w:rsid w:val="007428D4"/>
    <w:rsid w:val="007430E5"/>
    <w:rsid w:val="00745C6F"/>
    <w:rsid w:val="00747AFF"/>
    <w:rsid w:val="00756284"/>
    <w:rsid w:val="007567E9"/>
    <w:rsid w:val="00757391"/>
    <w:rsid w:val="00764D02"/>
    <w:rsid w:val="00765265"/>
    <w:rsid w:val="00765EBA"/>
    <w:rsid w:val="00766B3D"/>
    <w:rsid w:val="00767227"/>
    <w:rsid w:val="007676E5"/>
    <w:rsid w:val="007714C3"/>
    <w:rsid w:val="0077361A"/>
    <w:rsid w:val="00775F54"/>
    <w:rsid w:val="00776C45"/>
    <w:rsid w:val="00781232"/>
    <w:rsid w:val="00781AE3"/>
    <w:rsid w:val="007842D9"/>
    <w:rsid w:val="0078519B"/>
    <w:rsid w:val="00785484"/>
    <w:rsid w:val="00785CDC"/>
    <w:rsid w:val="00787FD5"/>
    <w:rsid w:val="007916B6"/>
    <w:rsid w:val="0079175F"/>
    <w:rsid w:val="00792DAE"/>
    <w:rsid w:val="00792E0A"/>
    <w:rsid w:val="007941EE"/>
    <w:rsid w:val="00795275"/>
    <w:rsid w:val="0079680A"/>
    <w:rsid w:val="00796D9A"/>
    <w:rsid w:val="007A1CC7"/>
    <w:rsid w:val="007B11FC"/>
    <w:rsid w:val="007B7463"/>
    <w:rsid w:val="007C2298"/>
    <w:rsid w:val="007C4B98"/>
    <w:rsid w:val="007C7815"/>
    <w:rsid w:val="007D0BEE"/>
    <w:rsid w:val="007D2434"/>
    <w:rsid w:val="007D39C6"/>
    <w:rsid w:val="007D39FD"/>
    <w:rsid w:val="007D3E28"/>
    <w:rsid w:val="007D54B9"/>
    <w:rsid w:val="007E0036"/>
    <w:rsid w:val="007E3DD3"/>
    <w:rsid w:val="007E4B2A"/>
    <w:rsid w:val="007E574B"/>
    <w:rsid w:val="007E6940"/>
    <w:rsid w:val="007F59E2"/>
    <w:rsid w:val="007F7D4A"/>
    <w:rsid w:val="0080080F"/>
    <w:rsid w:val="0080158E"/>
    <w:rsid w:val="00802197"/>
    <w:rsid w:val="00803BCD"/>
    <w:rsid w:val="008067CC"/>
    <w:rsid w:val="008125EB"/>
    <w:rsid w:val="008134E4"/>
    <w:rsid w:val="00815BA6"/>
    <w:rsid w:val="00816E71"/>
    <w:rsid w:val="0082518E"/>
    <w:rsid w:val="00825851"/>
    <w:rsid w:val="0082684B"/>
    <w:rsid w:val="00826A36"/>
    <w:rsid w:val="00827900"/>
    <w:rsid w:val="00830F66"/>
    <w:rsid w:val="008317DE"/>
    <w:rsid w:val="00832289"/>
    <w:rsid w:val="0083316F"/>
    <w:rsid w:val="00834123"/>
    <w:rsid w:val="00834676"/>
    <w:rsid w:val="00835BD9"/>
    <w:rsid w:val="00850CFB"/>
    <w:rsid w:val="00852EAD"/>
    <w:rsid w:val="008558B1"/>
    <w:rsid w:val="00862488"/>
    <w:rsid w:val="00864003"/>
    <w:rsid w:val="008679F3"/>
    <w:rsid w:val="00867FCA"/>
    <w:rsid w:val="008701ED"/>
    <w:rsid w:val="00870E3B"/>
    <w:rsid w:val="00870F55"/>
    <w:rsid w:val="00871E54"/>
    <w:rsid w:val="00875FB7"/>
    <w:rsid w:val="00887F52"/>
    <w:rsid w:val="00890C79"/>
    <w:rsid w:val="00891962"/>
    <w:rsid w:val="00892D63"/>
    <w:rsid w:val="00895DAC"/>
    <w:rsid w:val="008A33CD"/>
    <w:rsid w:val="008A38F8"/>
    <w:rsid w:val="008B0177"/>
    <w:rsid w:val="008B1B00"/>
    <w:rsid w:val="008B3AFF"/>
    <w:rsid w:val="008B659C"/>
    <w:rsid w:val="008C3118"/>
    <w:rsid w:val="008D4CA9"/>
    <w:rsid w:val="008E00D9"/>
    <w:rsid w:val="008E143B"/>
    <w:rsid w:val="008E2E3D"/>
    <w:rsid w:val="008F1FFE"/>
    <w:rsid w:val="008F2233"/>
    <w:rsid w:val="008F275E"/>
    <w:rsid w:val="00901D3C"/>
    <w:rsid w:val="00902344"/>
    <w:rsid w:val="0090441F"/>
    <w:rsid w:val="00911E34"/>
    <w:rsid w:val="009145DF"/>
    <w:rsid w:val="009226AE"/>
    <w:rsid w:val="00922FBC"/>
    <w:rsid w:val="00923688"/>
    <w:rsid w:val="009320C4"/>
    <w:rsid w:val="00932EFA"/>
    <w:rsid w:val="009356BF"/>
    <w:rsid w:val="009439CF"/>
    <w:rsid w:val="00957E44"/>
    <w:rsid w:val="009626AB"/>
    <w:rsid w:val="00963DBB"/>
    <w:rsid w:val="00964D4F"/>
    <w:rsid w:val="00965040"/>
    <w:rsid w:val="009660B9"/>
    <w:rsid w:val="009660F6"/>
    <w:rsid w:val="00966D2B"/>
    <w:rsid w:val="009677DB"/>
    <w:rsid w:val="00967D16"/>
    <w:rsid w:val="009817EA"/>
    <w:rsid w:val="00981D3A"/>
    <w:rsid w:val="00987321"/>
    <w:rsid w:val="00990D39"/>
    <w:rsid w:val="009A7343"/>
    <w:rsid w:val="009A75C4"/>
    <w:rsid w:val="009B02DA"/>
    <w:rsid w:val="009B17A9"/>
    <w:rsid w:val="009B2F50"/>
    <w:rsid w:val="009B67A8"/>
    <w:rsid w:val="009C0141"/>
    <w:rsid w:val="009C0BC8"/>
    <w:rsid w:val="009C24D6"/>
    <w:rsid w:val="009C5368"/>
    <w:rsid w:val="009D53FE"/>
    <w:rsid w:val="009D708F"/>
    <w:rsid w:val="009D7338"/>
    <w:rsid w:val="009E5DB1"/>
    <w:rsid w:val="009E67D8"/>
    <w:rsid w:val="009F0895"/>
    <w:rsid w:val="009F52A1"/>
    <w:rsid w:val="009F5B1C"/>
    <w:rsid w:val="00A00578"/>
    <w:rsid w:val="00A03FD1"/>
    <w:rsid w:val="00A101AD"/>
    <w:rsid w:val="00A21B6D"/>
    <w:rsid w:val="00A279AF"/>
    <w:rsid w:val="00A31F71"/>
    <w:rsid w:val="00A342FA"/>
    <w:rsid w:val="00A36726"/>
    <w:rsid w:val="00A37C12"/>
    <w:rsid w:val="00A4133B"/>
    <w:rsid w:val="00A41FC1"/>
    <w:rsid w:val="00A42365"/>
    <w:rsid w:val="00A42F89"/>
    <w:rsid w:val="00A50412"/>
    <w:rsid w:val="00A539CB"/>
    <w:rsid w:val="00A62A13"/>
    <w:rsid w:val="00A63A2B"/>
    <w:rsid w:val="00A63BD8"/>
    <w:rsid w:val="00A642D7"/>
    <w:rsid w:val="00A66D48"/>
    <w:rsid w:val="00A672CD"/>
    <w:rsid w:val="00A70688"/>
    <w:rsid w:val="00A70A37"/>
    <w:rsid w:val="00A8208F"/>
    <w:rsid w:val="00A83721"/>
    <w:rsid w:val="00A85418"/>
    <w:rsid w:val="00A862BF"/>
    <w:rsid w:val="00A92DF7"/>
    <w:rsid w:val="00A97104"/>
    <w:rsid w:val="00AA5522"/>
    <w:rsid w:val="00AB09F6"/>
    <w:rsid w:val="00AB2CA3"/>
    <w:rsid w:val="00AB5737"/>
    <w:rsid w:val="00AB6F14"/>
    <w:rsid w:val="00AC0092"/>
    <w:rsid w:val="00AC2517"/>
    <w:rsid w:val="00AC3FF0"/>
    <w:rsid w:val="00AC7A56"/>
    <w:rsid w:val="00AD1E70"/>
    <w:rsid w:val="00AD529B"/>
    <w:rsid w:val="00AD6628"/>
    <w:rsid w:val="00AE1BBC"/>
    <w:rsid w:val="00AF72B8"/>
    <w:rsid w:val="00B02803"/>
    <w:rsid w:val="00B02D82"/>
    <w:rsid w:val="00B0402E"/>
    <w:rsid w:val="00B04B20"/>
    <w:rsid w:val="00B059A1"/>
    <w:rsid w:val="00B06C1B"/>
    <w:rsid w:val="00B124FA"/>
    <w:rsid w:val="00B16668"/>
    <w:rsid w:val="00B17088"/>
    <w:rsid w:val="00B30428"/>
    <w:rsid w:val="00B34A9D"/>
    <w:rsid w:val="00B37789"/>
    <w:rsid w:val="00B44CFC"/>
    <w:rsid w:val="00B46DC7"/>
    <w:rsid w:val="00B4787D"/>
    <w:rsid w:val="00B50C89"/>
    <w:rsid w:val="00B51EAF"/>
    <w:rsid w:val="00B52DDA"/>
    <w:rsid w:val="00B61708"/>
    <w:rsid w:val="00B6232E"/>
    <w:rsid w:val="00B64B2E"/>
    <w:rsid w:val="00B70097"/>
    <w:rsid w:val="00B71A9E"/>
    <w:rsid w:val="00B71EB5"/>
    <w:rsid w:val="00B731B6"/>
    <w:rsid w:val="00B754DC"/>
    <w:rsid w:val="00B84219"/>
    <w:rsid w:val="00B85B6E"/>
    <w:rsid w:val="00B91992"/>
    <w:rsid w:val="00B93BFF"/>
    <w:rsid w:val="00B963BE"/>
    <w:rsid w:val="00BA4F61"/>
    <w:rsid w:val="00BA5EB2"/>
    <w:rsid w:val="00BA7DA6"/>
    <w:rsid w:val="00BB1678"/>
    <w:rsid w:val="00BB51DA"/>
    <w:rsid w:val="00BB58C4"/>
    <w:rsid w:val="00BB7224"/>
    <w:rsid w:val="00BB7238"/>
    <w:rsid w:val="00BC1783"/>
    <w:rsid w:val="00BC2EEA"/>
    <w:rsid w:val="00BC3E3A"/>
    <w:rsid w:val="00BC3E7D"/>
    <w:rsid w:val="00BC609E"/>
    <w:rsid w:val="00BC6E15"/>
    <w:rsid w:val="00BD0BC9"/>
    <w:rsid w:val="00BD3D55"/>
    <w:rsid w:val="00BD6360"/>
    <w:rsid w:val="00BD6395"/>
    <w:rsid w:val="00BD66B1"/>
    <w:rsid w:val="00BD67AD"/>
    <w:rsid w:val="00BE25B7"/>
    <w:rsid w:val="00BE578F"/>
    <w:rsid w:val="00BE7748"/>
    <w:rsid w:val="00BF17E6"/>
    <w:rsid w:val="00BF2953"/>
    <w:rsid w:val="00C02366"/>
    <w:rsid w:val="00C02942"/>
    <w:rsid w:val="00C0368E"/>
    <w:rsid w:val="00C039ED"/>
    <w:rsid w:val="00C14BF6"/>
    <w:rsid w:val="00C166F0"/>
    <w:rsid w:val="00C1702B"/>
    <w:rsid w:val="00C21AD3"/>
    <w:rsid w:val="00C22FDE"/>
    <w:rsid w:val="00C247D5"/>
    <w:rsid w:val="00C26A22"/>
    <w:rsid w:val="00C302FA"/>
    <w:rsid w:val="00C3072D"/>
    <w:rsid w:val="00C3178E"/>
    <w:rsid w:val="00C3292D"/>
    <w:rsid w:val="00C33045"/>
    <w:rsid w:val="00C362C0"/>
    <w:rsid w:val="00C40A9A"/>
    <w:rsid w:val="00C41639"/>
    <w:rsid w:val="00C43B83"/>
    <w:rsid w:val="00C44B53"/>
    <w:rsid w:val="00C4681D"/>
    <w:rsid w:val="00C61ABA"/>
    <w:rsid w:val="00C61D5D"/>
    <w:rsid w:val="00C65D68"/>
    <w:rsid w:val="00C66C00"/>
    <w:rsid w:val="00C70744"/>
    <w:rsid w:val="00C72183"/>
    <w:rsid w:val="00C755BD"/>
    <w:rsid w:val="00C80A7E"/>
    <w:rsid w:val="00C80B16"/>
    <w:rsid w:val="00C83956"/>
    <w:rsid w:val="00C948AA"/>
    <w:rsid w:val="00CA2FED"/>
    <w:rsid w:val="00CA33DC"/>
    <w:rsid w:val="00CA6CB3"/>
    <w:rsid w:val="00CB0977"/>
    <w:rsid w:val="00CB0F92"/>
    <w:rsid w:val="00CB3825"/>
    <w:rsid w:val="00CB384A"/>
    <w:rsid w:val="00CB4C18"/>
    <w:rsid w:val="00CB6262"/>
    <w:rsid w:val="00CC0F76"/>
    <w:rsid w:val="00CC37BF"/>
    <w:rsid w:val="00CD1947"/>
    <w:rsid w:val="00CE3E94"/>
    <w:rsid w:val="00CE3EF2"/>
    <w:rsid w:val="00CE684E"/>
    <w:rsid w:val="00CF0059"/>
    <w:rsid w:val="00CF059E"/>
    <w:rsid w:val="00CF098C"/>
    <w:rsid w:val="00CF33D2"/>
    <w:rsid w:val="00CF7DAA"/>
    <w:rsid w:val="00D04CB0"/>
    <w:rsid w:val="00D04EE3"/>
    <w:rsid w:val="00D1094D"/>
    <w:rsid w:val="00D119F5"/>
    <w:rsid w:val="00D14FC6"/>
    <w:rsid w:val="00D212F5"/>
    <w:rsid w:val="00D22791"/>
    <w:rsid w:val="00D228AE"/>
    <w:rsid w:val="00D30128"/>
    <w:rsid w:val="00D34240"/>
    <w:rsid w:val="00D3484E"/>
    <w:rsid w:val="00D35711"/>
    <w:rsid w:val="00D36C7E"/>
    <w:rsid w:val="00D36F73"/>
    <w:rsid w:val="00D4385E"/>
    <w:rsid w:val="00D4429E"/>
    <w:rsid w:val="00D46E2B"/>
    <w:rsid w:val="00D46E92"/>
    <w:rsid w:val="00D47E86"/>
    <w:rsid w:val="00D50699"/>
    <w:rsid w:val="00D51C9B"/>
    <w:rsid w:val="00D524D2"/>
    <w:rsid w:val="00D605BC"/>
    <w:rsid w:val="00D61C83"/>
    <w:rsid w:val="00D64906"/>
    <w:rsid w:val="00D70C8A"/>
    <w:rsid w:val="00D716B5"/>
    <w:rsid w:val="00D74DC3"/>
    <w:rsid w:val="00D81A80"/>
    <w:rsid w:val="00D83531"/>
    <w:rsid w:val="00D86E2B"/>
    <w:rsid w:val="00D87E36"/>
    <w:rsid w:val="00D912B0"/>
    <w:rsid w:val="00D937D6"/>
    <w:rsid w:val="00D94A29"/>
    <w:rsid w:val="00D95FE7"/>
    <w:rsid w:val="00D977CE"/>
    <w:rsid w:val="00DA0F27"/>
    <w:rsid w:val="00DA3D1A"/>
    <w:rsid w:val="00DA6D66"/>
    <w:rsid w:val="00DB0979"/>
    <w:rsid w:val="00DB2009"/>
    <w:rsid w:val="00DB2B8C"/>
    <w:rsid w:val="00DC1045"/>
    <w:rsid w:val="00DC198B"/>
    <w:rsid w:val="00DC19B3"/>
    <w:rsid w:val="00DD2E63"/>
    <w:rsid w:val="00DD3580"/>
    <w:rsid w:val="00DD69F6"/>
    <w:rsid w:val="00DE0DE0"/>
    <w:rsid w:val="00DE183E"/>
    <w:rsid w:val="00DE52D4"/>
    <w:rsid w:val="00DE6BA2"/>
    <w:rsid w:val="00DF2C01"/>
    <w:rsid w:val="00DF3D38"/>
    <w:rsid w:val="00DF524E"/>
    <w:rsid w:val="00E013A9"/>
    <w:rsid w:val="00E043DC"/>
    <w:rsid w:val="00E14C55"/>
    <w:rsid w:val="00E15497"/>
    <w:rsid w:val="00E154A3"/>
    <w:rsid w:val="00E158B2"/>
    <w:rsid w:val="00E16789"/>
    <w:rsid w:val="00E201A8"/>
    <w:rsid w:val="00E23211"/>
    <w:rsid w:val="00E241B7"/>
    <w:rsid w:val="00E265A2"/>
    <w:rsid w:val="00E27D8A"/>
    <w:rsid w:val="00E3334F"/>
    <w:rsid w:val="00E3435D"/>
    <w:rsid w:val="00E358BF"/>
    <w:rsid w:val="00E40D70"/>
    <w:rsid w:val="00E432C3"/>
    <w:rsid w:val="00E4750A"/>
    <w:rsid w:val="00E52DFE"/>
    <w:rsid w:val="00E53788"/>
    <w:rsid w:val="00E552B7"/>
    <w:rsid w:val="00E56C5E"/>
    <w:rsid w:val="00E61B19"/>
    <w:rsid w:val="00E624EA"/>
    <w:rsid w:val="00E62E09"/>
    <w:rsid w:val="00E66223"/>
    <w:rsid w:val="00E6673A"/>
    <w:rsid w:val="00E71180"/>
    <w:rsid w:val="00E72515"/>
    <w:rsid w:val="00E7345E"/>
    <w:rsid w:val="00E90C89"/>
    <w:rsid w:val="00E91BF6"/>
    <w:rsid w:val="00EB3130"/>
    <w:rsid w:val="00EB3EDD"/>
    <w:rsid w:val="00EB42E3"/>
    <w:rsid w:val="00EC0FDD"/>
    <w:rsid w:val="00EC10D5"/>
    <w:rsid w:val="00EC5582"/>
    <w:rsid w:val="00EC5653"/>
    <w:rsid w:val="00EC5FA9"/>
    <w:rsid w:val="00ED54D8"/>
    <w:rsid w:val="00EE01F2"/>
    <w:rsid w:val="00EE0366"/>
    <w:rsid w:val="00EE2813"/>
    <w:rsid w:val="00EE3647"/>
    <w:rsid w:val="00EE4A18"/>
    <w:rsid w:val="00EE55B8"/>
    <w:rsid w:val="00EF087F"/>
    <w:rsid w:val="00EF319A"/>
    <w:rsid w:val="00F07A76"/>
    <w:rsid w:val="00F07C7A"/>
    <w:rsid w:val="00F1003F"/>
    <w:rsid w:val="00F1353F"/>
    <w:rsid w:val="00F229F1"/>
    <w:rsid w:val="00F233E4"/>
    <w:rsid w:val="00F3120C"/>
    <w:rsid w:val="00F347C0"/>
    <w:rsid w:val="00F34BDE"/>
    <w:rsid w:val="00F372EB"/>
    <w:rsid w:val="00F40E5E"/>
    <w:rsid w:val="00F436BC"/>
    <w:rsid w:val="00F456FD"/>
    <w:rsid w:val="00F510E0"/>
    <w:rsid w:val="00F55800"/>
    <w:rsid w:val="00F57F16"/>
    <w:rsid w:val="00F677BC"/>
    <w:rsid w:val="00F70B8C"/>
    <w:rsid w:val="00F71CD3"/>
    <w:rsid w:val="00F72B3C"/>
    <w:rsid w:val="00F7706D"/>
    <w:rsid w:val="00F83FD4"/>
    <w:rsid w:val="00F91197"/>
    <w:rsid w:val="00F924BA"/>
    <w:rsid w:val="00F950EB"/>
    <w:rsid w:val="00FA5345"/>
    <w:rsid w:val="00FB030E"/>
    <w:rsid w:val="00FB728D"/>
    <w:rsid w:val="00FC3FC5"/>
    <w:rsid w:val="00FC6BE4"/>
    <w:rsid w:val="00FD346B"/>
    <w:rsid w:val="00FE44FC"/>
    <w:rsid w:val="00FE5342"/>
    <w:rsid w:val="00FE5F57"/>
    <w:rsid w:val="00FE6CF8"/>
    <w:rsid w:val="00FF4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 w:type="paragraph" w:styleId="Revision">
    <w:name w:val="Revision"/>
    <w:hidden/>
    <w:uiPriority w:val="99"/>
    <w:semiHidden/>
    <w:rsid w:val="003F1F60"/>
    <w:rPr>
      <w:rFonts w:ascii="Trebuchet MS" w:eastAsia="Times New Roman" w:hAnsi="Trebuchet MS"/>
      <w:sz w:val="22"/>
    </w:rPr>
  </w:style>
  <w:style w:type="character" w:styleId="UnresolvedMention">
    <w:name w:val="Unresolved Mention"/>
    <w:basedOn w:val="DefaultParagraphFont"/>
    <w:uiPriority w:val="99"/>
    <w:semiHidden/>
    <w:unhideWhenUsed/>
    <w:rsid w:val="00C80A7E"/>
    <w:rPr>
      <w:color w:val="605E5C"/>
      <w:shd w:val="clear" w:color="auto" w:fill="E1DFDD"/>
    </w:rPr>
  </w:style>
  <w:style w:type="paragraph" w:customStyle="1" w:styleId="bullet1">
    <w:name w:val="bullet1"/>
    <w:basedOn w:val="Normal"/>
    <w:rsid w:val="00B6232E"/>
    <w:pPr>
      <w:spacing w:before="100" w:beforeAutospacing="1" w:after="100" w:afterAutospacing="1"/>
    </w:pPr>
    <w:rPr>
      <w:rFonts w:ascii="Times New Roman" w:hAnsi="Times New Roman"/>
      <w:sz w:val="24"/>
      <w:szCs w:val="24"/>
    </w:rPr>
  </w:style>
  <w:style w:type="paragraph" w:customStyle="1" w:styleId="bullet10">
    <w:name w:val="bullet10"/>
    <w:basedOn w:val="Normal"/>
    <w:rsid w:val="0064561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142">
      <w:bodyDiv w:val="1"/>
      <w:marLeft w:val="0"/>
      <w:marRight w:val="0"/>
      <w:marTop w:val="0"/>
      <w:marBottom w:val="0"/>
      <w:divBdr>
        <w:top w:val="none" w:sz="0" w:space="0" w:color="auto"/>
        <w:left w:val="none" w:sz="0" w:space="0" w:color="auto"/>
        <w:bottom w:val="none" w:sz="0" w:space="0" w:color="auto"/>
        <w:right w:val="none" w:sz="0" w:space="0" w:color="auto"/>
      </w:divBdr>
    </w:div>
    <w:div w:id="208685198">
      <w:bodyDiv w:val="1"/>
      <w:marLeft w:val="0"/>
      <w:marRight w:val="0"/>
      <w:marTop w:val="0"/>
      <w:marBottom w:val="0"/>
      <w:divBdr>
        <w:top w:val="none" w:sz="0" w:space="0" w:color="auto"/>
        <w:left w:val="none" w:sz="0" w:space="0" w:color="auto"/>
        <w:bottom w:val="none" w:sz="0" w:space="0" w:color="auto"/>
        <w:right w:val="none" w:sz="0" w:space="0" w:color="auto"/>
      </w:divBdr>
    </w:div>
    <w:div w:id="472723904">
      <w:bodyDiv w:val="1"/>
      <w:marLeft w:val="0"/>
      <w:marRight w:val="0"/>
      <w:marTop w:val="0"/>
      <w:marBottom w:val="0"/>
      <w:divBdr>
        <w:top w:val="none" w:sz="0" w:space="0" w:color="auto"/>
        <w:left w:val="none" w:sz="0" w:space="0" w:color="auto"/>
        <w:bottom w:val="none" w:sz="0" w:space="0" w:color="auto"/>
        <w:right w:val="none" w:sz="0" w:space="0" w:color="auto"/>
      </w:divBdr>
    </w:div>
    <w:div w:id="597371114">
      <w:bodyDiv w:val="1"/>
      <w:marLeft w:val="0"/>
      <w:marRight w:val="0"/>
      <w:marTop w:val="0"/>
      <w:marBottom w:val="0"/>
      <w:divBdr>
        <w:top w:val="none" w:sz="0" w:space="0" w:color="auto"/>
        <w:left w:val="none" w:sz="0" w:space="0" w:color="auto"/>
        <w:bottom w:val="none" w:sz="0" w:space="0" w:color="auto"/>
        <w:right w:val="none" w:sz="0" w:space="0" w:color="auto"/>
      </w:divBdr>
    </w:div>
    <w:div w:id="775516951">
      <w:bodyDiv w:val="1"/>
      <w:marLeft w:val="0"/>
      <w:marRight w:val="0"/>
      <w:marTop w:val="0"/>
      <w:marBottom w:val="0"/>
      <w:divBdr>
        <w:top w:val="none" w:sz="0" w:space="0" w:color="auto"/>
        <w:left w:val="none" w:sz="0" w:space="0" w:color="auto"/>
        <w:bottom w:val="none" w:sz="0" w:space="0" w:color="auto"/>
        <w:right w:val="none" w:sz="0" w:space="0" w:color="auto"/>
      </w:divBdr>
    </w:div>
    <w:div w:id="809397697">
      <w:bodyDiv w:val="1"/>
      <w:marLeft w:val="0"/>
      <w:marRight w:val="0"/>
      <w:marTop w:val="0"/>
      <w:marBottom w:val="0"/>
      <w:divBdr>
        <w:top w:val="none" w:sz="0" w:space="0" w:color="auto"/>
        <w:left w:val="none" w:sz="0" w:space="0" w:color="auto"/>
        <w:bottom w:val="none" w:sz="0" w:space="0" w:color="auto"/>
        <w:right w:val="none" w:sz="0" w:space="0" w:color="auto"/>
      </w:divBdr>
    </w:div>
    <w:div w:id="953175363">
      <w:bodyDiv w:val="1"/>
      <w:marLeft w:val="0"/>
      <w:marRight w:val="0"/>
      <w:marTop w:val="0"/>
      <w:marBottom w:val="0"/>
      <w:divBdr>
        <w:top w:val="none" w:sz="0" w:space="0" w:color="auto"/>
        <w:left w:val="none" w:sz="0" w:space="0" w:color="auto"/>
        <w:bottom w:val="none" w:sz="0" w:space="0" w:color="auto"/>
        <w:right w:val="none" w:sz="0" w:space="0" w:color="auto"/>
      </w:divBdr>
    </w:div>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475948343">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0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update-of-reporting-schedule-for-reporting-standard-ars-1150-capital-adequacy-standardised" TargetMode="External"/><Relationship Id="rId1" Type="http://schemas.openxmlformats.org/officeDocument/2006/relationships/hyperlink" Target="https://www.apra.gov.au/sites/default/files/APG-210%20Liquidit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RASecurityClassification xmlns="92a8a7e8-49a1-4017-acf0-0edc7cce208b">PROTECTED</APRASecurityClassification>
    <TaxCatchAll xmlns="92a8a7e8-49a1-4017-acf0-0edc7cce208b">
      <Value>265</Value>
      <Value>19</Value>
      <Value>234</Value>
    </TaxCatchAll>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d726035f-8ad9-4a90-be0c-8b54d1f23eca</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4E0B5-57C2-4781-900D-667EC70EB54A}">
  <ds:schemaRefs>
    <ds:schemaRef ds:uri="92a8a7e8-49a1-4017-acf0-0edc7cce208b"/>
    <ds:schemaRef ds:uri="http://purl.org/dc/elements/1.1/"/>
    <ds:schemaRef ds:uri="http://purl.org/dc/dcmitype/"/>
    <ds:schemaRef ds:uri="http://schemas.microsoft.com/office/2006/documentManagement/types"/>
    <ds:schemaRef ds:uri="http://www.w3.org/XML/1998/namespace"/>
    <ds:schemaRef ds:uri="http://purl.org/dc/terms/"/>
    <ds:schemaRef ds:uri="http://schemas.microsoft.com/sharepoint/v3"/>
    <ds:schemaRef ds:uri="http://schemas.openxmlformats.org/package/2006/metadata/core-properties"/>
    <ds:schemaRef ds:uri="http://schemas.microsoft.com/office/infopath/2007/PartnerControls"/>
    <ds:schemaRef ds:uri="f4148c6b-f494-43bd-afec-4c4bbfd3890b"/>
    <ds:schemaRef ds:uri="http://schemas.microsoft.com/office/2006/metadata/properties"/>
  </ds:schemaRefs>
</ds:datastoreItem>
</file>

<file path=customXml/itemProps2.xml><?xml version="1.0" encoding="utf-8"?>
<ds:datastoreItem xmlns:ds="http://schemas.openxmlformats.org/officeDocument/2006/customXml" ds:itemID="{C83A213E-9453-44F1-9AC3-5C77CEB69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2B5E3-353B-40B8-8010-F85DE7D3D72C}">
  <ds:schemaRefs>
    <ds:schemaRef ds:uri="http://schemas.openxmlformats.org/officeDocument/2006/bibliography"/>
  </ds:schemaRefs>
</ds:datastoreItem>
</file>

<file path=customXml/itemProps4.xml><?xml version="1.0" encoding="utf-8"?>
<ds:datastoreItem xmlns:ds="http://schemas.openxmlformats.org/officeDocument/2006/customXml" ds:itemID="{7F18D38C-D932-412C-95A6-68E40AD16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11</TotalTime>
  <Pages>8</Pages>
  <Words>2606</Words>
  <Characters>14623</Characters>
  <Application>Microsoft Office Word</Application>
  <DocSecurity>0</DocSecurity>
  <Lines>270</Lines>
  <Paragraphs>112</Paragraphs>
  <ScaleCrop>false</ScaleCrop>
  <HeadingPairs>
    <vt:vector size="2" baseType="variant">
      <vt:variant>
        <vt:lpstr>Title</vt:lpstr>
      </vt:variant>
      <vt:variant>
        <vt:i4>1</vt:i4>
      </vt:variant>
    </vt:vector>
  </HeadingPairs>
  <TitlesOfParts>
    <vt:vector size="1" baseType="lpstr">
      <vt:lpstr>ES - FSCOD RS determination No 1-10 of 2022</vt:lpstr>
    </vt:vector>
  </TitlesOfParts>
  <Company>APRA</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 RS determination No 1-10 of 2022</dc:title>
  <dc:creator>Sullivan, David</dc:creator>
  <cp:keywords>[SEC=OFFICIAL]</cp:keywords>
  <cp:lastModifiedBy>Eisha Farrukh</cp:lastModifiedBy>
  <cp:revision>2</cp:revision>
  <cp:lastPrinted>2019-11-29T01:09:00Z</cp:lastPrinted>
  <dcterms:created xsi:type="dcterms:W3CDTF">2024-04-24T00:29:00Z</dcterms:created>
  <dcterms:modified xsi:type="dcterms:W3CDTF">2024-04-24T00:29:00Z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2AA4AA9A97212FB728191B6C95EDE74320EF22CC</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2024-04-23T08:35:12Z</vt:lpwstr>
  </property>
  <property fmtid="{D5CDD505-2E9C-101B-9397-08002B2CF9AE}" pid="17" name="PM_Hash_Version">
    <vt:lpwstr>2022.1</vt:lpwstr>
  </property>
  <property fmtid="{D5CDD505-2E9C-101B-9397-08002B2CF9AE}" pid="18" name="PM_Hash_Salt_Prev">
    <vt:lpwstr>5F401A44E7C733BF93592D7B44F31119</vt:lpwstr>
  </property>
  <property fmtid="{D5CDD505-2E9C-101B-9397-08002B2CF9AE}" pid="19" name="PM_Hash_Salt">
    <vt:lpwstr>0C164930CC6044EB84E9C34C9F5FC06A</vt:lpwstr>
  </property>
  <property fmtid="{D5CDD505-2E9C-101B-9397-08002B2CF9AE}" pid="20" name="ContentTypeId">
    <vt:lpwstr>0x01010080D163DB4DEE504FAB457909715FEC45</vt:lpwstr>
  </property>
  <property fmtid="{D5CDD505-2E9C-101B-9397-08002B2CF9AE}" pid="21" name="APRAPeriod">
    <vt:lpwstr/>
  </property>
  <property fmtid="{D5CDD505-2E9C-101B-9397-08002B2CF9AE}" pid="22" name="APRACostCentre">
    <vt:lpwstr/>
  </property>
  <property fmtid="{D5CDD505-2E9C-101B-9397-08002B2CF9AE}" pid="23" name="APRAYear">
    <vt:lpwstr>171;#2018|337d548e-be9a-4363-bbb3-ec2b7c3daa90</vt:lpwstr>
  </property>
  <property fmtid="{D5CDD505-2E9C-101B-9397-08002B2CF9AE}" pid="24" name="APRAIndustry">
    <vt:lpwstr/>
  </property>
  <property fmtid="{D5CDD505-2E9C-101B-9397-08002B2CF9AE}" pid="25" name="APRAPRSG">
    <vt:lpwstr/>
  </property>
  <property fmtid="{D5CDD505-2E9C-101B-9397-08002B2CF9AE}" pid="26" name="_dlc_DocIdItemGuid">
    <vt:lpwstr>085c9f8e-62bf-4cf0-a5ae-6d68ec33e0e8</vt:lpwstr>
  </property>
  <property fmtid="{D5CDD505-2E9C-101B-9397-08002B2CF9AE}" pid="27" name="IsLocked">
    <vt:lpwstr>Yes</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265;#Reporting|d726035f-8ad9-4a90-be0c-8b54d1f23eca</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{e61cf571-d8ba-48f9-bb9b-0f5ffdbbeedc}</vt:lpwstr>
  </property>
  <property fmtid="{D5CDD505-2E9C-101B-9397-08002B2CF9AE}" pid="41" name="RecordPoint_ActiveItemUniqueId">
    <vt:lpwstr>{085c9f8e-62bf-4cf0-a5ae-6d68ec33e0e8}</vt:lpwstr>
  </property>
  <property fmtid="{D5CDD505-2E9C-101B-9397-08002B2CF9AE}" pid="42" name="RecordPoint_RecordNumberSubmitted">
    <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PM_SecurityClassification_Prev">
    <vt:lpwstr>PROTECTED</vt:lpwstr>
  </property>
  <property fmtid="{D5CDD505-2E9C-101B-9397-08002B2CF9AE}" pid="47" name="PM_Qualifier_Prev">
    <vt:lpwstr/>
  </property>
  <property fmtid="{D5CDD505-2E9C-101B-9397-08002B2CF9AE}" pid="48" name="PM_Note">
    <vt:lpwstr/>
  </property>
  <property fmtid="{D5CDD505-2E9C-101B-9397-08002B2CF9AE}" pid="49" name="PM_Markers">
    <vt:lpwstr/>
  </property>
  <property fmtid="{D5CDD505-2E9C-101B-9397-08002B2CF9AE}" pid="50" name="_docset_NoMedatataSyncRequired">
    <vt:lpwstr>False</vt:lpwstr>
  </property>
  <property fmtid="{D5CDD505-2E9C-101B-9397-08002B2CF9AE}" pid="51" name="PM_Display">
    <vt:lpwstr>OFFICIAL</vt:lpwstr>
  </property>
  <property fmtid="{D5CDD505-2E9C-101B-9397-08002B2CF9AE}" pid="52" name="PM_OriginatorUserAccountName_SHA256">
    <vt:lpwstr>6E3018F28A186D2E5FF5207C041E7A82E907C3008E071057026A53705873B72E</vt:lpwstr>
  </property>
  <property fmtid="{D5CDD505-2E9C-101B-9397-08002B2CF9AE}" pid="53" name="PM_OriginatorDomainName_SHA256">
    <vt:lpwstr>ECBDE2B44A971754412B3FB70606937A119CC0D4B6C1B658A40FBD41C30BE3EC</vt:lpwstr>
  </property>
  <property fmtid="{D5CDD505-2E9C-101B-9397-08002B2CF9AE}" pid="54" name="RecordPoint_SubmissionCompleted">
    <vt:lpwstr/>
  </property>
  <property fmtid="{D5CDD505-2E9C-101B-9397-08002B2CF9AE}" pid="55" name="PMUuid">
    <vt:lpwstr>v=2022.2;d=gov.au;g=46DD6D7C-8107-577B-BC6E-F348953B2E44</vt:lpwstr>
  </property>
  <property fmtid="{D5CDD505-2E9C-101B-9397-08002B2CF9AE}" pid="56" name="PMHMAC">
    <vt:lpwstr>v=2022.1;a=SHA256;h=F23D29408F4EE5ADE6F42DB025B5F0A8524A2239F425243D2172B17304A5A46B</vt:lpwstr>
  </property>
  <property fmtid="{D5CDD505-2E9C-101B-9397-08002B2CF9AE}" pid="57" name="MSIP_Label_c0129afb-6481-4f92-bc9f-5a4a6346364d_Method">
    <vt:lpwstr>Privileged</vt:lpwstr>
  </property>
  <property fmtid="{D5CDD505-2E9C-101B-9397-08002B2CF9AE}" pid="58" name="MSIP_Label_c0129afb-6481-4f92-bc9f-5a4a6346364d_SetDate">
    <vt:lpwstr>2024-04-23T08:35:12Z</vt:lpwstr>
  </property>
  <property fmtid="{D5CDD505-2E9C-101B-9397-08002B2CF9AE}" pid="59" name="MSIP_Label_c0129afb-6481-4f92-bc9f-5a4a6346364d_Name">
    <vt:lpwstr>OFFICIAL</vt:lpwstr>
  </property>
  <property fmtid="{D5CDD505-2E9C-101B-9397-08002B2CF9AE}" pid="60" name="MSIP_Label_c0129afb-6481-4f92-bc9f-5a4a6346364d_SiteId">
    <vt:lpwstr>c05e3ffd-b491-4431-9809-e61d4dc78816</vt:lpwstr>
  </property>
  <property fmtid="{D5CDD505-2E9C-101B-9397-08002B2CF9AE}" pid="61" name="MSIP_Label_c0129afb-6481-4f92-bc9f-5a4a6346364d_ContentBits">
    <vt:lpwstr>0</vt:lpwstr>
  </property>
  <property fmtid="{D5CDD505-2E9C-101B-9397-08002B2CF9AE}" pid="62" name="MSIP_Label_c0129afb-6481-4f92-bc9f-5a4a6346364d_Enabled">
    <vt:lpwstr>true</vt:lpwstr>
  </property>
  <property fmtid="{D5CDD505-2E9C-101B-9397-08002B2CF9AE}" pid="63" name="MSIP_Label_c0129afb-6481-4f92-bc9f-5a4a6346364d_ActionId">
    <vt:lpwstr>bba732bbe7cc4fc99cdc567d8a71387c</vt:lpwstr>
  </property>
</Properties>
</file>