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0F8596C9" w:rsidR="00BC6AC3" w:rsidRPr="00601B0E" w:rsidRDefault="00BC6AC3" w:rsidP="00BA4CCD">
      <w:pPr>
        <w:jc w:val="center"/>
        <w:rPr>
          <w:b/>
          <w:sz w:val="40"/>
          <w:szCs w:val="40"/>
        </w:rPr>
      </w:pPr>
    </w:p>
    <w:p w14:paraId="6C5417FB" w14:textId="77575586"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5B4BCC">
        <w:rPr>
          <w:b/>
          <w:sz w:val="40"/>
          <w:szCs w:val="40"/>
        </w:rPr>
        <w:t>35/0</w:t>
      </w:r>
      <w:r w:rsidR="005858A2">
        <w:rPr>
          <w:b/>
          <w:sz w:val="40"/>
          <w:szCs w:val="40"/>
        </w:rPr>
        <w:t>6</w:t>
      </w:r>
      <w:r w:rsidR="0035138A" w:rsidRPr="00601B0E">
        <w:rPr>
          <w:b/>
          <w:sz w:val="40"/>
          <w:szCs w:val="40"/>
        </w:rPr>
        <w:t xml:space="preserve"> </w:t>
      </w:r>
      <w:r w:rsidR="003A3E29" w:rsidRPr="00601B0E">
        <w:rPr>
          <w:b/>
          <w:sz w:val="40"/>
          <w:szCs w:val="40"/>
        </w:rPr>
        <w:t>–</w:t>
      </w:r>
      <w:r w:rsidR="009C484B" w:rsidRPr="009C484B">
        <w:rPr>
          <w:rFonts w:cs="Arial"/>
          <w:b/>
          <w:sz w:val="40"/>
        </w:rPr>
        <w:t xml:space="preserve"> </w:t>
      </w:r>
      <w:r w:rsidR="005B4BCC">
        <w:rPr>
          <w:rFonts w:cs="Arial"/>
          <w:b/>
          <w:sz w:val="40"/>
        </w:rPr>
        <w:t>Commercial Vehicle Brake Systems</w:t>
      </w:r>
      <w:r w:rsidR="0035138A" w:rsidRPr="00601B0E">
        <w:rPr>
          <w:b/>
          <w:sz w:val="40"/>
          <w:szCs w:val="40"/>
        </w:rPr>
        <w:t>) 20</w:t>
      </w:r>
      <w:r w:rsidR="005858A2">
        <w:rPr>
          <w:b/>
          <w:sz w:val="40"/>
          <w:szCs w:val="40"/>
        </w:rPr>
        <w:t>18 Amendment 1</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1D5D877" w:rsidR="00BA4F48" w:rsidRPr="00601B0E" w:rsidRDefault="00210266" w:rsidP="00D82CC0">
      <w:pPr>
        <w:jc w:val="center"/>
      </w:pPr>
      <w:r w:rsidRPr="00E7180C">
        <w:t xml:space="preserve">Approved by </w:t>
      </w:r>
      <w:r w:rsidRPr="00D215BC">
        <w:rPr>
          <w:rFonts w:eastAsia="Calibri"/>
        </w:rPr>
        <w:t xml:space="preserve">The Hon Kevin Hogan MP, </w:t>
      </w:r>
      <w:r w:rsidRPr="00D215BC">
        <w:t>Assistant Minister to the Deputy Prime Minister</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4C13C8C8" w:rsidR="00BA4F48" w:rsidRPr="00601B0E" w:rsidRDefault="00CF5945" w:rsidP="00BA4CCD">
      <w:pPr>
        <w:jc w:val="center"/>
        <w:rPr>
          <w:b/>
          <w:bCs/>
          <w:sz w:val="40"/>
        </w:rPr>
      </w:pPr>
      <w:r>
        <w:rPr>
          <w:b/>
          <w:bCs/>
          <w:sz w:val="40"/>
        </w:rPr>
        <w:t>Febr</w:t>
      </w:r>
      <w:r w:rsidR="004621EF">
        <w:rPr>
          <w:b/>
          <w:bCs/>
          <w:sz w:val="40"/>
        </w:rPr>
        <w:t>uary</w:t>
      </w:r>
      <w:r w:rsidR="00181511" w:rsidRPr="00601B0E">
        <w:rPr>
          <w:b/>
          <w:bCs/>
          <w:sz w:val="40"/>
        </w:rPr>
        <w:t xml:space="preserve"> </w:t>
      </w:r>
      <w:r w:rsidR="00CB1229">
        <w:rPr>
          <w:b/>
          <w:bCs/>
          <w:sz w:val="40"/>
        </w:rPr>
        <w:t>2022</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A509C1">
      <w:pPr>
        <w:pStyle w:val="ContentsHeading"/>
        <w:jc w:val="left"/>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5E71CB0B" w14:textId="01959EDE" w:rsidR="001C2EBF" w:rsidRDefault="001C2EB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14:paraId="4E8753E4" w14:textId="394A0D0E" w:rsidR="001C2EBF" w:rsidRDefault="001C2EB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14:paraId="38AA2513" w14:textId="090AACF9" w:rsidR="001C2EBF" w:rsidRDefault="001C2EB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t>3</w:t>
      </w:r>
    </w:p>
    <w:p w14:paraId="725D1C2C" w14:textId="4A616239" w:rsidR="001C2EBF" w:rsidRDefault="001C2EB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t>3</w:t>
      </w:r>
    </w:p>
    <w:p w14:paraId="790EAEC1" w14:textId="7F1E5B94" w:rsidR="001C2EBF" w:rsidRDefault="001C2EBF">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Effect of the Amendment</w:t>
      </w:r>
      <w:r>
        <w:rPr>
          <w:noProof/>
        </w:rPr>
        <w:tab/>
        <w:t>3</w:t>
      </w:r>
    </w:p>
    <w:p w14:paraId="43531C2C" w14:textId="14C57BEC" w:rsidR="001C2EBF" w:rsidRDefault="001C2EB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3</w:t>
      </w:r>
    </w:p>
    <w:p w14:paraId="666C99C6" w14:textId="0DDC59BF" w:rsidR="001C2EBF" w:rsidRDefault="001C2EB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t>3</w:t>
      </w:r>
    </w:p>
    <w:p w14:paraId="6F54404E" w14:textId="2EB3C25D" w:rsidR="001C2EBF" w:rsidRDefault="001C2EB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t>4</w:t>
      </w:r>
    </w:p>
    <w:p w14:paraId="0E33E873" w14:textId="5000D900" w:rsidR="001C2EBF" w:rsidRDefault="001C2EB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4</w:t>
      </w:r>
    </w:p>
    <w:p w14:paraId="78693DD8" w14:textId="0CDD147B" w:rsidR="001C2EBF" w:rsidRDefault="001C2EB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t>4</w:t>
      </w:r>
    </w:p>
    <w:p w14:paraId="78767EE7" w14:textId="12836768" w:rsidR="001C2EBF" w:rsidRDefault="001C2EB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t>4</w:t>
      </w:r>
    </w:p>
    <w:p w14:paraId="74EF526F" w14:textId="65DD63F2" w:rsidR="001C2EBF" w:rsidRDefault="001C2EB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t>4</w:t>
      </w:r>
    </w:p>
    <w:p w14:paraId="1C3A6988" w14:textId="131A8565" w:rsidR="001C2EBF" w:rsidRDefault="001C2EB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Regulation Impact Statement</w:t>
      </w:r>
      <w:r>
        <w:rPr>
          <w:noProof/>
        </w:rPr>
        <w:tab/>
        <w:t>4</w:t>
      </w:r>
    </w:p>
    <w:p w14:paraId="07EF4DF7" w14:textId="33F701EE" w:rsidR="001C2EBF" w:rsidRDefault="001C2EB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t>4</w:t>
      </w:r>
    </w:p>
    <w:p w14:paraId="028EC21E" w14:textId="5557B066" w:rsidR="001C2EBF" w:rsidRDefault="001C2EB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4</w:t>
      </w:r>
    </w:p>
    <w:p w14:paraId="39B9B404" w14:textId="54B96E43" w:rsidR="001C2EBF" w:rsidRDefault="001C2EB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t>4</w:t>
      </w:r>
    </w:p>
    <w:p w14:paraId="243BE35C" w14:textId="2F2E2FBF" w:rsidR="001C2EBF" w:rsidRDefault="001C2EB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t>5</w:t>
      </w:r>
    </w:p>
    <w:p w14:paraId="288E0C1A" w14:textId="16C5E692" w:rsidR="001C2EBF" w:rsidRDefault="001C2EBF">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t>5</w:t>
      </w:r>
    </w:p>
    <w:p w14:paraId="68ECACB8" w14:textId="41555473" w:rsidR="00C32942" w:rsidRPr="007D5A43" w:rsidRDefault="00C32942" w:rsidP="00C32942">
      <w:bookmarkStart w:id="0" w:name="_GoBack"/>
      <w:bookmarkEnd w:id="0"/>
    </w:p>
    <w:p w14:paraId="085BD5D6" w14:textId="20FFD1F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89682991"/>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p>
    <w:p w14:paraId="689A6081" w14:textId="5E60917A" w:rsidR="00E47396" w:rsidRPr="00E7180C" w:rsidRDefault="007F2456" w:rsidP="00E47396">
      <w:r w:rsidRPr="007F2456">
        <w:t xml:space="preserve">Vehicle Standard (Australian Design Rule </w:t>
      </w:r>
      <w:r w:rsidR="005B4BCC">
        <w:t>35/0</w:t>
      </w:r>
      <w:r w:rsidR="00B0650F">
        <w:t>6</w:t>
      </w:r>
      <w:r w:rsidRPr="007F2456">
        <w:t xml:space="preserve"> – </w:t>
      </w:r>
      <w:r w:rsidR="005B4BCC">
        <w:rPr>
          <w:szCs w:val="20"/>
        </w:rPr>
        <w:t>Commercial Vehicle Brake Systems</w:t>
      </w:r>
      <w:r w:rsidRPr="007F2456">
        <w:t>) 20</w:t>
      </w:r>
      <w:r w:rsidR="00B0650F">
        <w:t>18</w:t>
      </w:r>
      <w:r w:rsidRPr="007F2456">
        <w:t xml:space="preserve"> </w:t>
      </w:r>
      <w:r w:rsidR="00B0650F">
        <w:t>Amendment 1</w:t>
      </w:r>
      <w:r w:rsidR="00662BF8">
        <w:t xml:space="preserve"> </w:t>
      </w:r>
      <w:r w:rsidR="00B0650F">
        <w:t xml:space="preserve">(ADR 35/06 Amendment 1) </w:t>
      </w:r>
      <w:r w:rsidR="00861751" w:rsidRPr="00D215BC">
        <w:t xml:space="preserve">is made under section 12 of the </w:t>
      </w:r>
      <w:r w:rsidR="00861751" w:rsidRPr="00D215BC">
        <w:rPr>
          <w:i/>
        </w:rPr>
        <w:t>Road Vehicle Standards Act 2018</w:t>
      </w:r>
      <w:r w:rsidR="00861751" w:rsidRPr="00D215BC">
        <w:t xml:space="preserve"> (the RVSA). Section 12 of the RVSA allows the Minister to determine </w:t>
      </w:r>
      <w:r w:rsidR="00861751">
        <w:t>National Road Vehicle Standards</w:t>
      </w:r>
      <w:r w:rsidR="00E47396" w:rsidRPr="00E7180C">
        <w:t>.</w:t>
      </w:r>
    </w:p>
    <w:p w14:paraId="181EE9A1" w14:textId="4408CA31" w:rsidR="0018242E" w:rsidRPr="00E47396" w:rsidRDefault="00662BF8" w:rsidP="00E47396">
      <w:pPr>
        <w:pStyle w:val="HeadingLevel1"/>
      </w:pPr>
      <w:bookmarkStart w:id="10" w:name="_Toc46333217"/>
      <w:bookmarkStart w:id="11" w:name="_Toc46333471"/>
      <w:bookmarkStart w:id="12" w:name="_Toc46333625"/>
      <w:bookmarkStart w:id="13" w:name="_Toc46333790"/>
      <w:bookmarkStart w:id="14" w:name="_Toc46333904"/>
      <w:bookmarkStart w:id="15" w:name="_Toc46334640"/>
      <w:bookmarkStart w:id="16" w:name="_Toc89682992"/>
      <w:r w:rsidRPr="007D5A43">
        <w:t>Purpose and Operation</w:t>
      </w:r>
      <w:bookmarkStart w:id="17" w:name="_Toc167864613"/>
      <w:bookmarkStart w:id="18" w:name="_Toc505092260"/>
      <w:bookmarkStart w:id="19" w:name="_Toc46333218"/>
      <w:bookmarkStart w:id="20" w:name="_Toc46333472"/>
      <w:bookmarkStart w:id="21" w:name="_Toc46333626"/>
      <w:bookmarkStart w:id="22" w:name="_Toc46333791"/>
      <w:bookmarkStart w:id="23" w:name="_Toc46333905"/>
      <w:bookmarkStart w:id="24" w:name="_Toc46334641"/>
      <w:bookmarkEnd w:id="10"/>
      <w:bookmarkEnd w:id="11"/>
      <w:bookmarkEnd w:id="12"/>
      <w:bookmarkEnd w:id="13"/>
      <w:bookmarkEnd w:id="14"/>
      <w:bookmarkEnd w:id="15"/>
      <w:bookmarkEnd w:id="16"/>
    </w:p>
    <w:p w14:paraId="41BF3FD8" w14:textId="0AB50112" w:rsidR="00AB0CC5" w:rsidRDefault="00AB0CC5" w:rsidP="00F23EA6">
      <w:pPr>
        <w:pStyle w:val="HeadingLevel2"/>
      </w:pPr>
      <w:bookmarkStart w:id="25" w:name="_Toc89682993"/>
      <w:r>
        <w:t>Overview of the regulatory framework</w:t>
      </w:r>
      <w:bookmarkEnd w:id="25"/>
    </w:p>
    <w:p w14:paraId="29080F2C" w14:textId="6FE6F18C" w:rsidR="00AB0CC5" w:rsidRDefault="00AB0CC5" w:rsidP="00310C61">
      <w:r>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t>termined as national standards.</w:t>
      </w:r>
    </w:p>
    <w:p w14:paraId="5CF6BCA5" w14:textId="3431FA88" w:rsidR="00AB0CC5" w:rsidRDefault="00AB0CC5" w:rsidP="00310C61">
      <w:r>
        <w:t xml:space="preserve">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w:t>
      </w:r>
      <w:r w:rsidR="00FA24E3">
        <w:t xml:space="preserve"> </w:t>
      </w:r>
      <w:r>
        <w:t>Vehicles approved under these regulatory pathways can be provided to the market in Australia for use in transport.  ADRs apply equally to imported and locally manufactured vehicles</w:t>
      </w:r>
      <w:r w:rsidR="003442E9">
        <w:t>.</w:t>
      </w:r>
    </w:p>
    <w:p w14:paraId="26E79CFC" w14:textId="627E4A56" w:rsidR="00BA4F48" w:rsidRPr="00157E94" w:rsidRDefault="001F33B9" w:rsidP="00F23EA6">
      <w:pPr>
        <w:pStyle w:val="HeadingLevel2"/>
      </w:pPr>
      <w:bookmarkStart w:id="26" w:name="_Toc89682994"/>
      <w:bookmarkEnd w:id="17"/>
      <w:bookmarkEnd w:id="18"/>
      <w:bookmarkEnd w:id="19"/>
      <w:bookmarkEnd w:id="20"/>
      <w:bookmarkEnd w:id="21"/>
      <w:bookmarkEnd w:id="22"/>
      <w:bookmarkEnd w:id="23"/>
      <w:bookmarkEnd w:id="24"/>
      <w:r>
        <w:t>Overview</w:t>
      </w:r>
      <w:r w:rsidR="00D90682">
        <w:t xml:space="preserve"> of the ADR</w:t>
      </w:r>
      <w:bookmarkEnd w:id="26"/>
    </w:p>
    <w:p w14:paraId="11628731" w14:textId="0BB4FD32" w:rsidR="00D2712E" w:rsidRDefault="00D2712E" w:rsidP="00D2712E">
      <w:r>
        <w:t xml:space="preserve">The function of this vehicle standard is to ensure safe braking for commercial vehicles and large passenger vehicles under normal and emergency conditions.  The standard also contains provisions for some light passenger </w:t>
      </w:r>
      <w:r w:rsidR="009D5FC9">
        <w:t xml:space="preserve">and light goods </w:t>
      </w:r>
      <w:r>
        <w:t>vehicles.</w:t>
      </w:r>
    </w:p>
    <w:p w14:paraId="0BE91C93" w14:textId="0A929FCB" w:rsidR="00D2712E" w:rsidRPr="00F23EA6" w:rsidRDefault="00D2712E" w:rsidP="00F23EA6">
      <w:pPr>
        <w:pStyle w:val="HeadingLevel2"/>
      </w:pPr>
      <w:bookmarkStart w:id="27" w:name="_Toc89682995"/>
      <w:r w:rsidRPr="00F23EA6">
        <w:t>Effect of the Amendment</w:t>
      </w:r>
      <w:bookmarkEnd w:id="27"/>
    </w:p>
    <w:p w14:paraId="08F9E89B" w14:textId="0EED76A6" w:rsidR="00D2712E" w:rsidRDefault="00D2712E" w:rsidP="00D2712E">
      <w:r>
        <w:t xml:space="preserve">This amendment implements transition arrangements from this vehicle standard </w:t>
      </w:r>
      <w:r w:rsidR="0029575A">
        <w:t xml:space="preserve">(ADR 35/06) </w:t>
      </w:r>
      <w:r>
        <w:t>to a later vehicle standard</w:t>
      </w:r>
      <w:r w:rsidR="0029575A">
        <w:t xml:space="preserve"> (ADR 35/07)</w:t>
      </w:r>
      <w:r>
        <w:t>.  Under these arrangements, vehicles certified as complying to the new standard ADR 35/07 are not required to comply with ADR 35/06.</w:t>
      </w:r>
    </w:p>
    <w:p w14:paraId="297F7A2E" w14:textId="3667B049" w:rsidR="00844DC1" w:rsidRDefault="00D2712E" w:rsidP="00D2712E">
      <w:r>
        <w:t xml:space="preserve">This change does not affect the original intent of </w:t>
      </w:r>
      <w:r w:rsidR="00C145A6">
        <w:t>ADR 35/06,</w:t>
      </w:r>
      <w:r>
        <w:t xml:space="preserve"> but is essential to allow its correct operation in conjunction wi</w:t>
      </w:r>
      <w:r w:rsidR="00C145A6">
        <w:t>th ADR 35/07</w:t>
      </w:r>
      <w:r>
        <w:t>.</w:t>
      </w:r>
    </w:p>
    <w:p w14:paraId="19D6EBCB" w14:textId="77D377E8" w:rsidR="00297D5D" w:rsidRPr="00601B0E" w:rsidRDefault="00F57F19" w:rsidP="0082209F">
      <w:pPr>
        <w:pStyle w:val="HeadingLevel1"/>
      </w:pPr>
      <w:bookmarkStart w:id="28" w:name="_Toc89682996"/>
      <w:bookmarkStart w:id="29" w:name="_Toc167864615"/>
      <w:r>
        <w:t>Matter</w:t>
      </w:r>
      <w:r w:rsidR="004B7B18">
        <w:t>s</w:t>
      </w:r>
      <w:r w:rsidR="00BC27D6">
        <w:t xml:space="preserve"> </w:t>
      </w:r>
      <w:r w:rsidR="00BC27D6" w:rsidRPr="00601B0E">
        <w:t>Incorporated</w:t>
      </w:r>
      <w:r w:rsidR="00BC27D6">
        <w:t xml:space="preserve"> By Reference</w:t>
      </w:r>
      <w:bookmarkEnd w:id="28"/>
    </w:p>
    <w:p w14:paraId="59C1BDEB" w14:textId="1EE561CE" w:rsidR="004F64F7" w:rsidRPr="00457545" w:rsidRDefault="004F64F7" w:rsidP="00F23EA6">
      <w:pPr>
        <w:pStyle w:val="HeadingLevel2"/>
      </w:pPr>
      <w:bookmarkStart w:id="30" w:name="_Toc89682997"/>
      <w:r w:rsidRPr="00457545">
        <w:t xml:space="preserve">Legislative </w:t>
      </w:r>
      <w:r w:rsidRPr="00D328AB">
        <w:t>Instruments</w:t>
      </w:r>
      <w:bookmarkEnd w:id="30"/>
    </w:p>
    <w:p w14:paraId="7E01C951" w14:textId="0488ECE1" w:rsidR="00B74F7E" w:rsidRDefault="00B74F7E" w:rsidP="00CB7E70">
      <w:r>
        <w:t>Clause 3.10</w:t>
      </w:r>
      <w:r w:rsidR="00CB7E70">
        <w:t xml:space="preserve"> includes a reference to the Australian Design Rule </w:t>
      </w:r>
      <w:r>
        <w:t>35/07</w:t>
      </w:r>
      <w:r w:rsidR="00CB7E70">
        <w:t xml:space="preserve"> – </w:t>
      </w:r>
      <w:r>
        <w:t>Commercial Vehicle Brake Systems (ADR 35/07)</w:t>
      </w:r>
      <w:r w:rsidR="00CB7E70">
        <w:t xml:space="preserve">. </w:t>
      </w:r>
      <w:r w:rsidR="00395D7C">
        <w:t xml:space="preserve"> </w:t>
      </w:r>
      <w:r w:rsidR="00CB7E70">
        <w:t>ADR 3</w:t>
      </w:r>
      <w:r>
        <w:t>5/07</w:t>
      </w:r>
      <w:r w:rsidR="00CB7E70">
        <w:t xml:space="preserve"> prescribes </w:t>
      </w:r>
      <w:r w:rsidRPr="00B74F7E">
        <w:t xml:space="preserve">braking requirements on </w:t>
      </w:r>
      <w:r>
        <w:t xml:space="preserve">ADR category LEG, MB, MC, NA, NB, and NC vehicles, </w:t>
      </w:r>
      <w:r w:rsidRPr="00B74F7E">
        <w:t>to ensure safe braking under normal and emergency conditions.</w:t>
      </w:r>
    </w:p>
    <w:p w14:paraId="6AD4382F" w14:textId="0228CB3C" w:rsidR="00071B1F" w:rsidRDefault="00071B1F" w:rsidP="002B4A5A">
      <w:pPr>
        <w:keepNext/>
      </w:pPr>
      <w:r>
        <w:lastRenderedPageBreak/>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002F0A55">
        <w:t>.</w:t>
      </w:r>
    </w:p>
    <w:p w14:paraId="5CD60D19" w14:textId="159BB926" w:rsidR="009D77EA" w:rsidRDefault="0021151C" w:rsidP="009D77EA">
      <w:r>
        <w:t xml:space="preserve">In accordance with </w:t>
      </w:r>
      <w:r w:rsidR="00863FD7">
        <w:t xml:space="preserve">subsection </w:t>
      </w:r>
      <w:r w:rsidR="008E326F">
        <w:t>12(2)</w:t>
      </w:r>
      <w:r w:rsidR="00863FD7">
        <w:t xml:space="preserve"> of the </w:t>
      </w:r>
      <w:r w:rsidR="008E326F" w:rsidRPr="008E326F">
        <w:t>RVSA</w:t>
      </w:r>
      <w:r w:rsidR="00863FD7">
        <w:t xml:space="preserve">, </w:t>
      </w:r>
      <w:r w:rsidR="00D85F38">
        <w:t>this ADR 35/07 is</w:t>
      </w:r>
      <w:r w:rsidR="00863FD7" w:rsidRPr="00863FD7">
        <w:t xml:space="preserve"> incorporated as in force</w:t>
      </w:r>
      <w:r w:rsidR="00863FD7">
        <w:t xml:space="preserve"> </w:t>
      </w:r>
      <w:r w:rsidR="00863FD7" w:rsidRPr="00863FD7">
        <w:t>or existing from time to time</w:t>
      </w:r>
      <w:r w:rsidR="00863FD7">
        <w:t>.</w:t>
      </w:r>
    </w:p>
    <w:p w14:paraId="5E41F932" w14:textId="55E49CDC" w:rsidR="004F64F7" w:rsidRPr="00457545" w:rsidRDefault="004F64F7" w:rsidP="00F23EA6">
      <w:pPr>
        <w:pStyle w:val="HeadingLevel2"/>
      </w:pPr>
      <w:bookmarkStart w:id="31" w:name="_Toc89682998"/>
      <w:r w:rsidRPr="00457545">
        <w:t xml:space="preserve">Other </w:t>
      </w:r>
      <w:r w:rsidRPr="00D328AB">
        <w:t>Documents</w:t>
      </w:r>
      <w:bookmarkEnd w:id="31"/>
    </w:p>
    <w:p w14:paraId="3CE9C5CF" w14:textId="4CDD61D8" w:rsidR="006029A9" w:rsidRDefault="004B7712" w:rsidP="006029A9">
      <w:r>
        <w:t>This amendment does not incorporate any other documents by reference</w:t>
      </w:r>
      <w:r w:rsidR="006029A9" w:rsidRPr="00514C80">
        <w:t>.</w:t>
      </w:r>
    </w:p>
    <w:p w14:paraId="29EF8BC8" w14:textId="7826314C" w:rsidR="00BA4F48" w:rsidRPr="00601B0E" w:rsidRDefault="00132DC9" w:rsidP="00F16A72">
      <w:pPr>
        <w:pStyle w:val="HeadingLevel1"/>
      </w:pPr>
      <w:bookmarkStart w:id="32" w:name="_Toc504999786"/>
      <w:bookmarkStart w:id="33" w:name="_Toc504999787"/>
      <w:bookmarkStart w:id="34" w:name="_Toc504999788"/>
      <w:bookmarkStart w:id="35" w:name="_Toc505092263"/>
      <w:bookmarkStart w:id="36" w:name="_Toc46333221"/>
      <w:bookmarkStart w:id="37" w:name="_Toc46333475"/>
      <w:bookmarkStart w:id="38" w:name="_Toc46333629"/>
      <w:bookmarkStart w:id="39" w:name="_Toc46333794"/>
      <w:bookmarkStart w:id="40" w:name="_Toc46333908"/>
      <w:bookmarkStart w:id="41" w:name="_Toc46334644"/>
      <w:bookmarkStart w:id="42" w:name="_Toc89682999"/>
      <w:bookmarkEnd w:id="32"/>
      <w:bookmarkEnd w:id="33"/>
      <w:bookmarkEnd w:id="34"/>
      <w:r>
        <w:t>Consultation</w:t>
      </w:r>
      <w:bookmarkEnd w:id="29"/>
      <w:bookmarkEnd w:id="35"/>
      <w:bookmarkEnd w:id="36"/>
      <w:bookmarkEnd w:id="37"/>
      <w:bookmarkEnd w:id="38"/>
      <w:bookmarkEnd w:id="39"/>
      <w:bookmarkEnd w:id="40"/>
      <w:bookmarkEnd w:id="41"/>
      <w:bookmarkEnd w:id="42"/>
    </w:p>
    <w:p w14:paraId="76A6CDC9" w14:textId="470A590C" w:rsidR="00767207" w:rsidRPr="00C6692A" w:rsidRDefault="00626DBC" w:rsidP="00F23EA6">
      <w:pPr>
        <w:pStyle w:val="HeadingLevel2"/>
      </w:pPr>
      <w:bookmarkStart w:id="43" w:name="_Toc167864617"/>
      <w:bookmarkStart w:id="44" w:name="_Toc505092265"/>
      <w:bookmarkStart w:id="45" w:name="_Toc46333223"/>
      <w:bookmarkStart w:id="46" w:name="_Toc46333477"/>
      <w:bookmarkStart w:id="47" w:name="_Toc46333631"/>
      <w:bookmarkStart w:id="48" w:name="_Toc46333796"/>
      <w:bookmarkStart w:id="49" w:name="_Toc46333910"/>
      <w:bookmarkStart w:id="50" w:name="_Toc46334646"/>
      <w:bookmarkStart w:id="51" w:name="_Toc89683000"/>
      <w:r w:rsidRPr="00C6692A">
        <w:t>General Consultation Arrangements</w:t>
      </w:r>
      <w:bookmarkEnd w:id="43"/>
      <w:bookmarkEnd w:id="44"/>
      <w:bookmarkEnd w:id="45"/>
      <w:bookmarkEnd w:id="46"/>
      <w:bookmarkEnd w:id="47"/>
      <w:bookmarkEnd w:id="48"/>
      <w:bookmarkEnd w:id="49"/>
      <w:bookmarkEnd w:id="50"/>
      <w:bookmarkEnd w:id="51"/>
    </w:p>
    <w:p w14:paraId="3B759C93" w14:textId="77777777" w:rsidR="00861751" w:rsidRDefault="00861751" w:rsidP="00861751">
      <w:bookmarkStart w:id="52" w:name="_Toc167864618"/>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A43F435" w14:textId="2A048DEB" w:rsidR="00C14345" w:rsidRPr="00601B0E" w:rsidRDefault="00861751" w:rsidP="00861751">
      <w:r>
        <w:t xml:space="preserve">Proposals that are regarded as significant need to be supported by a Regulation Impact Statement (RIS) meeting the requirements of the Office of Best Practice Regulation (OBPR) as published in the </w:t>
      </w:r>
      <w:r w:rsidRPr="00861751">
        <w:rPr>
          <w:i/>
        </w:rPr>
        <w:t>Australian Government Guide to Regulatory Impact Analysis</w:t>
      </w:r>
      <w:r>
        <w:t xml:space="preserve"> or the </w:t>
      </w:r>
      <w:r w:rsidRPr="00861751">
        <w:rPr>
          <w:i/>
        </w:rPr>
        <w:t>Regulatory Impact Analysis Guide for Ministers’ Meetings and National Standard Setting Bodies</w:t>
      </w:r>
      <w:r>
        <w:t>.</w:t>
      </w:r>
    </w:p>
    <w:p w14:paraId="4BFC7D8E" w14:textId="7294FEFF" w:rsidR="00066F93" w:rsidRPr="00EB3127" w:rsidRDefault="00BA4F48" w:rsidP="00F23EA6">
      <w:pPr>
        <w:pStyle w:val="HeadingLevel2"/>
      </w:pPr>
      <w:bookmarkStart w:id="53" w:name="_Toc505092266"/>
      <w:bookmarkStart w:id="54" w:name="_Toc46333224"/>
      <w:bookmarkStart w:id="55" w:name="_Toc46333478"/>
      <w:bookmarkStart w:id="56" w:name="_Toc46333632"/>
      <w:bookmarkStart w:id="57" w:name="_Toc46333797"/>
      <w:bookmarkStart w:id="58" w:name="_Toc46333911"/>
      <w:bookmarkStart w:id="59" w:name="_Toc46334647"/>
      <w:bookmarkStart w:id="60" w:name="_Toc89683001"/>
      <w:r w:rsidRPr="00EB3127">
        <w:t xml:space="preserve">Specific Consultation </w:t>
      </w:r>
      <w:r w:rsidRPr="00D328AB">
        <w:t>Arrangements</w:t>
      </w:r>
      <w:bookmarkEnd w:id="52"/>
      <w:bookmarkEnd w:id="53"/>
      <w:bookmarkEnd w:id="54"/>
      <w:bookmarkEnd w:id="55"/>
      <w:bookmarkEnd w:id="56"/>
      <w:bookmarkEnd w:id="57"/>
      <w:bookmarkEnd w:id="58"/>
      <w:bookmarkEnd w:id="59"/>
      <w:bookmarkEnd w:id="60"/>
    </w:p>
    <w:p w14:paraId="252DA8A0" w14:textId="09E4ED6A" w:rsidR="00567C71" w:rsidRDefault="002D787E" w:rsidP="00567C71">
      <w:bookmarkStart w:id="61" w:name="_Toc318271645"/>
      <w:bookmarkStart w:id="62" w:name="_Toc317171517"/>
      <w:bookmarkStart w:id="63" w:name="_Toc317171391"/>
      <w:bookmarkStart w:id="64" w:name="_Toc317158948"/>
      <w:bookmarkStart w:id="65" w:name="_Toc318272904"/>
      <w:bookmarkStart w:id="66" w:name="_Toc319402529"/>
      <w:r w:rsidRPr="002D787E">
        <w:t xml:space="preserve">This amendment is related </w:t>
      </w:r>
      <w:r>
        <w:t xml:space="preserve">to the introduction of </w:t>
      </w:r>
      <w:r w:rsidR="00D85F38">
        <w:t>ADR 35/07</w:t>
      </w:r>
      <w:r w:rsidRPr="002D787E">
        <w:t>.  As it is minor in nature, and does not affect the requirements of the ADR, further consultation was not considered necessary and so no</w:t>
      </w:r>
      <w:r>
        <w:t>t carried out</w:t>
      </w:r>
      <w:r w:rsidR="00567C71">
        <w:t>.</w:t>
      </w:r>
    </w:p>
    <w:p w14:paraId="6C19A228" w14:textId="45AD88B3" w:rsidR="00132DC9" w:rsidRDefault="00132DC9" w:rsidP="00C82F60">
      <w:pPr>
        <w:pStyle w:val="HeadingLevel1"/>
      </w:pPr>
      <w:bookmarkStart w:id="67" w:name="_Toc89683002"/>
      <w:bookmarkStart w:id="68" w:name="_Toc505092267"/>
      <w:bookmarkStart w:id="69" w:name="_Toc46333225"/>
      <w:bookmarkStart w:id="70" w:name="_Toc46333479"/>
      <w:bookmarkStart w:id="71" w:name="_Toc46333633"/>
      <w:bookmarkStart w:id="72" w:name="_Toc46333798"/>
      <w:bookmarkStart w:id="73" w:name="_Toc46333912"/>
      <w:bookmarkStart w:id="74" w:name="_Toc46334648"/>
      <w:r>
        <w:t>Regulatory I</w:t>
      </w:r>
      <w:r w:rsidR="00D929FE">
        <w:t>mpact</w:t>
      </w:r>
      <w:bookmarkEnd w:id="67"/>
    </w:p>
    <w:p w14:paraId="3DC50748" w14:textId="77777777" w:rsidR="00822357" w:rsidRDefault="00822357" w:rsidP="00F23EA6">
      <w:pPr>
        <w:pStyle w:val="HeadingLevel2"/>
      </w:pPr>
      <w:bookmarkStart w:id="75" w:name="_Toc89683003"/>
      <w:bookmarkStart w:id="76" w:name="_Toc167864616"/>
      <w:bookmarkStart w:id="77" w:name="_Toc505092264"/>
      <w:bookmarkStart w:id="78" w:name="_Toc46333222"/>
      <w:bookmarkStart w:id="79" w:name="_Toc46333476"/>
      <w:bookmarkStart w:id="80" w:name="_Toc46333630"/>
      <w:bookmarkStart w:id="81" w:name="_Toc46333795"/>
      <w:bookmarkStart w:id="82" w:name="_Toc46333909"/>
      <w:bookmarkStart w:id="83" w:name="_Toc46334645"/>
      <w:r w:rsidRPr="00C675F7">
        <w:t>Regulation Impact Statement</w:t>
      </w:r>
      <w:bookmarkEnd w:id="75"/>
    </w:p>
    <w:p w14:paraId="4AB5190A" w14:textId="796B0C31" w:rsidR="00822357" w:rsidRPr="00D46733" w:rsidRDefault="003522FB" w:rsidP="00822357">
      <w:pPr>
        <w:rPr>
          <w:highlight w:val="green"/>
        </w:rPr>
      </w:pPr>
      <w:r w:rsidRPr="003522FB">
        <w:t>As the amendment is purely administrative in nature and does not increase the stringency of</w:t>
      </w:r>
      <w:r>
        <w:t xml:space="preserve"> the ADR, a RIS is not required</w:t>
      </w:r>
      <w:r w:rsidR="00822357" w:rsidRPr="00B22AFC">
        <w:t>.</w:t>
      </w:r>
    </w:p>
    <w:p w14:paraId="7510819A" w14:textId="05720058" w:rsidR="00132DC9" w:rsidRPr="00C675F7" w:rsidRDefault="00132DC9" w:rsidP="00F23EA6">
      <w:pPr>
        <w:pStyle w:val="HeadingLevel2"/>
      </w:pPr>
      <w:bookmarkStart w:id="84" w:name="_Toc89683004"/>
      <w:r w:rsidRPr="00C675F7">
        <w:t>B</w:t>
      </w:r>
      <w:bookmarkEnd w:id="76"/>
      <w:r w:rsidRPr="00C675F7">
        <w:t>enefits and Costs</w:t>
      </w:r>
      <w:bookmarkEnd w:id="77"/>
      <w:bookmarkEnd w:id="78"/>
      <w:bookmarkEnd w:id="79"/>
      <w:bookmarkEnd w:id="80"/>
      <w:bookmarkEnd w:id="81"/>
      <w:bookmarkEnd w:id="82"/>
      <w:bookmarkEnd w:id="83"/>
      <w:bookmarkEnd w:id="84"/>
    </w:p>
    <w:p w14:paraId="66E908F9" w14:textId="0821DE6A" w:rsidR="002C7C2B" w:rsidRDefault="003522FB" w:rsidP="002C7C2B">
      <w:pPr>
        <w:keepLines/>
      </w:pPr>
      <w:r>
        <w:t>A</w:t>
      </w:r>
      <w:r w:rsidRPr="003522FB">
        <w:t xml:space="preserve">s </w:t>
      </w:r>
      <w:r>
        <w:t xml:space="preserve">this amendment does not </w:t>
      </w:r>
      <w:r w:rsidRPr="003522FB">
        <w:t>affect the requirements of the ADR</w:t>
      </w:r>
      <w:r>
        <w:t>, t</w:t>
      </w:r>
      <w:r w:rsidRPr="003522FB">
        <w:t xml:space="preserve">here </w:t>
      </w:r>
      <w:r>
        <w:t>are</w:t>
      </w:r>
      <w:r w:rsidRPr="003522FB">
        <w:t xml:space="preserve"> no expected </w:t>
      </w:r>
      <w:r>
        <w:t>changes in the benefits or costs for society</w:t>
      </w:r>
      <w:r w:rsidR="00524806">
        <w:t>.</w:t>
      </w:r>
    </w:p>
    <w:p w14:paraId="36369E34" w14:textId="5376C385" w:rsidR="00586887" w:rsidRPr="00601B0E" w:rsidRDefault="00586887" w:rsidP="00D17480">
      <w:pPr>
        <w:pStyle w:val="HeadingLevel1"/>
      </w:pPr>
      <w:bookmarkStart w:id="85" w:name="_Toc89683005"/>
      <w:r w:rsidRPr="00601B0E">
        <w:t xml:space="preserve">STATEMENT OF COMPATIBILITY WITH </w:t>
      </w:r>
      <w:r w:rsidRPr="00D328AB">
        <w:t>HUMAN</w:t>
      </w:r>
      <w:r w:rsidRPr="00601B0E">
        <w:t xml:space="preserve"> RIGHTS</w:t>
      </w:r>
      <w:bookmarkEnd w:id="61"/>
      <w:bookmarkEnd w:id="62"/>
      <w:bookmarkEnd w:id="63"/>
      <w:bookmarkEnd w:id="64"/>
      <w:bookmarkEnd w:id="65"/>
      <w:bookmarkEnd w:id="66"/>
      <w:bookmarkEnd w:id="68"/>
      <w:bookmarkEnd w:id="69"/>
      <w:bookmarkEnd w:id="70"/>
      <w:bookmarkEnd w:id="71"/>
      <w:bookmarkEnd w:id="72"/>
      <w:bookmarkEnd w:id="73"/>
      <w:bookmarkEnd w:id="74"/>
      <w:bookmarkEnd w:id="85"/>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F23EA6">
      <w:pPr>
        <w:pStyle w:val="HeadingLevel2"/>
      </w:pPr>
      <w:bookmarkStart w:id="86" w:name="_Toc318271646"/>
      <w:bookmarkStart w:id="87" w:name="_Toc317171518"/>
      <w:bookmarkStart w:id="88" w:name="_Toc317171392"/>
      <w:bookmarkStart w:id="89" w:name="_Toc318272905"/>
      <w:bookmarkStart w:id="90" w:name="_Toc319402530"/>
      <w:bookmarkStart w:id="91" w:name="_Toc505092268"/>
      <w:bookmarkStart w:id="92" w:name="_Toc46333226"/>
      <w:bookmarkStart w:id="93" w:name="_Toc46333480"/>
      <w:bookmarkStart w:id="94" w:name="_Toc46333634"/>
      <w:bookmarkStart w:id="95" w:name="_Toc46333799"/>
      <w:bookmarkStart w:id="96" w:name="_Toc46333913"/>
      <w:bookmarkStart w:id="97" w:name="_Toc46334649"/>
      <w:bookmarkStart w:id="98" w:name="_Toc89683006"/>
      <w:r w:rsidRPr="00C675F7">
        <w:t>Overview</w:t>
      </w:r>
      <w:bookmarkEnd w:id="86"/>
      <w:bookmarkEnd w:id="87"/>
      <w:bookmarkEnd w:id="88"/>
      <w:bookmarkEnd w:id="89"/>
      <w:bookmarkEnd w:id="90"/>
      <w:bookmarkEnd w:id="91"/>
      <w:bookmarkEnd w:id="92"/>
      <w:bookmarkEnd w:id="93"/>
      <w:bookmarkEnd w:id="94"/>
      <w:bookmarkEnd w:id="95"/>
      <w:bookmarkEnd w:id="96"/>
      <w:bookmarkEnd w:id="97"/>
      <w:bookmarkEnd w:id="98"/>
    </w:p>
    <w:p w14:paraId="53DA3F66" w14:textId="5C33CDAB" w:rsidR="00586887" w:rsidRPr="00601B0E" w:rsidRDefault="00D62E6F" w:rsidP="00D82CC0">
      <w:r w:rsidRPr="00D62E6F">
        <w:t>This amendment allows for a transition between ADR 35/0</w:t>
      </w:r>
      <w:r>
        <w:t>6</w:t>
      </w:r>
      <w:r w:rsidRPr="00D62E6F">
        <w:t xml:space="preserve"> and the later version ADR 35/0</w:t>
      </w:r>
      <w:r>
        <w:t>7</w:t>
      </w:r>
      <w:r w:rsidRPr="00D62E6F">
        <w:t>.  It does not affect the original intent or operation of the standard.</w:t>
      </w:r>
    </w:p>
    <w:p w14:paraId="76BF1088" w14:textId="5B58E35F" w:rsidR="00586887" w:rsidRPr="00C675F7" w:rsidRDefault="00586887" w:rsidP="00F23EA6">
      <w:pPr>
        <w:pStyle w:val="HeadingLevel2"/>
      </w:pPr>
      <w:bookmarkStart w:id="99" w:name="_Toc318271647"/>
      <w:bookmarkStart w:id="100" w:name="_Toc317171519"/>
      <w:bookmarkStart w:id="101" w:name="_Toc317171393"/>
      <w:bookmarkStart w:id="102" w:name="_Toc318272906"/>
      <w:bookmarkStart w:id="103" w:name="_Toc319402531"/>
      <w:bookmarkStart w:id="104" w:name="_Toc505092269"/>
      <w:bookmarkStart w:id="105" w:name="_Toc46333227"/>
      <w:bookmarkStart w:id="106" w:name="_Toc46333481"/>
      <w:bookmarkStart w:id="107" w:name="_Toc46333635"/>
      <w:bookmarkStart w:id="108" w:name="_Toc46333800"/>
      <w:bookmarkStart w:id="109" w:name="_Toc46333914"/>
      <w:bookmarkStart w:id="110" w:name="_Toc46334650"/>
      <w:bookmarkStart w:id="111" w:name="_Toc89683007"/>
      <w:r w:rsidRPr="00C675F7">
        <w:lastRenderedPageBreak/>
        <w:t>Human Rights Implications</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1AEA2180" w14:textId="115197AA" w:rsidR="00586887" w:rsidRPr="00601B0E" w:rsidRDefault="00D62E6F" w:rsidP="00D82CC0">
      <w:r>
        <w:t xml:space="preserve">This amendment to </w:t>
      </w:r>
      <w:r w:rsidR="002D7E26" w:rsidRPr="00601B0E">
        <w:t xml:space="preserve">ADR </w:t>
      </w:r>
      <w:r w:rsidR="005B4BCC">
        <w:t>35/0</w:t>
      </w:r>
      <w:r>
        <w:t>6</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F23EA6">
      <w:pPr>
        <w:pStyle w:val="HeadingLevel2"/>
      </w:pPr>
      <w:bookmarkStart w:id="112" w:name="_Toc319402532"/>
      <w:bookmarkStart w:id="113" w:name="_Toc505092270"/>
      <w:bookmarkStart w:id="114" w:name="_Toc46333228"/>
      <w:bookmarkStart w:id="115" w:name="_Toc46333482"/>
      <w:bookmarkStart w:id="116" w:name="_Toc46333636"/>
      <w:bookmarkStart w:id="117" w:name="_Toc46333801"/>
      <w:bookmarkStart w:id="118" w:name="_Toc46333915"/>
      <w:bookmarkStart w:id="119" w:name="_Toc46334651"/>
      <w:bookmarkStart w:id="120" w:name="_Toc89683008"/>
      <w:r w:rsidRPr="00C675F7">
        <w:t>Conclusion</w:t>
      </w:r>
      <w:bookmarkEnd w:id="112"/>
      <w:bookmarkEnd w:id="113"/>
      <w:bookmarkEnd w:id="114"/>
      <w:bookmarkEnd w:id="115"/>
      <w:bookmarkEnd w:id="116"/>
      <w:bookmarkEnd w:id="117"/>
      <w:bookmarkEnd w:id="118"/>
      <w:bookmarkEnd w:id="119"/>
      <w:bookmarkEnd w:id="120"/>
    </w:p>
    <w:p w14:paraId="5096BDDD" w14:textId="6FE9BA60" w:rsidR="002D7277" w:rsidRPr="00601B0E" w:rsidRDefault="00D62E6F" w:rsidP="00D82CC0">
      <w:r>
        <w:t xml:space="preserve">This amendment to </w:t>
      </w:r>
      <w:r w:rsidR="00586887" w:rsidRPr="00601B0E">
        <w:t xml:space="preserve">ADR </w:t>
      </w:r>
      <w:r w:rsidR="005B4BCC">
        <w:t>35/0</w:t>
      </w:r>
      <w:r>
        <w:t>6</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7938"/>
      <w:gridCol w:w="567"/>
    </w:tblGrid>
    <w:tr w:rsidR="00291DBB" w:rsidRPr="005F7AFE" w14:paraId="43980155" w14:textId="77777777" w:rsidTr="00CD00C3">
      <w:tc>
        <w:tcPr>
          <w:tcW w:w="7938" w:type="dxa"/>
          <w:shd w:val="clear" w:color="auto" w:fill="auto"/>
          <w:vAlign w:val="center"/>
        </w:tcPr>
        <w:p w14:paraId="79684811" w14:textId="32B52F54" w:rsidR="00291DBB" w:rsidRPr="008A05F7" w:rsidRDefault="00291DBB" w:rsidP="00CB1229">
          <w:pPr>
            <w:pStyle w:val="Header"/>
            <w:spacing w:before="0" w:after="0"/>
            <w:rPr>
              <w:szCs w:val="20"/>
            </w:rPr>
          </w:pPr>
          <w:r w:rsidRPr="00DC33CF">
            <w:t>Vehicle Standard (</w:t>
          </w:r>
          <w:r w:rsidRPr="00A03992">
            <w:rPr>
              <w:szCs w:val="20"/>
            </w:rPr>
            <w:t xml:space="preserve">Australian Design Rule </w:t>
          </w:r>
          <w:r w:rsidR="005B4BCC">
            <w:rPr>
              <w:szCs w:val="20"/>
            </w:rPr>
            <w:t>35/0</w:t>
          </w:r>
          <w:r w:rsidR="00CB1229">
            <w:rPr>
              <w:szCs w:val="20"/>
            </w:rPr>
            <w:t>6</w:t>
          </w:r>
          <w:r w:rsidRPr="00A03992">
            <w:rPr>
              <w:szCs w:val="20"/>
            </w:rPr>
            <w:t xml:space="preserve"> </w:t>
          </w:r>
          <w:r>
            <w:rPr>
              <w:szCs w:val="20"/>
            </w:rPr>
            <w:t xml:space="preserve">– </w:t>
          </w:r>
          <w:r w:rsidR="00BC3194">
            <w:rPr>
              <w:szCs w:val="20"/>
            </w:rPr>
            <w:t>Commercial Vehicle Brake Systems</w:t>
          </w:r>
          <w:r>
            <w:t>) 20</w:t>
          </w:r>
          <w:r w:rsidR="00CB1229">
            <w:t>18 Amendment 1</w:t>
          </w:r>
        </w:p>
      </w:tc>
      <w:tc>
        <w:tcPr>
          <w:tcW w:w="567" w:type="dxa"/>
          <w:vMerge w:val="restart"/>
          <w:shd w:val="clear" w:color="auto" w:fill="auto"/>
        </w:tcPr>
        <w:p w14:paraId="30A1A086" w14:textId="2F9136C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CF5945">
            <w:rPr>
              <w:noProof/>
              <w:spacing w:val="-2"/>
              <w:sz w:val="20"/>
              <w:szCs w:val="20"/>
              <w:lang w:val="x-none" w:eastAsia="x-none"/>
            </w:rPr>
            <w:t>5</w:t>
          </w:r>
          <w:r w:rsidRPr="005F7AFE">
            <w:rPr>
              <w:spacing w:val="-2"/>
              <w:sz w:val="20"/>
              <w:szCs w:val="20"/>
              <w:lang w:val="x-none" w:eastAsia="x-none"/>
            </w:rPr>
            <w:fldChar w:fldCharType="end"/>
          </w:r>
        </w:p>
      </w:tc>
    </w:tr>
    <w:tr w:rsidR="00291DBB" w:rsidRPr="005F7AFE" w14:paraId="62A54882" w14:textId="77777777" w:rsidTr="00CD00C3">
      <w:tc>
        <w:tcPr>
          <w:tcW w:w="7938" w:type="dxa"/>
          <w:tcBorders>
            <w:bottom w:val="single" w:sz="4" w:space="0" w:color="auto"/>
          </w:tcBorders>
          <w:shd w:val="clear" w:color="auto" w:fill="auto"/>
          <w:vAlign w:val="center"/>
        </w:tcPr>
        <w:p w14:paraId="3977ECC0" w14:textId="77777777" w:rsidR="00291DBB" w:rsidRPr="00DC33CF" w:rsidRDefault="00291DBB" w:rsidP="00291DBB">
          <w:pPr>
            <w:pStyle w:val="Header"/>
            <w:spacing w:before="0" w:after="0"/>
          </w:pPr>
          <w:r>
            <w:t>Explanatory Statement</w:t>
          </w:r>
        </w:p>
      </w:tc>
      <w:tc>
        <w:tcPr>
          <w:tcW w:w="567" w:type="dxa"/>
          <w:vMerge/>
          <w:tcBorders>
            <w:bottom w:val="single" w:sz="4" w:space="0" w:color="auto"/>
          </w:tcBorders>
          <w:shd w:val="clear" w:color="auto" w:fill="auto"/>
          <w:vAlign w:val="center"/>
        </w:tcPr>
        <w:p w14:paraId="48C2578B" w14:textId="7777777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7938"/>
      <w:gridCol w:w="567"/>
    </w:tblGrid>
    <w:tr w:rsidR="002E5381" w:rsidRPr="005F7AFE" w14:paraId="7C051931" w14:textId="77777777" w:rsidTr="002E5381">
      <w:tc>
        <w:tcPr>
          <w:tcW w:w="7938" w:type="dxa"/>
          <w:shd w:val="clear" w:color="auto" w:fill="auto"/>
          <w:vAlign w:val="center"/>
        </w:tcPr>
        <w:p w14:paraId="21E90C87" w14:textId="189D180E" w:rsidR="002E5381" w:rsidRPr="008A05F7" w:rsidRDefault="002E5381" w:rsidP="005858A2">
          <w:pPr>
            <w:pStyle w:val="Header"/>
            <w:spacing w:before="0" w:after="0"/>
            <w:rPr>
              <w:szCs w:val="20"/>
            </w:rPr>
          </w:pPr>
          <w:r w:rsidRPr="00DC33CF">
            <w:t>Vehicle Standard (</w:t>
          </w:r>
          <w:r w:rsidRPr="00A03992">
            <w:rPr>
              <w:szCs w:val="20"/>
            </w:rPr>
            <w:t xml:space="preserve">Australian Design Rule </w:t>
          </w:r>
          <w:r w:rsidR="005B4BCC">
            <w:rPr>
              <w:szCs w:val="20"/>
            </w:rPr>
            <w:t>35/0</w:t>
          </w:r>
          <w:r w:rsidR="005858A2">
            <w:rPr>
              <w:szCs w:val="20"/>
            </w:rPr>
            <w:t>6</w:t>
          </w:r>
          <w:r w:rsidRPr="00A03992">
            <w:rPr>
              <w:szCs w:val="20"/>
            </w:rPr>
            <w:t xml:space="preserve"> </w:t>
          </w:r>
          <w:r>
            <w:rPr>
              <w:szCs w:val="20"/>
            </w:rPr>
            <w:t xml:space="preserve">– </w:t>
          </w:r>
          <w:r w:rsidR="005B4BCC">
            <w:rPr>
              <w:szCs w:val="20"/>
            </w:rPr>
            <w:t>Commercial Vehicle Brake Systems</w:t>
          </w:r>
          <w:r>
            <w:t>) 20</w:t>
          </w:r>
          <w:r w:rsidR="005858A2">
            <w:t>18 Amendment 1</w:t>
          </w:r>
        </w:p>
      </w:tc>
      <w:tc>
        <w:tcPr>
          <w:tcW w:w="567" w:type="dxa"/>
          <w:vMerge w:val="restart"/>
          <w:shd w:val="clear" w:color="auto" w:fill="auto"/>
        </w:tcPr>
        <w:p w14:paraId="04924F9E" w14:textId="40B7FABC" w:rsidR="002E5381" w:rsidRPr="005F7AFE" w:rsidRDefault="002E5381" w:rsidP="002E5381">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A403AD">
            <w:rPr>
              <w:noProof/>
              <w:spacing w:val="-2"/>
              <w:sz w:val="20"/>
              <w:szCs w:val="20"/>
              <w:lang w:val="x-none" w:eastAsia="x-none"/>
            </w:rPr>
            <w:t>2</w:t>
          </w:r>
          <w:r w:rsidRPr="005F7AFE">
            <w:rPr>
              <w:spacing w:val="-2"/>
              <w:sz w:val="20"/>
              <w:szCs w:val="20"/>
              <w:lang w:val="x-none" w:eastAsia="x-none"/>
            </w:rPr>
            <w:fldChar w:fldCharType="end"/>
          </w:r>
        </w:p>
      </w:tc>
    </w:tr>
    <w:tr w:rsidR="002E5381" w:rsidRPr="005F7AFE" w14:paraId="059ABD3F" w14:textId="77777777" w:rsidTr="002E5381">
      <w:tc>
        <w:tcPr>
          <w:tcW w:w="7938" w:type="dxa"/>
          <w:tcBorders>
            <w:bottom w:val="single" w:sz="4" w:space="0" w:color="auto"/>
          </w:tcBorders>
          <w:shd w:val="clear" w:color="auto" w:fill="auto"/>
          <w:vAlign w:val="center"/>
        </w:tcPr>
        <w:p w14:paraId="6AA460DD" w14:textId="77777777" w:rsidR="002E5381" w:rsidRPr="00DC33CF" w:rsidRDefault="002E5381" w:rsidP="00A34D24">
          <w:pPr>
            <w:pStyle w:val="Header"/>
            <w:spacing w:before="0" w:after="0"/>
          </w:pPr>
          <w:r>
            <w:t>Explanatory Statement</w:t>
          </w:r>
        </w:p>
      </w:tc>
      <w:tc>
        <w:tcPr>
          <w:tcW w:w="567" w:type="dxa"/>
          <w:vMerge/>
          <w:tcBorders>
            <w:bottom w:val="single" w:sz="4" w:space="0" w:color="auto"/>
          </w:tcBorders>
          <w:shd w:val="clear" w:color="auto" w:fill="auto"/>
          <w:vAlign w:val="center"/>
        </w:tcPr>
        <w:p w14:paraId="3F24E610" w14:textId="77777777" w:rsidR="002E5381" w:rsidRPr="005F7AFE" w:rsidRDefault="002E5381"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7506F"/>
    <w:multiLevelType w:val="multilevel"/>
    <w:tmpl w:val="5EC8B42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5"/>
  </w:num>
  <w:num w:numId="8">
    <w:abstractNumId w:val="11"/>
  </w:num>
  <w:num w:numId="9">
    <w:abstractNumId w:val="8"/>
  </w:num>
  <w:num w:numId="10">
    <w:abstractNumId w:val="14"/>
  </w:num>
  <w:num w:numId="11">
    <w:abstractNumId w:val="7"/>
  </w:num>
  <w:num w:numId="12">
    <w:abstractNumId w:val="10"/>
  </w:num>
  <w:num w:numId="13">
    <w:abstractNumId w:val="6"/>
  </w:num>
  <w:num w:numId="14">
    <w:abstractNumId w:val="9"/>
  </w:num>
  <w:num w:numId="15">
    <w:abstractNumId w:val="13"/>
  </w:num>
  <w:num w:numId="16">
    <w:abstractNumId w:val="13"/>
  </w:num>
  <w:num w:numId="17">
    <w:abstractNumId w:val="13"/>
  </w:num>
  <w:num w:numId="18">
    <w:abstractNumId w:val="13"/>
  </w:num>
  <w:num w:numId="19">
    <w:abstractNumId w:val="0"/>
  </w:num>
  <w:num w:numId="20">
    <w:abstractNumId w:val="13"/>
  </w:num>
  <w:num w:numId="21">
    <w:abstractNumId w:val="1"/>
  </w:num>
  <w:num w:numId="22">
    <w:abstractNumId w:val="13"/>
  </w:num>
  <w:num w:numId="23">
    <w:abstractNumId w:val="13"/>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5C6"/>
    <w:rsid w:val="00042799"/>
    <w:rsid w:val="00047E7E"/>
    <w:rsid w:val="00050FB8"/>
    <w:rsid w:val="00052EF3"/>
    <w:rsid w:val="000539B1"/>
    <w:rsid w:val="00053BA8"/>
    <w:rsid w:val="0005416F"/>
    <w:rsid w:val="00054598"/>
    <w:rsid w:val="00054DEF"/>
    <w:rsid w:val="000562F1"/>
    <w:rsid w:val="000571CD"/>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9011D"/>
    <w:rsid w:val="00091EDE"/>
    <w:rsid w:val="000957CE"/>
    <w:rsid w:val="0009658B"/>
    <w:rsid w:val="000A1C07"/>
    <w:rsid w:val="000A40FB"/>
    <w:rsid w:val="000A4DC4"/>
    <w:rsid w:val="000A6135"/>
    <w:rsid w:val="000B0E53"/>
    <w:rsid w:val="000B1C73"/>
    <w:rsid w:val="000B2988"/>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E1D"/>
    <w:rsid w:val="000E6F99"/>
    <w:rsid w:val="000E7A76"/>
    <w:rsid w:val="000F184B"/>
    <w:rsid w:val="000F4182"/>
    <w:rsid w:val="000F4F73"/>
    <w:rsid w:val="000F534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2081F"/>
    <w:rsid w:val="0012110B"/>
    <w:rsid w:val="001216AB"/>
    <w:rsid w:val="00121CBA"/>
    <w:rsid w:val="00123535"/>
    <w:rsid w:val="0012466F"/>
    <w:rsid w:val="00126F7F"/>
    <w:rsid w:val="00127289"/>
    <w:rsid w:val="00130C70"/>
    <w:rsid w:val="00130F68"/>
    <w:rsid w:val="00131492"/>
    <w:rsid w:val="00132DC9"/>
    <w:rsid w:val="0013314B"/>
    <w:rsid w:val="0013405E"/>
    <w:rsid w:val="001369D6"/>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606BF"/>
    <w:rsid w:val="00160C84"/>
    <w:rsid w:val="00163D88"/>
    <w:rsid w:val="00164B53"/>
    <w:rsid w:val="00166322"/>
    <w:rsid w:val="00166DC2"/>
    <w:rsid w:val="00167283"/>
    <w:rsid w:val="00170080"/>
    <w:rsid w:val="00170AE8"/>
    <w:rsid w:val="001717FC"/>
    <w:rsid w:val="00171AFA"/>
    <w:rsid w:val="00171B84"/>
    <w:rsid w:val="00172773"/>
    <w:rsid w:val="00175631"/>
    <w:rsid w:val="0017615C"/>
    <w:rsid w:val="001762D7"/>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A7E"/>
    <w:rsid w:val="001A7721"/>
    <w:rsid w:val="001A7DBE"/>
    <w:rsid w:val="001B0EFB"/>
    <w:rsid w:val="001B217D"/>
    <w:rsid w:val="001B35BE"/>
    <w:rsid w:val="001B38AA"/>
    <w:rsid w:val="001B3B65"/>
    <w:rsid w:val="001B5F38"/>
    <w:rsid w:val="001B7A5F"/>
    <w:rsid w:val="001C1EC8"/>
    <w:rsid w:val="001C2EBF"/>
    <w:rsid w:val="001C69AE"/>
    <w:rsid w:val="001C7211"/>
    <w:rsid w:val="001D01E5"/>
    <w:rsid w:val="001D0DE6"/>
    <w:rsid w:val="001D17F3"/>
    <w:rsid w:val="001D2618"/>
    <w:rsid w:val="001D2D0B"/>
    <w:rsid w:val="001D43CE"/>
    <w:rsid w:val="001D467A"/>
    <w:rsid w:val="001D4C8A"/>
    <w:rsid w:val="001D592B"/>
    <w:rsid w:val="001E0205"/>
    <w:rsid w:val="001E0A6A"/>
    <w:rsid w:val="001E1A19"/>
    <w:rsid w:val="001E218D"/>
    <w:rsid w:val="001E46A6"/>
    <w:rsid w:val="001E50F3"/>
    <w:rsid w:val="001E543A"/>
    <w:rsid w:val="001E5490"/>
    <w:rsid w:val="001E5CFB"/>
    <w:rsid w:val="001E6F6F"/>
    <w:rsid w:val="001F0A7E"/>
    <w:rsid w:val="001F128D"/>
    <w:rsid w:val="001F1322"/>
    <w:rsid w:val="001F13D5"/>
    <w:rsid w:val="001F33B9"/>
    <w:rsid w:val="001F566C"/>
    <w:rsid w:val="001F6B19"/>
    <w:rsid w:val="00200879"/>
    <w:rsid w:val="00201648"/>
    <w:rsid w:val="002019EC"/>
    <w:rsid w:val="00202DA7"/>
    <w:rsid w:val="0020549D"/>
    <w:rsid w:val="00205960"/>
    <w:rsid w:val="00206EF3"/>
    <w:rsid w:val="00207C63"/>
    <w:rsid w:val="00210266"/>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292A"/>
    <w:rsid w:val="00232FDA"/>
    <w:rsid w:val="00233E87"/>
    <w:rsid w:val="00233F4B"/>
    <w:rsid w:val="00235962"/>
    <w:rsid w:val="00235D5D"/>
    <w:rsid w:val="00237477"/>
    <w:rsid w:val="00237831"/>
    <w:rsid w:val="00240BB9"/>
    <w:rsid w:val="002411F9"/>
    <w:rsid w:val="0024155C"/>
    <w:rsid w:val="002425A0"/>
    <w:rsid w:val="00242C3C"/>
    <w:rsid w:val="00242D6F"/>
    <w:rsid w:val="00243106"/>
    <w:rsid w:val="002449FF"/>
    <w:rsid w:val="0024505E"/>
    <w:rsid w:val="00246F06"/>
    <w:rsid w:val="00247A61"/>
    <w:rsid w:val="00253F55"/>
    <w:rsid w:val="00254F16"/>
    <w:rsid w:val="002550C2"/>
    <w:rsid w:val="00256C8A"/>
    <w:rsid w:val="002577F0"/>
    <w:rsid w:val="002640E7"/>
    <w:rsid w:val="00265ABF"/>
    <w:rsid w:val="00265FCF"/>
    <w:rsid w:val="002667FE"/>
    <w:rsid w:val="00266FE7"/>
    <w:rsid w:val="00267127"/>
    <w:rsid w:val="00267679"/>
    <w:rsid w:val="00267F4B"/>
    <w:rsid w:val="0027051E"/>
    <w:rsid w:val="002707F7"/>
    <w:rsid w:val="0027099F"/>
    <w:rsid w:val="00270FAD"/>
    <w:rsid w:val="002714C6"/>
    <w:rsid w:val="00271DCE"/>
    <w:rsid w:val="00272F94"/>
    <w:rsid w:val="00280A0E"/>
    <w:rsid w:val="00280BF0"/>
    <w:rsid w:val="00282AAC"/>
    <w:rsid w:val="0028346B"/>
    <w:rsid w:val="002834A5"/>
    <w:rsid w:val="00283C75"/>
    <w:rsid w:val="0028478F"/>
    <w:rsid w:val="0028498D"/>
    <w:rsid w:val="00285ADA"/>
    <w:rsid w:val="00287770"/>
    <w:rsid w:val="002904A2"/>
    <w:rsid w:val="00291D53"/>
    <w:rsid w:val="00291DBB"/>
    <w:rsid w:val="00292652"/>
    <w:rsid w:val="00292D0D"/>
    <w:rsid w:val="0029575A"/>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4A5A"/>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1DAC"/>
    <w:rsid w:val="002D2357"/>
    <w:rsid w:val="002D3608"/>
    <w:rsid w:val="002D508E"/>
    <w:rsid w:val="002D5B95"/>
    <w:rsid w:val="002D630E"/>
    <w:rsid w:val="002D7277"/>
    <w:rsid w:val="002D787E"/>
    <w:rsid w:val="002D7D28"/>
    <w:rsid w:val="002D7E26"/>
    <w:rsid w:val="002E026C"/>
    <w:rsid w:val="002E0D61"/>
    <w:rsid w:val="002E10E0"/>
    <w:rsid w:val="002E1691"/>
    <w:rsid w:val="002E1798"/>
    <w:rsid w:val="002E1BBE"/>
    <w:rsid w:val="002E37E2"/>
    <w:rsid w:val="002E4DF6"/>
    <w:rsid w:val="002E5035"/>
    <w:rsid w:val="002E51D2"/>
    <w:rsid w:val="002E5381"/>
    <w:rsid w:val="002E67B3"/>
    <w:rsid w:val="002E6D99"/>
    <w:rsid w:val="002E6F12"/>
    <w:rsid w:val="002F0A55"/>
    <w:rsid w:val="002F0E5E"/>
    <w:rsid w:val="002F17FE"/>
    <w:rsid w:val="002F310C"/>
    <w:rsid w:val="002F3EEF"/>
    <w:rsid w:val="002F48AF"/>
    <w:rsid w:val="002F5749"/>
    <w:rsid w:val="002F5FF3"/>
    <w:rsid w:val="002F6C96"/>
    <w:rsid w:val="0030081B"/>
    <w:rsid w:val="00300D97"/>
    <w:rsid w:val="0030182F"/>
    <w:rsid w:val="003039C0"/>
    <w:rsid w:val="00304422"/>
    <w:rsid w:val="00304CAD"/>
    <w:rsid w:val="003057C9"/>
    <w:rsid w:val="00306314"/>
    <w:rsid w:val="00306DEF"/>
    <w:rsid w:val="00310878"/>
    <w:rsid w:val="00310C61"/>
    <w:rsid w:val="00310E9F"/>
    <w:rsid w:val="003119C5"/>
    <w:rsid w:val="003157F6"/>
    <w:rsid w:val="003210C8"/>
    <w:rsid w:val="003239FE"/>
    <w:rsid w:val="00326E4B"/>
    <w:rsid w:val="003319EF"/>
    <w:rsid w:val="0033287C"/>
    <w:rsid w:val="00336B65"/>
    <w:rsid w:val="0033777B"/>
    <w:rsid w:val="003378E8"/>
    <w:rsid w:val="00337C51"/>
    <w:rsid w:val="0034024E"/>
    <w:rsid w:val="00341EF6"/>
    <w:rsid w:val="003442E9"/>
    <w:rsid w:val="003442F6"/>
    <w:rsid w:val="003443C2"/>
    <w:rsid w:val="0034457A"/>
    <w:rsid w:val="003447E5"/>
    <w:rsid w:val="00344A42"/>
    <w:rsid w:val="0034510D"/>
    <w:rsid w:val="00347408"/>
    <w:rsid w:val="00347940"/>
    <w:rsid w:val="003502ED"/>
    <w:rsid w:val="0035037C"/>
    <w:rsid w:val="003511FE"/>
    <w:rsid w:val="0035138A"/>
    <w:rsid w:val="003522FB"/>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439E"/>
    <w:rsid w:val="00395D7C"/>
    <w:rsid w:val="00395DAB"/>
    <w:rsid w:val="00396C92"/>
    <w:rsid w:val="00397976"/>
    <w:rsid w:val="00397F88"/>
    <w:rsid w:val="003A17C6"/>
    <w:rsid w:val="003A2882"/>
    <w:rsid w:val="003A2B6C"/>
    <w:rsid w:val="003A2BF6"/>
    <w:rsid w:val="003A3373"/>
    <w:rsid w:val="003A3E29"/>
    <w:rsid w:val="003A4451"/>
    <w:rsid w:val="003A45FB"/>
    <w:rsid w:val="003A462D"/>
    <w:rsid w:val="003A4F94"/>
    <w:rsid w:val="003A603B"/>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24D8"/>
    <w:rsid w:val="003C33AE"/>
    <w:rsid w:val="003C3B0E"/>
    <w:rsid w:val="003C5C3D"/>
    <w:rsid w:val="003C7672"/>
    <w:rsid w:val="003C7829"/>
    <w:rsid w:val="003C7F72"/>
    <w:rsid w:val="003D1A38"/>
    <w:rsid w:val="003D1AB8"/>
    <w:rsid w:val="003D1BC8"/>
    <w:rsid w:val="003D1ECC"/>
    <w:rsid w:val="003D3D19"/>
    <w:rsid w:val="003D4224"/>
    <w:rsid w:val="003D7E2A"/>
    <w:rsid w:val="003E2ACE"/>
    <w:rsid w:val="003E40C9"/>
    <w:rsid w:val="003E5643"/>
    <w:rsid w:val="003E56E7"/>
    <w:rsid w:val="003E6FFF"/>
    <w:rsid w:val="003F01D5"/>
    <w:rsid w:val="003F05AD"/>
    <w:rsid w:val="003F05F3"/>
    <w:rsid w:val="003F0FF4"/>
    <w:rsid w:val="003F25A8"/>
    <w:rsid w:val="003F278A"/>
    <w:rsid w:val="003F43E4"/>
    <w:rsid w:val="003F51E5"/>
    <w:rsid w:val="003F584A"/>
    <w:rsid w:val="003F610F"/>
    <w:rsid w:val="003F65A7"/>
    <w:rsid w:val="003F6981"/>
    <w:rsid w:val="003F6FBD"/>
    <w:rsid w:val="00402B28"/>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3778"/>
    <w:rsid w:val="00426BF7"/>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1EF"/>
    <w:rsid w:val="004625CE"/>
    <w:rsid w:val="00462A19"/>
    <w:rsid w:val="00464A9A"/>
    <w:rsid w:val="00464BF2"/>
    <w:rsid w:val="004652CD"/>
    <w:rsid w:val="00465D1F"/>
    <w:rsid w:val="004674D6"/>
    <w:rsid w:val="0047025A"/>
    <w:rsid w:val="00471762"/>
    <w:rsid w:val="0047279F"/>
    <w:rsid w:val="00472C2C"/>
    <w:rsid w:val="004767B9"/>
    <w:rsid w:val="00476B93"/>
    <w:rsid w:val="00476D9D"/>
    <w:rsid w:val="00477592"/>
    <w:rsid w:val="00477A90"/>
    <w:rsid w:val="00477BBB"/>
    <w:rsid w:val="00481114"/>
    <w:rsid w:val="00481ACE"/>
    <w:rsid w:val="004849E0"/>
    <w:rsid w:val="00485D93"/>
    <w:rsid w:val="00485E16"/>
    <w:rsid w:val="0049097D"/>
    <w:rsid w:val="0049177C"/>
    <w:rsid w:val="004923CD"/>
    <w:rsid w:val="00497B0D"/>
    <w:rsid w:val="004A196C"/>
    <w:rsid w:val="004A1C14"/>
    <w:rsid w:val="004A68FD"/>
    <w:rsid w:val="004A7BBF"/>
    <w:rsid w:val="004B17C6"/>
    <w:rsid w:val="004B182E"/>
    <w:rsid w:val="004B1A7B"/>
    <w:rsid w:val="004B6159"/>
    <w:rsid w:val="004B7712"/>
    <w:rsid w:val="004B7B18"/>
    <w:rsid w:val="004C0560"/>
    <w:rsid w:val="004C3365"/>
    <w:rsid w:val="004C36F7"/>
    <w:rsid w:val="004C52F0"/>
    <w:rsid w:val="004C68B7"/>
    <w:rsid w:val="004C77FE"/>
    <w:rsid w:val="004D1C74"/>
    <w:rsid w:val="004D2791"/>
    <w:rsid w:val="004D60B6"/>
    <w:rsid w:val="004D6CC1"/>
    <w:rsid w:val="004D785B"/>
    <w:rsid w:val="004E0001"/>
    <w:rsid w:val="004E3E84"/>
    <w:rsid w:val="004E4D4B"/>
    <w:rsid w:val="004E5834"/>
    <w:rsid w:val="004E5AA5"/>
    <w:rsid w:val="004E7515"/>
    <w:rsid w:val="004F02F2"/>
    <w:rsid w:val="004F3265"/>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5B26"/>
    <w:rsid w:val="00515D0D"/>
    <w:rsid w:val="0051772C"/>
    <w:rsid w:val="00521F04"/>
    <w:rsid w:val="005242E3"/>
    <w:rsid w:val="00524806"/>
    <w:rsid w:val="00525905"/>
    <w:rsid w:val="00527E78"/>
    <w:rsid w:val="00530825"/>
    <w:rsid w:val="00532F57"/>
    <w:rsid w:val="005338E3"/>
    <w:rsid w:val="00536F80"/>
    <w:rsid w:val="005405AD"/>
    <w:rsid w:val="005425A9"/>
    <w:rsid w:val="00542FE1"/>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DA8"/>
    <w:rsid w:val="00571229"/>
    <w:rsid w:val="00571381"/>
    <w:rsid w:val="00571D59"/>
    <w:rsid w:val="005725C2"/>
    <w:rsid w:val="005753E3"/>
    <w:rsid w:val="00575BCE"/>
    <w:rsid w:val="005773AF"/>
    <w:rsid w:val="00577BF0"/>
    <w:rsid w:val="00581B01"/>
    <w:rsid w:val="00581C0B"/>
    <w:rsid w:val="00581CB5"/>
    <w:rsid w:val="00582135"/>
    <w:rsid w:val="00582247"/>
    <w:rsid w:val="005831BF"/>
    <w:rsid w:val="00583CD6"/>
    <w:rsid w:val="00583F7F"/>
    <w:rsid w:val="00584BDA"/>
    <w:rsid w:val="005858A2"/>
    <w:rsid w:val="00585F21"/>
    <w:rsid w:val="00586887"/>
    <w:rsid w:val="00587A15"/>
    <w:rsid w:val="00590013"/>
    <w:rsid w:val="0059095D"/>
    <w:rsid w:val="0059192A"/>
    <w:rsid w:val="00591CFD"/>
    <w:rsid w:val="00594765"/>
    <w:rsid w:val="00595B2F"/>
    <w:rsid w:val="005963A1"/>
    <w:rsid w:val="00596853"/>
    <w:rsid w:val="005A1EED"/>
    <w:rsid w:val="005A44A1"/>
    <w:rsid w:val="005A49A7"/>
    <w:rsid w:val="005A526D"/>
    <w:rsid w:val="005A65E2"/>
    <w:rsid w:val="005A66D6"/>
    <w:rsid w:val="005A7A40"/>
    <w:rsid w:val="005B114C"/>
    <w:rsid w:val="005B1D19"/>
    <w:rsid w:val="005B31F5"/>
    <w:rsid w:val="005B36D2"/>
    <w:rsid w:val="005B4BCC"/>
    <w:rsid w:val="005B578B"/>
    <w:rsid w:val="005B70A8"/>
    <w:rsid w:val="005C0DEA"/>
    <w:rsid w:val="005C1161"/>
    <w:rsid w:val="005C170C"/>
    <w:rsid w:val="005C17B3"/>
    <w:rsid w:val="005C2244"/>
    <w:rsid w:val="005C36F7"/>
    <w:rsid w:val="005C4195"/>
    <w:rsid w:val="005C42CD"/>
    <w:rsid w:val="005C461B"/>
    <w:rsid w:val="005C46E4"/>
    <w:rsid w:val="005C479F"/>
    <w:rsid w:val="005C48D4"/>
    <w:rsid w:val="005C628F"/>
    <w:rsid w:val="005C6376"/>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EA"/>
    <w:rsid w:val="00607F79"/>
    <w:rsid w:val="0061046E"/>
    <w:rsid w:val="006108EA"/>
    <w:rsid w:val="00611194"/>
    <w:rsid w:val="00612E07"/>
    <w:rsid w:val="006136AA"/>
    <w:rsid w:val="00613CD3"/>
    <w:rsid w:val="0061498D"/>
    <w:rsid w:val="00614AE7"/>
    <w:rsid w:val="00614FB3"/>
    <w:rsid w:val="0061509A"/>
    <w:rsid w:val="0062031F"/>
    <w:rsid w:val="00620CD0"/>
    <w:rsid w:val="00621320"/>
    <w:rsid w:val="00621558"/>
    <w:rsid w:val="0062331D"/>
    <w:rsid w:val="0062473A"/>
    <w:rsid w:val="00625912"/>
    <w:rsid w:val="00626433"/>
    <w:rsid w:val="00626576"/>
    <w:rsid w:val="00626DBC"/>
    <w:rsid w:val="00630795"/>
    <w:rsid w:val="00630A4B"/>
    <w:rsid w:val="00630F38"/>
    <w:rsid w:val="00631AE5"/>
    <w:rsid w:val="00631CBF"/>
    <w:rsid w:val="00633730"/>
    <w:rsid w:val="0063421C"/>
    <w:rsid w:val="00635090"/>
    <w:rsid w:val="00636B66"/>
    <w:rsid w:val="00637000"/>
    <w:rsid w:val="0063768F"/>
    <w:rsid w:val="006433BD"/>
    <w:rsid w:val="006434F1"/>
    <w:rsid w:val="006438BB"/>
    <w:rsid w:val="006440AF"/>
    <w:rsid w:val="00645C09"/>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700"/>
    <w:rsid w:val="006746CA"/>
    <w:rsid w:val="00674CF8"/>
    <w:rsid w:val="00674E82"/>
    <w:rsid w:val="00675C3C"/>
    <w:rsid w:val="00680C49"/>
    <w:rsid w:val="0068132F"/>
    <w:rsid w:val="006815B3"/>
    <w:rsid w:val="00681FF3"/>
    <w:rsid w:val="00682451"/>
    <w:rsid w:val="00683139"/>
    <w:rsid w:val="00683E12"/>
    <w:rsid w:val="00684A9B"/>
    <w:rsid w:val="00684AA8"/>
    <w:rsid w:val="006855FF"/>
    <w:rsid w:val="006856EE"/>
    <w:rsid w:val="006910AB"/>
    <w:rsid w:val="0069365C"/>
    <w:rsid w:val="006940D8"/>
    <w:rsid w:val="006943CD"/>
    <w:rsid w:val="00694C9C"/>
    <w:rsid w:val="00696758"/>
    <w:rsid w:val="006971C6"/>
    <w:rsid w:val="00697C3D"/>
    <w:rsid w:val="006A07B7"/>
    <w:rsid w:val="006A0D9E"/>
    <w:rsid w:val="006A3C57"/>
    <w:rsid w:val="006A48E1"/>
    <w:rsid w:val="006A5DF6"/>
    <w:rsid w:val="006A5E2A"/>
    <w:rsid w:val="006A5FCD"/>
    <w:rsid w:val="006A6CDC"/>
    <w:rsid w:val="006A700F"/>
    <w:rsid w:val="006B001A"/>
    <w:rsid w:val="006B027E"/>
    <w:rsid w:val="006B0678"/>
    <w:rsid w:val="006B1D84"/>
    <w:rsid w:val="006B2A4B"/>
    <w:rsid w:val="006B306D"/>
    <w:rsid w:val="006B4195"/>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3E64"/>
    <w:rsid w:val="006D493C"/>
    <w:rsid w:val="006D497D"/>
    <w:rsid w:val="006D5556"/>
    <w:rsid w:val="006D6283"/>
    <w:rsid w:val="006E381D"/>
    <w:rsid w:val="006E509E"/>
    <w:rsid w:val="006E6538"/>
    <w:rsid w:val="006F2BF5"/>
    <w:rsid w:val="006F5DBF"/>
    <w:rsid w:val="006F6F26"/>
    <w:rsid w:val="00700027"/>
    <w:rsid w:val="0070031B"/>
    <w:rsid w:val="007011DC"/>
    <w:rsid w:val="007056DA"/>
    <w:rsid w:val="0070692D"/>
    <w:rsid w:val="00707003"/>
    <w:rsid w:val="00710BAF"/>
    <w:rsid w:val="0071103C"/>
    <w:rsid w:val="00712C0A"/>
    <w:rsid w:val="007136C2"/>
    <w:rsid w:val="0071541C"/>
    <w:rsid w:val="00715DAC"/>
    <w:rsid w:val="007163CE"/>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D71"/>
    <w:rsid w:val="00747F6A"/>
    <w:rsid w:val="0075240B"/>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0264"/>
    <w:rsid w:val="007A1E1A"/>
    <w:rsid w:val="007A32A8"/>
    <w:rsid w:val="007A36C3"/>
    <w:rsid w:val="007A3BB4"/>
    <w:rsid w:val="007A42F2"/>
    <w:rsid w:val="007A576D"/>
    <w:rsid w:val="007A590F"/>
    <w:rsid w:val="007B136E"/>
    <w:rsid w:val="007B14D6"/>
    <w:rsid w:val="007B19E3"/>
    <w:rsid w:val="007B1D66"/>
    <w:rsid w:val="007B247C"/>
    <w:rsid w:val="007B331E"/>
    <w:rsid w:val="007B6B17"/>
    <w:rsid w:val="007B710E"/>
    <w:rsid w:val="007B7678"/>
    <w:rsid w:val="007B779C"/>
    <w:rsid w:val="007B7869"/>
    <w:rsid w:val="007C337C"/>
    <w:rsid w:val="007C379F"/>
    <w:rsid w:val="007C3A69"/>
    <w:rsid w:val="007C4142"/>
    <w:rsid w:val="007C454A"/>
    <w:rsid w:val="007C45EA"/>
    <w:rsid w:val="007C6571"/>
    <w:rsid w:val="007C7202"/>
    <w:rsid w:val="007D0B9D"/>
    <w:rsid w:val="007D12A3"/>
    <w:rsid w:val="007D28E4"/>
    <w:rsid w:val="007D5A43"/>
    <w:rsid w:val="007D5AE7"/>
    <w:rsid w:val="007D65A6"/>
    <w:rsid w:val="007D671C"/>
    <w:rsid w:val="007D6B3A"/>
    <w:rsid w:val="007D71E2"/>
    <w:rsid w:val="007D796C"/>
    <w:rsid w:val="007D7CA7"/>
    <w:rsid w:val="007E25A1"/>
    <w:rsid w:val="007E3392"/>
    <w:rsid w:val="007E3B53"/>
    <w:rsid w:val="007F1CA7"/>
    <w:rsid w:val="007F1DC7"/>
    <w:rsid w:val="007F21AD"/>
    <w:rsid w:val="007F2456"/>
    <w:rsid w:val="007F2A6F"/>
    <w:rsid w:val="007F2AA2"/>
    <w:rsid w:val="007F3A3C"/>
    <w:rsid w:val="007F5822"/>
    <w:rsid w:val="007F60ED"/>
    <w:rsid w:val="007F6E46"/>
    <w:rsid w:val="007F716D"/>
    <w:rsid w:val="00802062"/>
    <w:rsid w:val="00803404"/>
    <w:rsid w:val="0080439B"/>
    <w:rsid w:val="00805446"/>
    <w:rsid w:val="00805CB4"/>
    <w:rsid w:val="00806A59"/>
    <w:rsid w:val="00807755"/>
    <w:rsid w:val="00811BFA"/>
    <w:rsid w:val="0081227F"/>
    <w:rsid w:val="0081357E"/>
    <w:rsid w:val="00813DBA"/>
    <w:rsid w:val="0081647F"/>
    <w:rsid w:val="00816CF2"/>
    <w:rsid w:val="00816F99"/>
    <w:rsid w:val="00816FAC"/>
    <w:rsid w:val="00817E2B"/>
    <w:rsid w:val="00820DA2"/>
    <w:rsid w:val="00820F9B"/>
    <w:rsid w:val="0082139D"/>
    <w:rsid w:val="008217CA"/>
    <w:rsid w:val="0082209F"/>
    <w:rsid w:val="008220CE"/>
    <w:rsid w:val="00822357"/>
    <w:rsid w:val="008235EB"/>
    <w:rsid w:val="00823F39"/>
    <w:rsid w:val="0082469D"/>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4DC1"/>
    <w:rsid w:val="00845ABF"/>
    <w:rsid w:val="00846B0F"/>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751"/>
    <w:rsid w:val="00862803"/>
    <w:rsid w:val="0086380C"/>
    <w:rsid w:val="00863D7E"/>
    <w:rsid w:val="00863EF3"/>
    <w:rsid w:val="00863FD7"/>
    <w:rsid w:val="00864344"/>
    <w:rsid w:val="00866749"/>
    <w:rsid w:val="00866C59"/>
    <w:rsid w:val="00867DB6"/>
    <w:rsid w:val="00867EFD"/>
    <w:rsid w:val="008701EA"/>
    <w:rsid w:val="0087275C"/>
    <w:rsid w:val="00872B7C"/>
    <w:rsid w:val="00875846"/>
    <w:rsid w:val="008807C9"/>
    <w:rsid w:val="00880D9C"/>
    <w:rsid w:val="00882145"/>
    <w:rsid w:val="0088281D"/>
    <w:rsid w:val="00883E42"/>
    <w:rsid w:val="0088400D"/>
    <w:rsid w:val="008845CA"/>
    <w:rsid w:val="008847F4"/>
    <w:rsid w:val="00884A8F"/>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3DED"/>
    <w:rsid w:val="008C59A1"/>
    <w:rsid w:val="008C605A"/>
    <w:rsid w:val="008C6C0A"/>
    <w:rsid w:val="008C7693"/>
    <w:rsid w:val="008D0660"/>
    <w:rsid w:val="008D2234"/>
    <w:rsid w:val="008D374F"/>
    <w:rsid w:val="008D37EE"/>
    <w:rsid w:val="008D7191"/>
    <w:rsid w:val="008D7DD8"/>
    <w:rsid w:val="008E20EB"/>
    <w:rsid w:val="008E2AE7"/>
    <w:rsid w:val="008E3028"/>
    <w:rsid w:val="008E326F"/>
    <w:rsid w:val="008E3282"/>
    <w:rsid w:val="008E4D40"/>
    <w:rsid w:val="008F0FBE"/>
    <w:rsid w:val="008F2C8A"/>
    <w:rsid w:val="008F5E51"/>
    <w:rsid w:val="008F6DCD"/>
    <w:rsid w:val="008F74E6"/>
    <w:rsid w:val="00900694"/>
    <w:rsid w:val="0090191B"/>
    <w:rsid w:val="009025D1"/>
    <w:rsid w:val="009037B8"/>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43DF1"/>
    <w:rsid w:val="00944396"/>
    <w:rsid w:val="009456E5"/>
    <w:rsid w:val="00946184"/>
    <w:rsid w:val="00946AE0"/>
    <w:rsid w:val="00950416"/>
    <w:rsid w:val="00950BD1"/>
    <w:rsid w:val="00950F8F"/>
    <w:rsid w:val="0095143D"/>
    <w:rsid w:val="009514F9"/>
    <w:rsid w:val="0095255D"/>
    <w:rsid w:val="00952828"/>
    <w:rsid w:val="0095291B"/>
    <w:rsid w:val="00952B82"/>
    <w:rsid w:val="0095385B"/>
    <w:rsid w:val="00955411"/>
    <w:rsid w:val="0095554F"/>
    <w:rsid w:val="00956D94"/>
    <w:rsid w:val="00957B66"/>
    <w:rsid w:val="009604FC"/>
    <w:rsid w:val="00960911"/>
    <w:rsid w:val="009611D6"/>
    <w:rsid w:val="00961528"/>
    <w:rsid w:val="00961F3B"/>
    <w:rsid w:val="0096204C"/>
    <w:rsid w:val="00962647"/>
    <w:rsid w:val="0096345D"/>
    <w:rsid w:val="00963ABC"/>
    <w:rsid w:val="00963CB4"/>
    <w:rsid w:val="00967954"/>
    <w:rsid w:val="00971128"/>
    <w:rsid w:val="00973043"/>
    <w:rsid w:val="00973448"/>
    <w:rsid w:val="00973876"/>
    <w:rsid w:val="009744B3"/>
    <w:rsid w:val="00974BE3"/>
    <w:rsid w:val="009758ED"/>
    <w:rsid w:val="00976110"/>
    <w:rsid w:val="00976309"/>
    <w:rsid w:val="00976FC2"/>
    <w:rsid w:val="00976FDA"/>
    <w:rsid w:val="009810CE"/>
    <w:rsid w:val="00982B97"/>
    <w:rsid w:val="009835BC"/>
    <w:rsid w:val="009835D6"/>
    <w:rsid w:val="0098397F"/>
    <w:rsid w:val="009846F3"/>
    <w:rsid w:val="00984D14"/>
    <w:rsid w:val="00985846"/>
    <w:rsid w:val="00985862"/>
    <w:rsid w:val="00985AF1"/>
    <w:rsid w:val="009860B3"/>
    <w:rsid w:val="00987268"/>
    <w:rsid w:val="0099180A"/>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DF7"/>
    <w:rsid w:val="009B04C6"/>
    <w:rsid w:val="009B0BFD"/>
    <w:rsid w:val="009B26EC"/>
    <w:rsid w:val="009B288F"/>
    <w:rsid w:val="009B43CC"/>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5FC9"/>
    <w:rsid w:val="009D6FB6"/>
    <w:rsid w:val="009D77EA"/>
    <w:rsid w:val="009E6091"/>
    <w:rsid w:val="009E67A7"/>
    <w:rsid w:val="009E7D0B"/>
    <w:rsid w:val="009F04AC"/>
    <w:rsid w:val="009F2020"/>
    <w:rsid w:val="009F3A0D"/>
    <w:rsid w:val="009F5065"/>
    <w:rsid w:val="009F5254"/>
    <w:rsid w:val="009F6964"/>
    <w:rsid w:val="009F75E4"/>
    <w:rsid w:val="009F7D12"/>
    <w:rsid w:val="00A0000C"/>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6967"/>
    <w:rsid w:val="00A27335"/>
    <w:rsid w:val="00A275B2"/>
    <w:rsid w:val="00A30939"/>
    <w:rsid w:val="00A30DC9"/>
    <w:rsid w:val="00A31E20"/>
    <w:rsid w:val="00A321D7"/>
    <w:rsid w:val="00A34A31"/>
    <w:rsid w:val="00A34D24"/>
    <w:rsid w:val="00A36FAB"/>
    <w:rsid w:val="00A371D5"/>
    <w:rsid w:val="00A37BF0"/>
    <w:rsid w:val="00A37DF5"/>
    <w:rsid w:val="00A403AD"/>
    <w:rsid w:val="00A41F5B"/>
    <w:rsid w:val="00A43237"/>
    <w:rsid w:val="00A43C6E"/>
    <w:rsid w:val="00A4528C"/>
    <w:rsid w:val="00A45ACC"/>
    <w:rsid w:val="00A46041"/>
    <w:rsid w:val="00A501A3"/>
    <w:rsid w:val="00A50649"/>
    <w:rsid w:val="00A50768"/>
    <w:rsid w:val="00A509C1"/>
    <w:rsid w:val="00A51E84"/>
    <w:rsid w:val="00A527AE"/>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522"/>
    <w:rsid w:val="00A82B4B"/>
    <w:rsid w:val="00A8398A"/>
    <w:rsid w:val="00A85336"/>
    <w:rsid w:val="00A8675A"/>
    <w:rsid w:val="00A87D8E"/>
    <w:rsid w:val="00A9118A"/>
    <w:rsid w:val="00A9172D"/>
    <w:rsid w:val="00A922EE"/>
    <w:rsid w:val="00A939B2"/>
    <w:rsid w:val="00A954A2"/>
    <w:rsid w:val="00A9660B"/>
    <w:rsid w:val="00A96EC8"/>
    <w:rsid w:val="00A97EBD"/>
    <w:rsid w:val="00AA2899"/>
    <w:rsid w:val="00AA3CAA"/>
    <w:rsid w:val="00AA4C60"/>
    <w:rsid w:val="00AA61C9"/>
    <w:rsid w:val="00AB0CC5"/>
    <w:rsid w:val="00AB0D8C"/>
    <w:rsid w:val="00AB119D"/>
    <w:rsid w:val="00AB1873"/>
    <w:rsid w:val="00AB3062"/>
    <w:rsid w:val="00AB3396"/>
    <w:rsid w:val="00AB3FDE"/>
    <w:rsid w:val="00AB42B4"/>
    <w:rsid w:val="00AB4A3F"/>
    <w:rsid w:val="00AB52D9"/>
    <w:rsid w:val="00AB7541"/>
    <w:rsid w:val="00AC06FB"/>
    <w:rsid w:val="00AC1227"/>
    <w:rsid w:val="00AC2F31"/>
    <w:rsid w:val="00AC3972"/>
    <w:rsid w:val="00AC74A7"/>
    <w:rsid w:val="00AC76FC"/>
    <w:rsid w:val="00AC7929"/>
    <w:rsid w:val="00AD12CB"/>
    <w:rsid w:val="00AD36F1"/>
    <w:rsid w:val="00AD4991"/>
    <w:rsid w:val="00AD4A22"/>
    <w:rsid w:val="00AE000F"/>
    <w:rsid w:val="00AE13EB"/>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F01"/>
    <w:rsid w:val="00B03FF8"/>
    <w:rsid w:val="00B047C3"/>
    <w:rsid w:val="00B0650F"/>
    <w:rsid w:val="00B065D6"/>
    <w:rsid w:val="00B06BC0"/>
    <w:rsid w:val="00B07906"/>
    <w:rsid w:val="00B07B3F"/>
    <w:rsid w:val="00B07BB0"/>
    <w:rsid w:val="00B129D9"/>
    <w:rsid w:val="00B1441E"/>
    <w:rsid w:val="00B14F33"/>
    <w:rsid w:val="00B17607"/>
    <w:rsid w:val="00B226F5"/>
    <w:rsid w:val="00B22AFC"/>
    <w:rsid w:val="00B25A3B"/>
    <w:rsid w:val="00B262E8"/>
    <w:rsid w:val="00B26D4D"/>
    <w:rsid w:val="00B27156"/>
    <w:rsid w:val="00B27EF4"/>
    <w:rsid w:val="00B30204"/>
    <w:rsid w:val="00B31E5C"/>
    <w:rsid w:val="00B3314D"/>
    <w:rsid w:val="00B3415A"/>
    <w:rsid w:val="00B35C1D"/>
    <w:rsid w:val="00B36270"/>
    <w:rsid w:val="00B369F9"/>
    <w:rsid w:val="00B41A41"/>
    <w:rsid w:val="00B42CBA"/>
    <w:rsid w:val="00B43A74"/>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4F7E"/>
    <w:rsid w:val="00B75982"/>
    <w:rsid w:val="00B779DB"/>
    <w:rsid w:val="00B80C9D"/>
    <w:rsid w:val="00B8152D"/>
    <w:rsid w:val="00B82F19"/>
    <w:rsid w:val="00B831FE"/>
    <w:rsid w:val="00B83C7F"/>
    <w:rsid w:val="00B87787"/>
    <w:rsid w:val="00B9033E"/>
    <w:rsid w:val="00B955DA"/>
    <w:rsid w:val="00B9726F"/>
    <w:rsid w:val="00BA0190"/>
    <w:rsid w:val="00BA233E"/>
    <w:rsid w:val="00BA4CCD"/>
    <w:rsid w:val="00BA4F48"/>
    <w:rsid w:val="00BA5B0B"/>
    <w:rsid w:val="00BA616C"/>
    <w:rsid w:val="00BA63B7"/>
    <w:rsid w:val="00BB05C3"/>
    <w:rsid w:val="00BB1899"/>
    <w:rsid w:val="00BB1A30"/>
    <w:rsid w:val="00BB31F0"/>
    <w:rsid w:val="00BB3C00"/>
    <w:rsid w:val="00BB3D12"/>
    <w:rsid w:val="00BB5D41"/>
    <w:rsid w:val="00BC0731"/>
    <w:rsid w:val="00BC1371"/>
    <w:rsid w:val="00BC1EF8"/>
    <w:rsid w:val="00BC20B6"/>
    <w:rsid w:val="00BC2672"/>
    <w:rsid w:val="00BC27D6"/>
    <w:rsid w:val="00BC2B83"/>
    <w:rsid w:val="00BC2CD5"/>
    <w:rsid w:val="00BC3194"/>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044B"/>
    <w:rsid w:val="00BE1F04"/>
    <w:rsid w:val="00BE30F7"/>
    <w:rsid w:val="00BE409A"/>
    <w:rsid w:val="00BE4399"/>
    <w:rsid w:val="00BE44C6"/>
    <w:rsid w:val="00BE51BB"/>
    <w:rsid w:val="00BE68C7"/>
    <w:rsid w:val="00BE7974"/>
    <w:rsid w:val="00BF1416"/>
    <w:rsid w:val="00BF2FD1"/>
    <w:rsid w:val="00BF381B"/>
    <w:rsid w:val="00BF5A49"/>
    <w:rsid w:val="00BF6853"/>
    <w:rsid w:val="00C003A8"/>
    <w:rsid w:val="00C02832"/>
    <w:rsid w:val="00C03821"/>
    <w:rsid w:val="00C03DAD"/>
    <w:rsid w:val="00C04554"/>
    <w:rsid w:val="00C0461E"/>
    <w:rsid w:val="00C1029D"/>
    <w:rsid w:val="00C11D56"/>
    <w:rsid w:val="00C12E27"/>
    <w:rsid w:val="00C1417F"/>
    <w:rsid w:val="00C14345"/>
    <w:rsid w:val="00C14482"/>
    <w:rsid w:val="00C145A6"/>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942"/>
    <w:rsid w:val="00C341FC"/>
    <w:rsid w:val="00C34914"/>
    <w:rsid w:val="00C3530A"/>
    <w:rsid w:val="00C35C89"/>
    <w:rsid w:val="00C36BB8"/>
    <w:rsid w:val="00C36EEA"/>
    <w:rsid w:val="00C37EA2"/>
    <w:rsid w:val="00C40A38"/>
    <w:rsid w:val="00C41391"/>
    <w:rsid w:val="00C414A0"/>
    <w:rsid w:val="00C43C8F"/>
    <w:rsid w:val="00C44D93"/>
    <w:rsid w:val="00C451FF"/>
    <w:rsid w:val="00C45889"/>
    <w:rsid w:val="00C476BC"/>
    <w:rsid w:val="00C51114"/>
    <w:rsid w:val="00C51E29"/>
    <w:rsid w:val="00C52421"/>
    <w:rsid w:val="00C52AD3"/>
    <w:rsid w:val="00C54034"/>
    <w:rsid w:val="00C56213"/>
    <w:rsid w:val="00C56894"/>
    <w:rsid w:val="00C651A7"/>
    <w:rsid w:val="00C6582D"/>
    <w:rsid w:val="00C662AE"/>
    <w:rsid w:val="00C667DD"/>
    <w:rsid w:val="00C6692A"/>
    <w:rsid w:val="00C675F7"/>
    <w:rsid w:val="00C70B84"/>
    <w:rsid w:val="00C70DDF"/>
    <w:rsid w:val="00C72D86"/>
    <w:rsid w:val="00C73560"/>
    <w:rsid w:val="00C73A82"/>
    <w:rsid w:val="00C7407A"/>
    <w:rsid w:val="00C74150"/>
    <w:rsid w:val="00C749DA"/>
    <w:rsid w:val="00C76BCF"/>
    <w:rsid w:val="00C77983"/>
    <w:rsid w:val="00C80926"/>
    <w:rsid w:val="00C8144A"/>
    <w:rsid w:val="00C818D7"/>
    <w:rsid w:val="00C82F60"/>
    <w:rsid w:val="00C8301C"/>
    <w:rsid w:val="00C847AA"/>
    <w:rsid w:val="00C85B8C"/>
    <w:rsid w:val="00C87C30"/>
    <w:rsid w:val="00C90D80"/>
    <w:rsid w:val="00C92559"/>
    <w:rsid w:val="00C931EC"/>
    <w:rsid w:val="00C937E6"/>
    <w:rsid w:val="00C9384F"/>
    <w:rsid w:val="00C940D9"/>
    <w:rsid w:val="00C94C86"/>
    <w:rsid w:val="00C96DCD"/>
    <w:rsid w:val="00CA0624"/>
    <w:rsid w:val="00CA0B88"/>
    <w:rsid w:val="00CA1826"/>
    <w:rsid w:val="00CA1D08"/>
    <w:rsid w:val="00CA25DB"/>
    <w:rsid w:val="00CA283F"/>
    <w:rsid w:val="00CA2A53"/>
    <w:rsid w:val="00CA46B8"/>
    <w:rsid w:val="00CA5201"/>
    <w:rsid w:val="00CA5C25"/>
    <w:rsid w:val="00CA6875"/>
    <w:rsid w:val="00CA6AD4"/>
    <w:rsid w:val="00CA6F29"/>
    <w:rsid w:val="00CA70D7"/>
    <w:rsid w:val="00CA7778"/>
    <w:rsid w:val="00CA7F62"/>
    <w:rsid w:val="00CA7FA6"/>
    <w:rsid w:val="00CB0314"/>
    <w:rsid w:val="00CB101B"/>
    <w:rsid w:val="00CB1229"/>
    <w:rsid w:val="00CB1379"/>
    <w:rsid w:val="00CB1FC9"/>
    <w:rsid w:val="00CB2CAE"/>
    <w:rsid w:val="00CB30AC"/>
    <w:rsid w:val="00CB3A64"/>
    <w:rsid w:val="00CB49F8"/>
    <w:rsid w:val="00CB5631"/>
    <w:rsid w:val="00CB5A16"/>
    <w:rsid w:val="00CB5E63"/>
    <w:rsid w:val="00CB6542"/>
    <w:rsid w:val="00CB73CD"/>
    <w:rsid w:val="00CB7C18"/>
    <w:rsid w:val="00CB7E70"/>
    <w:rsid w:val="00CC0798"/>
    <w:rsid w:val="00CC0A3F"/>
    <w:rsid w:val="00CC28A7"/>
    <w:rsid w:val="00CC4E80"/>
    <w:rsid w:val="00CC4EE0"/>
    <w:rsid w:val="00CC7988"/>
    <w:rsid w:val="00CD02EB"/>
    <w:rsid w:val="00CD085E"/>
    <w:rsid w:val="00CD0BD6"/>
    <w:rsid w:val="00CD1530"/>
    <w:rsid w:val="00CD2A42"/>
    <w:rsid w:val="00CD3030"/>
    <w:rsid w:val="00CD3BF9"/>
    <w:rsid w:val="00CD4BC8"/>
    <w:rsid w:val="00CD5CEA"/>
    <w:rsid w:val="00CD69BA"/>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945"/>
    <w:rsid w:val="00CF5E43"/>
    <w:rsid w:val="00CF6DAA"/>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3401"/>
    <w:rsid w:val="00D160C9"/>
    <w:rsid w:val="00D17126"/>
    <w:rsid w:val="00D1718C"/>
    <w:rsid w:val="00D17480"/>
    <w:rsid w:val="00D2039E"/>
    <w:rsid w:val="00D20477"/>
    <w:rsid w:val="00D218AE"/>
    <w:rsid w:val="00D21C2F"/>
    <w:rsid w:val="00D2209E"/>
    <w:rsid w:val="00D2220E"/>
    <w:rsid w:val="00D22DA8"/>
    <w:rsid w:val="00D259FA"/>
    <w:rsid w:val="00D2712E"/>
    <w:rsid w:val="00D2796E"/>
    <w:rsid w:val="00D3110E"/>
    <w:rsid w:val="00D320C8"/>
    <w:rsid w:val="00D328AB"/>
    <w:rsid w:val="00D3344C"/>
    <w:rsid w:val="00D36368"/>
    <w:rsid w:val="00D369C4"/>
    <w:rsid w:val="00D42718"/>
    <w:rsid w:val="00D435E8"/>
    <w:rsid w:val="00D43A16"/>
    <w:rsid w:val="00D452A5"/>
    <w:rsid w:val="00D45FC0"/>
    <w:rsid w:val="00D46733"/>
    <w:rsid w:val="00D46B41"/>
    <w:rsid w:val="00D46FA2"/>
    <w:rsid w:val="00D47093"/>
    <w:rsid w:val="00D50541"/>
    <w:rsid w:val="00D514DB"/>
    <w:rsid w:val="00D5348F"/>
    <w:rsid w:val="00D53600"/>
    <w:rsid w:val="00D54E0E"/>
    <w:rsid w:val="00D5709E"/>
    <w:rsid w:val="00D57D2B"/>
    <w:rsid w:val="00D600BE"/>
    <w:rsid w:val="00D62E6F"/>
    <w:rsid w:val="00D647E7"/>
    <w:rsid w:val="00D64E59"/>
    <w:rsid w:val="00D6570D"/>
    <w:rsid w:val="00D6618A"/>
    <w:rsid w:val="00D66306"/>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5F38"/>
    <w:rsid w:val="00D86FE4"/>
    <w:rsid w:val="00D86FF6"/>
    <w:rsid w:val="00D90682"/>
    <w:rsid w:val="00D91886"/>
    <w:rsid w:val="00D929FE"/>
    <w:rsid w:val="00D92FE3"/>
    <w:rsid w:val="00D93B61"/>
    <w:rsid w:val="00D94FF8"/>
    <w:rsid w:val="00D952C5"/>
    <w:rsid w:val="00D96789"/>
    <w:rsid w:val="00D97173"/>
    <w:rsid w:val="00D97232"/>
    <w:rsid w:val="00DA0BC0"/>
    <w:rsid w:val="00DA1DB9"/>
    <w:rsid w:val="00DA2B5F"/>
    <w:rsid w:val="00DA4154"/>
    <w:rsid w:val="00DA45D5"/>
    <w:rsid w:val="00DA5969"/>
    <w:rsid w:val="00DA663F"/>
    <w:rsid w:val="00DA76B7"/>
    <w:rsid w:val="00DB053E"/>
    <w:rsid w:val="00DB26F0"/>
    <w:rsid w:val="00DB3101"/>
    <w:rsid w:val="00DB47E9"/>
    <w:rsid w:val="00DB53E7"/>
    <w:rsid w:val="00DB7024"/>
    <w:rsid w:val="00DC20A9"/>
    <w:rsid w:val="00DC233D"/>
    <w:rsid w:val="00DC4200"/>
    <w:rsid w:val="00DC53A0"/>
    <w:rsid w:val="00DC6202"/>
    <w:rsid w:val="00DC6A07"/>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625B"/>
    <w:rsid w:val="00E069A2"/>
    <w:rsid w:val="00E12716"/>
    <w:rsid w:val="00E13FD9"/>
    <w:rsid w:val="00E150BA"/>
    <w:rsid w:val="00E15A1E"/>
    <w:rsid w:val="00E17E50"/>
    <w:rsid w:val="00E20518"/>
    <w:rsid w:val="00E20C5B"/>
    <w:rsid w:val="00E23931"/>
    <w:rsid w:val="00E24EFB"/>
    <w:rsid w:val="00E32662"/>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549B"/>
    <w:rsid w:val="00E5721E"/>
    <w:rsid w:val="00E57ACF"/>
    <w:rsid w:val="00E60568"/>
    <w:rsid w:val="00E61E45"/>
    <w:rsid w:val="00E62372"/>
    <w:rsid w:val="00E62678"/>
    <w:rsid w:val="00E62757"/>
    <w:rsid w:val="00E63D47"/>
    <w:rsid w:val="00E64E18"/>
    <w:rsid w:val="00E65094"/>
    <w:rsid w:val="00E65EAB"/>
    <w:rsid w:val="00E708DE"/>
    <w:rsid w:val="00E71C90"/>
    <w:rsid w:val="00E71CF4"/>
    <w:rsid w:val="00E757F0"/>
    <w:rsid w:val="00E82C94"/>
    <w:rsid w:val="00E86850"/>
    <w:rsid w:val="00E90191"/>
    <w:rsid w:val="00E9029F"/>
    <w:rsid w:val="00E904DD"/>
    <w:rsid w:val="00E919FA"/>
    <w:rsid w:val="00E932EE"/>
    <w:rsid w:val="00E9460A"/>
    <w:rsid w:val="00E952CB"/>
    <w:rsid w:val="00EA058D"/>
    <w:rsid w:val="00EA0D24"/>
    <w:rsid w:val="00EA14F1"/>
    <w:rsid w:val="00EA1536"/>
    <w:rsid w:val="00EA57A3"/>
    <w:rsid w:val="00EA6769"/>
    <w:rsid w:val="00EB037C"/>
    <w:rsid w:val="00EB07AF"/>
    <w:rsid w:val="00EB0B49"/>
    <w:rsid w:val="00EB1C77"/>
    <w:rsid w:val="00EB1EAC"/>
    <w:rsid w:val="00EB293D"/>
    <w:rsid w:val="00EB3127"/>
    <w:rsid w:val="00EB3DE0"/>
    <w:rsid w:val="00EB4CDB"/>
    <w:rsid w:val="00EB6085"/>
    <w:rsid w:val="00EB6FF1"/>
    <w:rsid w:val="00EB7372"/>
    <w:rsid w:val="00EB7D96"/>
    <w:rsid w:val="00EC0DDB"/>
    <w:rsid w:val="00EC1B82"/>
    <w:rsid w:val="00EC1D26"/>
    <w:rsid w:val="00EC209B"/>
    <w:rsid w:val="00EC3D0C"/>
    <w:rsid w:val="00EC5E6A"/>
    <w:rsid w:val="00EC6915"/>
    <w:rsid w:val="00EC6C15"/>
    <w:rsid w:val="00EC7758"/>
    <w:rsid w:val="00ED03E5"/>
    <w:rsid w:val="00ED22C7"/>
    <w:rsid w:val="00ED3152"/>
    <w:rsid w:val="00ED3A54"/>
    <w:rsid w:val="00ED3E7E"/>
    <w:rsid w:val="00ED5C06"/>
    <w:rsid w:val="00ED6B58"/>
    <w:rsid w:val="00EE025D"/>
    <w:rsid w:val="00EE02BB"/>
    <w:rsid w:val="00EE0782"/>
    <w:rsid w:val="00EE109D"/>
    <w:rsid w:val="00EE19DC"/>
    <w:rsid w:val="00EE276D"/>
    <w:rsid w:val="00EE32E7"/>
    <w:rsid w:val="00EE6384"/>
    <w:rsid w:val="00EF1E7E"/>
    <w:rsid w:val="00EF1F5F"/>
    <w:rsid w:val="00EF414D"/>
    <w:rsid w:val="00EF41BB"/>
    <w:rsid w:val="00EF4403"/>
    <w:rsid w:val="00EF7A48"/>
    <w:rsid w:val="00F002B2"/>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31F5"/>
    <w:rsid w:val="00F23EA6"/>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4541"/>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0A4"/>
    <w:rsid w:val="00F7683B"/>
    <w:rsid w:val="00F76B96"/>
    <w:rsid w:val="00F80A33"/>
    <w:rsid w:val="00F81154"/>
    <w:rsid w:val="00F82781"/>
    <w:rsid w:val="00F82B48"/>
    <w:rsid w:val="00F8343B"/>
    <w:rsid w:val="00F8524C"/>
    <w:rsid w:val="00F85838"/>
    <w:rsid w:val="00F8665A"/>
    <w:rsid w:val="00F875AE"/>
    <w:rsid w:val="00F90262"/>
    <w:rsid w:val="00F90A19"/>
    <w:rsid w:val="00F92159"/>
    <w:rsid w:val="00F94400"/>
    <w:rsid w:val="00F946B9"/>
    <w:rsid w:val="00F94AFB"/>
    <w:rsid w:val="00FA1402"/>
    <w:rsid w:val="00FA24E3"/>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6C50"/>
    <w:rsid w:val="00FC7C4B"/>
    <w:rsid w:val="00FD0DE3"/>
    <w:rsid w:val="00FD12B2"/>
    <w:rsid w:val="00FD1A00"/>
    <w:rsid w:val="00FD2103"/>
    <w:rsid w:val="00FD272C"/>
    <w:rsid w:val="00FD4156"/>
    <w:rsid w:val="00FD59BF"/>
    <w:rsid w:val="00FD5ECD"/>
    <w:rsid w:val="00FD6C2B"/>
    <w:rsid w:val="00FD6ED5"/>
    <w:rsid w:val="00FD79D3"/>
    <w:rsid w:val="00FE0084"/>
    <w:rsid w:val="00FE05F0"/>
    <w:rsid w:val="00FE1BF2"/>
    <w:rsid w:val="00FE36E8"/>
    <w:rsid w:val="00FE5281"/>
    <w:rsid w:val="00FE666D"/>
    <w:rsid w:val="00FE73BF"/>
    <w:rsid w:val="00FE7826"/>
    <w:rsid w:val="00FF09B0"/>
    <w:rsid w:val="00FF12A4"/>
    <w:rsid w:val="00FF14E5"/>
    <w:rsid w:val="00FF3129"/>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F23EA6"/>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F23EA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1AB5-2021-460C-AA74-343F85537582}">
  <ds:schemaRefs>
    <ds:schemaRef ds:uri="http://schemas.microsoft.com/office/2006/metadata/properties"/>
    <ds:schemaRef ds:uri="http://schemas.microsoft.com/office/infopath/2007/PartnerControls"/>
    <ds:schemaRef ds:uri="D33CBBB1-5EA3-4CDB-90DF-0CB2A11F3783"/>
  </ds:schemaRefs>
</ds:datastoreItem>
</file>

<file path=customXml/itemProps2.xml><?xml version="1.0" encoding="utf-8"?>
<ds:datastoreItem xmlns:ds="http://schemas.openxmlformats.org/officeDocument/2006/customXml" ds:itemID="{66ECA7E4-0416-4003-8973-B3704D02B962}">
  <ds:schemaRefs>
    <ds:schemaRef ds:uri="http://schemas.microsoft.com/sharepoint/v3/contenttype/forms"/>
  </ds:schemaRefs>
</ds:datastoreItem>
</file>

<file path=customXml/itemProps3.xml><?xml version="1.0" encoding="utf-8"?>
<ds:datastoreItem xmlns:ds="http://schemas.openxmlformats.org/officeDocument/2006/customXml" ds:itemID="{249B72C6-D96D-47E3-BFF2-4496FFC1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3682F-9E66-4BE3-A81B-E2F426A9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2021-12-06T00:04:00Z</dcterms:created>
  <dcterms:modified xsi:type="dcterms:W3CDTF">2022-02-28T00:43:00Z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ies>
</file>