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1B4F" w14:textId="77777777" w:rsidR="001F2A16" w:rsidRPr="00374065" w:rsidRDefault="001F2A16" w:rsidP="00374065">
      <w:pPr>
        <w:pStyle w:val="Header"/>
        <w:pBdr>
          <w:top w:val="double" w:sz="4" w:space="1" w:color="auto"/>
          <w:bottom w:val="double" w:sz="4" w:space="1" w:color="auto"/>
        </w:pBdr>
        <w:tabs>
          <w:tab w:val="clear" w:pos="4153"/>
          <w:tab w:val="clear" w:pos="8306"/>
        </w:tabs>
        <w:spacing w:after="360"/>
        <w:jc w:val="center"/>
        <w:rPr>
          <w:rFonts w:ascii="Arial" w:hAnsi="Arial" w:cs="Arial"/>
          <w:sz w:val="34"/>
          <w:szCs w:val="34"/>
        </w:rPr>
      </w:pPr>
      <w:r w:rsidRPr="00374065">
        <w:rPr>
          <w:rFonts w:ascii="Arial" w:hAnsi="Arial" w:cs="Arial"/>
          <w:sz w:val="34"/>
          <w:szCs w:val="34"/>
        </w:rPr>
        <w:t>Explanatory Statement</w:t>
      </w:r>
    </w:p>
    <w:p w14:paraId="6B8F7B13" w14:textId="24932786" w:rsidR="009371D0" w:rsidRDefault="00BA3B5D"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shd w:val="clear" w:color="auto" w:fill="FFFFFF"/>
        </w:rPr>
      </w:pPr>
      <w:r>
        <w:rPr>
          <w:rFonts w:ascii="Arial" w:hAnsi="Arial" w:cs="Arial"/>
          <w:sz w:val="34"/>
          <w:szCs w:val="34"/>
          <w:shd w:val="clear" w:color="auto" w:fill="FFFFFF"/>
        </w:rPr>
        <w:t>Superannuation Industry (</w:t>
      </w:r>
      <w:r w:rsidR="006A3D5E">
        <w:rPr>
          <w:rFonts w:ascii="Arial" w:hAnsi="Arial" w:cs="Arial"/>
          <w:sz w:val="34"/>
          <w:szCs w:val="34"/>
          <w:shd w:val="clear" w:color="auto" w:fill="FFFFFF"/>
        </w:rPr>
        <w:t>S</w:t>
      </w:r>
      <w:r>
        <w:rPr>
          <w:rFonts w:ascii="Arial" w:hAnsi="Arial" w:cs="Arial"/>
          <w:sz w:val="34"/>
          <w:szCs w:val="34"/>
          <w:shd w:val="clear" w:color="auto" w:fill="FFFFFF"/>
        </w:rPr>
        <w:t xml:space="preserve">upervision) </w:t>
      </w:r>
      <w:r w:rsidR="0055520C" w:rsidRPr="00374065">
        <w:rPr>
          <w:rFonts w:ascii="Arial" w:hAnsi="Arial" w:cs="Arial"/>
          <w:sz w:val="34"/>
          <w:szCs w:val="34"/>
          <w:shd w:val="clear" w:color="auto" w:fill="FFFFFF"/>
        </w:rPr>
        <w:t>Self</w:t>
      </w:r>
      <w:r w:rsidR="0055520C">
        <w:rPr>
          <w:rFonts w:ascii="Arial" w:hAnsi="Arial" w:cs="Arial"/>
          <w:sz w:val="34"/>
          <w:szCs w:val="34"/>
          <w:shd w:val="clear" w:color="auto" w:fill="FFFFFF"/>
        </w:rPr>
        <w:t>-</w:t>
      </w:r>
      <w:r w:rsidR="00E4267A" w:rsidRPr="00374065">
        <w:rPr>
          <w:rFonts w:ascii="Arial" w:hAnsi="Arial" w:cs="Arial"/>
          <w:sz w:val="34"/>
          <w:szCs w:val="34"/>
          <w:shd w:val="clear" w:color="auto" w:fill="FFFFFF"/>
        </w:rPr>
        <w:t>Managed Superannuation Funds (</w:t>
      </w:r>
      <w:r w:rsidR="000A2C84">
        <w:rPr>
          <w:rFonts w:ascii="Arial" w:hAnsi="Arial" w:cs="Arial"/>
          <w:sz w:val="34"/>
          <w:szCs w:val="34"/>
          <w:shd w:val="clear" w:color="auto" w:fill="FFFFFF"/>
        </w:rPr>
        <w:t>COVID</w:t>
      </w:r>
      <w:r w:rsidR="000A2C84">
        <w:rPr>
          <w:rFonts w:ascii="Arial" w:hAnsi="Arial" w:cs="Arial"/>
          <w:sz w:val="34"/>
          <w:szCs w:val="34"/>
          <w:shd w:val="clear" w:color="auto" w:fill="FFFFFF"/>
        </w:rPr>
        <w:noBreakHyphen/>
        <w:t>19</w:t>
      </w:r>
      <w:r w:rsidR="00E4267A" w:rsidRPr="00374065">
        <w:rPr>
          <w:rFonts w:ascii="Arial" w:hAnsi="Arial" w:cs="Arial"/>
          <w:sz w:val="34"/>
          <w:szCs w:val="34"/>
          <w:shd w:val="clear" w:color="auto" w:fill="FFFFFF"/>
        </w:rPr>
        <w:t xml:space="preserve"> Rental </w:t>
      </w:r>
      <w:r w:rsidR="00AE71C7">
        <w:rPr>
          <w:rFonts w:ascii="Arial" w:hAnsi="Arial" w:cs="Arial"/>
          <w:sz w:val="34"/>
          <w:szCs w:val="34"/>
          <w:shd w:val="clear" w:color="auto" w:fill="FFFFFF"/>
        </w:rPr>
        <w:t>I</w:t>
      </w:r>
      <w:r w:rsidR="00AE71C7" w:rsidRPr="00374065">
        <w:rPr>
          <w:rFonts w:ascii="Arial" w:hAnsi="Arial" w:cs="Arial"/>
          <w:sz w:val="34"/>
          <w:szCs w:val="34"/>
          <w:shd w:val="clear" w:color="auto" w:fill="FFFFFF"/>
        </w:rPr>
        <w:t xml:space="preserve">ncome </w:t>
      </w:r>
      <w:r w:rsidR="00AE71C7">
        <w:rPr>
          <w:rFonts w:ascii="Arial" w:hAnsi="Arial" w:cs="Arial"/>
          <w:sz w:val="34"/>
          <w:szCs w:val="34"/>
          <w:shd w:val="clear" w:color="auto" w:fill="FFFFFF"/>
        </w:rPr>
        <w:t>D</w:t>
      </w:r>
      <w:r w:rsidR="00AE71C7" w:rsidRPr="00374065">
        <w:rPr>
          <w:rFonts w:ascii="Arial" w:hAnsi="Arial" w:cs="Arial"/>
          <w:sz w:val="34"/>
          <w:szCs w:val="34"/>
          <w:shd w:val="clear" w:color="auto" w:fill="FFFFFF"/>
        </w:rPr>
        <w:t xml:space="preserve">eferrals </w:t>
      </w:r>
      <w:r w:rsidR="00E4267A" w:rsidRPr="00374065">
        <w:rPr>
          <w:rFonts w:ascii="Arial" w:hAnsi="Arial" w:cs="Arial"/>
          <w:sz w:val="34"/>
          <w:szCs w:val="34"/>
          <w:shd w:val="clear" w:color="auto" w:fill="FFFFFF"/>
        </w:rPr>
        <w:t>– In</w:t>
      </w:r>
      <w:r w:rsidR="00E4267A" w:rsidRPr="00374065">
        <w:rPr>
          <w:rFonts w:ascii="Arial" w:hAnsi="Arial" w:cs="Arial"/>
          <w:sz w:val="34"/>
          <w:szCs w:val="34"/>
          <w:shd w:val="clear" w:color="auto" w:fill="FFFFFF"/>
        </w:rPr>
        <w:noBreakHyphen/>
      </w:r>
      <w:r w:rsidR="00AE71C7">
        <w:rPr>
          <w:rFonts w:ascii="Arial" w:hAnsi="Arial" w:cs="Arial"/>
          <w:sz w:val="34"/>
          <w:szCs w:val="34"/>
          <w:shd w:val="clear" w:color="auto" w:fill="FFFFFF"/>
        </w:rPr>
        <w:t>H</w:t>
      </w:r>
      <w:r w:rsidR="00AE71C7" w:rsidRPr="00374065">
        <w:rPr>
          <w:rFonts w:ascii="Arial" w:hAnsi="Arial" w:cs="Arial"/>
          <w:sz w:val="34"/>
          <w:szCs w:val="34"/>
          <w:shd w:val="clear" w:color="auto" w:fill="FFFFFF"/>
        </w:rPr>
        <w:t xml:space="preserve">ouse </w:t>
      </w:r>
      <w:r w:rsidR="00E4267A" w:rsidRPr="00374065">
        <w:rPr>
          <w:rFonts w:ascii="Arial" w:hAnsi="Arial" w:cs="Arial"/>
          <w:sz w:val="34"/>
          <w:szCs w:val="34"/>
          <w:shd w:val="clear" w:color="auto" w:fill="FFFFFF"/>
        </w:rPr>
        <w:t xml:space="preserve">Asset Exclusion) Determination </w:t>
      </w:r>
      <w:r w:rsidR="00554B5E" w:rsidRPr="00374065">
        <w:rPr>
          <w:rFonts w:ascii="Arial" w:hAnsi="Arial" w:cs="Arial"/>
          <w:sz w:val="34"/>
          <w:szCs w:val="34"/>
          <w:shd w:val="clear" w:color="auto" w:fill="FFFFFF"/>
        </w:rPr>
        <w:t>202</w:t>
      </w:r>
      <w:r w:rsidR="00554B5E">
        <w:rPr>
          <w:rFonts w:ascii="Arial" w:hAnsi="Arial" w:cs="Arial"/>
          <w:sz w:val="34"/>
          <w:szCs w:val="34"/>
          <w:shd w:val="clear" w:color="auto" w:fill="FFFFFF"/>
        </w:rPr>
        <w:t>2</w:t>
      </w:r>
    </w:p>
    <w:p w14:paraId="1130CEBD" w14:textId="77777777" w:rsidR="000936B2" w:rsidRPr="000936B2" w:rsidRDefault="000936B2" w:rsidP="0021496E">
      <w:pPr>
        <w:pStyle w:val="Header"/>
        <w:pBdr>
          <w:top w:val="double" w:sz="4" w:space="1" w:color="auto"/>
          <w:bottom w:val="double" w:sz="4" w:space="1" w:color="auto"/>
        </w:pBdr>
        <w:tabs>
          <w:tab w:val="clear" w:pos="4153"/>
          <w:tab w:val="clear" w:pos="8306"/>
        </w:tabs>
        <w:jc w:val="center"/>
        <w:rPr>
          <w:rFonts w:ascii="Arial" w:hAnsi="Arial" w:cs="Arial"/>
          <w:sz w:val="20"/>
        </w:rPr>
      </w:pPr>
    </w:p>
    <w:p w14:paraId="15AC1B53" w14:textId="77777777" w:rsidR="001F2A16" w:rsidRPr="00374065" w:rsidRDefault="001F2A16" w:rsidP="00374065">
      <w:pPr>
        <w:pStyle w:val="Header"/>
        <w:tabs>
          <w:tab w:val="clear" w:pos="4153"/>
          <w:tab w:val="clear" w:pos="8306"/>
        </w:tabs>
        <w:jc w:val="center"/>
        <w:rPr>
          <w:rFonts w:ascii="Arial" w:hAnsi="Arial" w:cs="Arial"/>
          <w:sz w:val="22"/>
          <w:szCs w:val="22"/>
        </w:rPr>
      </w:pPr>
    </w:p>
    <w:p w14:paraId="15AC1B54" w14:textId="222EA1CE" w:rsidR="00486653" w:rsidRPr="00374065" w:rsidRDefault="00486653" w:rsidP="00374065">
      <w:pPr>
        <w:pStyle w:val="Heading2"/>
      </w:pPr>
      <w:r w:rsidRPr="00374065">
        <w:t xml:space="preserve">General </w:t>
      </w:r>
      <w:r w:rsidR="0029168D">
        <w:t>o</w:t>
      </w:r>
      <w:r w:rsidRPr="00374065">
        <w:t xml:space="preserve">utline of </w:t>
      </w:r>
      <w:r w:rsidR="0029168D">
        <w:t>i</w:t>
      </w:r>
      <w:r w:rsidRPr="00374065">
        <w:t>nstrument</w:t>
      </w:r>
    </w:p>
    <w:p w14:paraId="4B030905" w14:textId="071E0E37" w:rsidR="00E4267A" w:rsidRPr="00374065" w:rsidRDefault="00E4267A"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This instrument is made under paragraph 71(1)(f) of the</w:t>
      </w:r>
      <w:r w:rsidR="000A2C84">
        <w:rPr>
          <w:rFonts w:ascii="Arial" w:hAnsi="Arial" w:cs="Arial"/>
          <w:sz w:val="22"/>
          <w:szCs w:val="22"/>
        </w:rPr>
        <w:t xml:space="preserve"> </w:t>
      </w:r>
      <w:r w:rsidRPr="00374065">
        <w:rPr>
          <w:rFonts w:ascii="Arial" w:hAnsi="Arial" w:cs="Arial"/>
          <w:i/>
          <w:iCs/>
          <w:sz w:val="22"/>
          <w:szCs w:val="22"/>
        </w:rPr>
        <w:t>Superannuation Industry (Supervision) Act 1993</w:t>
      </w:r>
      <w:r w:rsidR="000A2C84">
        <w:rPr>
          <w:rFonts w:ascii="Arial" w:hAnsi="Arial" w:cs="Arial"/>
          <w:sz w:val="22"/>
          <w:szCs w:val="22"/>
        </w:rPr>
        <w:t xml:space="preserve"> </w:t>
      </w:r>
      <w:r w:rsidRPr="00374065">
        <w:rPr>
          <w:rFonts w:ascii="Arial" w:hAnsi="Arial" w:cs="Arial"/>
          <w:sz w:val="22"/>
          <w:szCs w:val="22"/>
        </w:rPr>
        <w:t>(SISA).</w:t>
      </w:r>
    </w:p>
    <w:p w14:paraId="4E7DD9AC" w14:textId="57A4589C" w:rsidR="00E4267A" w:rsidRPr="00374065" w:rsidRDefault="00E4267A" w:rsidP="00374065">
      <w:pPr>
        <w:numPr>
          <w:ilvl w:val="0"/>
          <w:numId w:val="16"/>
        </w:numPr>
        <w:tabs>
          <w:tab w:val="clear" w:pos="360"/>
        </w:tabs>
        <w:spacing w:after="120"/>
        <w:ind w:left="0" w:firstLine="0"/>
        <w:rPr>
          <w:rFonts w:ascii="Arial" w:hAnsi="Arial" w:cs="Arial"/>
          <w:sz w:val="22"/>
          <w:szCs w:val="22"/>
        </w:rPr>
      </w:pPr>
      <w:bookmarkStart w:id="0" w:name="_Hlk42090311"/>
      <w:r w:rsidRPr="00374065">
        <w:rPr>
          <w:rFonts w:ascii="Arial" w:hAnsi="Arial" w:cs="Arial"/>
          <w:sz w:val="22"/>
          <w:szCs w:val="22"/>
        </w:rPr>
        <w:t xml:space="preserve">This instrument provides that an asset of a </w:t>
      </w:r>
      <w:r w:rsidR="0055520C" w:rsidRPr="00374065">
        <w:rPr>
          <w:rFonts w:ascii="Arial" w:hAnsi="Arial" w:cs="Arial"/>
          <w:sz w:val="22"/>
          <w:szCs w:val="22"/>
        </w:rPr>
        <w:t>self</w:t>
      </w:r>
      <w:r w:rsidR="0055520C">
        <w:rPr>
          <w:rFonts w:ascii="Arial" w:hAnsi="Arial" w:cs="Arial"/>
          <w:sz w:val="22"/>
          <w:szCs w:val="22"/>
        </w:rPr>
        <w:t>-</w:t>
      </w:r>
      <w:r w:rsidRPr="00374065">
        <w:rPr>
          <w:rFonts w:ascii="Arial" w:hAnsi="Arial" w:cs="Arial"/>
          <w:sz w:val="22"/>
          <w:szCs w:val="22"/>
        </w:rPr>
        <w:t>managed superannuation fund (SMSF) is not taken to be an in</w:t>
      </w:r>
      <w:r w:rsidRPr="00374065">
        <w:rPr>
          <w:rFonts w:ascii="Arial" w:hAnsi="Arial" w:cs="Arial"/>
          <w:sz w:val="22"/>
          <w:szCs w:val="22"/>
        </w:rPr>
        <w:noBreakHyphen/>
        <w:t xml:space="preserve">house asset for the </w:t>
      </w:r>
      <w:r w:rsidR="00374065">
        <w:rPr>
          <w:rFonts w:ascii="Arial" w:hAnsi="Arial" w:cs="Arial"/>
          <w:sz w:val="22"/>
          <w:szCs w:val="22"/>
        </w:rPr>
        <w:t>2021–22</w:t>
      </w:r>
      <w:r w:rsidR="006420B2" w:rsidRPr="00374065">
        <w:rPr>
          <w:rFonts w:ascii="Arial" w:hAnsi="Arial" w:cs="Arial"/>
          <w:sz w:val="22"/>
          <w:szCs w:val="22"/>
        </w:rPr>
        <w:t xml:space="preserve"> income year </w:t>
      </w:r>
      <w:r w:rsidRPr="00374065">
        <w:rPr>
          <w:rFonts w:ascii="Arial" w:hAnsi="Arial" w:cs="Arial"/>
          <w:sz w:val="22"/>
          <w:szCs w:val="22"/>
        </w:rPr>
        <w:t xml:space="preserve">and future income years where the SMSF, during the </w:t>
      </w:r>
      <w:r w:rsidR="00374065">
        <w:rPr>
          <w:rFonts w:ascii="Arial" w:hAnsi="Arial" w:cs="Arial"/>
          <w:sz w:val="22"/>
          <w:szCs w:val="22"/>
        </w:rPr>
        <w:t>2021–22</w:t>
      </w:r>
      <w:r w:rsidRPr="00374065">
        <w:rPr>
          <w:rFonts w:ascii="Arial" w:hAnsi="Arial" w:cs="Arial"/>
          <w:sz w:val="22"/>
          <w:szCs w:val="22"/>
        </w:rPr>
        <w:t xml:space="preserve"> income year:</w:t>
      </w:r>
      <w:bookmarkEnd w:id="0"/>
    </w:p>
    <w:p w14:paraId="4D147D57" w14:textId="352CEAA1" w:rsidR="00E4267A" w:rsidRPr="00374065" w:rsidRDefault="0058094B" w:rsidP="004C6827">
      <w:pPr>
        <w:numPr>
          <w:ilvl w:val="0"/>
          <w:numId w:val="49"/>
        </w:numPr>
        <w:spacing w:after="120"/>
        <w:ind w:left="1418" w:hanging="709"/>
        <w:rPr>
          <w:rFonts w:ascii="Arial" w:hAnsi="Arial" w:cs="Arial"/>
          <w:sz w:val="22"/>
          <w:szCs w:val="22"/>
        </w:rPr>
      </w:pPr>
      <w:r>
        <w:rPr>
          <w:rFonts w:ascii="Arial" w:hAnsi="Arial" w:cs="Arial"/>
          <w:sz w:val="22"/>
          <w:szCs w:val="22"/>
        </w:rPr>
        <w:t xml:space="preserve">acquires an asset </w:t>
      </w:r>
      <w:r w:rsidR="00520851">
        <w:rPr>
          <w:rFonts w:ascii="Arial" w:hAnsi="Arial" w:cs="Arial"/>
          <w:sz w:val="22"/>
          <w:szCs w:val="22"/>
        </w:rPr>
        <w:t xml:space="preserve">held by the fund </w:t>
      </w:r>
      <w:r>
        <w:rPr>
          <w:rFonts w:ascii="Arial" w:hAnsi="Arial" w:cs="Arial"/>
          <w:sz w:val="22"/>
          <w:szCs w:val="22"/>
        </w:rPr>
        <w:t xml:space="preserve">by </w:t>
      </w:r>
      <w:r w:rsidR="00E4267A" w:rsidRPr="00374065">
        <w:rPr>
          <w:rFonts w:ascii="Arial" w:hAnsi="Arial" w:cs="Arial"/>
          <w:sz w:val="22"/>
          <w:szCs w:val="22"/>
        </w:rPr>
        <w:t>allow</w:t>
      </w:r>
      <w:r>
        <w:rPr>
          <w:rFonts w:ascii="Arial" w:hAnsi="Arial" w:cs="Arial"/>
          <w:sz w:val="22"/>
          <w:szCs w:val="22"/>
        </w:rPr>
        <w:t>ing</w:t>
      </w:r>
      <w:r w:rsidR="00E4267A" w:rsidRPr="00374065">
        <w:rPr>
          <w:rFonts w:ascii="Arial" w:hAnsi="Arial" w:cs="Arial"/>
          <w:sz w:val="22"/>
          <w:szCs w:val="22"/>
        </w:rPr>
        <w:t xml:space="preserve"> a related party to defer the payment of rent under a lease</w:t>
      </w:r>
      <w:r w:rsidR="000A2C84">
        <w:rPr>
          <w:rFonts w:ascii="Arial" w:hAnsi="Arial" w:cs="Arial"/>
          <w:sz w:val="22"/>
          <w:szCs w:val="22"/>
        </w:rPr>
        <w:t xml:space="preserve"> </w:t>
      </w:r>
      <w:bookmarkStart w:id="1" w:name="_Hlk42853597"/>
      <w:r w:rsidR="00E4267A" w:rsidRPr="00374065">
        <w:rPr>
          <w:rFonts w:ascii="Arial" w:hAnsi="Arial" w:cs="Arial"/>
          <w:sz w:val="22"/>
          <w:szCs w:val="22"/>
        </w:rPr>
        <w:t>agreement (on arm’s length terms)</w:t>
      </w:r>
      <w:bookmarkEnd w:id="1"/>
      <w:r w:rsidR="000A2C84">
        <w:rPr>
          <w:rFonts w:ascii="Arial" w:hAnsi="Arial" w:cs="Arial"/>
          <w:sz w:val="22"/>
          <w:szCs w:val="22"/>
        </w:rPr>
        <w:t xml:space="preserve"> </w:t>
      </w:r>
      <w:r w:rsidR="00E4267A" w:rsidRPr="00374065">
        <w:rPr>
          <w:rFonts w:ascii="Arial" w:hAnsi="Arial" w:cs="Arial"/>
          <w:sz w:val="22"/>
          <w:szCs w:val="22"/>
        </w:rPr>
        <w:t xml:space="preserve">to ease the financial impact of the coronavirus known as </w:t>
      </w:r>
      <w:r w:rsidR="000A2C84">
        <w:rPr>
          <w:rFonts w:ascii="Arial" w:hAnsi="Arial" w:cs="Arial"/>
          <w:sz w:val="22"/>
          <w:szCs w:val="22"/>
        </w:rPr>
        <w:t>COVID</w:t>
      </w:r>
      <w:r w:rsidR="000A2C84">
        <w:rPr>
          <w:rFonts w:ascii="Arial" w:hAnsi="Arial" w:cs="Arial"/>
          <w:sz w:val="22"/>
          <w:szCs w:val="22"/>
        </w:rPr>
        <w:noBreakHyphen/>
        <w:t>19</w:t>
      </w:r>
      <w:r w:rsidR="00E4267A" w:rsidRPr="00374065">
        <w:rPr>
          <w:rFonts w:ascii="Arial" w:hAnsi="Arial" w:cs="Arial"/>
          <w:sz w:val="22"/>
          <w:szCs w:val="22"/>
        </w:rPr>
        <w:t>, or</w:t>
      </w:r>
    </w:p>
    <w:p w14:paraId="34DE3458" w14:textId="1731EFE4" w:rsidR="00E4267A" w:rsidRPr="00374065" w:rsidRDefault="00E4267A" w:rsidP="004C6827">
      <w:pPr>
        <w:numPr>
          <w:ilvl w:val="0"/>
          <w:numId w:val="49"/>
        </w:numPr>
        <w:spacing w:after="120"/>
        <w:ind w:left="1418" w:hanging="709"/>
        <w:rPr>
          <w:rFonts w:ascii="Arial" w:hAnsi="Arial" w:cs="Arial"/>
          <w:sz w:val="22"/>
          <w:szCs w:val="22"/>
        </w:rPr>
      </w:pPr>
      <w:r w:rsidRPr="00374065">
        <w:rPr>
          <w:rFonts w:ascii="Arial" w:hAnsi="Arial" w:cs="Arial"/>
          <w:sz w:val="22"/>
          <w:szCs w:val="22"/>
        </w:rPr>
        <w:t xml:space="preserve">holds </w:t>
      </w:r>
      <w:r w:rsidR="0058094B">
        <w:rPr>
          <w:rFonts w:ascii="Arial" w:hAnsi="Arial" w:cs="Arial"/>
          <w:sz w:val="22"/>
          <w:szCs w:val="22"/>
        </w:rPr>
        <w:t>an</w:t>
      </w:r>
      <w:r w:rsidRPr="00374065">
        <w:rPr>
          <w:rFonts w:ascii="Arial" w:hAnsi="Arial" w:cs="Arial"/>
          <w:sz w:val="22"/>
          <w:szCs w:val="22"/>
        </w:rPr>
        <w:t xml:space="preserve"> asset that is an interest in a</w:t>
      </w:r>
      <w:r w:rsidR="000A2C84">
        <w:rPr>
          <w:rFonts w:ascii="Arial" w:hAnsi="Arial" w:cs="Arial"/>
          <w:sz w:val="22"/>
          <w:szCs w:val="22"/>
        </w:rPr>
        <w:t xml:space="preserve"> </w:t>
      </w:r>
      <w:r w:rsidRPr="00374065">
        <w:rPr>
          <w:rFonts w:ascii="Arial" w:hAnsi="Arial" w:cs="Arial"/>
          <w:sz w:val="22"/>
          <w:szCs w:val="22"/>
          <w:lang w:val="en"/>
        </w:rPr>
        <w:t>company or unit trust which would not otherwise be an in</w:t>
      </w:r>
      <w:r w:rsidRPr="00374065">
        <w:rPr>
          <w:rFonts w:ascii="Arial" w:hAnsi="Arial" w:cs="Arial"/>
          <w:sz w:val="22"/>
          <w:szCs w:val="22"/>
          <w:lang w:val="en"/>
        </w:rPr>
        <w:noBreakHyphen/>
        <w:t xml:space="preserve">house asset under </w:t>
      </w:r>
      <w:r w:rsidR="0058094B">
        <w:rPr>
          <w:rFonts w:ascii="Arial" w:hAnsi="Arial" w:cs="Arial"/>
          <w:sz w:val="22"/>
          <w:szCs w:val="22"/>
          <w:lang w:val="en"/>
        </w:rPr>
        <w:t xml:space="preserve">paragraph 71(1)(j) of the SISA and </w:t>
      </w:r>
      <w:r w:rsidRPr="00374065">
        <w:rPr>
          <w:rFonts w:ascii="Arial" w:hAnsi="Arial" w:cs="Arial"/>
          <w:sz w:val="22"/>
          <w:szCs w:val="22"/>
          <w:lang w:val="en"/>
        </w:rPr>
        <w:t>regulation 13.22B or regulation 13.22C of the</w:t>
      </w:r>
      <w:r w:rsidR="000A2C84">
        <w:rPr>
          <w:rFonts w:ascii="Arial" w:hAnsi="Arial" w:cs="Arial"/>
          <w:sz w:val="22"/>
          <w:szCs w:val="22"/>
          <w:lang w:val="en"/>
        </w:rPr>
        <w:t xml:space="preserve"> </w:t>
      </w:r>
      <w:r w:rsidRPr="00374065">
        <w:rPr>
          <w:rFonts w:ascii="Arial" w:hAnsi="Arial" w:cs="Arial"/>
          <w:i/>
          <w:iCs/>
          <w:sz w:val="22"/>
          <w:szCs w:val="22"/>
          <w:lang w:val="en"/>
        </w:rPr>
        <w:t>S</w:t>
      </w:r>
      <w:r w:rsidR="00FE74D8" w:rsidRPr="00374065">
        <w:rPr>
          <w:rFonts w:ascii="Arial" w:hAnsi="Arial" w:cs="Arial"/>
          <w:i/>
          <w:iCs/>
          <w:sz w:val="22"/>
          <w:szCs w:val="22"/>
          <w:lang w:val="en"/>
        </w:rPr>
        <w:t xml:space="preserve">uperannuation </w:t>
      </w:r>
      <w:r w:rsidRPr="00374065">
        <w:rPr>
          <w:rFonts w:ascii="Arial" w:hAnsi="Arial" w:cs="Arial"/>
          <w:i/>
          <w:iCs/>
          <w:sz w:val="22"/>
          <w:szCs w:val="22"/>
          <w:lang w:val="en"/>
        </w:rPr>
        <w:t>I</w:t>
      </w:r>
      <w:r w:rsidR="00FE74D8" w:rsidRPr="00374065">
        <w:rPr>
          <w:rFonts w:ascii="Arial" w:hAnsi="Arial" w:cs="Arial"/>
          <w:i/>
          <w:iCs/>
          <w:sz w:val="22"/>
          <w:szCs w:val="22"/>
          <w:lang w:val="en"/>
        </w:rPr>
        <w:t xml:space="preserve">ndustry </w:t>
      </w:r>
      <w:r w:rsidR="004F3F61" w:rsidRPr="00374065">
        <w:rPr>
          <w:rFonts w:ascii="Arial" w:hAnsi="Arial" w:cs="Arial"/>
          <w:i/>
          <w:iCs/>
          <w:sz w:val="22"/>
          <w:szCs w:val="22"/>
          <w:lang w:val="en"/>
        </w:rPr>
        <w:t>(</w:t>
      </w:r>
      <w:r w:rsidRPr="00374065">
        <w:rPr>
          <w:rFonts w:ascii="Arial" w:hAnsi="Arial" w:cs="Arial"/>
          <w:i/>
          <w:iCs/>
          <w:sz w:val="22"/>
          <w:szCs w:val="22"/>
          <w:lang w:val="en"/>
        </w:rPr>
        <w:t>S</w:t>
      </w:r>
      <w:r w:rsidR="00FE74D8" w:rsidRPr="00374065">
        <w:rPr>
          <w:rFonts w:ascii="Arial" w:hAnsi="Arial" w:cs="Arial"/>
          <w:i/>
          <w:iCs/>
          <w:sz w:val="22"/>
          <w:szCs w:val="22"/>
          <w:lang w:val="en"/>
        </w:rPr>
        <w:t>upervision</w:t>
      </w:r>
      <w:r w:rsidR="004F3F61" w:rsidRPr="00374065">
        <w:rPr>
          <w:rFonts w:ascii="Arial" w:hAnsi="Arial" w:cs="Arial"/>
          <w:i/>
          <w:iCs/>
          <w:sz w:val="22"/>
          <w:szCs w:val="22"/>
          <w:lang w:val="en"/>
        </w:rPr>
        <w:t>)</w:t>
      </w:r>
      <w:r w:rsidR="00FE74D8" w:rsidRPr="00374065">
        <w:rPr>
          <w:rFonts w:ascii="Arial" w:hAnsi="Arial" w:cs="Arial"/>
          <w:i/>
          <w:iCs/>
          <w:sz w:val="22"/>
          <w:szCs w:val="22"/>
          <w:lang w:val="en"/>
        </w:rPr>
        <w:t xml:space="preserve"> Regulations</w:t>
      </w:r>
      <w:r w:rsidR="000A2C84">
        <w:rPr>
          <w:rFonts w:ascii="Arial" w:hAnsi="Arial" w:cs="Arial"/>
          <w:sz w:val="22"/>
          <w:szCs w:val="22"/>
        </w:rPr>
        <w:t xml:space="preserve"> </w:t>
      </w:r>
      <w:r w:rsidR="00FE74D8" w:rsidRPr="00374065">
        <w:rPr>
          <w:rFonts w:ascii="Arial" w:hAnsi="Arial" w:cs="Arial"/>
          <w:sz w:val="22"/>
          <w:szCs w:val="22"/>
        </w:rPr>
        <w:t>1994 (SISR)</w:t>
      </w:r>
      <w:r w:rsidR="0058094B">
        <w:rPr>
          <w:rFonts w:ascii="Arial" w:hAnsi="Arial" w:cs="Arial"/>
          <w:sz w:val="22"/>
          <w:szCs w:val="22"/>
        </w:rPr>
        <w:t>,</w:t>
      </w:r>
      <w:r w:rsidR="00FE74D8" w:rsidRPr="00374065">
        <w:rPr>
          <w:rFonts w:ascii="Arial" w:hAnsi="Arial" w:cs="Arial"/>
          <w:sz w:val="22"/>
          <w:szCs w:val="22"/>
        </w:rPr>
        <w:t xml:space="preserve"> </w:t>
      </w:r>
      <w:r w:rsidRPr="00374065">
        <w:rPr>
          <w:rFonts w:ascii="Arial" w:hAnsi="Arial" w:cs="Arial"/>
          <w:sz w:val="22"/>
          <w:szCs w:val="22"/>
        </w:rPr>
        <w:t>and that company or unit trust allows a tenant</w:t>
      </w:r>
      <w:r w:rsidR="000A2C84">
        <w:rPr>
          <w:rFonts w:ascii="Arial" w:hAnsi="Arial" w:cs="Arial"/>
          <w:sz w:val="22"/>
          <w:szCs w:val="22"/>
        </w:rPr>
        <w:t xml:space="preserve"> </w:t>
      </w:r>
      <w:bookmarkStart w:id="2" w:name="_Hlk42865905"/>
      <w:r w:rsidRPr="00374065">
        <w:rPr>
          <w:rFonts w:ascii="Arial" w:hAnsi="Arial" w:cs="Arial"/>
          <w:sz w:val="22"/>
          <w:szCs w:val="22"/>
        </w:rPr>
        <w:t>to defer the payment of rent under a lease (on arm’s length terms)</w:t>
      </w:r>
      <w:r w:rsidR="000A2C84">
        <w:rPr>
          <w:rFonts w:ascii="Arial" w:hAnsi="Arial" w:cs="Arial"/>
          <w:sz w:val="22"/>
          <w:szCs w:val="22"/>
        </w:rPr>
        <w:t xml:space="preserve"> </w:t>
      </w:r>
      <w:bookmarkEnd w:id="2"/>
      <w:r w:rsidRPr="00374065">
        <w:rPr>
          <w:rFonts w:ascii="Arial" w:hAnsi="Arial" w:cs="Arial"/>
          <w:sz w:val="22"/>
          <w:szCs w:val="22"/>
        </w:rPr>
        <w:t xml:space="preserve">to ease the financial impact of </w:t>
      </w:r>
      <w:r w:rsidR="000A2C84">
        <w:rPr>
          <w:rFonts w:ascii="Arial" w:hAnsi="Arial" w:cs="Arial"/>
          <w:sz w:val="22"/>
          <w:szCs w:val="22"/>
        </w:rPr>
        <w:t>COVID</w:t>
      </w:r>
      <w:r w:rsidR="000A2C84">
        <w:rPr>
          <w:rFonts w:ascii="Arial" w:hAnsi="Arial" w:cs="Arial"/>
          <w:sz w:val="22"/>
          <w:szCs w:val="22"/>
        </w:rPr>
        <w:noBreakHyphen/>
        <w:t>19</w:t>
      </w:r>
      <w:r w:rsidRPr="00374065">
        <w:rPr>
          <w:rFonts w:ascii="Arial" w:hAnsi="Arial" w:cs="Arial"/>
          <w:sz w:val="22"/>
          <w:szCs w:val="22"/>
        </w:rPr>
        <w:t>.</w:t>
      </w:r>
    </w:p>
    <w:p w14:paraId="15AC1B5F" w14:textId="0C2E7324" w:rsidR="00486653" w:rsidRPr="00374065" w:rsidRDefault="00486653"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 xml:space="preserve">The instrument is a legislative instrument for the purposes of the </w:t>
      </w:r>
      <w:r w:rsidR="00C4143E" w:rsidRPr="00374065">
        <w:rPr>
          <w:rFonts w:ascii="Arial" w:hAnsi="Arial" w:cs="Arial"/>
          <w:i/>
          <w:sz w:val="22"/>
          <w:szCs w:val="22"/>
        </w:rPr>
        <w:t xml:space="preserve">Legislation </w:t>
      </w:r>
      <w:r w:rsidRPr="00374065">
        <w:rPr>
          <w:rFonts w:ascii="Arial" w:hAnsi="Arial" w:cs="Arial"/>
          <w:i/>
          <w:sz w:val="22"/>
          <w:szCs w:val="22"/>
        </w:rPr>
        <w:t>Act 2003</w:t>
      </w:r>
      <w:r w:rsidR="000556B5" w:rsidRPr="00374065">
        <w:rPr>
          <w:rFonts w:ascii="Arial" w:hAnsi="Arial" w:cs="Arial"/>
          <w:iCs/>
          <w:sz w:val="22"/>
          <w:szCs w:val="22"/>
        </w:rPr>
        <w:t xml:space="preserve"> (LA)</w:t>
      </w:r>
      <w:r w:rsidRPr="00374065">
        <w:rPr>
          <w:rFonts w:ascii="Arial" w:hAnsi="Arial" w:cs="Arial"/>
          <w:sz w:val="22"/>
          <w:szCs w:val="22"/>
        </w:rPr>
        <w:t>.</w:t>
      </w:r>
    </w:p>
    <w:p w14:paraId="15AC1B62" w14:textId="196D3987" w:rsidR="006302F7" w:rsidRDefault="00B31550" w:rsidP="00374065">
      <w:pPr>
        <w:numPr>
          <w:ilvl w:val="0"/>
          <w:numId w:val="16"/>
        </w:numPr>
        <w:tabs>
          <w:tab w:val="clear" w:pos="360"/>
        </w:tabs>
        <w:spacing w:after="120"/>
        <w:ind w:left="0" w:firstLine="0"/>
        <w:rPr>
          <w:rFonts w:ascii="Arial" w:hAnsi="Arial" w:cs="Arial"/>
        </w:rPr>
      </w:pPr>
      <w:r w:rsidRPr="00374065">
        <w:rPr>
          <w:rFonts w:ascii="Arial" w:hAnsi="Arial" w:cs="Arial"/>
          <w:sz w:val="22"/>
          <w:szCs w:val="22"/>
        </w:rPr>
        <w:t xml:space="preserve">Under subsection 33(3) of the </w:t>
      </w:r>
      <w:r w:rsidRPr="00374065">
        <w:rPr>
          <w:rFonts w:ascii="Arial" w:hAnsi="Arial" w:cs="Arial"/>
          <w:i/>
          <w:sz w:val="22"/>
          <w:szCs w:val="22"/>
        </w:rPr>
        <w:t>Acts Interpretation Act 1901</w:t>
      </w:r>
      <w:r w:rsidRPr="00374065">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E44B9B3" w14:textId="77777777" w:rsidR="00374065" w:rsidRPr="00374065" w:rsidRDefault="00374065" w:rsidP="004C6827">
      <w:pPr>
        <w:spacing w:after="120"/>
        <w:rPr>
          <w:rFonts w:ascii="Arial" w:hAnsi="Arial" w:cs="Arial"/>
          <w:sz w:val="22"/>
          <w:szCs w:val="22"/>
        </w:rPr>
      </w:pPr>
    </w:p>
    <w:p w14:paraId="15AC1B63" w14:textId="77777777" w:rsidR="001D02E6" w:rsidRPr="00374065" w:rsidRDefault="001D02E6" w:rsidP="00374065">
      <w:pPr>
        <w:pStyle w:val="Heading2"/>
      </w:pPr>
      <w:r w:rsidRPr="00374065">
        <w:t>Date of effect</w:t>
      </w:r>
    </w:p>
    <w:p w14:paraId="15AC1B65" w14:textId="2DFEB9F7" w:rsidR="00222AFB" w:rsidRPr="00374065" w:rsidRDefault="00222AFB"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This instrument commences on</w:t>
      </w:r>
      <w:r w:rsidR="00E962F2" w:rsidRPr="00374065">
        <w:rPr>
          <w:rFonts w:ascii="Arial" w:hAnsi="Arial" w:cs="Arial"/>
          <w:sz w:val="22"/>
          <w:szCs w:val="22"/>
        </w:rPr>
        <w:t xml:space="preserve"> </w:t>
      </w:r>
      <w:r w:rsidRPr="00374065">
        <w:rPr>
          <w:rFonts w:ascii="Arial" w:hAnsi="Arial" w:cs="Arial"/>
          <w:sz w:val="22"/>
          <w:szCs w:val="22"/>
        </w:rPr>
        <w:t>the day after it is registered on the Federal Register of Legislation.</w:t>
      </w:r>
    </w:p>
    <w:p w14:paraId="2160C033" w14:textId="203116C5" w:rsidR="00D2220D" w:rsidRPr="00374065" w:rsidRDefault="00D2220D"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Under subsection 12(2) of the L</w:t>
      </w:r>
      <w:r w:rsidR="000556B5" w:rsidRPr="00374065">
        <w:rPr>
          <w:rFonts w:ascii="Arial" w:hAnsi="Arial" w:cs="Arial"/>
          <w:sz w:val="22"/>
          <w:szCs w:val="22"/>
        </w:rPr>
        <w:t>A</w:t>
      </w:r>
      <w:r w:rsidRPr="00374065">
        <w:rPr>
          <w:rFonts w:ascii="Arial" w:hAnsi="Arial" w:cs="Arial"/>
          <w:sz w:val="22"/>
          <w:szCs w:val="22"/>
        </w:rPr>
        <w:t xml:space="preserve"> this instrument does not adversely affect the rights or liabilities of any person other than the Commonwealth.</w:t>
      </w:r>
    </w:p>
    <w:p w14:paraId="15AC1B6B" w14:textId="77777777" w:rsidR="00486653" w:rsidRPr="00374065" w:rsidRDefault="00486653" w:rsidP="00374065">
      <w:pPr>
        <w:spacing w:after="120"/>
        <w:rPr>
          <w:rFonts w:ascii="Arial" w:hAnsi="Arial" w:cs="Arial"/>
          <w:sz w:val="22"/>
          <w:szCs w:val="22"/>
        </w:rPr>
      </w:pPr>
    </w:p>
    <w:p w14:paraId="15AC1B6C" w14:textId="77777777" w:rsidR="00486653" w:rsidRPr="00374065" w:rsidRDefault="00486653" w:rsidP="00374065">
      <w:pPr>
        <w:pStyle w:val="Heading2"/>
      </w:pPr>
      <w:r w:rsidRPr="00374065">
        <w:t>What is the effect of this instrument</w:t>
      </w:r>
    </w:p>
    <w:p w14:paraId="5A6F8CE2" w14:textId="77777777" w:rsidR="008575FD" w:rsidRDefault="00486653"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The effect of this instrument is</w:t>
      </w:r>
      <w:r w:rsidR="00673B37" w:rsidRPr="00374065">
        <w:rPr>
          <w:rFonts w:ascii="Arial" w:hAnsi="Arial" w:cs="Arial"/>
          <w:sz w:val="22"/>
          <w:szCs w:val="22"/>
        </w:rPr>
        <w:t xml:space="preserve"> </w:t>
      </w:r>
      <w:r w:rsidR="00B228B1" w:rsidRPr="00374065">
        <w:rPr>
          <w:rFonts w:ascii="Arial" w:hAnsi="Arial" w:cs="Arial"/>
          <w:sz w:val="22"/>
          <w:szCs w:val="22"/>
          <w:shd w:val="clear" w:color="auto" w:fill="FFFFFF"/>
        </w:rPr>
        <w:t xml:space="preserve">that assets covered by this </w:t>
      </w:r>
      <w:r w:rsidR="00FB6434" w:rsidRPr="00374065">
        <w:rPr>
          <w:rFonts w:ascii="Arial" w:hAnsi="Arial" w:cs="Arial"/>
          <w:sz w:val="22"/>
          <w:szCs w:val="22"/>
          <w:shd w:val="clear" w:color="auto" w:fill="FFFFFF"/>
        </w:rPr>
        <w:t>i</w:t>
      </w:r>
      <w:r w:rsidR="00B228B1" w:rsidRPr="00374065">
        <w:rPr>
          <w:rFonts w:ascii="Arial" w:hAnsi="Arial" w:cs="Arial"/>
          <w:sz w:val="22"/>
          <w:szCs w:val="22"/>
          <w:shd w:val="clear" w:color="auto" w:fill="FFFFFF"/>
        </w:rPr>
        <w:t>nstrument are taken not to be in</w:t>
      </w:r>
      <w:r w:rsidR="00B228B1" w:rsidRPr="00374065">
        <w:rPr>
          <w:rFonts w:ascii="Arial" w:hAnsi="Arial" w:cs="Arial"/>
          <w:sz w:val="22"/>
          <w:szCs w:val="22"/>
          <w:shd w:val="clear" w:color="auto" w:fill="FFFFFF"/>
        </w:rPr>
        <w:noBreakHyphen/>
        <w:t xml:space="preserve">house assets of the SMSF in the </w:t>
      </w:r>
      <w:r w:rsidR="00374065">
        <w:rPr>
          <w:rFonts w:ascii="Arial" w:hAnsi="Arial" w:cs="Arial"/>
          <w:sz w:val="22"/>
          <w:szCs w:val="22"/>
          <w:shd w:val="clear" w:color="auto" w:fill="FFFFFF"/>
        </w:rPr>
        <w:t>2021–22</w:t>
      </w:r>
      <w:r w:rsidR="000217A3" w:rsidRPr="00374065">
        <w:rPr>
          <w:rFonts w:ascii="Arial" w:hAnsi="Arial" w:cs="Arial"/>
          <w:sz w:val="22"/>
          <w:szCs w:val="22"/>
          <w:shd w:val="clear" w:color="auto" w:fill="FFFFFF"/>
        </w:rPr>
        <w:t xml:space="preserve"> </w:t>
      </w:r>
      <w:r w:rsidR="00B228B1" w:rsidRPr="00374065">
        <w:rPr>
          <w:rFonts w:ascii="Arial" w:hAnsi="Arial" w:cs="Arial"/>
          <w:sz w:val="22"/>
          <w:szCs w:val="22"/>
          <w:shd w:val="clear" w:color="auto" w:fill="FFFFFF"/>
        </w:rPr>
        <w:t>income year in which there was an agreement on arm’s length terms that the payment of rent owed could be deferred or any future income years.</w:t>
      </w:r>
    </w:p>
    <w:p w14:paraId="755A3F57" w14:textId="226010C1" w:rsidR="00B228B1" w:rsidRPr="00374065" w:rsidRDefault="00B228B1" w:rsidP="00374065">
      <w:pPr>
        <w:spacing w:after="120"/>
        <w:rPr>
          <w:rFonts w:ascii="Arial" w:hAnsi="Arial" w:cs="Arial"/>
          <w:sz w:val="22"/>
          <w:szCs w:val="22"/>
        </w:rPr>
      </w:pPr>
    </w:p>
    <w:p w14:paraId="3EEA60AF" w14:textId="77777777" w:rsidR="008575FD" w:rsidRDefault="00640CC2" w:rsidP="00374065">
      <w:pPr>
        <w:pStyle w:val="Heading2"/>
      </w:pPr>
      <w:r w:rsidRPr="00374065">
        <w:t>Compliance cost assessment</w:t>
      </w:r>
    </w:p>
    <w:p w14:paraId="15AC1B72" w14:textId="72A603FE" w:rsidR="00493CA7" w:rsidRPr="00AE71C7" w:rsidRDefault="0029168D" w:rsidP="0029168D">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Compliance cost impact: Minor – There will be no additional regulatory impacts as the instrument is minor and machinery in nature.</w:t>
      </w:r>
    </w:p>
    <w:p w14:paraId="61906599" w14:textId="77777777" w:rsidR="00B228B1" w:rsidRPr="00AE71C7" w:rsidRDefault="00B228B1" w:rsidP="004C6827">
      <w:pPr>
        <w:spacing w:after="120"/>
        <w:rPr>
          <w:rFonts w:ascii="Arial" w:hAnsi="Arial" w:cs="Arial"/>
          <w:sz w:val="22"/>
          <w:szCs w:val="22"/>
        </w:rPr>
      </w:pPr>
    </w:p>
    <w:p w14:paraId="15AC1B73" w14:textId="77777777" w:rsidR="00486653" w:rsidRPr="00374065" w:rsidRDefault="00486653" w:rsidP="00374065">
      <w:pPr>
        <w:pStyle w:val="Heading2"/>
      </w:pPr>
      <w:r w:rsidRPr="00374065">
        <w:t>Background</w:t>
      </w:r>
    </w:p>
    <w:p w14:paraId="1A59DCA1" w14:textId="71CCC9A7" w:rsidR="00B228B1" w:rsidRPr="00374065" w:rsidRDefault="00B228B1"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This instrument provides that deferral of the payment of rent owed under a lease (on arm’s length terms as described in paragraph</w:t>
      </w:r>
      <w:r w:rsidR="00BA1530" w:rsidRPr="00374065">
        <w:rPr>
          <w:rFonts w:ascii="Arial" w:hAnsi="Arial" w:cs="Arial"/>
          <w:sz w:val="22"/>
          <w:szCs w:val="22"/>
        </w:rPr>
        <w:t>s</w:t>
      </w:r>
      <w:r w:rsidRPr="00374065">
        <w:rPr>
          <w:rFonts w:ascii="Arial" w:hAnsi="Arial" w:cs="Arial"/>
          <w:sz w:val="22"/>
          <w:szCs w:val="22"/>
        </w:rPr>
        <w:t xml:space="preserve"> </w:t>
      </w:r>
      <w:r w:rsidR="000A2C84">
        <w:rPr>
          <w:rFonts w:ascii="Arial" w:hAnsi="Arial" w:cs="Arial"/>
          <w:sz w:val="22"/>
          <w:szCs w:val="22"/>
        </w:rPr>
        <w:t>15</w:t>
      </w:r>
      <w:r w:rsidR="00BA1530" w:rsidRPr="00374065">
        <w:rPr>
          <w:rFonts w:ascii="Arial" w:hAnsi="Arial" w:cs="Arial"/>
          <w:sz w:val="22"/>
          <w:szCs w:val="22"/>
        </w:rPr>
        <w:t xml:space="preserve"> to </w:t>
      </w:r>
      <w:r w:rsidR="000A2C84">
        <w:rPr>
          <w:rFonts w:ascii="Arial" w:hAnsi="Arial" w:cs="Arial"/>
          <w:sz w:val="22"/>
          <w:szCs w:val="22"/>
        </w:rPr>
        <w:t xml:space="preserve">19 of this </w:t>
      </w:r>
      <w:r w:rsidR="002C3864">
        <w:rPr>
          <w:rFonts w:ascii="Arial" w:hAnsi="Arial" w:cs="Arial"/>
          <w:sz w:val="22"/>
          <w:szCs w:val="22"/>
        </w:rPr>
        <w:t>Statement</w:t>
      </w:r>
      <w:r w:rsidR="00EF0FAF">
        <w:rPr>
          <w:rFonts w:ascii="Arial" w:hAnsi="Arial" w:cs="Arial"/>
          <w:sz w:val="22"/>
          <w:szCs w:val="22"/>
        </w:rPr>
        <w:t>)</w:t>
      </w:r>
      <w:r w:rsidRPr="00374065">
        <w:rPr>
          <w:rFonts w:ascii="Arial" w:hAnsi="Arial" w:cs="Arial"/>
          <w:sz w:val="22"/>
          <w:szCs w:val="22"/>
        </w:rPr>
        <w:t xml:space="preserve"> during the </w:t>
      </w:r>
      <w:r w:rsidR="00374065">
        <w:rPr>
          <w:rFonts w:ascii="Arial" w:hAnsi="Arial" w:cs="Arial"/>
          <w:sz w:val="22"/>
          <w:szCs w:val="22"/>
        </w:rPr>
        <w:t>2021–22</w:t>
      </w:r>
      <w:r w:rsidRPr="00374065">
        <w:rPr>
          <w:rFonts w:ascii="Arial" w:hAnsi="Arial" w:cs="Arial"/>
          <w:sz w:val="22"/>
          <w:szCs w:val="22"/>
        </w:rPr>
        <w:t xml:space="preserve"> income year, does not result in an in</w:t>
      </w:r>
      <w:r w:rsidRPr="00374065">
        <w:rPr>
          <w:rFonts w:ascii="Arial" w:hAnsi="Arial" w:cs="Arial"/>
          <w:sz w:val="22"/>
          <w:szCs w:val="22"/>
        </w:rPr>
        <w:noBreakHyphen/>
        <w:t>house asset or cause the SMSF to lose its in</w:t>
      </w:r>
      <w:r w:rsidRPr="00374065">
        <w:rPr>
          <w:rFonts w:ascii="Arial" w:hAnsi="Arial" w:cs="Arial"/>
          <w:sz w:val="22"/>
          <w:szCs w:val="22"/>
        </w:rPr>
        <w:noBreakHyphen/>
        <w:t>house asset exemption in relation to an interest in a company or unit trust under</w:t>
      </w:r>
      <w:r w:rsidR="000A2C84">
        <w:rPr>
          <w:rFonts w:ascii="Arial" w:hAnsi="Arial" w:cs="Arial"/>
          <w:sz w:val="22"/>
          <w:szCs w:val="22"/>
        </w:rPr>
        <w:t xml:space="preserve"> </w:t>
      </w:r>
      <w:r w:rsidR="0058094B">
        <w:rPr>
          <w:rFonts w:ascii="Arial" w:hAnsi="Arial" w:cs="Arial"/>
          <w:sz w:val="22"/>
          <w:szCs w:val="22"/>
          <w:lang w:val="en"/>
        </w:rPr>
        <w:t xml:space="preserve">paragraph 71(1)(j) of the SISA and </w:t>
      </w:r>
      <w:r w:rsidRPr="00374065">
        <w:rPr>
          <w:rFonts w:ascii="Arial" w:hAnsi="Arial" w:cs="Arial"/>
          <w:sz w:val="22"/>
          <w:szCs w:val="22"/>
          <w:lang w:val="en"/>
        </w:rPr>
        <w:t>regulation 13.22B or regulation 13.22C</w:t>
      </w:r>
      <w:r w:rsidR="000A2C84">
        <w:rPr>
          <w:rFonts w:ascii="Arial" w:hAnsi="Arial" w:cs="Arial"/>
          <w:sz w:val="22"/>
          <w:szCs w:val="22"/>
          <w:lang w:val="en"/>
        </w:rPr>
        <w:t xml:space="preserve"> </w:t>
      </w:r>
      <w:r w:rsidRPr="00374065">
        <w:rPr>
          <w:rFonts w:ascii="Arial" w:hAnsi="Arial" w:cs="Arial"/>
          <w:sz w:val="22"/>
          <w:szCs w:val="22"/>
        </w:rPr>
        <w:t xml:space="preserve">of the SISR. In the absence of this </w:t>
      </w:r>
      <w:r w:rsidR="00266847">
        <w:rPr>
          <w:rFonts w:ascii="Arial" w:hAnsi="Arial" w:cs="Arial"/>
          <w:sz w:val="22"/>
          <w:szCs w:val="22"/>
        </w:rPr>
        <w:t>i</w:t>
      </w:r>
      <w:r w:rsidRPr="00374065">
        <w:rPr>
          <w:rFonts w:ascii="Arial" w:hAnsi="Arial" w:cs="Arial"/>
          <w:sz w:val="22"/>
          <w:szCs w:val="22"/>
        </w:rPr>
        <w:t>nstrument, the deferral of rent would be taken to be a loan as defined in the SISA triggering the application of the in-house asset rules.</w:t>
      </w:r>
    </w:p>
    <w:p w14:paraId="0471C942" w14:textId="4FCD1189" w:rsidR="00B228B1" w:rsidRPr="00374065" w:rsidRDefault="00B228B1"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The definition of ‘loan’ in subsection 10(1) of the SISA includes the provision of credit or any other form of financial accommodation, whether or not enforceable or intended to be enforceable by legal proceedings. This definition therefore covers financial accommodation arrangements where a creditor grants a deferral of payment of rent owed by a tenant:</w:t>
      </w:r>
      <w:r w:rsidR="000D0ABA" w:rsidRPr="00374065">
        <w:rPr>
          <w:rFonts w:ascii="Arial" w:hAnsi="Arial" w:cs="Arial"/>
          <w:sz w:val="22"/>
          <w:szCs w:val="22"/>
        </w:rPr>
        <w:t xml:space="preserve"> </w:t>
      </w:r>
      <w:r w:rsidRPr="00374065">
        <w:rPr>
          <w:rFonts w:ascii="Arial" w:hAnsi="Arial" w:cs="Arial"/>
          <w:sz w:val="22"/>
          <w:szCs w:val="22"/>
        </w:rPr>
        <w:t>see paragraph 11 of SMSFR 2009/4</w:t>
      </w:r>
      <w:r w:rsidR="000A2C84">
        <w:rPr>
          <w:rFonts w:ascii="Arial" w:hAnsi="Arial" w:cs="Arial"/>
          <w:i/>
          <w:iCs/>
          <w:sz w:val="22"/>
          <w:szCs w:val="22"/>
        </w:rPr>
        <w:t xml:space="preserve"> </w:t>
      </w:r>
      <w:r w:rsidRPr="00374065">
        <w:rPr>
          <w:rFonts w:ascii="Arial" w:hAnsi="Arial" w:cs="Arial"/>
          <w:i/>
          <w:iCs/>
          <w:sz w:val="22"/>
          <w:szCs w:val="22"/>
        </w:rPr>
        <w:t>Self Managed Superannuation Funds: the meaning of 'asset', 'loan', 'investment in', 'lease' and 'lease arrangement' in the definition of an 'in-house asset' in the Superannuation Industry (Supervision) Act</w:t>
      </w:r>
      <w:r w:rsidR="006616EC">
        <w:rPr>
          <w:rFonts w:ascii="Arial" w:hAnsi="Arial" w:cs="Arial"/>
          <w:i/>
          <w:iCs/>
          <w:sz w:val="22"/>
          <w:szCs w:val="22"/>
        </w:rPr>
        <w:t> </w:t>
      </w:r>
      <w:r w:rsidRPr="00374065">
        <w:rPr>
          <w:rFonts w:ascii="Arial" w:hAnsi="Arial" w:cs="Arial"/>
          <w:i/>
          <w:iCs/>
          <w:sz w:val="22"/>
          <w:szCs w:val="22"/>
        </w:rPr>
        <w:t>1993</w:t>
      </w:r>
      <w:r w:rsidRPr="00374065">
        <w:rPr>
          <w:rFonts w:ascii="Arial" w:hAnsi="Arial" w:cs="Arial"/>
          <w:sz w:val="22"/>
          <w:szCs w:val="22"/>
        </w:rPr>
        <w:t>.</w:t>
      </w:r>
    </w:p>
    <w:p w14:paraId="1C42A85E" w14:textId="45DA9133" w:rsidR="00B228B1" w:rsidRPr="00374065" w:rsidRDefault="00B228B1"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Where a trustee of an SMSF agrees to allow a deferral of the payment of rent owed under a lease (on arm’s length terms) from a related party, the deferral results in the trustee acquiring or holding an in</w:t>
      </w:r>
      <w:r w:rsidRPr="00374065">
        <w:rPr>
          <w:rFonts w:ascii="Arial" w:hAnsi="Arial" w:cs="Arial"/>
          <w:sz w:val="22"/>
          <w:szCs w:val="22"/>
        </w:rPr>
        <w:noBreakHyphen/>
        <w:t>house asset that is not covered by any of the exemptions in subsection 71(1)</w:t>
      </w:r>
      <w:r w:rsidR="00C7640E" w:rsidRPr="00374065">
        <w:rPr>
          <w:rFonts w:ascii="Arial" w:hAnsi="Arial" w:cs="Arial"/>
          <w:sz w:val="22"/>
          <w:szCs w:val="22"/>
        </w:rPr>
        <w:t xml:space="preserve"> of the</w:t>
      </w:r>
      <w:r w:rsidR="006616EC">
        <w:rPr>
          <w:rFonts w:ascii="Arial" w:hAnsi="Arial" w:cs="Arial"/>
          <w:sz w:val="22"/>
          <w:szCs w:val="22"/>
        </w:rPr>
        <w:t> </w:t>
      </w:r>
      <w:r w:rsidR="00C7640E" w:rsidRPr="00374065">
        <w:rPr>
          <w:rFonts w:ascii="Arial" w:hAnsi="Arial" w:cs="Arial"/>
          <w:sz w:val="22"/>
          <w:szCs w:val="22"/>
        </w:rPr>
        <w:t>SISA</w:t>
      </w:r>
      <w:r w:rsidRPr="00374065">
        <w:rPr>
          <w:rFonts w:ascii="Arial" w:hAnsi="Arial" w:cs="Arial"/>
          <w:sz w:val="22"/>
          <w:szCs w:val="22"/>
        </w:rPr>
        <w:t>. When the value of an SMSF’s in</w:t>
      </w:r>
      <w:r w:rsidRPr="00374065">
        <w:rPr>
          <w:rFonts w:ascii="Arial" w:hAnsi="Arial" w:cs="Arial"/>
          <w:sz w:val="22"/>
          <w:szCs w:val="22"/>
        </w:rPr>
        <w:noBreakHyphen/>
        <w:t>house asset investments exceeds 5% of the total value of its assets, the trustee of the SMSF is required to prepare and implement a written plan to dispose of assets equivalent in value to the excess by the end of the following year of income: section 82</w:t>
      </w:r>
      <w:r w:rsidR="00617DB5" w:rsidRPr="00374065">
        <w:rPr>
          <w:rFonts w:ascii="Arial" w:hAnsi="Arial" w:cs="Arial"/>
          <w:sz w:val="22"/>
          <w:szCs w:val="22"/>
        </w:rPr>
        <w:t xml:space="preserve"> of the</w:t>
      </w:r>
      <w:r w:rsidR="006616EC">
        <w:rPr>
          <w:rFonts w:ascii="Arial" w:hAnsi="Arial" w:cs="Arial"/>
          <w:sz w:val="22"/>
          <w:szCs w:val="22"/>
        </w:rPr>
        <w:t> </w:t>
      </w:r>
      <w:r w:rsidR="00617DB5" w:rsidRPr="00374065">
        <w:rPr>
          <w:rFonts w:ascii="Arial" w:hAnsi="Arial" w:cs="Arial"/>
          <w:sz w:val="22"/>
          <w:szCs w:val="22"/>
        </w:rPr>
        <w:t>SISA</w:t>
      </w:r>
      <w:r w:rsidRPr="00374065">
        <w:rPr>
          <w:rFonts w:ascii="Arial" w:hAnsi="Arial" w:cs="Arial"/>
          <w:sz w:val="22"/>
          <w:szCs w:val="22"/>
        </w:rPr>
        <w:t>. It also means that the SMSF trustee cannot acquire any other assets that would be taken to be in</w:t>
      </w:r>
      <w:r w:rsidRPr="00374065">
        <w:rPr>
          <w:rFonts w:ascii="Arial" w:hAnsi="Arial" w:cs="Arial"/>
          <w:sz w:val="22"/>
          <w:szCs w:val="22"/>
        </w:rPr>
        <w:noBreakHyphen/>
        <w:t>house assets: section 83</w:t>
      </w:r>
      <w:r w:rsidR="00617DB5" w:rsidRPr="00374065">
        <w:rPr>
          <w:rFonts w:ascii="Arial" w:hAnsi="Arial" w:cs="Arial"/>
          <w:sz w:val="22"/>
          <w:szCs w:val="22"/>
        </w:rPr>
        <w:t xml:space="preserve"> of the SISA</w:t>
      </w:r>
      <w:r w:rsidRPr="00374065">
        <w:rPr>
          <w:rFonts w:ascii="Arial" w:hAnsi="Arial" w:cs="Arial"/>
          <w:sz w:val="22"/>
          <w:szCs w:val="22"/>
        </w:rPr>
        <w:t>. There are penalties for not complying with the in</w:t>
      </w:r>
      <w:r w:rsidRPr="00374065">
        <w:rPr>
          <w:rFonts w:ascii="Arial" w:hAnsi="Arial" w:cs="Arial"/>
          <w:sz w:val="22"/>
          <w:szCs w:val="22"/>
        </w:rPr>
        <w:noBreakHyphen/>
        <w:t>house asset rules.</w:t>
      </w:r>
    </w:p>
    <w:p w14:paraId="4441EB40" w14:textId="586104FA" w:rsidR="00B228B1" w:rsidRPr="00374065" w:rsidRDefault="00B228B1"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The restrictions that apply to in</w:t>
      </w:r>
      <w:r w:rsidRPr="00374065">
        <w:rPr>
          <w:rFonts w:ascii="Arial" w:hAnsi="Arial" w:cs="Arial"/>
          <w:sz w:val="22"/>
          <w:szCs w:val="22"/>
        </w:rPr>
        <w:noBreakHyphen/>
        <w:t>house assets do not apply to an investment by an SMSF in a unit trust or company if it specified in regulations 13.22B or 13.22C not to be an in</w:t>
      </w:r>
      <w:r w:rsidRPr="00374065">
        <w:rPr>
          <w:rFonts w:ascii="Arial" w:hAnsi="Arial" w:cs="Arial"/>
          <w:sz w:val="22"/>
          <w:szCs w:val="22"/>
        </w:rPr>
        <w:noBreakHyphen/>
        <w:t>house asset under paragraph 71(1)(j). These entities are often referred to as a non-geared company or unit trust. However, regulations 13.22B or 13.22C will cease to apply if any of the events in regulation 13.22D</w:t>
      </w:r>
      <w:r w:rsidR="00FE74D8" w:rsidRPr="00374065">
        <w:rPr>
          <w:rFonts w:ascii="Arial" w:hAnsi="Arial" w:cs="Arial"/>
          <w:sz w:val="22"/>
          <w:szCs w:val="22"/>
        </w:rPr>
        <w:t xml:space="preserve"> of the SISR</w:t>
      </w:r>
      <w:r w:rsidRPr="00374065">
        <w:rPr>
          <w:rFonts w:ascii="Arial" w:hAnsi="Arial" w:cs="Arial"/>
          <w:sz w:val="22"/>
          <w:szCs w:val="22"/>
        </w:rPr>
        <w:t xml:space="preserve"> occur, including the company or unit trust providing a loan to another entity: subparagraph</w:t>
      </w:r>
      <w:r w:rsidR="000A2C84">
        <w:rPr>
          <w:rFonts w:ascii="Arial" w:hAnsi="Arial" w:cs="Arial"/>
          <w:sz w:val="22"/>
          <w:szCs w:val="22"/>
        </w:rPr>
        <w:t> </w:t>
      </w:r>
      <w:r w:rsidRPr="00374065">
        <w:rPr>
          <w:rFonts w:ascii="Arial" w:hAnsi="Arial" w:cs="Arial"/>
          <w:sz w:val="22"/>
          <w:szCs w:val="22"/>
        </w:rPr>
        <w:t>13.22D(1)(b)(ii).</w:t>
      </w:r>
    </w:p>
    <w:p w14:paraId="2FEACC92" w14:textId="62556E76" w:rsidR="00B228B1" w:rsidRPr="00374065" w:rsidRDefault="00B228B1"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 xml:space="preserve">Where a company or unit trust covered by regulations 13.22B or 13.22C allows a tenant to defer payment of rent under a lease (on arm’s length terms) due to the income impacts of </w:t>
      </w:r>
      <w:r w:rsidR="000A2C84">
        <w:rPr>
          <w:rFonts w:ascii="Arial" w:hAnsi="Arial" w:cs="Arial"/>
          <w:sz w:val="22"/>
          <w:szCs w:val="22"/>
        </w:rPr>
        <w:t>COVID</w:t>
      </w:r>
      <w:r w:rsidR="000A2C84">
        <w:rPr>
          <w:rFonts w:ascii="Arial" w:hAnsi="Arial" w:cs="Arial"/>
          <w:sz w:val="22"/>
          <w:szCs w:val="22"/>
        </w:rPr>
        <w:noBreakHyphen/>
        <w:t>19</w:t>
      </w:r>
      <w:r w:rsidRPr="00374065">
        <w:rPr>
          <w:rFonts w:ascii="Arial" w:hAnsi="Arial" w:cs="Arial"/>
          <w:sz w:val="22"/>
          <w:szCs w:val="22"/>
        </w:rPr>
        <w:t>, the company or unit trust will have made a loan as defined.</w:t>
      </w:r>
      <w:r w:rsidR="000A2C84">
        <w:rPr>
          <w:rFonts w:ascii="Arial" w:hAnsi="Arial" w:cs="Arial"/>
          <w:sz w:val="22"/>
          <w:szCs w:val="22"/>
        </w:rPr>
        <w:t xml:space="preserve"> </w:t>
      </w:r>
      <w:r w:rsidRPr="00374065">
        <w:rPr>
          <w:rFonts w:ascii="Arial" w:hAnsi="Arial" w:cs="Arial"/>
          <w:sz w:val="22"/>
          <w:szCs w:val="22"/>
        </w:rPr>
        <w:t>Accordingly, the SMSF investment in the company or unit trust will become an in</w:t>
      </w:r>
      <w:r w:rsidRPr="00374065">
        <w:rPr>
          <w:rFonts w:ascii="Arial" w:hAnsi="Arial" w:cs="Arial"/>
          <w:sz w:val="22"/>
          <w:szCs w:val="22"/>
        </w:rPr>
        <w:noBreakHyphen/>
        <w:t>house asset for the current and all future income years. This will mean that the SMSF will need to dispose of the investment where the value exceeds the 5% threshold.</w:t>
      </w:r>
    </w:p>
    <w:p w14:paraId="460E7912" w14:textId="50620B9F" w:rsidR="00B228B1" w:rsidRPr="00374065" w:rsidRDefault="00B228B1"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 xml:space="preserve">Given the context of the </w:t>
      </w:r>
      <w:r w:rsidR="000A2C84">
        <w:rPr>
          <w:rFonts w:ascii="Arial" w:hAnsi="Arial" w:cs="Arial"/>
          <w:sz w:val="22"/>
          <w:szCs w:val="22"/>
        </w:rPr>
        <w:t>COVID</w:t>
      </w:r>
      <w:r w:rsidR="000A2C84">
        <w:rPr>
          <w:rFonts w:ascii="Arial" w:hAnsi="Arial" w:cs="Arial"/>
          <w:sz w:val="22"/>
          <w:szCs w:val="22"/>
        </w:rPr>
        <w:noBreakHyphen/>
        <w:t>19</w:t>
      </w:r>
      <w:r w:rsidRPr="00374065">
        <w:rPr>
          <w:rFonts w:ascii="Arial" w:hAnsi="Arial" w:cs="Arial"/>
          <w:sz w:val="22"/>
          <w:szCs w:val="22"/>
        </w:rPr>
        <w:t xml:space="preserve"> pandemic and the long term effects of triggering an event under regulation 13.22D, the Commissioner believes it is appropriate to exercise his power as Regulator under paragraph 71(1)(f) to exclude the SMSF’s investment from being an in</w:t>
      </w:r>
      <w:r w:rsidRPr="00374065">
        <w:rPr>
          <w:rFonts w:ascii="Arial" w:hAnsi="Arial" w:cs="Arial"/>
          <w:sz w:val="22"/>
          <w:szCs w:val="22"/>
        </w:rPr>
        <w:noBreakHyphen/>
        <w:t>house asset where the deferral of rent is provided on arm’s</w:t>
      </w:r>
      <w:r w:rsidR="002C3864">
        <w:rPr>
          <w:rFonts w:ascii="Arial" w:hAnsi="Arial" w:cs="Arial"/>
          <w:sz w:val="22"/>
          <w:szCs w:val="22"/>
        </w:rPr>
        <w:t xml:space="preserve"> </w:t>
      </w:r>
      <w:r w:rsidRPr="00374065">
        <w:rPr>
          <w:rFonts w:ascii="Arial" w:hAnsi="Arial" w:cs="Arial"/>
          <w:sz w:val="22"/>
          <w:szCs w:val="22"/>
        </w:rPr>
        <w:t xml:space="preserve">length terms and where none of the other events in regulation 13.22D are triggered during the </w:t>
      </w:r>
      <w:r w:rsidR="00374065">
        <w:rPr>
          <w:rFonts w:ascii="Arial" w:hAnsi="Arial" w:cs="Arial"/>
          <w:sz w:val="22"/>
          <w:szCs w:val="22"/>
        </w:rPr>
        <w:t>2021–22</w:t>
      </w:r>
      <w:r w:rsidRPr="00374065">
        <w:rPr>
          <w:rFonts w:ascii="Arial" w:hAnsi="Arial" w:cs="Arial"/>
          <w:sz w:val="22"/>
          <w:szCs w:val="22"/>
        </w:rPr>
        <w:t xml:space="preserve"> income year. This also means that SMSF auditors will not be required to report a contravention to the ATO or to advise trustees of the contraventions which would otherwise result, in relation to the </w:t>
      </w:r>
      <w:r w:rsidR="00374065">
        <w:rPr>
          <w:rFonts w:ascii="Arial" w:hAnsi="Arial" w:cs="Arial"/>
          <w:sz w:val="22"/>
          <w:szCs w:val="22"/>
        </w:rPr>
        <w:t>2021–22</w:t>
      </w:r>
      <w:r w:rsidR="000843B0" w:rsidRPr="00374065">
        <w:rPr>
          <w:rFonts w:ascii="Arial" w:hAnsi="Arial" w:cs="Arial"/>
          <w:sz w:val="22"/>
          <w:szCs w:val="22"/>
        </w:rPr>
        <w:t xml:space="preserve"> </w:t>
      </w:r>
      <w:r w:rsidRPr="00374065">
        <w:rPr>
          <w:rFonts w:ascii="Arial" w:hAnsi="Arial" w:cs="Arial"/>
          <w:sz w:val="22"/>
          <w:szCs w:val="22"/>
        </w:rPr>
        <w:t>or future income years.</w:t>
      </w:r>
    </w:p>
    <w:p w14:paraId="284C279D" w14:textId="77777777" w:rsidR="002F1920" w:rsidRPr="004C6827" w:rsidRDefault="002F1920" w:rsidP="00374065">
      <w:pPr>
        <w:spacing w:after="120"/>
        <w:rPr>
          <w:rFonts w:ascii="Arial" w:hAnsi="Arial" w:cs="Arial"/>
          <w:sz w:val="22"/>
          <w:szCs w:val="22"/>
        </w:rPr>
      </w:pPr>
    </w:p>
    <w:p w14:paraId="34478A85" w14:textId="0C4DEC85" w:rsidR="00B228B1" w:rsidRPr="00374065" w:rsidRDefault="00B228B1" w:rsidP="00374065">
      <w:pPr>
        <w:pStyle w:val="Heading3"/>
        <w:spacing w:before="0" w:after="120"/>
        <w:rPr>
          <w:i/>
          <w:iCs/>
          <w:sz w:val="22"/>
          <w:szCs w:val="22"/>
        </w:rPr>
      </w:pPr>
      <w:r w:rsidRPr="00374065">
        <w:rPr>
          <w:i/>
          <w:iCs/>
          <w:sz w:val="22"/>
          <w:szCs w:val="22"/>
        </w:rPr>
        <w:t xml:space="preserve">Arm’s </w:t>
      </w:r>
      <w:r w:rsidR="0029168D">
        <w:rPr>
          <w:i/>
          <w:iCs/>
          <w:sz w:val="22"/>
          <w:szCs w:val="22"/>
        </w:rPr>
        <w:t>l</w:t>
      </w:r>
      <w:r w:rsidRPr="00374065">
        <w:rPr>
          <w:i/>
          <w:iCs/>
          <w:sz w:val="22"/>
          <w:szCs w:val="22"/>
        </w:rPr>
        <w:t xml:space="preserve">ength </w:t>
      </w:r>
      <w:r w:rsidR="0029168D">
        <w:rPr>
          <w:i/>
          <w:iCs/>
          <w:sz w:val="22"/>
          <w:szCs w:val="22"/>
        </w:rPr>
        <w:t>t</w:t>
      </w:r>
      <w:r w:rsidRPr="00374065">
        <w:rPr>
          <w:i/>
          <w:iCs/>
          <w:sz w:val="22"/>
          <w:szCs w:val="22"/>
        </w:rPr>
        <w:t>erms</w:t>
      </w:r>
    </w:p>
    <w:p w14:paraId="513D1B40" w14:textId="49AD32A1" w:rsidR="008575FD" w:rsidRDefault="00B228B1"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 xml:space="preserve">The determination </w:t>
      </w:r>
      <w:bookmarkStart w:id="3" w:name="_Hlk84860429"/>
      <w:r w:rsidRPr="00374065">
        <w:rPr>
          <w:rFonts w:ascii="Arial" w:hAnsi="Arial" w:cs="Arial"/>
          <w:sz w:val="22"/>
          <w:szCs w:val="22"/>
        </w:rPr>
        <w:t>will only apply where the landlord has acted in good faith and</w:t>
      </w:r>
      <w:r w:rsidR="000A2C84">
        <w:rPr>
          <w:rFonts w:ascii="Arial" w:hAnsi="Arial" w:cs="Arial"/>
          <w:sz w:val="22"/>
          <w:szCs w:val="22"/>
        </w:rPr>
        <w:t xml:space="preserve"> </w:t>
      </w:r>
      <w:r w:rsidRPr="00374065">
        <w:rPr>
          <w:rFonts w:ascii="Arial" w:hAnsi="Arial" w:cs="Arial"/>
          <w:sz w:val="22"/>
          <w:szCs w:val="22"/>
        </w:rPr>
        <w:t xml:space="preserve">has agreed that the tenant can defer payment of rent on arm’s length terms during the </w:t>
      </w:r>
      <w:r w:rsidR="00374065">
        <w:rPr>
          <w:rFonts w:ascii="Arial" w:hAnsi="Arial" w:cs="Arial"/>
          <w:sz w:val="22"/>
          <w:szCs w:val="22"/>
        </w:rPr>
        <w:t>2021–22</w:t>
      </w:r>
      <w:r w:rsidRPr="00374065">
        <w:rPr>
          <w:rFonts w:ascii="Arial" w:hAnsi="Arial" w:cs="Arial"/>
          <w:sz w:val="22"/>
          <w:szCs w:val="22"/>
        </w:rPr>
        <w:t xml:space="preserve"> income year in order to ease the financial hardship caused by </w:t>
      </w:r>
      <w:r w:rsidR="000A2C84">
        <w:rPr>
          <w:rFonts w:ascii="Arial" w:hAnsi="Arial" w:cs="Arial"/>
          <w:sz w:val="22"/>
          <w:szCs w:val="22"/>
        </w:rPr>
        <w:t>COVID</w:t>
      </w:r>
      <w:r w:rsidR="000A2C84">
        <w:rPr>
          <w:rFonts w:ascii="Arial" w:hAnsi="Arial" w:cs="Arial"/>
          <w:sz w:val="22"/>
          <w:szCs w:val="22"/>
        </w:rPr>
        <w:noBreakHyphen/>
        <w:t>19</w:t>
      </w:r>
      <w:r w:rsidRPr="00374065">
        <w:rPr>
          <w:rFonts w:ascii="Arial" w:hAnsi="Arial" w:cs="Arial"/>
          <w:sz w:val="22"/>
          <w:szCs w:val="22"/>
        </w:rPr>
        <w:t>.</w:t>
      </w:r>
      <w:bookmarkEnd w:id="3"/>
    </w:p>
    <w:p w14:paraId="55841A62" w14:textId="3F937D1A" w:rsidR="008575FD" w:rsidRDefault="00374317" w:rsidP="00B37C1B">
      <w:pPr>
        <w:keepLines/>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lastRenderedPageBreak/>
        <w:t xml:space="preserve">The Commissioner appreciates that </w:t>
      </w:r>
      <w:r w:rsidR="00B228B1" w:rsidRPr="00374065">
        <w:rPr>
          <w:rFonts w:ascii="Arial" w:hAnsi="Arial" w:cs="Arial"/>
          <w:sz w:val="22"/>
          <w:szCs w:val="22"/>
        </w:rPr>
        <w:t>the</w:t>
      </w:r>
      <w:r w:rsidR="004C6827">
        <w:rPr>
          <w:rFonts w:ascii="Arial" w:hAnsi="Arial" w:cs="Arial"/>
          <w:sz w:val="22"/>
          <w:szCs w:val="22"/>
        </w:rPr>
        <w:t xml:space="preserve"> </w:t>
      </w:r>
      <w:hyperlink r:id="rId8" w:history="1">
        <w:r w:rsidR="00B228B1" w:rsidRPr="006616EC">
          <w:rPr>
            <w:rStyle w:val="Hyperlink"/>
            <w:rFonts w:ascii="Arial" w:hAnsi="Arial" w:cs="Arial"/>
            <w:sz w:val="22"/>
            <w:szCs w:val="22"/>
          </w:rPr>
          <w:t>National Cabinet Mandatory Code of Conduct</w:t>
        </w:r>
      </w:hyperlink>
      <w:r w:rsidR="004C6827">
        <w:rPr>
          <w:rFonts w:ascii="Arial" w:hAnsi="Arial" w:cs="Arial"/>
          <w:sz w:val="22"/>
          <w:szCs w:val="22"/>
        </w:rPr>
        <w:t xml:space="preserve"> </w:t>
      </w:r>
      <w:r w:rsidRPr="00374065">
        <w:rPr>
          <w:rFonts w:ascii="Arial" w:hAnsi="Arial" w:cs="Arial"/>
          <w:sz w:val="22"/>
          <w:szCs w:val="22"/>
        </w:rPr>
        <w:t xml:space="preserve">is </w:t>
      </w:r>
      <w:r w:rsidR="0074165A" w:rsidRPr="00374065">
        <w:rPr>
          <w:rFonts w:ascii="Arial" w:hAnsi="Arial" w:cs="Arial"/>
          <w:sz w:val="22"/>
          <w:szCs w:val="22"/>
        </w:rPr>
        <w:t>no longer in effect</w:t>
      </w:r>
      <w:r w:rsidRPr="00374065">
        <w:rPr>
          <w:rFonts w:ascii="Arial" w:hAnsi="Arial" w:cs="Arial"/>
          <w:sz w:val="22"/>
          <w:szCs w:val="22"/>
        </w:rPr>
        <w:t xml:space="preserve"> </w:t>
      </w:r>
      <w:r w:rsidR="005C3D6F" w:rsidRPr="00374065">
        <w:rPr>
          <w:rFonts w:ascii="Arial" w:hAnsi="Arial" w:cs="Arial"/>
          <w:sz w:val="22"/>
          <w:szCs w:val="22"/>
        </w:rPr>
        <w:t xml:space="preserve">for the purposes of </w:t>
      </w:r>
      <w:r w:rsidRPr="00374065">
        <w:rPr>
          <w:rFonts w:ascii="Arial" w:hAnsi="Arial" w:cs="Arial"/>
          <w:sz w:val="22"/>
          <w:szCs w:val="22"/>
        </w:rPr>
        <w:t xml:space="preserve">determining whether a rental deferral has been negotiated in good faith and on arm’s length terms, and </w:t>
      </w:r>
      <w:r w:rsidR="000511D5" w:rsidRPr="00374065">
        <w:rPr>
          <w:rFonts w:ascii="Arial" w:hAnsi="Arial" w:cs="Arial"/>
          <w:sz w:val="22"/>
          <w:szCs w:val="22"/>
        </w:rPr>
        <w:t xml:space="preserve">Code based </w:t>
      </w:r>
      <w:r w:rsidR="000556B5" w:rsidRPr="00374065">
        <w:rPr>
          <w:rFonts w:ascii="Arial" w:hAnsi="Arial" w:cs="Arial"/>
          <w:sz w:val="22"/>
          <w:szCs w:val="22"/>
        </w:rPr>
        <w:t>S</w:t>
      </w:r>
      <w:r w:rsidR="00B228B1" w:rsidRPr="00374065">
        <w:rPr>
          <w:rFonts w:ascii="Arial" w:hAnsi="Arial" w:cs="Arial"/>
          <w:sz w:val="22"/>
          <w:szCs w:val="22"/>
        </w:rPr>
        <w:t xml:space="preserve">tate </w:t>
      </w:r>
      <w:r w:rsidR="006F3C17" w:rsidRPr="00374065">
        <w:rPr>
          <w:rFonts w:ascii="Arial" w:hAnsi="Arial" w:cs="Arial"/>
          <w:sz w:val="22"/>
          <w:szCs w:val="22"/>
        </w:rPr>
        <w:t xml:space="preserve">and </w:t>
      </w:r>
      <w:r w:rsidR="000556B5" w:rsidRPr="00374065">
        <w:rPr>
          <w:rFonts w:ascii="Arial" w:hAnsi="Arial" w:cs="Arial"/>
          <w:sz w:val="22"/>
          <w:szCs w:val="22"/>
        </w:rPr>
        <w:t>T</w:t>
      </w:r>
      <w:r w:rsidR="006F3C17" w:rsidRPr="00374065">
        <w:rPr>
          <w:rFonts w:ascii="Arial" w:hAnsi="Arial" w:cs="Arial"/>
          <w:sz w:val="22"/>
          <w:szCs w:val="22"/>
        </w:rPr>
        <w:t xml:space="preserve">erritory </w:t>
      </w:r>
      <w:r w:rsidR="00B228B1" w:rsidRPr="00374065">
        <w:rPr>
          <w:rFonts w:ascii="Arial" w:hAnsi="Arial" w:cs="Arial"/>
          <w:sz w:val="22"/>
          <w:szCs w:val="22"/>
        </w:rPr>
        <w:t xml:space="preserve">legislation may </w:t>
      </w:r>
      <w:r w:rsidR="000B4564" w:rsidRPr="00374065">
        <w:rPr>
          <w:rFonts w:ascii="Arial" w:hAnsi="Arial" w:cs="Arial"/>
          <w:sz w:val="22"/>
          <w:szCs w:val="22"/>
        </w:rPr>
        <w:t>no longer apply.</w:t>
      </w:r>
    </w:p>
    <w:p w14:paraId="1EA95558" w14:textId="3AB723CC" w:rsidR="008575FD" w:rsidRDefault="00374317"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 xml:space="preserve">However, the Commissioner recognises that </w:t>
      </w:r>
      <w:r w:rsidR="005C3D6F" w:rsidRPr="00374065">
        <w:rPr>
          <w:rFonts w:ascii="Arial" w:hAnsi="Arial" w:cs="Arial"/>
          <w:sz w:val="22"/>
          <w:szCs w:val="22"/>
        </w:rPr>
        <w:t xml:space="preserve">SMSF </w:t>
      </w:r>
      <w:r w:rsidRPr="00374065">
        <w:rPr>
          <w:rFonts w:ascii="Arial" w:hAnsi="Arial" w:cs="Arial"/>
          <w:sz w:val="22"/>
          <w:szCs w:val="22"/>
        </w:rPr>
        <w:t xml:space="preserve">trustees </w:t>
      </w:r>
      <w:r w:rsidR="005C3D6F" w:rsidRPr="00374065">
        <w:rPr>
          <w:rFonts w:ascii="Arial" w:hAnsi="Arial" w:cs="Arial"/>
          <w:sz w:val="22"/>
          <w:szCs w:val="22"/>
        </w:rPr>
        <w:t xml:space="preserve">and related parties </w:t>
      </w:r>
      <w:r w:rsidRPr="00374065">
        <w:rPr>
          <w:rFonts w:ascii="Arial" w:hAnsi="Arial" w:cs="Arial"/>
          <w:sz w:val="22"/>
          <w:szCs w:val="22"/>
        </w:rPr>
        <w:t xml:space="preserve">may still be offering rental relief to tenants during the </w:t>
      </w:r>
      <w:r w:rsidR="00374065">
        <w:rPr>
          <w:rFonts w:ascii="Arial" w:hAnsi="Arial" w:cs="Arial"/>
          <w:sz w:val="22"/>
          <w:szCs w:val="22"/>
        </w:rPr>
        <w:t>2021–22</w:t>
      </w:r>
      <w:r w:rsidRPr="00374065">
        <w:rPr>
          <w:rFonts w:ascii="Arial" w:hAnsi="Arial" w:cs="Arial"/>
          <w:sz w:val="22"/>
          <w:szCs w:val="22"/>
        </w:rPr>
        <w:t xml:space="preserve"> income year</w:t>
      </w:r>
      <w:r w:rsidR="004E01BD" w:rsidRPr="00374065">
        <w:rPr>
          <w:rFonts w:ascii="Arial" w:hAnsi="Arial" w:cs="Arial"/>
          <w:sz w:val="22"/>
          <w:szCs w:val="22"/>
        </w:rPr>
        <w:t>, including</w:t>
      </w:r>
      <w:r w:rsidRPr="00374065">
        <w:rPr>
          <w:rFonts w:ascii="Arial" w:hAnsi="Arial" w:cs="Arial"/>
          <w:sz w:val="22"/>
          <w:szCs w:val="22"/>
        </w:rPr>
        <w:t xml:space="preserve"> as part of </w:t>
      </w:r>
      <w:r w:rsidR="000511D5" w:rsidRPr="00374065">
        <w:rPr>
          <w:rFonts w:ascii="Arial" w:hAnsi="Arial" w:cs="Arial"/>
          <w:sz w:val="22"/>
          <w:szCs w:val="22"/>
        </w:rPr>
        <w:t xml:space="preserve">the </w:t>
      </w:r>
      <w:r w:rsidRPr="00374065">
        <w:rPr>
          <w:rFonts w:ascii="Arial" w:hAnsi="Arial" w:cs="Arial"/>
          <w:sz w:val="22"/>
          <w:szCs w:val="22"/>
        </w:rPr>
        <w:t xml:space="preserve">transitional </w:t>
      </w:r>
      <w:r w:rsidR="000A2C84">
        <w:rPr>
          <w:rFonts w:ascii="Arial" w:hAnsi="Arial" w:cs="Arial"/>
          <w:sz w:val="22"/>
          <w:szCs w:val="22"/>
        </w:rPr>
        <w:t>COVID</w:t>
      </w:r>
      <w:r w:rsidR="000A2C84">
        <w:rPr>
          <w:rFonts w:ascii="Arial" w:hAnsi="Arial" w:cs="Arial"/>
          <w:sz w:val="22"/>
          <w:szCs w:val="22"/>
        </w:rPr>
        <w:noBreakHyphen/>
        <w:t>19</w:t>
      </w:r>
      <w:r w:rsidRPr="00374065">
        <w:rPr>
          <w:rFonts w:ascii="Arial" w:hAnsi="Arial" w:cs="Arial"/>
          <w:sz w:val="22"/>
          <w:szCs w:val="22"/>
        </w:rPr>
        <w:t xml:space="preserve"> support measures provided by the </w:t>
      </w:r>
      <w:r w:rsidR="000556B5" w:rsidRPr="00374065">
        <w:rPr>
          <w:rFonts w:ascii="Arial" w:hAnsi="Arial" w:cs="Arial"/>
          <w:sz w:val="22"/>
          <w:szCs w:val="22"/>
        </w:rPr>
        <w:t>S</w:t>
      </w:r>
      <w:r w:rsidRPr="00374065">
        <w:rPr>
          <w:rFonts w:ascii="Arial" w:hAnsi="Arial" w:cs="Arial"/>
          <w:sz w:val="22"/>
          <w:szCs w:val="22"/>
        </w:rPr>
        <w:t xml:space="preserve">tates and </w:t>
      </w:r>
      <w:r w:rsidR="000556B5" w:rsidRPr="00374065">
        <w:rPr>
          <w:rFonts w:ascii="Arial" w:hAnsi="Arial" w:cs="Arial"/>
          <w:sz w:val="22"/>
          <w:szCs w:val="22"/>
        </w:rPr>
        <w:t>T</w:t>
      </w:r>
      <w:r w:rsidRPr="00374065">
        <w:rPr>
          <w:rFonts w:ascii="Arial" w:hAnsi="Arial" w:cs="Arial"/>
          <w:sz w:val="22"/>
          <w:szCs w:val="22"/>
        </w:rPr>
        <w:t>erritorie</w:t>
      </w:r>
      <w:r w:rsidR="000B4564" w:rsidRPr="00374065">
        <w:rPr>
          <w:rFonts w:ascii="Arial" w:hAnsi="Arial" w:cs="Arial"/>
          <w:sz w:val="22"/>
          <w:szCs w:val="22"/>
        </w:rPr>
        <w:t xml:space="preserve">s. Where this is the case, trustees </w:t>
      </w:r>
      <w:r w:rsidR="005C3D6F" w:rsidRPr="00374065">
        <w:rPr>
          <w:rFonts w:ascii="Arial" w:hAnsi="Arial" w:cs="Arial"/>
          <w:sz w:val="22"/>
          <w:szCs w:val="22"/>
        </w:rPr>
        <w:t xml:space="preserve">and SMSF auditors </w:t>
      </w:r>
      <w:r w:rsidR="000B4564" w:rsidRPr="00374065">
        <w:rPr>
          <w:rFonts w:ascii="Arial" w:hAnsi="Arial" w:cs="Arial"/>
          <w:sz w:val="22"/>
          <w:szCs w:val="22"/>
        </w:rPr>
        <w:t>can use th</w:t>
      </w:r>
      <w:r w:rsidR="00FF57E5" w:rsidRPr="00374065">
        <w:rPr>
          <w:rFonts w:ascii="Arial" w:hAnsi="Arial" w:cs="Arial"/>
          <w:sz w:val="22"/>
          <w:szCs w:val="22"/>
        </w:rPr>
        <w:t>o</w:t>
      </w:r>
      <w:r w:rsidR="000B4564" w:rsidRPr="00374065">
        <w:rPr>
          <w:rFonts w:ascii="Arial" w:hAnsi="Arial" w:cs="Arial"/>
          <w:sz w:val="22"/>
          <w:szCs w:val="22"/>
        </w:rPr>
        <w:t xml:space="preserve">se measures </w:t>
      </w:r>
      <w:r w:rsidR="005C3D6F" w:rsidRPr="00374065">
        <w:rPr>
          <w:rFonts w:ascii="Arial" w:hAnsi="Arial" w:cs="Arial"/>
          <w:sz w:val="22"/>
          <w:szCs w:val="22"/>
        </w:rPr>
        <w:t xml:space="preserve">as a guide when </w:t>
      </w:r>
      <w:r w:rsidR="006F3C17" w:rsidRPr="00374065">
        <w:rPr>
          <w:rFonts w:ascii="Arial" w:hAnsi="Arial" w:cs="Arial"/>
          <w:sz w:val="22"/>
          <w:szCs w:val="22"/>
        </w:rPr>
        <w:t>establish</w:t>
      </w:r>
      <w:r w:rsidR="005C3D6F" w:rsidRPr="00374065">
        <w:rPr>
          <w:rFonts w:ascii="Arial" w:hAnsi="Arial" w:cs="Arial"/>
          <w:sz w:val="22"/>
          <w:szCs w:val="22"/>
        </w:rPr>
        <w:t xml:space="preserve">ing whether the arrangement has been offered on arm’s length </w:t>
      </w:r>
      <w:r w:rsidR="006F3C17" w:rsidRPr="00374065">
        <w:rPr>
          <w:rFonts w:ascii="Arial" w:hAnsi="Arial" w:cs="Arial"/>
          <w:sz w:val="22"/>
          <w:szCs w:val="22"/>
        </w:rPr>
        <w:t>terms.</w:t>
      </w:r>
    </w:p>
    <w:p w14:paraId="3799E822" w14:textId="47F50ABA" w:rsidR="00B228B1" w:rsidRPr="00374065" w:rsidRDefault="00FA3119"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 xml:space="preserve">Regardless of the basis </w:t>
      </w:r>
      <w:r w:rsidR="00556DED" w:rsidRPr="00374065">
        <w:rPr>
          <w:rFonts w:ascii="Arial" w:hAnsi="Arial" w:cs="Arial"/>
          <w:sz w:val="22"/>
          <w:szCs w:val="22"/>
        </w:rPr>
        <w:t xml:space="preserve">on which the </w:t>
      </w:r>
      <w:r w:rsidRPr="00374065">
        <w:rPr>
          <w:rFonts w:ascii="Arial" w:hAnsi="Arial" w:cs="Arial"/>
          <w:sz w:val="22"/>
          <w:szCs w:val="22"/>
        </w:rPr>
        <w:t>rent</w:t>
      </w:r>
      <w:r w:rsidR="00556DED" w:rsidRPr="00374065">
        <w:rPr>
          <w:rFonts w:ascii="Arial" w:hAnsi="Arial" w:cs="Arial"/>
          <w:sz w:val="22"/>
          <w:szCs w:val="22"/>
        </w:rPr>
        <w:t>al</w:t>
      </w:r>
      <w:r w:rsidRPr="00374065">
        <w:rPr>
          <w:rFonts w:ascii="Arial" w:hAnsi="Arial" w:cs="Arial"/>
          <w:sz w:val="22"/>
          <w:szCs w:val="22"/>
        </w:rPr>
        <w:t xml:space="preserve"> deferral relief </w:t>
      </w:r>
      <w:r w:rsidR="00556DED" w:rsidRPr="00374065">
        <w:rPr>
          <w:rFonts w:ascii="Arial" w:hAnsi="Arial" w:cs="Arial"/>
          <w:sz w:val="22"/>
          <w:szCs w:val="22"/>
        </w:rPr>
        <w:t xml:space="preserve">was provided </w:t>
      </w:r>
      <w:r w:rsidRPr="00374065">
        <w:rPr>
          <w:rFonts w:ascii="Arial" w:hAnsi="Arial" w:cs="Arial"/>
          <w:sz w:val="22"/>
          <w:szCs w:val="22"/>
        </w:rPr>
        <w:t>t</w:t>
      </w:r>
      <w:r w:rsidR="00B228B1" w:rsidRPr="00374065">
        <w:rPr>
          <w:rFonts w:ascii="Arial" w:hAnsi="Arial" w:cs="Arial"/>
          <w:sz w:val="22"/>
          <w:szCs w:val="22"/>
        </w:rPr>
        <w:t>here must be contemporaneous documentation reflecting the terms of the deferral agreement</w:t>
      </w:r>
      <w:r w:rsidR="00556DED" w:rsidRPr="00374065">
        <w:rPr>
          <w:rFonts w:ascii="Arial" w:hAnsi="Arial" w:cs="Arial"/>
          <w:sz w:val="22"/>
          <w:szCs w:val="22"/>
        </w:rPr>
        <w:t>,</w:t>
      </w:r>
      <w:r w:rsidR="00B228B1" w:rsidRPr="00374065">
        <w:rPr>
          <w:rFonts w:ascii="Arial" w:hAnsi="Arial" w:cs="Arial"/>
          <w:sz w:val="22"/>
          <w:szCs w:val="22"/>
        </w:rPr>
        <w:t xml:space="preserve"> including the terms for payment of the deferred amount agreed to by the landlord and the tenant to ensure the parties agreement is on arm’s length terms and the lease remains enforceable. For the rental deferral arrangement to remain on arm’s length terms, any deferred amounts should also be repaid by the tenant as soon as is practicable.</w:t>
      </w:r>
    </w:p>
    <w:p w14:paraId="15AC1B76" w14:textId="55A60B07" w:rsidR="00486653" w:rsidRPr="00374065" w:rsidRDefault="00B228B1"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 xml:space="preserve">The exclusion only applies </w:t>
      </w:r>
      <w:r w:rsidR="00332DC9" w:rsidRPr="00374065">
        <w:rPr>
          <w:rFonts w:ascii="Arial" w:hAnsi="Arial" w:cs="Arial"/>
          <w:sz w:val="22"/>
          <w:szCs w:val="22"/>
        </w:rPr>
        <w:t xml:space="preserve">where a </w:t>
      </w:r>
      <w:r w:rsidRPr="00374065">
        <w:rPr>
          <w:rFonts w:ascii="Arial" w:hAnsi="Arial" w:cs="Arial"/>
          <w:sz w:val="22"/>
          <w:szCs w:val="22"/>
        </w:rPr>
        <w:t xml:space="preserve">deferral of rental income under a lease (on arm’s length terms and where no other events in regulation 13.22D are triggered) </w:t>
      </w:r>
      <w:r w:rsidR="00332DC9" w:rsidRPr="00374065">
        <w:rPr>
          <w:rFonts w:ascii="Arial" w:hAnsi="Arial" w:cs="Arial"/>
          <w:sz w:val="22"/>
          <w:szCs w:val="22"/>
        </w:rPr>
        <w:t>is allowed dur</w:t>
      </w:r>
      <w:r w:rsidRPr="00374065">
        <w:rPr>
          <w:rFonts w:ascii="Arial" w:hAnsi="Arial" w:cs="Arial"/>
          <w:sz w:val="22"/>
          <w:szCs w:val="22"/>
        </w:rPr>
        <w:t>in</w:t>
      </w:r>
      <w:r w:rsidR="00332DC9" w:rsidRPr="00374065">
        <w:rPr>
          <w:rFonts w:ascii="Arial" w:hAnsi="Arial" w:cs="Arial"/>
          <w:sz w:val="22"/>
          <w:szCs w:val="22"/>
        </w:rPr>
        <w:t>g</w:t>
      </w:r>
      <w:r w:rsidRPr="00374065">
        <w:rPr>
          <w:rFonts w:ascii="Arial" w:hAnsi="Arial" w:cs="Arial"/>
          <w:sz w:val="22"/>
          <w:szCs w:val="22"/>
        </w:rPr>
        <w:t xml:space="preserve"> the </w:t>
      </w:r>
      <w:r w:rsidR="00374065">
        <w:rPr>
          <w:rFonts w:ascii="Arial" w:hAnsi="Arial" w:cs="Arial"/>
          <w:sz w:val="22"/>
          <w:szCs w:val="22"/>
        </w:rPr>
        <w:t>2021–22</w:t>
      </w:r>
      <w:r w:rsidRPr="00374065">
        <w:rPr>
          <w:rFonts w:ascii="Arial" w:hAnsi="Arial" w:cs="Arial"/>
          <w:sz w:val="22"/>
          <w:szCs w:val="22"/>
        </w:rPr>
        <w:t xml:space="preserve"> income year, being the income year during which tenants are likely to be adversely financially impacted by </w:t>
      </w:r>
      <w:r w:rsidR="000A2C84">
        <w:rPr>
          <w:rFonts w:ascii="Arial" w:hAnsi="Arial" w:cs="Arial"/>
          <w:sz w:val="22"/>
          <w:szCs w:val="22"/>
        </w:rPr>
        <w:t>COVID</w:t>
      </w:r>
      <w:r w:rsidR="000A2C84">
        <w:rPr>
          <w:rFonts w:ascii="Arial" w:hAnsi="Arial" w:cs="Arial"/>
          <w:sz w:val="22"/>
          <w:szCs w:val="22"/>
        </w:rPr>
        <w:noBreakHyphen/>
        <w:t>19</w:t>
      </w:r>
      <w:r w:rsidRPr="00374065">
        <w:rPr>
          <w:rFonts w:ascii="Arial" w:hAnsi="Arial" w:cs="Arial"/>
          <w:sz w:val="22"/>
          <w:szCs w:val="22"/>
        </w:rPr>
        <w:t>.</w:t>
      </w:r>
    </w:p>
    <w:p w14:paraId="4823E02F" w14:textId="77777777" w:rsidR="000F5AB4" w:rsidRPr="00374065" w:rsidRDefault="000F5AB4" w:rsidP="00374065">
      <w:pPr>
        <w:spacing w:after="120"/>
        <w:rPr>
          <w:rFonts w:ascii="Arial" w:hAnsi="Arial" w:cs="Arial"/>
          <w:sz w:val="22"/>
          <w:szCs w:val="22"/>
        </w:rPr>
      </w:pPr>
    </w:p>
    <w:p w14:paraId="5F2BCD2E" w14:textId="3A8868C7" w:rsidR="00B37C1B" w:rsidRPr="00374065" w:rsidRDefault="00B37C1B" w:rsidP="00B37C1B">
      <w:pPr>
        <w:pStyle w:val="Heading2"/>
      </w:pPr>
      <w:r w:rsidRPr="00374065">
        <w:t>Exemption from disallowance and sunsetting regime</w:t>
      </w:r>
    </w:p>
    <w:p w14:paraId="45FFB84D" w14:textId="0CA6B14C" w:rsidR="00FD37BA" w:rsidRPr="00374065" w:rsidRDefault="00FD37BA"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Part 4 of the</w:t>
      </w:r>
      <w:r w:rsidR="000A2C84">
        <w:rPr>
          <w:rFonts w:ascii="Arial" w:hAnsi="Arial" w:cs="Arial"/>
          <w:sz w:val="22"/>
          <w:szCs w:val="22"/>
        </w:rPr>
        <w:t xml:space="preserve"> </w:t>
      </w:r>
      <w:r w:rsidRPr="00374065">
        <w:rPr>
          <w:rFonts w:ascii="Arial" w:hAnsi="Arial" w:cs="Arial"/>
          <w:sz w:val="22"/>
          <w:szCs w:val="22"/>
        </w:rPr>
        <w:t>LA provides for the sunsetting of legislative instruments. However, paragraph</w:t>
      </w:r>
      <w:r w:rsidR="000A2C84">
        <w:rPr>
          <w:rFonts w:ascii="Arial" w:hAnsi="Arial" w:cs="Arial"/>
          <w:sz w:val="22"/>
          <w:szCs w:val="22"/>
        </w:rPr>
        <w:t> </w:t>
      </w:r>
      <w:r w:rsidRPr="00374065">
        <w:rPr>
          <w:rFonts w:ascii="Arial" w:hAnsi="Arial" w:cs="Arial"/>
          <w:sz w:val="22"/>
          <w:szCs w:val="22"/>
        </w:rPr>
        <w:t>54(2)(b) of the LA provides that Part 4 of the LA does not apply if the legislative instrument is prescribed by regulation. Section 11 of the</w:t>
      </w:r>
      <w:r w:rsidR="000A2C84">
        <w:rPr>
          <w:rFonts w:ascii="Arial" w:hAnsi="Arial" w:cs="Arial"/>
          <w:sz w:val="22"/>
          <w:szCs w:val="22"/>
        </w:rPr>
        <w:t xml:space="preserve"> </w:t>
      </w:r>
      <w:r w:rsidRPr="00374065">
        <w:rPr>
          <w:rFonts w:ascii="Arial" w:hAnsi="Arial" w:cs="Arial"/>
          <w:i/>
          <w:iCs/>
          <w:sz w:val="22"/>
          <w:szCs w:val="22"/>
        </w:rPr>
        <w:t>Legislation (Exemptions and Other Matters) Regulation 2015</w:t>
      </w:r>
      <w:r w:rsidR="000A2C84">
        <w:rPr>
          <w:rFonts w:ascii="Arial" w:hAnsi="Arial" w:cs="Arial"/>
          <w:i/>
          <w:iCs/>
          <w:sz w:val="22"/>
          <w:szCs w:val="22"/>
        </w:rPr>
        <w:t xml:space="preserve"> </w:t>
      </w:r>
      <w:r w:rsidRPr="00374065">
        <w:rPr>
          <w:rFonts w:ascii="Arial" w:hAnsi="Arial" w:cs="Arial"/>
          <w:sz w:val="22"/>
          <w:szCs w:val="22"/>
        </w:rPr>
        <w:t xml:space="preserve">(EOMR) provides a list of </w:t>
      </w:r>
      <w:r w:rsidR="00326AF2" w:rsidRPr="00374065">
        <w:rPr>
          <w:rFonts w:ascii="Arial" w:hAnsi="Arial" w:cs="Arial"/>
          <w:sz w:val="22"/>
          <w:szCs w:val="22"/>
        </w:rPr>
        <w:t xml:space="preserve">classes of </w:t>
      </w:r>
      <w:r w:rsidRPr="00374065">
        <w:rPr>
          <w:rFonts w:ascii="Arial" w:hAnsi="Arial" w:cs="Arial"/>
          <w:sz w:val="22"/>
          <w:szCs w:val="22"/>
        </w:rPr>
        <w:t>instruments that are not subject to sunsetting. Item 6 of the table in section 11 of the EOMR lists instruments (other than regulations) relating to superannuation. As a result, Part 4 of the LA does not apply to this instrument. Therefore</w:t>
      </w:r>
      <w:r w:rsidR="000945DE" w:rsidRPr="00374065">
        <w:rPr>
          <w:rFonts w:ascii="Arial" w:hAnsi="Arial" w:cs="Arial"/>
          <w:sz w:val="22"/>
          <w:szCs w:val="22"/>
        </w:rPr>
        <w:t>,</w:t>
      </w:r>
      <w:r w:rsidRPr="00374065">
        <w:rPr>
          <w:rFonts w:ascii="Arial" w:hAnsi="Arial" w:cs="Arial"/>
          <w:sz w:val="22"/>
          <w:szCs w:val="22"/>
        </w:rPr>
        <w:t xml:space="preserve"> this instrument will not sunset.</w:t>
      </w:r>
    </w:p>
    <w:p w14:paraId="7E4E4819" w14:textId="5E1AD84C" w:rsidR="00FD37BA" w:rsidRPr="00374065" w:rsidRDefault="00FD37BA" w:rsidP="00374065">
      <w:pPr>
        <w:numPr>
          <w:ilvl w:val="0"/>
          <w:numId w:val="16"/>
        </w:numPr>
        <w:tabs>
          <w:tab w:val="clear" w:pos="360"/>
        </w:tabs>
        <w:spacing w:after="120"/>
        <w:ind w:left="0" w:firstLine="0"/>
        <w:rPr>
          <w:rFonts w:ascii="Arial" w:hAnsi="Arial" w:cs="Arial"/>
          <w:sz w:val="22"/>
          <w:szCs w:val="22"/>
        </w:rPr>
      </w:pPr>
      <w:r w:rsidRPr="00374065">
        <w:rPr>
          <w:rFonts w:ascii="Arial" w:hAnsi="Arial" w:cs="Arial"/>
          <w:sz w:val="22"/>
          <w:szCs w:val="22"/>
        </w:rPr>
        <w:t xml:space="preserve">Section 42 of the LA provides for the disallowance of legislative instruments. However, paragraph 44(2)(b) of the LA provides that section 42 does not apply to legislative instruments prescribed by regulation. Section 9 of the EOMR provides a list of </w:t>
      </w:r>
      <w:r w:rsidR="00326AF2" w:rsidRPr="00374065">
        <w:rPr>
          <w:rFonts w:ascii="Arial" w:hAnsi="Arial" w:cs="Arial"/>
          <w:sz w:val="22"/>
          <w:szCs w:val="22"/>
        </w:rPr>
        <w:t xml:space="preserve">classes of </w:t>
      </w:r>
      <w:r w:rsidRPr="00374065">
        <w:rPr>
          <w:rFonts w:ascii="Arial" w:hAnsi="Arial" w:cs="Arial"/>
          <w:sz w:val="22"/>
          <w:szCs w:val="22"/>
        </w:rPr>
        <w:t xml:space="preserve">instruments that are not subject to disallowance. Item </w:t>
      </w:r>
      <w:r w:rsidR="00326AF2" w:rsidRPr="00374065">
        <w:rPr>
          <w:rFonts w:ascii="Arial" w:hAnsi="Arial" w:cs="Arial"/>
          <w:sz w:val="22"/>
          <w:szCs w:val="22"/>
        </w:rPr>
        <w:t>3</w:t>
      </w:r>
      <w:r w:rsidRPr="00374065">
        <w:rPr>
          <w:rFonts w:ascii="Arial" w:hAnsi="Arial" w:cs="Arial"/>
          <w:sz w:val="22"/>
          <w:szCs w:val="22"/>
        </w:rPr>
        <w:t xml:space="preserve"> of the table in section 9 of the EOMR lists instruments (other than regulations) relating to superannuation. As a result, this instrument is not a disallowable legislative instrument under section 42 of the LA.</w:t>
      </w:r>
    </w:p>
    <w:p w14:paraId="1250A7A8" w14:textId="77777777" w:rsidR="008E56B2" w:rsidRPr="00374065" w:rsidRDefault="008E56B2" w:rsidP="004C6827">
      <w:pPr>
        <w:spacing w:after="120"/>
        <w:rPr>
          <w:rFonts w:ascii="Arial" w:hAnsi="Arial" w:cs="Arial"/>
          <w:sz w:val="22"/>
          <w:szCs w:val="22"/>
        </w:rPr>
      </w:pPr>
    </w:p>
    <w:p w14:paraId="6C988FEA" w14:textId="70D0AEEB" w:rsidR="005C71B3" w:rsidRPr="006616EC" w:rsidRDefault="005C71B3" w:rsidP="00374065">
      <w:pPr>
        <w:pStyle w:val="Heading2"/>
      </w:pPr>
      <w:r w:rsidRPr="006616EC">
        <w:t>Consultation</w:t>
      </w:r>
    </w:p>
    <w:p w14:paraId="244D2B51" w14:textId="749CCCE4" w:rsidR="00A1266F" w:rsidRPr="006616EC" w:rsidRDefault="00A1266F" w:rsidP="006616EC">
      <w:pPr>
        <w:numPr>
          <w:ilvl w:val="0"/>
          <w:numId w:val="16"/>
        </w:numPr>
        <w:tabs>
          <w:tab w:val="clear" w:pos="360"/>
        </w:tabs>
        <w:spacing w:after="120"/>
        <w:ind w:left="0" w:firstLine="0"/>
        <w:rPr>
          <w:rFonts w:ascii="Arial" w:hAnsi="Arial" w:cs="Arial"/>
          <w:sz w:val="22"/>
          <w:szCs w:val="22"/>
        </w:rPr>
      </w:pPr>
      <w:r w:rsidRPr="006616EC">
        <w:rPr>
          <w:rFonts w:ascii="Arial" w:hAnsi="Arial" w:cs="Arial"/>
          <w:sz w:val="22"/>
          <w:szCs w:val="22"/>
        </w:rPr>
        <w:t>Subsection 17(1) of the LA requires that the rule-maker undertake an appropriate level of consultation that is reasonably practicable to undertake before making a legislative instrument.</w:t>
      </w:r>
    </w:p>
    <w:p w14:paraId="0CEB8D94" w14:textId="766A2D7A" w:rsidR="00A1266F" w:rsidRPr="006616EC" w:rsidRDefault="00A1266F" w:rsidP="006616EC">
      <w:pPr>
        <w:numPr>
          <w:ilvl w:val="0"/>
          <w:numId w:val="16"/>
        </w:numPr>
        <w:tabs>
          <w:tab w:val="clear" w:pos="360"/>
        </w:tabs>
        <w:spacing w:after="120"/>
        <w:ind w:left="0" w:firstLine="0"/>
        <w:rPr>
          <w:rFonts w:ascii="Arial" w:hAnsi="Arial" w:cs="Arial"/>
          <w:sz w:val="22"/>
          <w:szCs w:val="22"/>
        </w:rPr>
      </w:pPr>
      <w:r w:rsidRPr="006616EC">
        <w:rPr>
          <w:rFonts w:ascii="Arial" w:hAnsi="Arial" w:cs="Arial"/>
          <w:sz w:val="22"/>
          <w:szCs w:val="22"/>
        </w:rPr>
        <w:t>For this instrument, broad public consultation was undertaken for a period of 4 weeks</w:t>
      </w:r>
      <w:r w:rsidR="00882FDF" w:rsidRPr="006616EC">
        <w:rPr>
          <w:rFonts w:ascii="Arial" w:hAnsi="Arial" w:cs="Arial"/>
          <w:sz w:val="22"/>
          <w:szCs w:val="22"/>
        </w:rPr>
        <w:t xml:space="preserve"> </w:t>
      </w:r>
      <w:r w:rsidR="00696BC5" w:rsidRPr="006616EC">
        <w:rPr>
          <w:rFonts w:ascii="Arial" w:hAnsi="Arial" w:cs="Arial"/>
          <w:sz w:val="22"/>
          <w:szCs w:val="22"/>
        </w:rPr>
        <w:t xml:space="preserve">from </w:t>
      </w:r>
      <w:r w:rsidR="001161FA" w:rsidRPr="006616EC">
        <w:rPr>
          <w:rFonts w:ascii="Arial" w:hAnsi="Arial" w:cs="Arial"/>
          <w:sz w:val="22"/>
          <w:szCs w:val="22"/>
        </w:rPr>
        <w:t xml:space="preserve">22 November 2021 </w:t>
      </w:r>
      <w:r w:rsidR="00696BC5" w:rsidRPr="006616EC">
        <w:rPr>
          <w:rFonts w:ascii="Arial" w:hAnsi="Arial" w:cs="Arial"/>
          <w:sz w:val="22"/>
          <w:szCs w:val="22"/>
        </w:rPr>
        <w:t xml:space="preserve">to </w:t>
      </w:r>
      <w:r w:rsidR="001161FA" w:rsidRPr="006616EC">
        <w:rPr>
          <w:rFonts w:ascii="Arial" w:hAnsi="Arial" w:cs="Arial"/>
          <w:sz w:val="22"/>
          <w:szCs w:val="22"/>
        </w:rPr>
        <w:t>17 December 2021</w:t>
      </w:r>
      <w:r w:rsidRPr="006616EC">
        <w:rPr>
          <w:rFonts w:ascii="Arial" w:hAnsi="Arial" w:cs="Arial"/>
          <w:sz w:val="22"/>
          <w:szCs w:val="22"/>
        </w:rPr>
        <w:t>.</w:t>
      </w:r>
    </w:p>
    <w:p w14:paraId="0DC0A881" w14:textId="2E37E85A" w:rsidR="00163DAA" w:rsidRPr="006616EC" w:rsidRDefault="00A1266F" w:rsidP="006616EC">
      <w:pPr>
        <w:numPr>
          <w:ilvl w:val="0"/>
          <w:numId w:val="16"/>
        </w:numPr>
        <w:tabs>
          <w:tab w:val="clear" w:pos="360"/>
        </w:tabs>
        <w:spacing w:after="120"/>
        <w:ind w:left="0" w:firstLine="0"/>
        <w:rPr>
          <w:rFonts w:ascii="Arial" w:hAnsi="Arial" w:cs="Arial"/>
          <w:sz w:val="22"/>
          <w:szCs w:val="22"/>
        </w:rPr>
      </w:pPr>
      <w:r w:rsidRPr="006616EC">
        <w:rPr>
          <w:rFonts w:ascii="Arial" w:hAnsi="Arial" w:cs="Arial"/>
          <w:sz w:val="22"/>
          <w:szCs w:val="22"/>
        </w:rPr>
        <w:t xml:space="preserve">The draft instrument and explanatory statement were published to the ATO Legal database. Publication was advertised via the ‘What’s new’ page on that website, and via the ‘Open Consultation’ page on ato.gov.au. Major tax and superannuation </w:t>
      </w:r>
      <w:r w:rsidR="0036175E" w:rsidRPr="006616EC">
        <w:rPr>
          <w:rFonts w:ascii="Arial" w:hAnsi="Arial" w:cs="Arial"/>
          <w:sz w:val="22"/>
          <w:szCs w:val="22"/>
        </w:rPr>
        <w:t xml:space="preserve">professionals, </w:t>
      </w:r>
      <w:r w:rsidRPr="006616EC">
        <w:rPr>
          <w:rFonts w:ascii="Arial" w:hAnsi="Arial" w:cs="Arial"/>
          <w:sz w:val="22"/>
          <w:szCs w:val="22"/>
        </w:rPr>
        <w:t xml:space="preserve">publishers and associations monitor these pages and include the details in the daily and weekly alerts and newsletters to their subscribers and members. </w:t>
      </w:r>
    </w:p>
    <w:p w14:paraId="1EB099EC" w14:textId="21DB5E96" w:rsidR="001B1CC0" w:rsidRPr="006616EC" w:rsidRDefault="001B1CC0" w:rsidP="006616EC">
      <w:pPr>
        <w:numPr>
          <w:ilvl w:val="0"/>
          <w:numId w:val="16"/>
        </w:numPr>
        <w:tabs>
          <w:tab w:val="clear" w:pos="360"/>
        </w:tabs>
        <w:spacing w:after="120"/>
        <w:ind w:left="0" w:firstLine="0"/>
        <w:rPr>
          <w:rFonts w:ascii="Arial" w:hAnsi="Arial" w:cs="Arial"/>
          <w:sz w:val="22"/>
          <w:szCs w:val="22"/>
        </w:rPr>
      </w:pPr>
      <w:r w:rsidRPr="006616EC">
        <w:rPr>
          <w:rFonts w:ascii="Arial" w:hAnsi="Arial" w:cs="Arial"/>
          <w:sz w:val="22"/>
          <w:szCs w:val="22"/>
        </w:rPr>
        <w:t>In addition, an article was published in SMSF News and alerts on ato.gov.au</w:t>
      </w:r>
      <w:r w:rsidR="00377EBA" w:rsidRPr="006616EC">
        <w:rPr>
          <w:rFonts w:ascii="Arial" w:hAnsi="Arial" w:cs="Arial"/>
          <w:sz w:val="22"/>
          <w:szCs w:val="22"/>
        </w:rPr>
        <w:t xml:space="preserve"> on 24 November 2021, </w:t>
      </w:r>
      <w:r w:rsidRPr="006616EC">
        <w:rPr>
          <w:rFonts w:ascii="Arial" w:hAnsi="Arial" w:cs="Arial"/>
          <w:sz w:val="22"/>
          <w:szCs w:val="22"/>
        </w:rPr>
        <w:t xml:space="preserve">alerting </w:t>
      </w:r>
      <w:r w:rsidR="00377EBA" w:rsidRPr="006616EC">
        <w:rPr>
          <w:rFonts w:ascii="Arial" w:hAnsi="Arial" w:cs="Arial"/>
          <w:sz w:val="22"/>
          <w:szCs w:val="22"/>
        </w:rPr>
        <w:t xml:space="preserve">SMSF </w:t>
      </w:r>
      <w:r w:rsidRPr="006616EC">
        <w:rPr>
          <w:rFonts w:ascii="Arial" w:hAnsi="Arial" w:cs="Arial"/>
          <w:sz w:val="22"/>
          <w:szCs w:val="22"/>
        </w:rPr>
        <w:t>trustees</w:t>
      </w:r>
      <w:r w:rsidR="00377EBA" w:rsidRPr="006616EC">
        <w:rPr>
          <w:rFonts w:ascii="Arial" w:hAnsi="Arial" w:cs="Arial"/>
          <w:sz w:val="22"/>
          <w:szCs w:val="22"/>
        </w:rPr>
        <w:t>, approved SMSF auditors</w:t>
      </w:r>
      <w:r w:rsidRPr="006616EC">
        <w:rPr>
          <w:rFonts w:ascii="Arial" w:hAnsi="Arial" w:cs="Arial"/>
          <w:sz w:val="22"/>
          <w:szCs w:val="22"/>
        </w:rPr>
        <w:t xml:space="preserve"> and tax professionals</w:t>
      </w:r>
      <w:r w:rsidR="00377EBA" w:rsidRPr="006616EC">
        <w:rPr>
          <w:rFonts w:ascii="Arial" w:hAnsi="Arial" w:cs="Arial"/>
          <w:sz w:val="22"/>
          <w:szCs w:val="22"/>
        </w:rPr>
        <w:t xml:space="preserve"> who subscribe to the service to the draft determination</w:t>
      </w:r>
      <w:r w:rsidRPr="006616EC">
        <w:rPr>
          <w:rFonts w:ascii="Arial" w:hAnsi="Arial" w:cs="Arial"/>
          <w:sz w:val="22"/>
          <w:szCs w:val="22"/>
        </w:rPr>
        <w:t xml:space="preserve">. </w:t>
      </w:r>
      <w:r w:rsidR="00377EBA" w:rsidRPr="006616EC">
        <w:rPr>
          <w:rFonts w:ascii="Arial" w:hAnsi="Arial" w:cs="Arial"/>
          <w:sz w:val="22"/>
          <w:szCs w:val="22"/>
        </w:rPr>
        <w:t xml:space="preserve">The article was also included in the SMSF News monthly digest sent to over 235,0000 subscribers on 30 November 2021. </w:t>
      </w:r>
    </w:p>
    <w:p w14:paraId="77C86B44" w14:textId="5B8316CA" w:rsidR="0036175E" w:rsidRPr="006616EC" w:rsidRDefault="00051E47" w:rsidP="006616EC">
      <w:pPr>
        <w:numPr>
          <w:ilvl w:val="0"/>
          <w:numId w:val="16"/>
        </w:numPr>
        <w:tabs>
          <w:tab w:val="clear" w:pos="360"/>
        </w:tabs>
        <w:spacing w:after="120"/>
        <w:ind w:left="0" w:firstLine="0"/>
        <w:rPr>
          <w:rFonts w:ascii="Arial" w:hAnsi="Arial" w:cs="Arial"/>
          <w:sz w:val="22"/>
          <w:szCs w:val="22"/>
        </w:rPr>
      </w:pPr>
      <w:r w:rsidRPr="006616EC">
        <w:rPr>
          <w:rFonts w:ascii="Arial" w:hAnsi="Arial" w:cs="Arial"/>
          <w:sz w:val="22"/>
          <w:szCs w:val="22"/>
        </w:rPr>
        <w:lastRenderedPageBreak/>
        <w:t xml:space="preserve">Taking these steps has increased awareness of the draft determination, helped to </w:t>
      </w:r>
      <w:r w:rsidR="0036175E" w:rsidRPr="006616EC">
        <w:rPr>
          <w:rFonts w:ascii="Arial" w:hAnsi="Arial" w:cs="Arial"/>
          <w:sz w:val="22"/>
          <w:szCs w:val="22"/>
        </w:rPr>
        <w:t xml:space="preserve">ensure notification of the draft is disseminated widely across the tax and superannuation professional community, and that </w:t>
      </w:r>
      <w:r w:rsidRPr="006616EC">
        <w:rPr>
          <w:rFonts w:ascii="Arial" w:hAnsi="Arial" w:cs="Arial"/>
          <w:sz w:val="22"/>
          <w:szCs w:val="22"/>
        </w:rPr>
        <w:t>individuals</w:t>
      </w:r>
      <w:r w:rsidR="0036175E" w:rsidRPr="006616EC">
        <w:rPr>
          <w:rFonts w:ascii="Arial" w:hAnsi="Arial" w:cs="Arial"/>
          <w:sz w:val="22"/>
          <w:szCs w:val="22"/>
        </w:rPr>
        <w:t xml:space="preserve"> </w:t>
      </w:r>
      <w:r w:rsidRPr="006616EC">
        <w:rPr>
          <w:rFonts w:ascii="Arial" w:hAnsi="Arial" w:cs="Arial"/>
          <w:sz w:val="22"/>
          <w:szCs w:val="22"/>
        </w:rPr>
        <w:t xml:space="preserve">are </w:t>
      </w:r>
      <w:r w:rsidR="0036175E" w:rsidRPr="006616EC">
        <w:rPr>
          <w:rFonts w:ascii="Arial" w:hAnsi="Arial" w:cs="Arial"/>
          <w:sz w:val="22"/>
          <w:szCs w:val="22"/>
        </w:rPr>
        <w:t>an informed position to provide comments and feedback.</w:t>
      </w:r>
    </w:p>
    <w:p w14:paraId="6F69C147" w14:textId="77777777" w:rsidR="006616EC" w:rsidRPr="006616EC" w:rsidRDefault="006616EC" w:rsidP="006616EC">
      <w:pPr>
        <w:spacing w:after="120"/>
        <w:rPr>
          <w:rFonts w:ascii="Arial" w:hAnsi="Arial" w:cs="Arial"/>
          <w:sz w:val="22"/>
          <w:szCs w:val="22"/>
        </w:rPr>
      </w:pPr>
    </w:p>
    <w:p w14:paraId="72D7449C" w14:textId="5322B966" w:rsidR="00A1266F" w:rsidRPr="006616EC" w:rsidRDefault="00A1266F" w:rsidP="006616EC">
      <w:pPr>
        <w:pStyle w:val="Heading3"/>
        <w:spacing w:before="0" w:after="120"/>
        <w:rPr>
          <w:i/>
          <w:iCs/>
          <w:sz w:val="22"/>
          <w:szCs w:val="22"/>
        </w:rPr>
      </w:pPr>
      <w:r w:rsidRPr="006616EC">
        <w:rPr>
          <w:i/>
          <w:iCs/>
          <w:sz w:val="22"/>
          <w:szCs w:val="22"/>
        </w:rPr>
        <w:t>Outcome of consultation</w:t>
      </w:r>
    </w:p>
    <w:p w14:paraId="25C1FEF6" w14:textId="5C64AE06" w:rsidR="00C45033" w:rsidRPr="00EF0FAF" w:rsidRDefault="00A1266F" w:rsidP="006616EC">
      <w:pPr>
        <w:numPr>
          <w:ilvl w:val="0"/>
          <w:numId w:val="16"/>
        </w:numPr>
        <w:tabs>
          <w:tab w:val="clear" w:pos="360"/>
        </w:tabs>
        <w:spacing w:after="120"/>
        <w:ind w:left="0" w:firstLine="0"/>
        <w:rPr>
          <w:rFonts w:ascii="Arial" w:hAnsi="Arial" w:cs="Arial"/>
          <w:sz w:val="22"/>
          <w:szCs w:val="22"/>
        </w:rPr>
      </w:pPr>
      <w:r w:rsidRPr="00EF0FAF">
        <w:rPr>
          <w:rFonts w:ascii="Arial" w:hAnsi="Arial" w:cs="Arial"/>
          <w:sz w:val="22"/>
          <w:szCs w:val="22"/>
        </w:rPr>
        <w:t>No comments were received.</w:t>
      </w:r>
    </w:p>
    <w:p w14:paraId="2CC10C2A" w14:textId="46537FBB" w:rsidR="004C6827" w:rsidRDefault="004C6827" w:rsidP="00926A89">
      <w:pPr>
        <w:spacing w:after="120"/>
        <w:rPr>
          <w:rFonts w:ascii="Arial" w:hAnsi="Arial" w:cs="Arial"/>
          <w:sz w:val="22"/>
          <w:szCs w:val="22"/>
        </w:rPr>
      </w:pPr>
    </w:p>
    <w:p w14:paraId="0C57F357" w14:textId="251F123F" w:rsidR="006616EC" w:rsidRDefault="006616EC" w:rsidP="00926A89">
      <w:pPr>
        <w:spacing w:after="120"/>
        <w:rPr>
          <w:rFonts w:ascii="Arial" w:hAnsi="Arial" w:cs="Arial"/>
          <w:sz w:val="22"/>
          <w:szCs w:val="22"/>
        </w:rPr>
      </w:pPr>
    </w:p>
    <w:p w14:paraId="340BB2DC" w14:textId="77777777" w:rsidR="006616EC" w:rsidRPr="00374065" w:rsidRDefault="006616EC" w:rsidP="00926A89">
      <w:pPr>
        <w:spacing w:after="120"/>
        <w:rPr>
          <w:rFonts w:ascii="Arial" w:hAnsi="Arial" w:cs="Arial"/>
          <w:sz w:val="22"/>
          <w:szCs w:val="22"/>
        </w:rPr>
      </w:pPr>
    </w:p>
    <w:p w14:paraId="20A6CFE0" w14:textId="77777777" w:rsidR="004F3F61" w:rsidRPr="00C64D4A" w:rsidRDefault="004F3F61" w:rsidP="00374065">
      <w:pPr>
        <w:pStyle w:val="Heading3"/>
        <w:spacing w:before="0"/>
        <w:rPr>
          <w:i/>
          <w:sz w:val="20"/>
          <w:szCs w:val="20"/>
        </w:rPr>
      </w:pPr>
      <w:r w:rsidRPr="00C64D4A">
        <w:rPr>
          <w:i/>
          <w:sz w:val="20"/>
          <w:szCs w:val="20"/>
        </w:rPr>
        <w:t>Legislative references</w:t>
      </w:r>
    </w:p>
    <w:p w14:paraId="3A81863D" w14:textId="77777777" w:rsidR="004F3F61" w:rsidRPr="00C64D4A" w:rsidRDefault="004F3F61" w:rsidP="00374065">
      <w:pPr>
        <w:rPr>
          <w:rFonts w:ascii="Arial" w:hAnsi="Arial" w:cs="Arial"/>
          <w:i/>
          <w:sz w:val="20"/>
        </w:rPr>
      </w:pPr>
      <w:r w:rsidRPr="00C64D4A">
        <w:rPr>
          <w:rFonts w:ascii="Arial" w:hAnsi="Arial" w:cs="Arial"/>
          <w:i/>
          <w:sz w:val="20"/>
        </w:rPr>
        <w:t>Acts Interpretation Act 1901</w:t>
      </w:r>
    </w:p>
    <w:p w14:paraId="43114555" w14:textId="21ED7E64" w:rsidR="00143D42" w:rsidRPr="00C64D4A" w:rsidRDefault="00143D42" w:rsidP="00374065">
      <w:pPr>
        <w:rPr>
          <w:rFonts w:ascii="Arial" w:hAnsi="Arial" w:cs="Arial"/>
          <w:i/>
          <w:iCs/>
          <w:sz w:val="20"/>
        </w:rPr>
      </w:pPr>
      <w:r w:rsidRPr="00C64D4A">
        <w:rPr>
          <w:rFonts w:ascii="Arial" w:hAnsi="Arial" w:cs="Arial"/>
          <w:i/>
          <w:iCs/>
          <w:sz w:val="20"/>
        </w:rPr>
        <w:t>Human Rights (Parliamentary Scrutiny) Act 2011</w:t>
      </w:r>
    </w:p>
    <w:p w14:paraId="16079F0A" w14:textId="3044847C" w:rsidR="004F3F61" w:rsidRPr="00C64D4A" w:rsidRDefault="004F3F61" w:rsidP="00374065">
      <w:pPr>
        <w:rPr>
          <w:rFonts w:ascii="Arial" w:hAnsi="Arial" w:cs="Arial"/>
          <w:i/>
          <w:sz w:val="20"/>
        </w:rPr>
      </w:pPr>
      <w:r w:rsidRPr="00C64D4A">
        <w:rPr>
          <w:rFonts w:ascii="Arial" w:hAnsi="Arial" w:cs="Arial"/>
          <w:i/>
          <w:sz w:val="20"/>
        </w:rPr>
        <w:t>Legislation Act 2003</w:t>
      </w:r>
    </w:p>
    <w:p w14:paraId="4D59562C" w14:textId="77777777" w:rsidR="008575FD" w:rsidRPr="00C64D4A" w:rsidRDefault="00143D42" w:rsidP="00374065">
      <w:pPr>
        <w:rPr>
          <w:rFonts w:ascii="Arial" w:hAnsi="Arial" w:cs="Arial"/>
          <w:i/>
          <w:iCs/>
          <w:sz w:val="20"/>
        </w:rPr>
      </w:pPr>
      <w:r w:rsidRPr="00C64D4A">
        <w:rPr>
          <w:rFonts w:ascii="Arial" w:hAnsi="Arial" w:cs="Arial"/>
          <w:i/>
          <w:iCs/>
          <w:sz w:val="20"/>
        </w:rPr>
        <w:t>Legislation (Exemptions and Other Matters) Regulation 2015</w:t>
      </w:r>
    </w:p>
    <w:p w14:paraId="3D6D040C" w14:textId="613BC74A" w:rsidR="004F3F61" w:rsidRPr="00C64D4A" w:rsidRDefault="004F3F61" w:rsidP="00374065">
      <w:pPr>
        <w:rPr>
          <w:rFonts w:ascii="Arial" w:hAnsi="Arial" w:cs="Arial"/>
          <w:i/>
          <w:sz w:val="20"/>
        </w:rPr>
      </w:pPr>
      <w:r w:rsidRPr="00C64D4A">
        <w:rPr>
          <w:rFonts w:ascii="Arial" w:hAnsi="Arial" w:cs="Arial"/>
          <w:i/>
          <w:sz w:val="20"/>
        </w:rPr>
        <w:t>Superannuation Industry (Supervision) Act 1993</w:t>
      </w:r>
    </w:p>
    <w:p w14:paraId="1A4109CB" w14:textId="77777777" w:rsidR="004F3F61" w:rsidRPr="00C64D4A" w:rsidRDefault="004F3F61" w:rsidP="00374065">
      <w:pPr>
        <w:rPr>
          <w:rFonts w:ascii="Arial" w:hAnsi="Arial" w:cs="Arial"/>
          <w:i/>
          <w:sz w:val="20"/>
        </w:rPr>
      </w:pPr>
      <w:r w:rsidRPr="00C64D4A">
        <w:rPr>
          <w:rFonts w:ascii="Arial" w:hAnsi="Arial" w:cs="Arial"/>
          <w:i/>
          <w:sz w:val="20"/>
        </w:rPr>
        <w:t>Superannuation Industry (Supervision) Regulations 1994</w:t>
      </w:r>
    </w:p>
    <w:p w14:paraId="02F91B41" w14:textId="3FD96FB3" w:rsidR="004F3F61" w:rsidRPr="006616EC" w:rsidRDefault="004F3F61" w:rsidP="00374065">
      <w:pPr>
        <w:spacing w:after="120"/>
        <w:rPr>
          <w:rFonts w:ascii="Arial" w:hAnsi="Arial" w:cs="Arial"/>
          <w:sz w:val="22"/>
          <w:szCs w:val="22"/>
        </w:rPr>
      </w:pPr>
    </w:p>
    <w:p w14:paraId="139EEE56" w14:textId="532A1795" w:rsidR="006616EC" w:rsidRPr="006616EC" w:rsidRDefault="006616EC" w:rsidP="00374065">
      <w:pPr>
        <w:spacing w:after="120"/>
        <w:rPr>
          <w:rFonts w:ascii="Arial" w:hAnsi="Arial" w:cs="Arial"/>
          <w:sz w:val="22"/>
          <w:szCs w:val="22"/>
        </w:rPr>
      </w:pPr>
    </w:p>
    <w:p w14:paraId="10D78DC4" w14:textId="77777777" w:rsidR="006616EC" w:rsidRPr="006616EC" w:rsidRDefault="006616EC" w:rsidP="00374065">
      <w:pPr>
        <w:spacing w:after="120"/>
        <w:rPr>
          <w:rFonts w:ascii="Arial" w:hAnsi="Arial" w:cs="Arial"/>
          <w:sz w:val="22"/>
          <w:szCs w:val="22"/>
        </w:rPr>
      </w:pPr>
    </w:p>
    <w:p w14:paraId="119A59CA" w14:textId="010B25D9" w:rsidR="00851E1F" w:rsidRPr="00374065" w:rsidRDefault="00851E1F">
      <w:pPr>
        <w:pStyle w:val="Heading2"/>
      </w:pPr>
      <w:r w:rsidRPr="00374065">
        <w:t>Statement of compatibility with Human Rights</w:t>
      </w:r>
    </w:p>
    <w:p w14:paraId="62A554CC" w14:textId="636EDB96" w:rsidR="00AC625B" w:rsidRPr="00374065" w:rsidRDefault="00851E1F" w:rsidP="000911AD">
      <w:pPr>
        <w:keepNext/>
        <w:spacing w:after="120"/>
        <w:outlineLvl w:val="1"/>
        <w:rPr>
          <w:rFonts w:ascii="Arial" w:hAnsi="Arial" w:cs="Arial"/>
          <w:sz w:val="22"/>
          <w:szCs w:val="22"/>
        </w:rPr>
      </w:pPr>
      <w:r w:rsidRPr="00374065">
        <w:rPr>
          <w:rFonts w:ascii="Arial" w:hAnsi="Arial" w:cs="Arial"/>
          <w:sz w:val="22"/>
          <w:szCs w:val="22"/>
        </w:rPr>
        <w:t xml:space="preserve">As section 42 of the </w:t>
      </w:r>
      <w:r w:rsidRPr="00374065">
        <w:rPr>
          <w:rFonts w:ascii="Arial" w:hAnsi="Arial" w:cs="Arial"/>
          <w:i/>
          <w:iCs/>
          <w:sz w:val="22"/>
          <w:szCs w:val="22"/>
        </w:rPr>
        <w:t>L</w:t>
      </w:r>
      <w:r w:rsidR="00143D42" w:rsidRPr="00374065">
        <w:rPr>
          <w:rFonts w:ascii="Arial" w:hAnsi="Arial" w:cs="Arial"/>
          <w:i/>
          <w:iCs/>
          <w:sz w:val="22"/>
          <w:szCs w:val="22"/>
        </w:rPr>
        <w:t xml:space="preserve">egislation </w:t>
      </w:r>
      <w:r w:rsidRPr="00374065">
        <w:rPr>
          <w:rFonts w:ascii="Arial" w:hAnsi="Arial" w:cs="Arial"/>
          <w:i/>
          <w:iCs/>
          <w:sz w:val="22"/>
          <w:szCs w:val="22"/>
        </w:rPr>
        <w:t>A</w:t>
      </w:r>
      <w:r w:rsidR="00143D42" w:rsidRPr="00374065">
        <w:rPr>
          <w:rFonts w:ascii="Arial" w:hAnsi="Arial" w:cs="Arial"/>
          <w:i/>
          <w:iCs/>
          <w:sz w:val="22"/>
          <w:szCs w:val="22"/>
        </w:rPr>
        <w:t>ct 2003</w:t>
      </w:r>
      <w:r w:rsidRPr="00374065">
        <w:rPr>
          <w:rFonts w:ascii="Arial" w:hAnsi="Arial" w:cs="Arial"/>
          <w:sz w:val="22"/>
          <w:szCs w:val="22"/>
        </w:rPr>
        <w:t xml:space="preserve"> does not apply to this instrument, a Statement of compatibility with Human Rights in respect of this instrument is not required under section 9 of the </w:t>
      </w:r>
      <w:bookmarkStart w:id="4" w:name="_Hlk86650030"/>
      <w:r w:rsidRPr="00374065">
        <w:rPr>
          <w:rFonts w:ascii="Arial" w:hAnsi="Arial" w:cs="Arial"/>
          <w:i/>
          <w:iCs/>
          <w:sz w:val="22"/>
          <w:szCs w:val="22"/>
        </w:rPr>
        <w:t>Human Rights (Parliamentary Scrutiny) Act 2011</w:t>
      </w:r>
      <w:bookmarkEnd w:id="4"/>
      <w:r w:rsidRPr="00374065">
        <w:rPr>
          <w:rFonts w:ascii="Arial" w:hAnsi="Arial" w:cs="Arial"/>
          <w:sz w:val="22"/>
          <w:szCs w:val="22"/>
        </w:rPr>
        <w:t>.</w:t>
      </w:r>
    </w:p>
    <w:sectPr w:rsidR="00AC625B" w:rsidRPr="00374065" w:rsidSect="00081520">
      <w:headerReference w:type="even" r:id="rId9"/>
      <w:headerReference w:type="default" r:id="rId10"/>
      <w:headerReference w:type="first" r:id="rId11"/>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D1DFC" w14:textId="77777777" w:rsidR="00243CBC" w:rsidRDefault="00243CBC">
      <w:r>
        <w:separator/>
      </w:r>
    </w:p>
  </w:endnote>
  <w:endnote w:type="continuationSeparator" w:id="0">
    <w:p w14:paraId="0B544B1C" w14:textId="77777777" w:rsidR="00243CBC" w:rsidRDefault="0024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EE84E" w14:textId="77777777" w:rsidR="00243CBC" w:rsidRDefault="00243CBC">
      <w:r>
        <w:separator/>
      </w:r>
    </w:p>
  </w:footnote>
  <w:footnote w:type="continuationSeparator" w:id="0">
    <w:p w14:paraId="0260AD5E" w14:textId="77777777" w:rsidR="00243CBC" w:rsidRDefault="0024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A" w14:textId="7143ABCE"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4F29300"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separate"/>
    </w:r>
    <w:r w:rsidR="009C2787">
      <w:rPr>
        <w:rFonts w:ascii="Arial" w:hAnsi="Arial" w:cs="Arial"/>
        <w:b/>
        <w:bCs/>
        <w:sz w:val="52"/>
        <w:lang w:val="en-US"/>
      </w:rPr>
      <w:t>Error! Reference source not found.</w: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D" w14:textId="4C22F57F"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1BCE" w14:textId="0D55DE79"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593DB8">
      <w:rPr>
        <w:rFonts w:ascii="Arial" w:hAnsi="Arial" w:cs="Arial"/>
        <w:b/>
        <w:sz w:val="22"/>
        <w:szCs w:val="22"/>
      </w:rPr>
      <w:t>2021</w:t>
    </w:r>
    <w:r w:rsidRPr="00767CE8">
      <w:rPr>
        <w:rFonts w:ascii="Arial" w:hAnsi="Arial" w:cs="Arial"/>
        <w:b/>
        <w:sz w:val="22"/>
        <w:szCs w:val="22"/>
      </w:rPr>
      <w:t>/</w:t>
    </w:r>
    <w:r w:rsidR="00593DB8">
      <w:rPr>
        <w:rFonts w:ascii="Arial" w:hAnsi="Arial" w:cs="Arial"/>
        <w:b/>
        <w:sz w:val="22"/>
        <w:szCs w:val="22"/>
      </w:rPr>
      <w:t>SEO</w:t>
    </w:r>
    <w:r w:rsidRPr="00767CE8">
      <w:rPr>
        <w:rFonts w:ascii="Arial" w:hAnsi="Arial" w:cs="Arial"/>
        <w:b/>
        <w:sz w:val="22"/>
        <w:szCs w:val="22"/>
      </w:rPr>
      <w:t>/</w:t>
    </w:r>
    <w:r w:rsidR="00593DB8">
      <w:rPr>
        <w:rFonts w:ascii="Arial" w:hAnsi="Arial" w:cs="Arial"/>
        <w:b/>
        <w:sz w:val="22"/>
        <w:szCs w:val="22"/>
      </w:rPr>
      <w:t>0017</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18E055AE"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79970E2"/>
    <w:multiLevelType w:val="hybridMultilevel"/>
    <w:tmpl w:val="2E525F62"/>
    <w:lvl w:ilvl="0" w:tplc="5D364D7A">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B48A835C">
      <w:start w:val="1"/>
      <w:numFmt w:val="lowerLetter"/>
      <w:lvlText w:val="%4)"/>
      <w:lvlJc w:val="left"/>
      <w:pPr>
        <w:ind w:left="2955" w:hanging="435"/>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1"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2"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FCC3903"/>
    <w:multiLevelType w:val="hybridMultilevel"/>
    <w:tmpl w:val="A0A08DC2"/>
    <w:lvl w:ilvl="0" w:tplc="5D364D7A">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B48A835C">
      <w:start w:val="1"/>
      <w:numFmt w:val="lowerLetter"/>
      <w:lvlText w:val="%4)"/>
      <w:lvlJc w:val="left"/>
      <w:pPr>
        <w:ind w:left="2955" w:hanging="435"/>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0747008"/>
    <w:multiLevelType w:val="hybridMultilevel"/>
    <w:tmpl w:val="6B90149A"/>
    <w:lvl w:ilvl="0" w:tplc="C2ACD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0"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F27618B"/>
    <w:multiLevelType w:val="hybridMultilevel"/>
    <w:tmpl w:val="DC9619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8"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8"/>
  </w:num>
  <w:num w:numId="4">
    <w:abstractNumId w:val="45"/>
  </w:num>
  <w:num w:numId="5">
    <w:abstractNumId w:val="6"/>
  </w:num>
  <w:num w:numId="6">
    <w:abstractNumId w:val="15"/>
  </w:num>
  <w:num w:numId="7">
    <w:abstractNumId w:val="40"/>
  </w:num>
  <w:num w:numId="8">
    <w:abstractNumId w:val="39"/>
  </w:num>
  <w:num w:numId="9">
    <w:abstractNumId w:val="30"/>
  </w:num>
  <w:num w:numId="10">
    <w:abstractNumId w:val="24"/>
  </w:num>
  <w:num w:numId="11">
    <w:abstractNumId w:val="46"/>
  </w:num>
  <w:num w:numId="12">
    <w:abstractNumId w:val="41"/>
  </w:num>
  <w:num w:numId="13">
    <w:abstractNumId w:val="44"/>
  </w:num>
  <w:num w:numId="14">
    <w:abstractNumId w:val="43"/>
  </w:num>
  <w:num w:numId="15">
    <w:abstractNumId w:val="22"/>
  </w:num>
  <w:num w:numId="16">
    <w:abstractNumId w:val="26"/>
  </w:num>
  <w:num w:numId="17">
    <w:abstractNumId w:val="12"/>
  </w:num>
  <w:num w:numId="18">
    <w:abstractNumId w:val="18"/>
  </w:num>
  <w:num w:numId="19">
    <w:abstractNumId w:val="3"/>
  </w:num>
  <w:num w:numId="20">
    <w:abstractNumId w:val="1"/>
  </w:num>
  <w:num w:numId="21">
    <w:abstractNumId w:val="14"/>
  </w:num>
  <w:num w:numId="22">
    <w:abstractNumId w:val="37"/>
  </w:num>
  <w:num w:numId="23">
    <w:abstractNumId w:val="11"/>
  </w:num>
  <w:num w:numId="24">
    <w:abstractNumId w:val="21"/>
  </w:num>
  <w:num w:numId="25">
    <w:abstractNumId w:val="35"/>
  </w:num>
  <w:num w:numId="26">
    <w:abstractNumId w:val="34"/>
  </w:num>
  <w:num w:numId="27">
    <w:abstractNumId w:val="10"/>
  </w:num>
  <w:num w:numId="28">
    <w:abstractNumId w:val="38"/>
  </w:num>
  <w:num w:numId="29">
    <w:abstractNumId w:val="20"/>
  </w:num>
  <w:num w:numId="30">
    <w:abstractNumId w:val="16"/>
  </w:num>
  <w:num w:numId="31">
    <w:abstractNumId w:val="7"/>
  </w:num>
  <w:num w:numId="32">
    <w:abstractNumId w:val="0"/>
  </w:num>
  <w:num w:numId="33">
    <w:abstractNumId w:val="8"/>
  </w:num>
  <w:num w:numId="34">
    <w:abstractNumId w:val="29"/>
  </w:num>
  <w:num w:numId="35">
    <w:abstractNumId w:val="42"/>
  </w:num>
  <w:num w:numId="36">
    <w:abstractNumId w:val="19"/>
  </w:num>
  <w:num w:numId="37">
    <w:abstractNumId w:val="13"/>
  </w:num>
  <w:num w:numId="38">
    <w:abstractNumId w:val="23"/>
  </w:num>
  <w:num w:numId="39">
    <w:abstractNumId w:val="2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2"/>
  </w:num>
  <w:num w:numId="43">
    <w:abstractNumId w:val="2"/>
  </w:num>
  <w:num w:numId="44">
    <w:abstractNumId w:val="5"/>
  </w:num>
  <w:num w:numId="45">
    <w:abstractNumId w:val="36"/>
  </w:num>
  <w:num w:numId="46">
    <w:abstractNumId w:val="31"/>
  </w:num>
  <w:num w:numId="47">
    <w:abstractNumId w:val="33"/>
  </w:num>
  <w:num w:numId="48">
    <w:abstractNumId w:val="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0FA6"/>
    <w:rsid w:val="000217A3"/>
    <w:rsid w:val="000233B5"/>
    <w:rsid w:val="0002568B"/>
    <w:rsid w:val="00037AF8"/>
    <w:rsid w:val="00043FA7"/>
    <w:rsid w:val="000511D5"/>
    <w:rsid w:val="00051E47"/>
    <w:rsid w:val="000552E8"/>
    <w:rsid w:val="000556B5"/>
    <w:rsid w:val="00056582"/>
    <w:rsid w:val="00056585"/>
    <w:rsid w:val="0005674F"/>
    <w:rsid w:val="00065C6E"/>
    <w:rsid w:val="00072E6E"/>
    <w:rsid w:val="00073F1B"/>
    <w:rsid w:val="00075B58"/>
    <w:rsid w:val="00081520"/>
    <w:rsid w:val="000843B0"/>
    <w:rsid w:val="000911AD"/>
    <w:rsid w:val="000936B2"/>
    <w:rsid w:val="000945DE"/>
    <w:rsid w:val="000A2C84"/>
    <w:rsid w:val="000A649C"/>
    <w:rsid w:val="000B11DD"/>
    <w:rsid w:val="000B1785"/>
    <w:rsid w:val="000B4564"/>
    <w:rsid w:val="000C390A"/>
    <w:rsid w:val="000C77DD"/>
    <w:rsid w:val="000D0ABA"/>
    <w:rsid w:val="000E295B"/>
    <w:rsid w:val="000E45A0"/>
    <w:rsid w:val="000F5AB4"/>
    <w:rsid w:val="00101CD5"/>
    <w:rsid w:val="00107460"/>
    <w:rsid w:val="00112415"/>
    <w:rsid w:val="001161FA"/>
    <w:rsid w:val="00123F8B"/>
    <w:rsid w:val="0013678D"/>
    <w:rsid w:val="00140A34"/>
    <w:rsid w:val="00143D42"/>
    <w:rsid w:val="00146ED8"/>
    <w:rsid w:val="001629DB"/>
    <w:rsid w:val="00163DAA"/>
    <w:rsid w:val="00167202"/>
    <w:rsid w:val="001828A4"/>
    <w:rsid w:val="001A3BE2"/>
    <w:rsid w:val="001B1CC0"/>
    <w:rsid w:val="001C35E7"/>
    <w:rsid w:val="001C4578"/>
    <w:rsid w:val="001D02E6"/>
    <w:rsid w:val="001F0184"/>
    <w:rsid w:val="001F28A6"/>
    <w:rsid w:val="001F2A16"/>
    <w:rsid w:val="001F6921"/>
    <w:rsid w:val="001F7C3E"/>
    <w:rsid w:val="00201969"/>
    <w:rsid w:val="00203F4F"/>
    <w:rsid w:val="0021222C"/>
    <w:rsid w:val="00213FA5"/>
    <w:rsid w:val="0021496E"/>
    <w:rsid w:val="00222AFB"/>
    <w:rsid w:val="0022474F"/>
    <w:rsid w:val="0023733A"/>
    <w:rsid w:val="0024044F"/>
    <w:rsid w:val="00240CFB"/>
    <w:rsid w:val="00243CBC"/>
    <w:rsid w:val="00245D00"/>
    <w:rsid w:val="00247C26"/>
    <w:rsid w:val="00257F2D"/>
    <w:rsid w:val="00262F9F"/>
    <w:rsid w:val="00266847"/>
    <w:rsid w:val="00266D2D"/>
    <w:rsid w:val="0027331F"/>
    <w:rsid w:val="00281F21"/>
    <w:rsid w:val="00282EEE"/>
    <w:rsid w:val="00285E76"/>
    <w:rsid w:val="0029168D"/>
    <w:rsid w:val="002949C3"/>
    <w:rsid w:val="002A10A4"/>
    <w:rsid w:val="002A26FE"/>
    <w:rsid w:val="002B1423"/>
    <w:rsid w:val="002C3864"/>
    <w:rsid w:val="002E71AC"/>
    <w:rsid w:val="002F1257"/>
    <w:rsid w:val="002F1920"/>
    <w:rsid w:val="002F5FBC"/>
    <w:rsid w:val="00310C61"/>
    <w:rsid w:val="003171B3"/>
    <w:rsid w:val="0032559D"/>
    <w:rsid w:val="00326AF2"/>
    <w:rsid w:val="00331616"/>
    <w:rsid w:val="00332DC9"/>
    <w:rsid w:val="00333567"/>
    <w:rsid w:val="00344575"/>
    <w:rsid w:val="0035113C"/>
    <w:rsid w:val="00354525"/>
    <w:rsid w:val="00354A83"/>
    <w:rsid w:val="0036175E"/>
    <w:rsid w:val="003709AF"/>
    <w:rsid w:val="00374065"/>
    <w:rsid w:val="00374317"/>
    <w:rsid w:val="00374385"/>
    <w:rsid w:val="00377EBA"/>
    <w:rsid w:val="00380CC4"/>
    <w:rsid w:val="00392358"/>
    <w:rsid w:val="003A6E5A"/>
    <w:rsid w:val="003C0686"/>
    <w:rsid w:val="003C326F"/>
    <w:rsid w:val="003D08CF"/>
    <w:rsid w:val="003D0CBA"/>
    <w:rsid w:val="003D0F6A"/>
    <w:rsid w:val="003D4BA8"/>
    <w:rsid w:val="003E0DB8"/>
    <w:rsid w:val="003E4460"/>
    <w:rsid w:val="003E5269"/>
    <w:rsid w:val="004035EB"/>
    <w:rsid w:val="00405394"/>
    <w:rsid w:val="004066E4"/>
    <w:rsid w:val="0040680B"/>
    <w:rsid w:val="00407361"/>
    <w:rsid w:val="00417C55"/>
    <w:rsid w:val="00424A7B"/>
    <w:rsid w:val="00441FB1"/>
    <w:rsid w:val="004447C1"/>
    <w:rsid w:val="00446AA8"/>
    <w:rsid w:val="0045590D"/>
    <w:rsid w:val="00456D9C"/>
    <w:rsid w:val="0046211F"/>
    <w:rsid w:val="0046787B"/>
    <w:rsid w:val="00486653"/>
    <w:rsid w:val="00493CA7"/>
    <w:rsid w:val="004A5FDA"/>
    <w:rsid w:val="004A6EA9"/>
    <w:rsid w:val="004B14D5"/>
    <w:rsid w:val="004B3731"/>
    <w:rsid w:val="004C6827"/>
    <w:rsid w:val="004D098C"/>
    <w:rsid w:val="004D24A9"/>
    <w:rsid w:val="004D41FE"/>
    <w:rsid w:val="004E01BD"/>
    <w:rsid w:val="004E484C"/>
    <w:rsid w:val="004E5357"/>
    <w:rsid w:val="004F3F61"/>
    <w:rsid w:val="004F4A07"/>
    <w:rsid w:val="004F5EB1"/>
    <w:rsid w:val="004F6887"/>
    <w:rsid w:val="005030AD"/>
    <w:rsid w:val="00510FB1"/>
    <w:rsid w:val="0051173A"/>
    <w:rsid w:val="0051249C"/>
    <w:rsid w:val="005176E7"/>
    <w:rsid w:val="00517E6A"/>
    <w:rsid w:val="00520330"/>
    <w:rsid w:val="00520851"/>
    <w:rsid w:val="00524B6B"/>
    <w:rsid w:val="00526403"/>
    <w:rsid w:val="005413EE"/>
    <w:rsid w:val="00543FBA"/>
    <w:rsid w:val="00554B5E"/>
    <w:rsid w:val="0055520C"/>
    <w:rsid w:val="00556DED"/>
    <w:rsid w:val="00570B39"/>
    <w:rsid w:val="0058094B"/>
    <w:rsid w:val="00587443"/>
    <w:rsid w:val="00587C50"/>
    <w:rsid w:val="005917F3"/>
    <w:rsid w:val="00593DB8"/>
    <w:rsid w:val="005A3738"/>
    <w:rsid w:val="005B0ACD"/>
    <w:rsid w:val="005B50A2"/>
    <w:rsid w:val="005C0351"/>
    <w:rsid w:val="005C3408"/>
    <w:rsid w:val="005C3D6F"/>
    <w:rsid w:val="005C4B9F"/>
    <w:rsid w:val="005C71B3"/>
    <w:rsid w:val="005D611B"/>
    <w:rsid w:val="005E6996"/>
    <w:rsid w:val="005F1ACE"/>
    <w:rsid w:val="005F256D"/>
    <w:rsid w:val="0060183A"/>
    <w:rsid w:val="00603110"/>
    <w:rsid w:val="00611C8E"/>
    <w:rsid w:val="006136EE"/>
    <w:rsid w:val="006149B3"/>
    <w:rsid w:val="00617DB5"/>
    <w:rsid w:val="00624954"/>
    <w:rsid w:val="006302F7"/>
    <w:rsid w:val="00631F30"/>
    <w:rsid w:val="00640CC2"/>
    <w:rsid w:val="006420B2"/>
    <w:rsid w:val="00642420"/>
    <w:rsid w:val="0064524B"/>
    <w:rsid w:val="00646158"/>
    <w:rsid w:val="006513F4"/>
    <w:rsid w:val="006616EC"/>
    <w:rsid w:val="0066622C"/>
    <w:rsid w:val="00666487"/>
    <w:rsid w:val="006677E2"/>
    <w:rsid w:val="00673B37"/>
    <w:rsid w:val="0068054E"/>
    <w:rsid w:val="006945EA"/>
    <w:rsid w:val="00696BC5"/>
    <w:rsid w:val="006A3D5E"/>
    <w:rsid w:val="006A6FCF"/>
    <w:rsid w:val="006B5470"/>
    <w:rsid w:val="006D0138"/>
    <w:rsid w:val="006D6F52"/>
    <w:rsid w:val="006F19F1"/>
    <w:rsid w:val="006F3C17"/>
    <w:rsid w:val="00701718"/>
    <w:rsid w:val="00710359"/>
    <w:rsid w:val="00712FFF"/>
    <w:rsid w:val="00715953"/>
    <w:rsid w:val="00722DBF"/>
    <w:rsid w:val="00731617"/>
    <w:rsid w:val="007334F4"/>
    <w:rsid w:val="00735157"/>
    <w:rsid w:val="0074165A"/>
    <w:rsid w:val="0076271C"/>
    <w:rsid w:val="00763415"/>
    <w:rsid w:val="0076352D"/>
    <w:rsid w:val="00767CE8"/>
    <w:rsid w:val="00775490"/>
    <w:rsid w:val="0078015C"/>
    <w:rsid w:val="0078583D"/>
    <w:rsid w:val="00792972"/>
    <w:rsid w:val="00795D0C"/>
    <w:rsid w:val="00797F42"/>
    <w:rsid w:val="007A055D"/>
    <w:rsid w:val="007A55BA"/>
    <w:rsid w:val="007B3CE4"/>
    <w:rsid w:val="007C1FBD"/>
    <w:rsid w:val="007C54B3"/>
    <w:rsid w:val="007C5C8E"/>
    <w:rsid w:val="007E0A01"/>
    <w:rsid w:val="007E22F5"/>
    <w:rsid w:val="007F25F3"/>
    <w:rsid w:val="007F4901"/>
    <w:rsid w:val="00810205"/>
    <w:rsid w:val="00820351"/>
    <w:rsid w:val="00825357"/>
    <w:rsid w:val="00826DEB"/>
    <w:rsid w:val="00832A78"/>
    <w:rsid w:val="00836B02"/>
    <w:rsid w:val="008431BC"/>
    <w:rsid w:val="008467D4"/>
    <w:rsid w:val="00850FB0"/>
    <w:rsid w:val="00851E1F"/>
    <w:rsid w:val="0085238E"/>
    <w:rsid w:val="00853428"/>
    <w:rsid w:val="008540EA"/>
    <w:rsid w:val="008575FD"/>
    <w:rsid w:val="00863B76"/>
    <w:rsid w:val="00866A00"/>
    <w:rsid w:val="008702A6"/>
    <w:rsid w:val="008757CE"/>
    <w:rsid w:val="00882FDF"/>
    <w:rsid w:val="0088392C"/>
    <w:rsid w:val="00896995"/>
    <w:rsid w:val="00897C0E"/>
    <w:rsid w:val="00897E31"/>
    <w:rsid w:val="008A046F"/>
    <w:rsid w:val="008A405A"/>
    <w:rsid w:val="008A4E02"/>
    <w:rsid w:val="008A6A6A"/>
    <w:rsid w:val="008B650A"/>
    <w:rsid w:val="008B787C"/>
    <w:rsid w:val="008C3871"/>
    <w:rsid w:val="008C3898"/>
    <w:rsid w:val="008C66CC"/>
    <w:rsid w:val="008E56B2"/>
    <w:rsid w:val="008E7EBB"/>
    <w:rsid w:val="008F483C"/>
    <w:rsid w:val="00910595"/>
    <w:rsid w:val="00910756"/>
    <w:rsid w:val="00912D61"/>
    <w:rsid w:val="00926A89"/>
    <w:rsid w:val="009322D7"/>
    <w:rsid w:val="00932BDE"/>
    <w:rsid w:val="009371D0"/>
    <w:rsid w:val="00946EA1"/>
    <w:rsid w:val="00967725"/>
    <w:rsid w:val="00973820"/>
    <w:rsid w:val="0098195F"/>
    <w:rsid w:val="009902F8"/>
    <w:rsid w:val="00993BB8"/>
    <w:rsid w:val="0099555F"/>
    <w:rsid w:val="009A22A1"/>
    <w:rsid w:val="009B3A1B"/>
    <w:rsid w:val="009B6332"/>
    <w:rsid w:val="009C0912"/>
    <w:rsid w:val="009C0AA6"/>
    <w:rsid w:val="009C2787"/>
    <w:rsid w:val="009C7443"/>
    <w:rsid w:val="009D6694"/>
    <w:rsid w:val="009E3A2E"/>
    <w:rsid w:val="009F0300"/>
    <w:rsid w:val="00A1266F"/>
    <w:rsid w:val="00A167A8"/>
    <w:rsid w:val="00A16B64"/>
    <w:rsid w:val="00A21F0A"/>
    <w:rsid w:val="00A26011"/>
    <w:rsid w:val="00A3158C"/>
    <w:rsid w:val="00A373A9"/>
    <w:rsid w:val="00A42359"/>
    <w:rsid w:val="00A46CF8"/>
    <w:rsid w:val="00A46E37"/>
    <w:rsid w:val="00A506C2"/>
    <w:rsid w:val="00A62886"/>
    <w:rsid w:val="00A74C38"/>
    <w:rsid w:val="00A77D24"/>
    <w:rsid w:val="00A81F6C"/>
    <w:rsid w:val="00A8572F"/>
    <w:rsid w:val="00A93E07"/>
    <w:rsid w:val="00A979CF"/>
    <w:rsid w:val="00AA4DF8"/>
    <w:rsid w:val="00AA7ED7"/>
    <w:rsid w:val="00AB780C"/>
    <w:rsid w:val="00AC2448"/>
    <w:rsid w:val="00AC625B"/>
    <w:rsid w:val="00AD0B0B"/>
    <w:rsid w:val="00AD5ADE"/>
    <w:rsid w:val="00AD624E"/>
    <w:rsid w:val="00AE7138"/>
    <w:rsid w:val="00AE71C7"/>
    <w:rsid w:val="00AF4CAF"/>
    <w:rsid w:val="00B117BA"/>
    <w:rsid w:val="00B13C00"/>
    <w:rsid w:val="00B15F23"/>
    <w:rsid w:val="00B16508"/>
    <w:rsid w:val="00B20D87"/>
    <w:rsid w:val="00B22615"/>
    <w:rsid w:val="00B228B1"/>
    <w:rsid w:val="00B24053"/>
    <w:rsid w:val="00B31550"/>
    <w:rsid w:val="00B37C1B"/>
    <w:rsid w:val="00B55616"/>
    <w:rsid w:val="00B578AC"/>
    <w:rsid w:val="00B62F06"/>
    <w:rsid w:val="00B63B68"/>
    <w:rsid w:val="00B6433F"/>
    <w:rsid w:val="00B64CF5"/>
    <w:rsid w:val="00B76C9B"/>
    <w:rsid w:val="00B823A1"/>
    <w:rsid w:val="00B840BA"/>
    <w:rsid w:val="00B8428B"/>
    <w:rsid w:val="00BA1530"/>
    <w:rsid w:val="00BA3B5D"/>
    <w:rsid w:val="00BA41F5"/>
    <w:rsid w:val="00BB3C9C"/>
    <w:rsid w:val="00BC08F6"/>
    <w:rsid w:val="00BC5D0D"/>
    <w:rsid w:val="00BC6BB0"/>
    <w:rsid w:val="00BE435D"/>
    <w:rsid w:val="00BF4822"/>
    <w:rsid w:val="00C00C8E"/>
    <w:rsid w:val="00C01D22"/>
    <w:rsid w:val="00C104B6"/>
    <w:rsid w:val="00C10F02"/>
    <w:rsid w:val="00C114F4"/>
    <w:rsid w:val="00C11D03"/>
    <w:rsid w:val="00C30DA0"/>
    <w:rsid w:val="00C31967"/>
    <w:rsid w:val="00C34164"/>
    <w:rsid w:val="00C34C96"/>
    <w:rsid w:val="00C371DE"/>
    <w:rsid w:val="00C409AE"/>
    <w:rsid w:val="00C4143E"/>
    <w:rsid w:val="00C42D50"/>
    <w:rsid w:val="00C43547"/>
    <w:rsid w:val="00C45033"/>
    <w:rsid w:val="00C54DF8"/>
    <w:rsid w:val="00C60B49"/>
    <w:rsid w:val="00C64D4A"/>
    <w:rsid w:val="00C706B5"/>
    <w:rsid w:val="00C7440A"/>
    <w:rsid w:val="00C7640E"/>
    <w:rsid w:val="00C85F24"/>
    <w:rsid w:val="00C865ED"/>
    <w:rsid w:val="00C8775A"/>
    <w:rsid w:val="00CA0877"/>
    <w:rsid w:val="00CA6B59"/>
    <w:rsid w:val="00CB3B6C"/>
    <w:rsid w:val="00CB75F1"/>
    <w:rsid w:val="00CC1833"/>
    <w:rsid w:val="00CC189F"/>
    <w:rsid w:val="00CC3368"/>
    <w:rsid w:val="00CF0697"/>
    <w:rsid w:val="00CF19C4"/>
    <w:rsid w:val="00CF2B0A"/>
    <w:rsid w:val="00D0604C"/>
    <w:rsid w:val="00D13C04"/>
    <w:rsid w:val="00D20A78"/>
    <w:rsid w:val="00D21057"/>
    <w:rsid w:val="00D2220D"/>
    <w:rsid w:val="00D278BA"/>
    <w:rsid w:val="00D31F5B"/>
    <w:rsid w:val="00D40454"/>
    <w:rsid w:val="00D4059C"/>
    <w:rsid w:val="00D51C3B"/>
    <w:rsid w:val="00D53D8F"/>
    <w:rsid w:val="00D61C76"/>
    <w:rsid w:val="00D77015"/>
    <w:rsid w:val="00D8190F"/>
    <w:rsid w:val="00D92B48"/>
    <w:rsid w:val="00D96EBE"/>
    <w:rsid w:val="00DA73D0"/>
    <w:rsid w:val="00DB1693"/>
    <w:rsid w:val="00DD5B07"/>
    <w:rsid w:val="00DD7E01"/>
    <w:rsid w:val="00DE6821"/>
    <w:rsid w:val="00DF2022"/>
    <w:rsid w:val="00DF34BE"/>
    <w:rsid w:val="00DF5D59"/>
    <w:rsid w:val="00E10B37"/>
    <w:rsid w:val="00E239E4"/>
    <w:rsid w:val="00E24BE2"/>
    <w:rsid w:val="00E36A38"/>
    <w:rsid w:val="00E4267A"/>
    <w:rsid w:val="00E44F0C"/>
    <w:rsid w:val="00E53399"/>
    <w:rsid w:val="00E604EE"/>
    <w:rsid w:val="00E61CAB"/>
    <w:rsid w:val="00E61DDD"/>
    <w:rsid w:val="00E72C13"/>
    <w:rsid w:val="00E774D3"/>
    <w:rsid w:val="00E77995"/>
    <w:rsid w:val="00E87099"/>
    <w:rsid w:val="00E962F2"/>
    <w:rsid w:val="00EA28E6"/>
    <w:rsid w:val="00EC293E"/>
    <w:rsid w:val="00EC6410"/>
    <w:rsid w:val="00ED4E58"/>
    <w:rsid w:val="00EE763A"/>
    <w:rsid w:val="00EF0FAF"/>
    <w:rsid w:val="00EF78C4"/>
    <w:rsid w:val="00F00C31"/>
    <w:rsid w:val="00F04CD7"/>
    <w:rsid w:val="00F23E15"/>
    <w:rsid w:val="00F244A2"/>
    <w:rsid w:val="00F35064"/>
    <w:rsid w:val="00F374D8"/>
    <w:rsid w:val="00F52E91"/>
    <w:rsid w:val="00F539FB"/>
    <w:rsid w:val="00F54C30"/>
    <w:rsid w:val="00F5684D"/>
    <w:rsid w:val="00F57AB6"/>
    <w:rsid w:val="00F6480F"/>
    <w:rsid w:val="00F64868"/>
    <w:rsid w:val="00F70C2E"/>
    <w:rsid w:val="00F84DF2"/>
    <w:rsid w:val="00F86713"/>
    <w:rsid w:val="00F932E0"/>
    <w:rsid w:val="00F9372C"/>
    <w:rsid w:val="00F946B9"/>
    <w:rsid w:val="00FA3119"/>
    <w:rsid w:val="00FB6434"/>
    <w:rsid w:val="00FB7701"/>
    <w:rsid w:val="00FC40F0"/>
    <w:rsid w:val="00FC6D3B"/>
    <w:rsid w:val="00FD0129"/>
    <w:rsid w:val="00FD37BA"/>
    <w:rsid w:val="00FE13D6"/>
    <w:rsid w:val="00FE17ED"/>
    <w:rsid w:val="00FE74D8"/>
    <w:rsid w:val="00FF4315"/>
    <w:rsid w:val="00FF5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640CC2"/>
  </w:style>
  <w:style w:type="character" w:styleId="UnresolvedMention">
    <w:name w:val="Unresolved Mention"/>
    <w:basedOn w:val="DefaultParagraphFont"/>
    <w:uiPriority w:val="99"/>
    <w:semiHidden/>
    <w:unhideWhenUsed/>
    <w:rsid w:val="00B228B1"/>
    <w:rPr>
      <w:color w:val="605E5C"/>
      <w:shd w:val="clear" w:color="auto" w:fill="E1DFDD"/>
    </w:rPr>
  </w:style>
  <w:style w:type="paragraph" w:styleId="Revision">
    <w:name w:val="Revision"/>
    <w:hidden/>
    <w:uiPriority w:val="99"/>
    <w:semiHidden/>
    <w:rsid w:val="006F3C17"/>
    <w:rPr>
      <w:sz w:val="24"/>
    </w:rPr>
  </w:style>
  <w:style w:type="character" w:styleId="FollowedHyperlink">
    <w:name w:val="FollowedHyperlink"/>
    <w:basedOn w:val="DefaultParagraphFont"/>
    <w:semiHidden/>
    <w:unhideWhenUsed/>
    <w:rsid w:val="006616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393154">
      <w:bodyDiv w:val="1"/>
      <w:marLeft w:val="0"/>
      <w:marRight w:val="0"/>
      <w:marTop w:val="0"/>
      <w:marBottom w:val="0"/>
      <w:divBdr>
        <w:top w:val="none" w:sz="0" w:space="0" w:color="auto"/>
        <w:left w:val="none" w:sz="0" w:space="0" w:color="auto"/>
        <w:bottom w:val="none" w:sz="0" w:space="0" w:color="auto"/>
        <w:right w:val="none" w:sz="0" w:space="0" w:color="auto"/>
      </w:divBdr>
    </w:div>
    <w:div w:id="379061512">
      <w:bodyDiv w:val="1"/>
      <w:marLeft w:val="0"/>
      <w:marRight w:val="0"/>
      <w:marTop w:val="0"/>
      <w:marBottom w:val="0"/>
      <w:divBdr>
        <w:top w:val="none" w:sz="0" w:space="0" w:color="auto"/>
        <w:left w:val="none" w:sz="0" w:space="0" w:color="auto"/>
        <w:bottom w:val="none" w:sz="0" w:space="0" w:color="auto"/>
        <w:right w:val="none" w:sz="0" w:space="0" w:color="auto"/>
      </w:divBdr>
    </w:div>
    <w:div w:id="712583043">
      <w:bodyDiv w:val="1"/>
      <w:marLeft w:val="0"/>
      <w:marRight w:val="0"/>
      <w:marTop w:val="0"/>
      <w:marBottom w:val="0"/>
      <w:divBdr>
        <w:top w:val="none" w:sz="0" w:space="0" w:color="auto"/>
        <w:left w:val="none" w:sz="0" w:space="0" w:color="auto"/>
        <w:bottom w:val="none" w:sz="0" w:space="0" w:color="auto"/>
        <w:right w:val="none" w:sz="0" w:space="0" w:color="auto"/>
      </w:divBdr>
    </w:div>
    <w:div w:id="786966286">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09139566">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967856505">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gov.au/sites/default/files/files/national-cabinet-mandatory-code-ofconduct-sme-commercial-leasing-principl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9566-618E-472A-9929-C62D2E89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2022-03-01T02:27:00Z</dcterms:created>
  <dcterms:modified xsi:type="dcterms:W3CDTF">2022-03-01T02:27:00Z</dcterms:modified>
</cp:coreProperties>
</file>