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8B509" w14:textId="30212939" w:rsidR="000347F4" w:rsidRPr="005D1FA7" w:rsidRDefault="000347F4" w:rsidP="00F12990">
      <w:pPr>
        <w:pStyle w:val="PlainParagraph"/>
        <w:spacing w:beforeLines="140" w:before="336" w:afterLines="140" w:after="336"/>
        <w:jc w:val="center"/>
        <w:rPr>
          <w:b/>
        </w:rPr>
      </w:pPr>
      <w:bookmarkStart w:id="0" w:name="_Toc425761608"/>
      <w:bookmarkStart w:id="1" w:name="_Toc425866783"/>
      <w:r w:rsidRPr="005D1FA7">
        <w:rPr>
          <w:b/>
        </w:rPr>
        <w:t>EXPLANATORY STATEMENT</w:t>
      </w:r>
      <w:bookmarkEnd w:id="0"/>
      <w:bookmarkEnd w:id="1"/>
    </w:p>
    <w:p w14:paraId="63A5DB61" w14:textId="77777777" w:rsidR="000347F4" w:rsidRPr="005D1FA7" w:rsidRDefault="000347F4" w:rsidP="00F12990">
      <w:pPr>
        <w:pStyle w:val="PlainParagraph"/>
        <w:spacing w:beforeLines="140" w:before="336" w:afterLines="140" w:after="336"/>
        <w:jc w:val="center"/>
      </w:pPr>
      <w:r w:rsidRPr="005D1FA7">
        <w:t xml:space="preserve">Issued by the authority of the Minister for </w:t>
      </w:r>
      <w:r w:rsidR="00973999" w:rsidRPr="005D1FA7">
        <w:t>Home Affairs</w:t>
      </w:r>
    </w:p>
    <w:p w14:paraId="6CDE1285" w14:textId="11BC2DD8" w:rsidR="000347F4" w:rsidRPr="00F12990" w:rsidRDefault="000347F4" w:rsidP="00F12990">
      <w:pPr>
        <w:pStyle w:val="PlainParagraph"/>
        <w:spacing w:beforeLines="140" w:before="336" w:afterLines="140" w:after="336"/>
        <w:jc w:val="center"/>
        <w:rPr>
          <w:i/>
        </w:rPr>
      </w:pPr>
      <w:r w:rsidRPr="00F12990">
        <w:rPr>
          <w:i/>
        </w:rPr>
        <w:t>Australian Transaction Reports and Analysis Centre Industry Contribution Act 2011</w:t>
      </w:r>
      <w:r w:rsidRPr="00F12990">
        <w:rPr>
          <w:i/>
        </w:rPr>
        <w:br/>
        <w:t xml:space="preserve">Australian Transaction Reports and Analysis Centre Industry Contribution Determination </w:t>
      </w:r>
      <w:r w:rsidR="00252BD7" w:rsidRPr="00F12990">
        <w:rPr>
          <w:i/>
        </w:rPr>
        <w:t>20</w:t>
      </w:r>
      <w:r w:rsidR="00252BD7">
        <w:rPr>
          <w:i/>
        </w:rPr>
        <w:t>2</w:t>
      </w:r>
      <w:r w:rsidR="00AE151F">
        <w:rPr>
          <w:i/>
        </w:rPr>
        <w:t>2</w:t>
      </w:r>
      <w:r w:rsidR="00252BD7">
        <w:rPr>
          <w:i/>
        </w:rPr>
        <w:t xml:space="preserve"> </w:t>
      </w:r>
      <w:r w:rsidRPr="00F12990">
        <w:rPr>
          <w:i/>
        </w:rPr>
        <w:t>(No. 1)</w:t>
      </w:r>
    </w:p>
    <w:p w14:paraId="1E7962F1" w14:textId="77777777"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2" w:name="_Toc425761609"/>
      <w:bookmarkStart w:id="3" w:name="_Toc425866784"/>
      <w:r w:rsidRPr="00F12990">
        <w:rPr>
          <w:rFonts w:cs="Arial"/>
          <w:b/>
          <w:color w:val="000000" w:themeColor="text1"/>
          <w:sz w:val="22"/>
        </w:rPr>
        <w:t>OUTLINE</w:t>
      </w:r>
      <w:bookmarkEnd w:id="2"/>
      <w:bookmarkEnd w:id="3"/>
    </w:p>
    <w:p w14:paraId="31D57D4F" w14:textId="511BB2E7" w:rsidR="000347F4" w:rsidRPr="00F12990" w:rsidRDefault="000347F4" w:rsidP="00F12990">
      <w:pPr>
        <w:pStyle w:val="PlainParagraph"/>
        <w:spacing w:beforeLines="140" w:before="336" w:afterLines="140" w:after="336"/>
      </w:pPr>
      <w:r w:rsidRPr="00F12990">
        <w:t xml:space="preserve">The Determination is made by the Minister for </w:t>
      </w:r>
      <w:r w:rsidR="00973999">
        <w:t>Home Affairs</w:t>
      </w:r>
      <w:r w:rsidRPr="00F12990">
        <w:t xml:space="preserve"> under subsection 9(1) of the </w:t>
      </w:r>
      <w:r w:rsidRPr="00F12990">
        <w:rPr>
          <w:i/>
        </w:rPr>
        <w:t>Australian Transaction Reports and Analysis Centre Industry Contribution Act 2011</w:t>
      </w:r>
      <w:r w:rsidRPr="00F12990">
        <w:t xml:space="preserve"> (Industry Contribution Act) for the financial year 1 July </w:t>
      </w:r>
      <w:r w:rsidR="00252BD7" w:rsidRPr="00F12990">
        <w:t>20</w:t>
      </w:r>
      <w:r w:rsidR="00252BD7">
        <w:t>2</w:t>
      </w:r>
      <w:r w:rsidR="002F0426">
        <w:t>1</w:t>
      </w:r>
      <w:r w:rsidR="00252BD7" w:rsidRPr="00F12990">
        <w:t xml:space="preserve"> </w:t>
      </w:r>
      <w:r w:rsidRPr="00F12990">
        <w:t>to 30 June 20</w:t>
      </w:r>
      <w:r w:rsidR="009E4F38">
        <w:t>2</w:t>
      </w:r>
      <w:r w:rsidR="002F0426">
        <w:t xml:space="preserve">2 </w:t>
      </w:r>
      <w:r w:rsidRPr="00F12990">
        <w:t>(</w:t>
      </w:r>
      <w:r w:rsidR="00252BD7" w:rsidRPr="00F12990">
        <w:t>20</w:t>
      </w:r>
      <w:r w:rsidR="00252BD7">
        <w:t>2</w:t>
      </w:r>
      <w:r w:rsidR="002F0426">
        <w:t>1</w:t>
      </w:r>
      <w:r w:rsidRPr="00F12990">
        <w:t>–</w:t>
      </w:r>
      <w:r w:rsidR="00252BD7">
        <w:t>2</w:t>
      </w:r>
      <w:r w:rsidR="002F0426">
        <w:t>2</w:t>
      </w:r>
      <w:r w:rsidRPr="00F12990">
        <w:t>).</w:t>
      </w:r>
    </w:p>
    <w:p w14:paraId="66351DA8" w14:textId="07AA872E"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Section 8 of the Industry Contribution Act imposes a levy on certain entities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regulated and supervised by the Australian Transaction Reports and Analysis Centre (AUSTRAC). The purpose of the levy is to recover the costs of the performance of AUSTRAC’s regulatory and intelligence functions. It is intended that the levy will recover 100% of those costs (including depreciation) in </w:t>
      </w:r>
      <w:r w:rsidR="00252BD7" w:rsidRPr="00F12990">
        <w:rPr>
          <w:rFonts w:cs="Arial"/>
          <w:color w:val="000000" w:themeColor="text1"/>
          <w:sz w:val="22"/>
        </w:rPr>
        <w:t>20</w:t>
      </w:r>
      <w:r w:rsidR="00252BD7">
        <w:rPr>
          <w:rFonts w:cs="Arial"/>
          <w:color w:val="000000" w:themeColor="text1"/>
          <w:sz w:val="22"/>
        </w:rPr>
        <w:t>2</w:t>
      </w:r>
      <w:r w:rsidR="002F0426">
        <w:rPr>
          <w:rFonts w:cs="Arial"/>
          <w:color w:val="000000" w:themeColor="text1"/>
          <w:sz w:val="22"/>
        </w:rPr>
        <w:t>1</w:t>
      </w:r>
      <w:r w:rsidRPr="00F12990">
        <w:rPr>
          <w:rFonts w:cs="Arial"/>
          <w:color w:val="000000" w:themeColor="text1"/>
          <w:sz w:val="22"/>
        </w:rPr>
        <w:t>–</w:t>
      </w:r>
      <w:r w:rsidR="00252BD7">
        <w:rPr>
          <w:rFonts w:cs="Arial"/>
          <w:color w:val="000000" w:themeColor="text1"/>
          <w:sz w:val="22"/>
        </w:rPr>
        <w:t>2</w:t>
      </w:r>
      <w:r w:rsidR="002F0426">
        <w:rPr>
          <w:rFonts w:cs="Arial"/>
          <w:color w:val="000000" w:themeColor="text1"/>
          <w:sz w:val="22"/>
        </w:rPr>
        <w:t>2</w:t>
      </w:r>
      <w:r w:rsidRPr="00F12990">
        <w:rPr>
          <w:rFonts w:cs="Arial"/>
          <w:color w:val="000000" w:themeColor="text1"/>
          <w:sz w:val="22"/>
        </w:rPr>
        <w:t>.</w:t>
      </w:r>
    </w:p>
    <w:p w14:paraId="1EBFADB2" w14:textId="4D72470F"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Section 7 of the </w:t>
      </w:r>
      <w:r w:rsidRPr="00F12990">
        <w:rPr>
          <w:rFonts w:cs="Arial"/>
          <w:i/>
          <w:color w:val="000000" w:themeColor="text1"/>
          <w:sz w:val="22"/>
        </w:rPr>
        <w:t>Australian Transaction Reports and Analysis Centre Industry Contribution (Collection) Act 2011</w:t>
      </w:r>
      <w:r w:rsidRPr="00F12990">
        <w:rPr>
          <w:rFonts w:cs="Arial"/>
          <w:color w:val="000000" w:themeColor="text1"/>
          <w:sz w:val="22"/>
        </w:rPr>
        <w:t xml:space="preserve"> provides that the levy is payable in instalments.  The amount of each instalment is dealt with in section 9 of the Industry Contribution Act. The purpose of making the levy payable in instalments is to enable more than one instalment to be made payable in a single financial year, if this is necessary to recover AUSTRAC’s costs. For the </w:t>
      </w:r>
      <w:r w:rsidR="00252BD7" w:rsidRPr="00F12990">
        <w:rPr>
          <w:rFonts w:cs="Arial"/>
          <w:color w:val="000000" w:themeColor="text1"/>
          <w:sz w:val="22"/>
        </w:rPr>
        <w:t>20</w:t>
      </w:r>
      <w:r w:rsidR="00252BD7">
        <w:rPr>
          <w:rFonts w:cs="Arial"/>
          <w:color w:val="000000" w:themeColor="text1"/>
          <w:sz w:val="22"/>
        </w:rPr>
        <w:t>2</w:t>
      </w:r>
      <w:r w:rsidR="002F0426">
        <w:rPr>
          <w:rFonts w:cs="Arial"/>
          <w:color w:val="000000" w:themeColor="text1"/>
          <w:sz w:val="22"/>
        </w:rPr>
        <w:t>1</w:t>
      </w:r>
      <w:r w:rsidRPr="00F12990">
        <w:rPr>
          <w:rFonts w:cs="Arial"/>
          <w:color w:val="000000" w:themeColor="text1"/>
          <w:sz w:val="22"/>
        </w:rPr>
        <w:t>–</w:t>
      </w:r>
      <w:r w:rsidR="00252BD7">
        <w:rPr>
          <w:rFonts w:cs="Arial"/>
          <w:color w:val="000000" w:themeColor="text1"/>
          <w:sz w:val="22"/>
        </w:rPr>
        <w:t>2</w:t>
      </w:r>
      <w:r w:rsidR="002F0426">
        <w:rPr>
          <w:rFonts w:cs="Arial"/>
          <w:color w:val="000000" w:themeColor="text1"/>
          <w:sz w:val="22"/>
        </w:rPr>
        <w:t>2</w:t>
      </w:r>
      <w:r w:rsidR="00252BD7" w:rsidRPr="00F12990">
        <w:rPr>
          <w:rFonts w:cs="Arial"/>
          <w:color w:val="000000" w:themeColor="text1"/>
          <w:sz w:val="22"/>
        </w:rPr>
        <w:t xml:space="preserve"> </w:t>
      </w:r>
      <w:r w:rsidRPr="00F12990">
        <w:rPr>
          <w:rFonts w:cs="Arial"/>
          <w:color w:val="000000" w:themeColor="text1"/>
          <w:sz w:val="22"/>
        </w:rPr>
        <w:t>financial year, only one instalment of levy will be payable.</w:t>
      </w:r>
    </w:p>
    <w:p w14:paraId="3A773C36"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Subsection 9(1) of the Industry Contribution Act provides for the Minister, by legislative instrument, to determine the amount of an instalment of levy payable by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for a financial year. Paragraph 9(2</w:t>
      </w:r>
      <w:proofErr w:type="gramStart"/>
      <w:r w:rsidRPr="00F12990">
        <w:rPr>
          <w:rFonts w:cs="Arial"/>
          <w:color w:val="000000" w:themeColor="text1"/>
          <w:sz w:val="22"/>
        </w:rPr>
        <w:t>)(</w:t>
      </w:r>
      <w:proofErr w:type="gramEnd"/>
      <w:r w:rsidRPr="00F12990">
        <w:rPr>
          <w:rFonts w:cs="Arial"/>
          <w:color w:val="000000" w:themeColor="text1"/>
          <w:sz w:val="22"/>
        </w:rPr>
        <w:t>a) requires the Minister to make at least one determination under subsection (1) for each financial year. Paragraph 9(2</w:t>
      </w:r>
      <w:proofErr w:type="gramStart"/>
      <w:r w:rsidRPr="00F12990">
        <w:rPr>
          <w:rFonts w:cs="Arial"/>
          <w:color w:val="000000" w:themeColor="text1"/>
          <w:sz w:val="22"/>
        </w:rPr>
        <w:t>)(</w:t>
      </w:r>
      <w:proofErr w:type="gramEnd"/>
      <w:r w:rsidRPr="00F12990">
        <w:rPr>
          <w:rFonts w:cs="Arial"/>
          <w:color w:val="000000" w:themeColor="text1"/>
          <w:sz w:val="22"/>
        </w:rPr>
        <w:t xml:space="preserve">b) puts a cap, called the ‘statutory limit’, on the sum of all amounts of all instalments of levy payable by all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for a financial year. The term ‘statutory limit’ is defined by subsection 7(1) of the Industry Contribution Act to mean, in relation to a financial year, ‘the amount that is 2 times the sum of all amounts appropriated by the Parliament for the purposes of AUSTRAC for the financial year’.</w:t>
      </w:r>
    </w:p>
    <w:p w14:paraId="0B4DC673" w14:textId="6C7A271C" w:rsidR="000347F4" w:rsidRPr="00F12990" w:rsidRDefault="000347F4" w:rsidP="00F12990">
      <w:pPr>
        <w:spacing w:beforeLines="140" w:before="336" w:afterLines="140" w:after="336" w:line="280" w:lineRule="atLeast"/>
        <w:rPr>
          <w:rFonts w:cs="Arial"/>
          <w:color w:val="000000" w:themeColor="text1"/>
          <w:sz w:val="22"/>
          <w:highlight w:val="yellow"/>
        </w:rPr>
      </w:pPr>
      <w:r w:rsidRPr="00F12990">
        <w:rPr>
          <w:rFonts w:cs="Arial"/>
          <w:color w:val="000000" w:themeColor="text1"/>
          <w:sz w:val="22"/>
        </w:rPr>
        <w:t>The Determination determines the amount of the instalment of levy for 20</w:t>
      </w:r>
      <w:r w:rsidR="00252BD7">
        <w:rPr>
          <w:rFonts w:cs="Arial"/>
          <w:color w:val="000000" w:themeColor="text1"/>
          <w:sz w:val="22"/>
        </w:rPr>
        <w:t>2</w:t>
      </w:r>
      <w:r w:rsidR="002F0426">
        <w:rPr>
          <w:rFonts w:cs="Arial"/>
          <w:color w:val="000000" w:themeColor="text1"/>
          <w:sz w:val="22"/>
        </w:rPr>
        <w:t>1</w:t>
      </w:r>
      <w:r w:rsidRPr="00F12990">
        <w:rPr>
          <w:rFonts w:cs="Arial"/>
          <w:color w:val="000000" w:themeColor="text1"/>
          <w:sz w:val="22"/>
        </w:rPr>
        <w:t>–</w:t>
      </w:r>
      <w:r w:rsidR="00252BD7">
        <w:rPr>
          <w:rFonts w:cs="Arial"/>
          <w:color w:val="000000" w:themeColor="text1"/>
          <w:sz w:val="22"/>
        </w:rPr>
        <w:t>2</w:t>
      </w:r>
      <w:r w:rsidR="002F0426">
        <w:rPr>
          <w:rFonts w:cs="Arial"/>
          <w:color w:val="000000" w:themeColor="text1"/>
          <w:sz w:val="22"/>
        </w:rPr>
        <w:t>2</w:t>
      </w:r>
      <w:r w:rsidRPr="00F12990">
        <w:rPr>
          <w:rFonts w:cs="Arial"/>
          <w:color w:val="000000" w:themeColor="text1"/>
          <w:sz w:val="22"/>
        </w:rPr>
        <w:t>.</w:t>
      </w:r>
    </w:p>
    <w:p w14:paraId="41C2F3A8"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lastRenderedPageBreak/>
        <w:t>Subsection 9(3) of the Industry Contribution Act provides that a determination made for the purposes of subsection 9(1) may do one or more of the following:</w:t>
      </w:r>
    </w:p>
    <w:p w14:paraId="6F0A519D" w14:textId="77777777" w:rsidR="000347F4" w:rsidRPr="00F12990" w:rsidRDefault="000347F4" w:rsidP="005D1FA7">
      <w:pPr>
        <w:pStyle w:val="ListParagraph"/>
        <w:numPr>
          <w:ilvl w:val="0"/>
          <w:numId w:val="3"/>
        </w:numPr>
        <w:tabs>
          <w:tab w:val="num" w:pos="426"/>
        </w:tabs>
        <w:spacing w:beforeLines="140" w:before="336" w:afterLines="140" w:after="336" w:line="280" w:lineRule="atLeast"/>
        <w:ind w:left="426" w:firstLine="0"/>
        <w:rPr>
          <w:rFonts w:cs="Arial"/>
          <w:color w:val="000000" w:themeColor="text1"/>
          <w:sz w:val="22"/>
        </w:rPr>
      </w:pPr>
      <w:r w:rsidRPr="00F12990">
        <w:rPr>
          <w:rFonts w:cs="Arial"/>
          <w:color w:val="000000" w:themeColor="text1"/>
          <w:sz w:val="22"/>
        </w:rPr>
        <w:t>specify an amount or a method for determining an amount;</w:t>
      </w:r>
    </w:p>
    <w:p w14:paraId="79E9EF37" w14:textId="77777777" w:rsidR="000347F4" w:rsidRPr="00F12990" w:rsidRDefault="000347F4" w:rsidP="00CC6F57">
      <w:pPr>
        <w:pStyle w:val="ListParagraph"/>
        <w:numPr>
          <w:ilvl w:val="0"/>
          <w:numId w:val="3"/>
        </w:numPr>
        <w:tabs>
          <w:tab w:val="num" w:pos="425"/>
        </w:tabs>
        <w:spacing w:beforeLines="140" w:before="336" w:afterLines="140" w:after="336" w:line="280" w:lineRule="atLeast"/>
        <w:ind w:left="426" w:firstLine="0"/>
        <w:rPr>
          <w:rFonts w:cs="Arial"/>
          <w:color w:val="000000" w:themeColor="text1"/>
          <w:sz w:val="22"/>
        </w:rPr>
      </w:pPr>
      <w:r w:rsidRPr="00F12990">
        <w:rPr>
          <w:rFonts w:cs="Arial"/>
          <w:color w:val="000000" w:themeColor="text1"/>
          <w:sz w:val="22"/>
        </w:rPr>
        <w:t xml:space="preserve">specify different amounts or methods for different classes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w:t>
      </w:r>
    </w:p>
    <w:p w14:paraId="1E8B0280" w14:textId="77777777" w:rsidR="000347F4" w:rsidRPr="00F12990" w:rsidRDefault="000347F4" w:rsidP="00CC6F57">
      <w:pPr>
        <w:pStyle w:val="ListParagraph"/>
        <w:numPr>
          <w:ilvl w:val="0"/>
          <w:numId w:val="3"/>
        </w:numPr>
        <w:tabs>
          <w:tab w:val="num" w:pos="425"/>
        </w:tabs>
        <w:spacing w:beforeLines="140" w:before="336" w:afterLines="140" w:after="336" w:line="280" w:lineRule="atLeast"/>
        <w:ind w:left="426" w:firstLine="0"/>
        <w:rPr>
          <w:rFonts w:cs="Arial"/>
          <w:color w:val="000000" w:themeColor="text1"/>
          <w:sz w:val="22"/>
        </w:rPr>
      </w:pPr>
      <w:r w:rsidRPr="00F12990">
        <w:rPr>
          <w:rFonts w:cs="Arial"/>
          <w:color w:val="000000" w:themeColor="text1"/>
          <w:sz w:val="22"/>
        </w:rPr>
        <w:t>specify a nil amount or a method resulting in a nil amount;</w:t>
      </w:r>
    </w:p>
    <w:p w14:paraId="55EBA32B" w14:textId="77777777" w:rsidR="000347F4" w:rsidRPr="00F12990" w:rsidRDefault="000347F4" w:rsidP="00CC6F57">
      <w:pPr>
        <w:pStyle w:val="ListParagraph"/>
        <w:numPr>
          <w:ilvl w:val="0"/>
          <w:numId w:val="3"/>
        </w:numPr>
        <w:tabs>
          <w:tab w:val="num" w:pos="709"/>
        </w:tabs>
        <w:spacing w:beforeLines="140" w:before="336" w:afterLines="140" w:after="336" w:line="280" w:lineRule="atLeast"/>
        <w:ind w:left="426" w:firstLine="0"/>
        <w:rPr>
          <w:rFonts w:cs="Arial"/>
          <w:color w:val="000000" w:themeColor="text1"/>
          <w:sz w:val="22"/>
        </w:rPr>
      </w:pPr>
      <w:proofErr w:type="gramStart"/>
      <w:r w:rsidRPr="00F12990">
        <w:rPr>
          <w:rFonts w:cs="Arial"/>
          <w:color w:val="000000" w:themeColor="text1"/>
          <w:sz w:val="22"/>
        </w:rPr>
        <w:t>specify</w:t>
      </w:r>
      <w:proofErr w:type="gramEnd"/>
      <w:r w:rsidRPr="00F12990">
        <w:rPr>
          <w:rFonts w:cs="Arial"/>
          <w:color w:val="000000" w:themeColor="text1"/>
          <w:sz w:val="22"/>
        </w:rPr>
        <w:t xml:space="preserve"> methods that refer to acts done or circumstances existing before either the commencement of the determination or the commencement of the Industry Contribution Act, or both.</w:t>
      </w:r>
    </w:p>
    <w:p w14:paraId="4BDF8B14"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Subsection 9(4) of the Industry Contribution Act provides that a determination made for the purposes of subsection 9(1) for a financial year may, despite subsection 12(2) of the </w:t>
      </w:r>
      <w:r w:rsidRPr="00F12990">
        <w:rPr>
          <w:rFonts w:cs="Arial"/>
          <w:i/>
          <w:color w:val="000000" w:themeColor="text1"/>
          <w:sz w:val="22"/>
        </w:rPr>
        <w:t>Legislation Act 2003</w:t>
      </w:r>
      <w:r w:rsidRPr="00F12990">
        <w:rPr>
          <w:rFonts w:cs="Arial"/>
          <w:color w:val="000000" w:themeColor="text1"/>
          <w:sz w:val="22"/>
        </w:rPr>
        <w:t>, be made after the beginning of that financial year.</w:t>
      </w:r>
    </w:p>
    <w:p w14:paraId="59E74BAA"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Details of the Determination are set out below. The Determination is a legislative instrument for the purposes of the </w:t>
      </w:r>
      <w:r w:rsidRPr="00F12990">
        <w:rPr>
          <w:rFonts w:cs="Arial"/>
          <w:i/>
          <w:color w:val="000000" w:themeColor="text1"/>
          <w:sz w:val="22"/>
        </w:rPr>
        <w:t>Legislation Act 2003</w:t>
      </w:r>
      <w:r w:rsidRPr="00F12990">
        <w:rPr>
          <w:rFonts w:cs="Arial"/>
          <w:color w:val="000000" w:themeColor="text1"/>
          <w:sz w:val="22"/>
        </w:rPr>
        <w:t>.</w:t>
      </w:r>
    </w:p>
    <w:p w14:paraId="194EAAF4" w14:textId="77777777"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4" w:name="_Toc425761610"/>
      <w:bookmarkStart w:id="5" w:name="_Toc425866785"/>
      <w:r w:rsidRPr="00F12990">
        <w:rPr>
          <w:rFonts w:cs="Arial"/>
          <w:b/>
          <w:color w:val="000000" w:themeColor="text1"/>
          <w:sz w:val="22"/>
        </w:rPr>
        <w:t>CONSULTATION</w:t>
      </w:r>
      <w:bookmarkEnd w:id="4"/>
      <w:bookmarkEnd w:id="5"/>
    </w:p>
    <w:p w14:paraId="7A00FF38"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development and refinement of the structure of the industry contribution charging model was undertaken during the 2014–15 financial year, following the Government’s budget announcement on 13 May 2014 that it was replacing the cost recovery arrangements administered by AUSTRAC (known as the AUSTRAC supervisory levy) with an industry contribution levy to fund AUSTRAC's regulatory and financial intelligence functions.</w:t>
      </w:r>
    </w:p>
    <w:p w14:paraId="134C0A79"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Three separate rounds of stakeholder consultation were undertaken, during which AUSTRAC released three stakeholder consultation papers:</w:t>
      </w:r>
    </w:p>
    <w:p w14:paraId="673A72A3" w14:textId="77777777" w:rsidR="000347F4" w:rsidRPr="00F12990" w:rsidRDefault="000347F4" w:rsidP="005D1FA7">
      <w:pPr>
        <w:pStyle w:val="ListParagraph"/>
        <w:numPr>
          <w:ilvl w:val="0"/>
          <w:numId w:val="4"/>
        </w:numPr>
        <w:spacing w:beforeLines="140" w:before="336" w:afterLines="140" w:after="336" w:line="280" w:lineRule="atLeast"/>
        <w:ind w:left="284" w:firstLine="0"/>
        <w:rPr>
          <w:rFonts w:cs="Arial"/>
          <w:color w:val="000000" w:themeColor="text1"/>
          <w:sz w:val="22"/>
        </w:rPr>
      </w:pPr>
      <w:r w:rsidRPr="00F12990">
        <w:rPr>
          <w:rFonts w:cs="Arial"/>
          <w:color w:val="000000" w:themeColor="text1"/>
          <w:sz w:val="22"/>
        </w:rPr>
        <w:t>26 June 2014</w:t>
      </w:r>
    </w:p>
    <w:p w14:paraId="484CB746" w14:textId="77777777" w:rsidR="000347F4" w:rsidRPr="00F12990" w:rsidRDefault="000347F4" w:rsidP="005D1FA7">
      <w:pPr>
        <w:pStyle w:val="ListParagraph"/>
        <w:numPr>
          <w:ilvl w:val="0"/>
          <w:numId w:val="4"/>
        </w:numPr>
        <w:spacing w:beforeLines="140" w:before="336" w:afterLines="140" w:after="336" w:line="280" w:lineRule="atLeast"/>
        <w:ind w:left="284" w:firstLine="0"/>
        <w:rPr>
          <w:rFonts w:cs="Arial"/>
          <w:color w:val="000000" w:themeColor="text1"/>
          <w:sz w:val="22"/>
        </w:rPr>
      </w:pPr>
      <w:r w:rsidRPr="00F12990">
        <w:rPr>
          <w:rFonts w:cs="Arial"/>
          <w:color w:val="000000" w:themeColor="text1"/>
          <w:sz w:val="22"/>
        </w:rPr>
        <w:t>25 September 2014, and</w:t>
      </w:r>
    </w:p>
    <w:p w14:paraId="421FCD06" w14:textId="77777777" w:rsidR="000347F4" w:rsidRPr="00F12990" w:rsidRDefault="000347F4" w:rsidP="005D1FA7">
      <w:pPr>
        <w:pStyle w:val="ListParagraph"/>
        <w:numPr>
          <w:ilvl w:val="0"/>
          <w:numId w:val="4"/>
        </w:numPr>
        <w:spacing w:beforeLines="140" w:before="336" w:afterLines="140" w:after="336" w:line="280" w:lineRule="atLeast"/>
        <w:ind w:left="284" w:firstLine="0"/>
        <w:rPr>
          <w:rFonts w:cs="Arial"/>
          <w:color w:val="000000" w:themeColor="text1"/>
          <w:sz w:val="22"/>
        </w:rPr>
      </w:pPr>
      <w:r w:rsidRPr="00F12990">
        <w:rPr>
          <w:rFonts w:cs="Arial"/>
          <w:color w:val="000000" w:themeColor="text1"/>
          <w:sz w:val="22"/>
        </w:rPr>
        <w:t>3 December 2014.</w:t>
      </w:r>
    </w:p>
    <w:p w14:paraId="59093BCA"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Following this extensive consultation process, the structure of the charging model for the industry contribution levy was finalised. Details of the model were published on the AUSTRAC website on 28 January 2015.</w:t>
      </w:r>
    </w:p>
    <w:p w14:paraId="172BFF6F" w14:textId="6C7AD73F" w:rsidR="000347F4" w:rsidRPr="0079713C" w:rsidRDefault="000347F4" w:rsidP="00F12990">
      <w:pPr>
        <w:spacing w:beforeLines="140" w:before="336" w:afterLines="140" w:after="336" w:line="280" w:lineRule="atLeast"/>
        <w:rPr>
          <w:rFonts w:cs="Arial"/>
          <w:color w:val="000000" w:themeColor="text1"/>
          <w:sz w:val="22"/>
        </w:rPr>
      </w:pPr>
      <w:r w:rsidRPr="0079713C">
        <w:rPr>
          <w:rFonts w:cs="Arial"/>
          <w:color w:val="000000" w:themeColor="text1"/>
          <w:sz w:val="22"/>
        </w:rPr>
        <w:t xml:space="preserve">The underlying structure of the charging model for the </w:t>
      </w:r>
      <w:r w:rsidR="005076AC" w:rsidRPr="0079713C">
        <w:rPr>
          <w:rFonts w:cs="Arial"/>
          <w:color w:val="000000" w:themeColor="text1"/>
          <w:sz w:val="22"/>
        </w:rPr>
        <w:t>20</w:t>
      </w:r>
      <w:r w:rsidR="005076AC">
        <w:rPr>
          <w:rFonts w:cs="Arial"/>
          <w:color w:val="000000" w:themeColor="text1"/>
          <w:sz w:val="22"/>
        </w:rPr>
        <w:t>2</w:t>
      </w:r>
      <w:r w:rsidR="00812A0A">
        <w:rPr>
          <w:rFonts w:cs="Arial"/>
          <w:color w:val="000000" w:themeColor="text1"/>
          <w:sz w:val="22"/>
        </w:rPr>
        <w:t>1</w:t>
      </w:r>
      <w:r w:rsidRPr="0079713C">
        <w:rPr>
          <w:rFonts w:cs="Arial"/>
          <w:color w:val="000000" w:themeColor="text1"/>
          <w:sz w:val="22"/>
        </w:rPr>
        <w:t>–</w:t>
      </w:r>
      <w:r w:rsidR="009E4F38" w:rsidRPr="0079713C">
        <w:rPr>
          <w:rFonts w:cs="Arial"/>
          <w:color w:val="000000" w:themeColor="text1"/>
          <w:sz w:val="22"/>
        </w:rPr>
        <w:t>2</w:t>
      </w:r>
      <w:r w:rsidR="00812A0A">
        <w:rPr>
          <w:rFonts w:cs="Arial"/>
          <w:color w:val="000000" w:themeColor="text1"/>
          <w:sz w:val="22"/>
        </w:rPr>
        <w:t>2</w:t>
      </w:r>
      <w:r w:rsidRPr="0079713C">
        <w:rPr>
          <w:rFonts w:cs="Arial"/>
          <w:color w:val="000000" w:themeColor="text1"/>
          <w:sz w:val="22"/>
        </w:rPr>
        <w:t xml:space="preserve"> financial year is </w:t>
      </w:r>
      <w:r w:rsidR="00812A0A">
        <w:rPr>
          <w:rFonts w:cs="Arial"/>
          <w:color w:val="000000" w:themeColor="text1"/>
          <w:sz w:val="22"/>
        </w:rPr>
        <w:t xml:space="preserve">largely </w:t>
      </w:r>
      <w:r w:rsidRPr="0079713C">
        <w:rPr>
          <w:rFonts w:cs="Arial"/>
          <w:color w:val="000000" w:themeColor="text1"/>
          <w:sz w:val="22"/>
        </w:rPr>
        <w:t xml:space="preserve">unchanged from the model that was used for 2014–15 and subsequent </w:t>
      </w:r>
      <w:r w:rsidRPr="0079713C">
        <w:rPr>
          <w:rFonts w:cs="Arial"/>
          <w:color w:val="000000" w:themeColor="text1"/>
          <w:sz w:val="22"/>
        </w:rPr>
        <w:lastRenderedPageBreak/>
        <w:t xml:space="preserve">years. There have been some changes to the factors for individual components, in order to reflect differences in the amount to be recovered from </w:t>
      </w:r>
      <w:proofErr w:type="spellStart"/>
      <w:r w:rsidRPr="0079713C">
        <w:rPr>
          <w:rFonts w:cs="Arial"/>
          <w:color w:val="000000" w:themeColor="text1"/>
          <w:sz w:val="22"/>
        </w:rPr>
        <w:t>leviable</w:t>
      </w:r>
      <w:proofErr w:type="spellEnd"/>
      <w:r w:rsidRPr="0079713C">
        <w:rPr>
          <w:rFonts w:cs="Arial"/>
          <w:color w:val="000000" w:themeColor="text1"/>
          <w:sz w:val="22"/>
        </w:rPr>
        <w:t xml:space="preserve"> entities each levy year.</w:t>
      </w:r>
    </w:p>
    <w:p w14:paraId="0DF3162D" w14:textId="77777777"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6" w:name="_Toc425761611"/>
      <w:bookmarkStart w:id="7" w:name="_Toc425866786"/>
      <w:r w:rsidRPr="00F12990">
        <w:rPr>
          <w:rFonts w:cs="Arial"/>
          <w:b/>
          <w:color w:val="000000" w:themeColor="text1"/>
          <w:sz w:val="22"/>
        </w:rPr>
        <w:t>REGULATORY IMPACT STATEMENT</w:t>
      </w:r>
      <w:bookmarkEnd w:id="6"/>
      <w:bookmarkEnd w:id="7"/>
    </w:p>
    <w:p w14:paraId="41A66F73"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AUSTRAC has been advised that a Regulatory Impact Statement (RIS) is not required. The industry contribution arrangements are a revenue measure, and as such fall outside the requirement to prepare a RIS.</w:t>
      </w:r>
    </w:p>
    <w:p w14:paraId="290E63F9" w14:textId="77777777"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8" w:name="_Toc425761612"/>
      <w:bookmarkStart w:id="9" w:name="_Toc425866787"/>
      <w:r w:rsidRPr="00F12990">
        <w:rPr>
          <w:rFonts w:cs="Arial"/>
          <w:b/>
          <w:color w:val="000000" w:themeColor="text1"/>
          <w:sz w:val="22"/>
        </w:rPr>
        <w:t>DETAILS OF THE DETERMINATION</w:t>
      </w:r>
      <w:bookmarkEnd w:id="8"/>
      <w:bookmarkEnd w:id="9"/>
    </w:p>
    <w:p w14:paraId="281E0F17"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0" w:name="_Toc425761613"/>
      <w:bookmarkStart w:id="11" w:name="_Toc425866788"/>
      <w:r w:rsidRPr="00F12990">
        <w:rPr>
          <w:rFonts w:cs="Arial"/>
          <w:b/>
          <w:i/>
          <w:color w:val="000000" w:themeColor="text1"/>
          <w:sz w:val="22"/>
        </w:rPr>
        <w:t>Item 1 – Name of Determination</w:t>
      </w:r>
      <w:bookmarkEnd w:id="10"/>
      <w:bookmarkEnd w:id="11"/>
    </w:p>
    <w:p w14:paraId="2435B1B6" w14:textId="45652B04"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This item sets out the name of the Determination as the </w:t>
      </w:r>
      <w:r w:rsidRPr="00F12990">
        <w:rPr>
          <w:rFonts w:cs="Arial"/>
          <w:i/>
          <w:color w:val="000000" w:themeColor="text1"/>
          <w:sz w:val="22"/>
        </w:rPr>
        <w:t xml:space="preserve">Australian Transaction Reports and Analysis Centre Industry Contribution Determination </w:t>
      </w:r>
      <w:r w:rsidR="00152707" w:rsidRPr="00F12990">
        <w:rPr>
          <w:rFonts w:cs="Arial"/>
          <w:i/>
          <w:color w:val="000000" w:themeColor="text1"/>
          <w:sz w:val="22"/>
        </w:rPr>
        <w:t>20</w:t>
      </w:r>
      <w:r w:rsidR="00152707">
        <w:rPr>
          <w:rFonts w:cs="Arial"/>
          <w:i/>
          <w:color w:val="000000" w:themeColor="text1"/>
          <w:sz w:val="22"/>
        </w:rPr>
        <w:t>2</w:t>
      </w:r>
      <w:r w:rsidR="004067AF">
        <w:rPr>
          <w:rFonts w:cs="Arial"/>
          <w:i/>
          <w:color w:val="000000" w:themeColor="text1"/>
          <w:sz w:val="22"/>
        </w:rPr>
        <w:t>2</w:t>
      </w:r>
      <w:r w:rsidR="00152707" w:rsidRPr="00F12990">
        <w:rPr>
          <w:rFonts w:cs="Arial"/>
          <w:i/>
          <w:color w:val="000000" w:themeColor="text1"/>
          <w:sz w:val="22"/>
        </w:rPr>
        <w:t xml:space="preserve"> </w:t>
      </w:r>
      <w:r w:rsidRPr="00F12990">
        <w:rPr>
          <w:rFonts w:cs="Arial"/>
          <w:i/>
          <w:color w:val="000000" w:themeColor="text1"/>
          <w:sz w:val="22"/>
        </w:rPr>
        <w:t>(No. 1)</w:t>
      </w:r>
      <w:r w:rsidRPr="00F12990">
        <w:rPr>
          <w:rFonts w:cs="Arial"/>
          <w:color w:val="000000" w:themeColor="text1"/>
          <w:sz w:val="22"/>
        </w:rPr>
        <w:t>.</w:t>
      </w:r>
    </w:p>
    <w:p w14:paraId="3AEF4A1D"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2" w:name="_Toc425761614"/>
      <w:bookmarkStart w:id="13" w:name="_Toc425866789"/>
      <w:r w:rsidRPr="00F12990">
        <w:rPr>
          <w:rFonts w:cs="Arial"/>
          <w:b/>
          <w:i/>
          <w:color w:val="000000" w:themeColor="text1"/>
          <w:sz w:val="22"/>
        </w:rPr>
        <w:t>Item 2 – Commencement</w:t>
      </w:r>
      <w:bookmarkEnd w:id="12"/>
      <w:bookmarkEnd w:id="13"/>
    </w:p>
    <w:p w14:paraId="08FB20D1"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This item provides that the Determination will commence the day after it is registered as a legislative instrument.</w:t>
      </w:r>
    </w:p>
    <w:p w14:paraId="2526A315"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4" w:name="_Toc425761615"/>
      <w:bookmarkStart w:id="15" w:name="_Toc425866790"/>
      <w:r w:rsidRPr="00F12990">
        <w:rPr>
          <w:rFonts w:cs="Arial"/>
          <w:b/>
          <w:i/>
          <w:color w:val="000000" w:themeColor="text1"/>
          <w:sz w:val="22"/>
        </w:rPr>
        <w:t>Item 3 – Definitions</w:t>
      </w:r>
      <w:bookmarkEnd w:id="14"/>
      <w:bookmarkEnd w:id="15"/>
    </w:p>
    <w:p w14:paraId="564B1619" w14:textId="77777777"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3(1) defines terms used in the Determination, the more significant of which are:</w:t>
      </w:r>
    </w:p>
    <w:p w14:paraId="199BA323" w14:textId="3B8AA12D"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w:t>
      </w:r>
      <w:proofErr w:type="gramStart"/>
      <w:r w:rsidRPr="00F12990">
        <w:rPr>
          <w:rFonts w:cs="Arial"/>
          <w:color w:val="000000" w:themeColor="text1"/>
          <w:sz w:val="22"/>
        </w:rPr>
        <w:t>census</w:t>
      </w:r>
      <w:proofErr w:type="gramEnd"/>
      <w:r w:rsidRPr="00F12990">
        <w:rPr>
          <w:rFonts w:cs="Arial"/>
          <w:color w:val="000000" w:themeColor="text1"/>
          <w:sz w:val="22"/>
        </w:rPr>
        <w:t xml:space="preserve"> day’. This term is defined, in relation to </w:t>
      </w:r>
      <w:r w:rsidR="00152707" w:rsidRPr="00F12990">
        <w:rPr>
          <w:rFonts w:cs="Arial"/>
          <w:color w:val="000000" w:themeColor="text1"/>
          <w:sz w:val="22"/>
        </w:rPr>
        <w:t>20</w:t>
      </w:r>
      <w:r w:rsidR="00152707">
        <w:rPr>
          <w:rFonts w:cs="Arial"/>
          <w:color w:val="000000" w:themeColor="text1"/>
          <w:sz w:val="22"/>
        </w:rPr>
        <w:t>2</w:t>
      </w:r>
      <w:r w:rsidR="002F0426">
        <w:rPr>
          <w:rFonts w:cs="Arial"/>
          <w:color w:val="000000" w:themeColor="text1"/>
          <w:sz w:val="22"/>
        </w:rPr>
        <w:t>1</w:t>
      </w:r>
      <w:r w:rsidRPr="00F12990">
        <w:rPr>
          <w:rFonts w:cs="Arial"/>
          <w:color w:val="000000" w:themeColor="text1"/>
          <w:sz w:val="22"/>
        </w:rPr>
        <w:t>–</w:t>
      </w:r>
      <w:r w:rsidR="00152707">
        <w:rPr>
          <w:rFonts w:cs="Arial"/>
          <w:color w:val="000000" w:themeColor="text1"/>
          <w:sz w:val="22"/>
        </w:rPr>
        <w:t>2</w:t>
      </w:r>
      <w:r w:rsidR="002F0426">
        <w:rPr>
          <w:rFonts w:cs="Arial"/>
          <w:color w:val="000000" w:themeColor="text1"/>
          <w:sz w:val="22"/>
        </w:rPr>
        <w:t>2</w:t>
      </w:r>
      <w:r w:rsidRPr="00F12990">
        <w:rPr>
          <w:rFonts w:cs="Arial"/>
          <w:color w:val="000000" w:themeColor="text1"/>
          <w:sz w:val="22"/>
        </w:rPr>
        <w:t xml:space="preserve">, to have the same meaning as in the Industry Contribution Act. The census day for the </w:t>
      </w:r>
      <w:r w:rsidR="00152707" w:rsidRPr="00F12990">
        <w:rPr>
          <w:rFonts w:cs="Arial"/>
          <w:color w:val="000000" w:themeColor="text1"/>
          <w:sz w:val="22"/>
        </w:rPr>
        <w:t>20</w:t>
      </w:r>
      <w:r w:rsidR="002F0426">
        <w:rPr>
          <w:rFonts w:cs="Arial"/>
          <w:color w:val="000000" w:themeColor="text1"/>
          <w:sz w:val="22"/>
        </w:rPr>
        <w:t>21</w:t>
      </w:r>
      <w:r w:rsidRPr="00F12990">
        <w:rPr>
          <w:rFonts w:cs="Arial"/>
          <w:color w:val="000000" w:themeColor="text1"/>
          <w:sz w:val="22"/>
        </w:rPr>
        <w:t>–</w:t>
      </w:r>
      <w:r w:rsidR="00152707">
        <w:rPr>
          <w:rFonts w:cs="Arial"/>
          <w:color w:val="000000" w:themeColor="text1"/>
          <w:sz w:val="22"/>
        </w:rPr>
        <w:t>2</w:t>
      </w:r>
      <w:r w:rsidR="002F0426">
        <w:rPr>
          <w:rFonts w:cs="Arial"/>
          <w:color w:val="000000" w:themeColor="text1"/>
          <w:sz w:val="22"/>
        </w:rPr>
        <w:t>2</w:t>
      </w:r>
      <w:r w:rsidR="00152707" w:rsidRPr="00F12990">
        <w:rPr>
          <w:rFonts w:cs="Arial"/>
          <w:color w:val="000000" w:themeColor="text1"/>
          <w:sz w:val="22"/>
        </w:rPr>
        <w:t xml:space="preserve"> </w:t>
      </w:r>
      <w:r w:rsidRPr="00F12990">
        <w:rPr>
          <w:rFonts w:cs="Arial"/>
          <w:color w:val="000000" w:themeColor="text1"/>
          <w:sz w:val="22"/>
        </w:rPr>
        <w:t xml:space="preserve">financial year is 1 July </w:t>
      </w:r>
      <w:r w:rsidR="00152707" w:rsidRPr="00F12990">
        <w:rPr>
          <w:rFonts w:cs="Arial"/>
          <w:color w:val="000000" w:themeColor="text1"/>
          <w:sz w:val="22"/>
        </w:rPr>
        <w:t>20</w:t>
      </w:r>
      <w:r w:rsidR="00152707">
        <w:rPr>
          <w:rFonts w:cs="Arial"/>
          <w:color w:val="000000" w:themeColor="text1"/>
          <w:sz w:val="22"/>
        </w:rPr>
        <w:t>2</w:t>
      </w:r>
      <w:r w:rsidR="002F0426">
        <w:rPr>
          <w:rFonts w:cs="Arial"/>
          <w:color w:val="000000" w:themeColor="text1"/>
          <w:sz w:val="22"/>
        </w:rPr>
        <w:t>1</w:t>
      </w:r>
      <w:r w:rsidRPr="00F12990">
        <w:rPr>
          <w:rFonts w:cs="Arial"/>
          <w:color w:val="000000" w:themeColor="text1"/>
          <w:sz w:val="22"/>
        </w:rPr>
        <w:t>.</w:t>
      </w:r>
    </w:p>
    <w:p w14:paraId="02CE3855" w14:textId="5A6C6585"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w:t>
      </w:r>
      <w:proofErr w:type="gramStart"/>
      <w:r w:rsidRPr="00F12990">
        <w:rPr>
          <w:rFonts w:cs="Arial"/>
          <w:color w:val="000000" w:themeColor="text1"/>
          <w:sz w:val="22"/>
        </w:rPr>
        <w:t>earnings</w:t>
      </w:r>
      <w:proofErr w:type="gramEnd"/>
      <w:r w:rsidRPr="00F12990">
        <w:rPr>
          <w:rFonts w:cs="Arial"/>
          <w:color w:val="000000" w:themeColor="text1"/>
          <w:sz w:val="22"/>
        </w:rPr>
        <w:t xml:space="preserve">’. The amount of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entity’s ‘earnings’, as defined, is used in the Determination to identify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that are liable to pay the maximum amount of the instalment of levy for </w:t>
      </w:r>
      <w:r w:rsidR="00152707" w:rsidRPr="00F12990">
        <w:rPr>
          <w:rFonts w:cs="Arial"/>
          <w:color w:val="000000" w:themeColor="text1"/>
          <w:sz w:val="22"/>
        </w:rPr>
        <w:t>20</w:t>
      </w:r>
      <w:r w:rsidR="00152707">
        <w:rPr>
          <w:rFonts w:cs="Arial"/>
          <w:color w:val="000000" w:themeColor="text1"/>
          <w:sz w:val="22"/>
        </w:rPr>
        <w:t>2</w:t>
      </w:r>
      <w:r w:rsidR="002F0426">
        <w:rPr>
          <w:rFonts w:cs="Arial"/>
          <w:color w:val="000000" w:themeColor="text1"/>
          <w:sz w:val="22"/>
        </w:rPr>
        <w:t>1</w:t>
      </w:r>
      <w:r w:rsidR="009E4F38">
        <w:rPr>
          <w:rFonts w:cs="Arial"/>
          <w:color w:val="000000" w:themeColor="text1"/>
          <w:sz w:val="22"/>
        </w:rPr>
        <w:t>–</w:t>
      </w:r>
      <w:r w:rsidR="00152707">
        <w:rPr>
          <w:rFonts w:cs="Arial"/>
          <w:color w:val="000000" w:themeColor="text1"/>
          <w:sz w:val="22"/>
        </w:rPr>
        <w:t>2</w:t>
      </w:r>
      <w:r w:rsidR="002F0426">
        <w:rPr>
          <w:rFonts w:cs="Arial"/>
          <w:color w:val="000000" w:themeColor="text1"/>
          <w:sz w:val="22"/>
        </w:rPr>
        <w:t>2</w:t>
      </w:r>
      <w:r w:rsidRPr="00F12990">
        <w:rPr>
          <w:rFonts w:cs="Arial"/>
          <w:color w:val="000000" w:themeColor="text1"/>
          <w:sz w:val="22"/>
        </w:rPr>
        <w:t>, under sub</w:t>
      </w:r>
      <w:r w:rsidR="009E4F38">
        <w:rPr>
          <w:rFonts w:cs="Arial"/>
          <w:color w:val="000000" w:themeColor="text1"/>
          <w:sz w:val="22"/>
        </w:rPr>
        <w:t xml:space="preserve"> </w:t>
      </w:r>
      <w:r w:rsidRPr="00F12990">
        <w:rPr>
          <w:rFonts w:cs="Arial"/>
          <w:color w:val="000000" w:themeColor="text1"/>
          <w:sz w:val="22"/>
        </w:rPr>
        <w:t xml:space="preserve">item 4(4) of the Determination, and, for other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in calculating the earnings component of the instalment of levy, under item 5 of the Determination.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is an authorised deposit-taking institution or a registered financial corporation, or is part of a group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that includes such an entity, ‘earnings’ means total profit before tax, depreciation and amortisation (PBTDA). For all other entities the measure is total earnings before interest, tax, depreciation and amortisation (EBITDA). Neither PBTDA nor EBITDA is to be adjusted for significant items.</w:t>
      </w:r>
    </w:p>
    <w:p w14:paraId="3C53B459" w14:textId="3F13AD95" w:rsidR="000347F4" w:rsidRPr="001D59DA" w:rsidRDefault="000347F4" w:rsidP="005076AC">
      <w:pPr>
        <w:pStyle w:val="ListParagraph"/>
        <w:keepNext/>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lastRenderedPageBreak/>
        <w:t>‘</w:t>
      </w:r>
      <w:proofErr w:type="spellStart"/>
      <w:proofErr w:type="gramStart"/>
      <w:r w:rsidRPr="00F12990">
        <w:rPr>
          <w:rFonts w:cs="Arial"/>
          <w:color w:val="000000" w:themeColor="text1"/>
          <w:sz w:val="22"/>
        </w:rPr>
        <w:t>leviable</w:t>
      </w:r>
      <w:proofErr w:type="spellEnd"/>
      <w:proofErr w:type="gramEnd"/>
      <w:r w:rsidRPr="00F12990">
        <w:rPr>
          <w:rFonts w:cs="Arial"/>
          <w:color w:val="000000" w:themeColor="text1"/>
          <w:sz w:val="22"/>
        </w:rPr>
        <w:t xml:space="preserve"> entity’. This term is defined, in relation to </w:t>
      </w:r>
      <w:r w:rsidR="00152707" w:rsidRPr="00F12990">
        <w:rPr>
          <w:rFonts w:cs="Arial"/>
          <w:color w:val="000000" w:themeColor="text1"/>
          <w:sz w:val="22"/>
        </w:rPr>
        <w:t>20</w:t>
      </w:r>
      <w:r w:rsidR="00152707">
        <w:rPr>
          <w:rFonts w:cs="Arial"/>
          <w:color w:val="000000" w:themeColor="text1"/>
          <w:sz w:val="22"/>
        </w:rPr>
        <w:t>2</w:t>
      </w:r>
      <w:r w:rsidR="002F0426">
        <w:rPr>
          <w:rFonts w:cs="Arial"/>
          <w:color w:val="000000" w:themeColor="text1"/>
          <w:sz w:val="22"/>
        </w:rPr>
        <w:t>1</w:t>
      </w:r>
      <w:r w:rsidRPr="00F12990">
        <w:rPr>
          <w:rFonts w:cs="Arial"/>
          <w:color w:val="000000" w:themeColor="text1"/>
          <w:sz w:val="22"/>
        </w:rPr>
        <w:t>–</w:t>
      </w:r>
      <w:r w:rsidR="00152707">
        <w:rPr>
          <w:rFonts w:cs="Arial"/>
          <w:color w:val="000000" w:themeColor="text1"/>
          <w:sz w:val="22"/>
        </w:rPr>
        <w:t>2</w:t>
      </w:r>
      <w:r w:rsidR="002F0426">
        <w:rPr>
          <w:rFonts w:cs="Arial"/>
          <w:color w:val="000000" w:themeColor="text1"/>
          <w:sz w:val="22"/>
        </w:rPr>
        <w:t>2</w:t>
      </w:r>
      <w:r w:rsidRPr="00F12990">
        <w:rPr>
          <w:rFonts w:cs="Arial"/>
          <w:color w:val="000000" w:themeColor="text1"/>
          <w:sz w:val="22"/>
        </w:rPr>
        <w:t xml:space="preserve">, to have the same </w:t>
      </w:r>
      <w:r w:rsidRPr="001D59DA">
        <w:rPr>
          <w:rFonts w:cs="Arial"/>
          <w:color w:val="000000" w:themeColor="text1"/>
          <w:sz w:val="22"/>
        </w:rPr>
        <w:t xml:space="preserve">meaning as in the </w:t>
      </w:r>
      <w:r w:rsidR="004067AF" w:rsidRPr="00122D57">
        <w:rPr>
          <w:rFonts w:cs="Arial"/>
          <w:i/>
          <w:color w:val="000000" w:themeColor="text1"/>
          <w:sz w:val="22"/>
        </w:rPr>
        <w:t>Australian Transaction Reports and Analysis Centre Industry Contribution Act 2011</w:t>
      </w:r>
      <w:r w:rsidRPr="001D59DA">
        <w:rPr>
          <w:rFonts w:cs="Arial"/>
          <w:color w:val="000000" w:themeColor="text1"/>
          <w:sz w:val="22"/>
        </w:rPr>
        <w:t>.</w:t>
      </w:r>
    </w:p>
    <w:p w14:paraId="723A9F43" w14:textId="51B6140A"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w:t>
      </w:r>
      <w:proofErr w:type="spellStart"/>
      <w:proofErr w:type="gramStart"/>
      <w:r w:rsidRPr="00F12990">
        <w:rPr>
          <w:rFonts w:cs="Arial"/>
          <w:color w:val="000000" w:themeColor="text1"/>
          <w:sz w:val="22"/>
        </w:rPr>
        <w:t>leviable</w:t>
      </w:r>
      <w:proofErr w:type="spellEnd"/>
      <w:proofErr w:type="gramEnd"/>
      <w:r w:rsidRPr="00F12990">
        <w:rPr>
          <w:rFonts w:cs="Arial"/>
          <w:color w:val="000000" w:themeColor="text1"/>
          <w:sz w:val="22"/>
        </w:rPr>
        <w:t xml:space="preserve"> report’. This means, in relation to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a report given to the AUSTRAC CEO in the </w:t>
      </w:r>
      <w:r w:rsidR="00152707" w:rsidRPr="00F12990">
        <w:rPr>
          <w:rFonts w:cs="Arial"/>
          <w:color w:val="000000" w:themeColor="text1"/>
          <w:sz w:val="22"/>
        </w:rPr>
        <w:t>20</w:t>
      </w:r>
      <w:r w:rsidR="001D59DA">
        <w:rPr>
          <w:rFonts w:cs="Arial"/>
          <w:color w:val="000000" w:themeColor="text1"/>
          <w:sz w:val="22"/>
        </w:rPr>
        <w:t>20</w:t>
      </w:r>
      <w:r w:rsidR="00152707" w:rsidRPr="00F12990">
        <w:rPr>
          <w:rFonts w:cs="Arial"/>
          <w:color w:val="FF0000"/>
          <w:sz w:val="22"/>
        </w:rPr>
        <w:t xml:space="preserve"> </w:t>
      </w:r>
      <w:r w:rsidRPr="00F12990">
        <w:rPr>
          <w:rFonts w:cs="Arial"/>
          <w:color w:val="000000" w:themeColor="text1"/>
          <w:sz w:val="22"/>
        </w:rPr>
        <w:t xml:space="preserve">calendar year under subsection 43(2) or 45(2) of the </w:t>
      </w:r>
      <w:r w:rsidRPr="00F12990">
        <w:rPr>
          <w:rFonts w:cs="Arial"/>
          <w:i/>
          <w:color w:val="000000" w:themeColor="text1"/>
          <w:sz w:val="22"/>
        </w:rPr>
        <w:t xml:space="preserve">Anti-Money Laundering and Counter-Terrorism Financing Act 2006 </w:t>
      </w:r>
      <w:r w:rsidRPr="00F12990">
        <w:rPr>
          <w:rFonts w:cs="Arial"/>
          <w:color w:val="000000" w:themeColor="text1"/>
          <w:sz w:val="22"/>
        </w:rPr>
        <w:t>(AML/CTF Act) (or in the form required for subsection 43(2) or 45(2), whether or not such a report was required to be given under either subsection), being:</w:t>
      </w:r>
    </w:p>
    <w:p w14:paraId="4DFCB185" w14:textId="77777777" w:rsidR="000347F4" w:rsidRPr="00F12990" w:rsidRDefault="000347F4" w:rsidP="005076AC">
      <w:pPr>
        <w:numPr>
          <w:ilvl w:val="3"/>
          <w:numId w:val="2"/>
        </w:numPr>
        <w:spacing w:beforeLines="140" w:before="336" w:afterLines="140" w:after="336" w:line="280" w:lineRule="atLeast"/>
        <w:ind w:left="851"/>
        <w:rPr>
          <w:rFonts w:cs="Arial"/>
          <w:color w:val="000000" w:themeColor="text1"/>
          <w:sz w:val="22"/>
        </w:rPr>
      </w:pPr>
      <w:r w:rsidRPr="00F12990">
        <w:rPr>
          <w:rFonts w:cs="Arial"/>
          <w:color w:val="000000" w:themeColor="text1"/>
          <w:sz w:val="22"/>
        </w:rPr>
        <w:t xml:space="preserve">a report given by the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or</w:t>
      </w:r>
    </w:p>
    <w:p w14:paraId="72330F9C" w14:textId="77777777" w:rsidR="000347F4" w:rsidRPr="00F12990" w:rsidRDefault="000347F4" w:rsidP="005076AC">
      <w:pPr>
        <w:numPr>
          <w:ilvl w:val="3"/>
          <w:numId w:val="2"/>
        </w:numPr>
        <w:spacing w:beforeLines="140" w:before="336" w:afterLines="140" w:after="336" w:line="280" w:lineRule="atLeast"/>
        <w:ind w:left="851"/>
        <w:rPr>
          <w:rFonts w:cs="Arial"/>
          <w:color w:val="000000" w:themeColor="text1"/>
          <w:sz w:val="22"/>
        </w:rPr>
      </w:pPr>
      <w:r w:rsidRPr="00F12990">
        <w:rPr>
          <w:rFonts w:cs="Arial"/>
          <w:color w:val="000000" w:themeColor="text1"/>
          <w:sz w:val="22"/>
        </w:rPr>
        <w:t xml:space="preserve">a report given by a remittance affiliate of the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or</w:t>
      </w:r>
    </w:p>
    <w:p w14:paraId="2BEABAC6" w14:textId="77777777" w:rsidR="000347F4" w:rsidRPr="00F12990" w:rsidRDefault="000347F4" w:rsidP="005076AC">
      <w:pPr>
        <w:numPr>
          <w:ilvl w:val="3"/>
          <w:numId w:val="2"/>
        </w:numPr>
        <w:spacing w:beforeLines="140" w:before="336" w:afterLines="140" w:after="336" w:line="280" w:lineRule="atLeast"/>
        <w:ind w:left="851"/>
        <w:rPr>
          <w:rFonts w:cs="Arial"/>
          <w:color w:val="000000" w:themeColor="text1"/>
          <w:sz w:val="22"/>
        </w:rPr>
      </w:pPr>
      <w:proofErr w:type="gramStart"/>
      <w:r w:rsidRPr="00F12990">
        <w:rPr>
          <w:rFonts w:cs="Arial"/>
          <w:color w:val="000000" w:themeColor="text1"/>
          <w:sz w:val="22"/>
        </w:rPr>
        <w:t>a</w:t>
      </w:r>
      <w:proofErr w:type="gramEnd"/>
      <w:r w:rsidRPr="00F12990">
        <w:rPr>
          <w:rFonts w:cs="Arial"/>
          <w:color w:val="000000" w:themeColor="text1"/>
          <w:sz w:val="22"/>
        </w:rPr>
        <w:t xml:space="preserve"> report given by another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was acquired by the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prior to the census day.</w:t>
      </w:r>
    </w:p>
    <w:p w14:paraId="670C155E"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Sections 43 and 45 of the AML/CTF Act respectively deal with threshold transaction reports (TTRs) and international funds transfe</w:t>
      </w:r>
      <w:r w:rsidR="003C2DBE">
        <w:rPr>
          <w:rFonts w:cs="Arial"/>
          <w:color w:val="000000" w:themeColor="text1"/>
          <w:sz w:val="22"/>
        </w:rPr>
        <w:t>r instructions reports (IFTIs).</w:t>
      </w:r>
    </w:p>
    <w:p w14:paraId="559CB660" w14:textId="77777777"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 xml:space="preserve">‘National Electricity Rules’. This means the Rules made under the </w:t>
      </w:r>
      <w:r w:rsidRPr="00F12990">
        <w:rPr>
          <w:rFonts w:cs="Arial"/>
          <w:i/>
          <w:color w:val="000000" w:themeColor="text1"/>
          <w:sz w:val="22"/>
        </w:rPr>
        <w:t>National Electricity Law</w:t>
      </w:r>
      <w:r w:rsidRPr="00F12990">
        <w:rPr>
          <w:rFonts w:cs="Arial"/>
          <w:color w:val="000000" w:themeColor="text1"/>
          <w:sz w:val="22"/>
        </w:rPr>
        <w:t xml:space="preserve"> set out in the Schedule to the </w:t>
      </w:r>
      <w:r w:rsidRPr="00F12990">
        <w:rPr>
          <w:rFonts w:cs="Arial"/>
          <w:i/>
          <w:color w:val="000000" w:themeColor="text1"/>
          <w:sz w:val="22"/>
        </w:rPr>
        <w:t>National Electricity (South Australia) Act 1996</w:t>
      </w:r>
      <w:r w:rsidRPr="00F12990">
        <w:rPr>
          <w:rFonts w:cs="Arial"/>
          <w:color w:val="000000" w:themeColor="text1"/>
          <w:sz w:val="22"/>
        </w:rPr>
        <w:t xml:space="preserve"> (SA).</w:t>
      </w:r>
    </w:p>
    <w:p w14:paraId="780D6B0C" w14:textId="77777777"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w:t>
      </w:r>
      <w:proofErr w:type="gramStart"/>
      <w:r w:rsidRPr="00F12990">
        <w:rPr>
          <w:rFonts w:cs="Arial"/>
          <w:color w:val="000000" w:themeColor="text1"/>
          <w:sz w:val="22"/>
        </w:rPr>
        <w:t>remittance</w:t>
      </w:r>
      <w:proofErr w:type="gramEnd"/>
      <w:r w:rsidRPr="00F12990">
        <w:rPr>
          <w:rFonts w:cs="Arial"/>
          <w:color w:val="000000" w:themeColor="text1"/>
          <w:sz w:val="22"/>
        </w:rPr>
        <w:t xml:space="preserve"> affiliate’. This means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provides a designated service covered by item 31 or 32 of table 1 in section 6 of the AML/CTF Act as part of a network of persons of a kind referred to in item 32A of that table operated by another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w:t>
      </w:r>
    </w:p>
    <w:p w14:paraId="35D093F6" w14:textId="77777777" w:rsidR="000347F4" w:rsidRPr="00F12990" w:rsidRDefault="000347F4" w:rsidP="005076AC">
      <w:pPr>
        <w:pStyle w:val="ListParagraph"/>
        <w:numPr>
          <w:ilvl w:val="0"/>
          <w:numId w:val="1"/>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w:t>
      </w:r>
      <w:proofErr w:type="gramStart"/>
      <w:r w:rsidRPr="00F12990">
        <w:rPr>
          <w:rFonts w:cs="Arial"/>
          <w:color w:val="000000" w:themeColor="text1"/>
          <w:sz w:val="22"/>
        </w:rPr>
        <w:t>registered</w:t>
      </w:r>
      <w:proofErr w:type="gramEnd"/>
      <w:r w:rsidRPr="00F12990">
        <w:rPr>
          <w:rFonts w:cs="Arial"/>
          <w:color w:val="000000" w:themeColor="text1"/>
          <w:sz w:val="22"/>
        </w:rPr>
        <w:t xml:space="preserve"> financial corporation’. This term is defined to have the same meaning as the term ‘registered entity’ in the </w:t>
      </w:r>
      <w:r w:rsidRPr="00F12990">
        <w:rPr>
          <w:rFonts w:cs="Arial"/>
          <w:i/>
          <w:color w:val="000000" w:themeColor="text1"/>
          <w:sz w:val="22"/>
        </w:rPr>
        <w:t>Financial Sector (Collection of Data) Act 2001</w:t>
      </w:r>
      <w:r w:rsidRPr="00F12990">
        <w:rPr>
          <w:rFonts w:cs="Arial"/>
          <w:color w:val="000000" w:themeColor="text1"/>
          <w:sz w:val="22"/>
        </w:rPr>
        <w:t>.</w:t>
      </w:r>
    </w:p>
    <w:p w14:paraId="1DC90DB9" w14:textId="77777777"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3(2) limits references in the Determination to the total profit or total earnings of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is a foreign corporation or a subsidiary of a foreign corporation to the total profit or total earnings of the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which are derived from operations in Australia. This affects the operation of the definition of the term ‘earnings’ in </w:t>
      </w:r>
      <w:proofErr w:type="spellStart"/>
      <w:r w:rsidRPr="00F12990">
        <w:rPr>
          <w:rFonts w:cs="Arial"/>
          <w:color w:val="000000" w:themeColor="text1"/>
          <w:sz w:val="22"/>
        </w:rPr>
        <w:t>subitem</w:t>
      </w:r>
      <w:proofErr w:type="spellEnd"/>
      <w:r w:rsidRPr="00F12990">
        <w:rPr>
          <w:rFonts w:cs="Arial"/>
          <w:color w:val="000000" w:themeColor="text1"/>
          <w:sz w:val="22"/>
        </w:rPr>
        <w:t xml:space="preserve"> 3(1) of the Determination.</w:t>
      </w:r>
    </w:p>
    <w:p w14:paraId="45204561"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6" w:name="_Toc425761616"/>
      <w:bookmarkStart w:id="17" w:name="_Toc425866791"/>
      <w:r w:rsidRPr="00F12990">
        <w:rPr>
          <w:rFonts w:cs="Arial"/>
          <w:b/>
          <w:i/>
          <w:color w:val="000000" w:themeColor="text1"/>
          <w:sz w:val="22"/>
        </w:rPr>
        <w:t>Item 4 – Amount of instalment of levy</w:t>
      </w:r>
      <w:bookmarkEnd w:id="16"/>
      <w:bookmarkEnd w:id="17"/>
    </w:p>
    <w:p w14:paraId="4AFB4A22" w14:textId="1970114A" w:rsidR="002F0426"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Item 4 sets out a general method for determining the amount of the instalment of levy payable by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for </w:t>
      </w:r>
      <w:r w:rsidR="00152707" w:rsidRPr="00F12990">
        <w:rPr>
          <w:rFonts w:cs="Arial"/>
          <w:color w:val="000000" w:themeColor="text1"/>
          <w:sz w:val="22"/>
        </w:rPr>
        <w:t>20</w:t>
      </w:r>
      <w:r w:rsidR="00152707">
        <w:rPr>
          <w:rFonts w:cs="Arial"/>
          <w:color w:val="000000" w:themeColor="text1"/>
          <w:sz w:val="22"/>
        </w:rPr>
        <w:t>2</w:t>
      </w:r>
      <w:r w:rsidR="002F0426">
        <w:rPr>
          <w:rFonts w:cs="Arial"/>
          <w:color w:val="000000" w:themeColor="text1"/>
          <w:sz w:val="22"/>
        </w:rPr>
        <w:t>1</w:t>
      </w:r>
      <w:r w:rsidRPr="00F12990">
        <w:rPr>
          <w:rFonts w:cs="Arial"/>
          <w:color w:val="000000" w:themeColor="text1"/>
          <w:sz w:val="22"/>
        </w:rPr>
        <w:t>–</w:t>
      </w:r>
      <w:r w:rsidR="00152707">
        <w:rPr>
          <w:rFonts w:cs="Arial"/>
          <w:color w:val="000000" w:themeColor="text1"/>
          <w:sz w:val="22"/>
        </w:rPr>
        <w:t>2</w:t>
      </w:r>
      <w:r w:rsidR="002F0426">
        <w:rPr>
          <w:rFonts w:cs="Arial"/>
          <w:color w:val="000000" w:themeColor="text1"/>
          <w:sz w:val="22"/>
        </w:rPr>
        <w:t>2</w:t>
      </w:r>
      <w:r w:rsidRPr="00F12990">
        <w:rPr>
          <w:rFonts w:cs="Arial"/>
          <w:color w:val="000000" w:themeColor="text1"/>
          <w:sz w:val="22"/>
        </w:rPr>
        <w:t>, which is subject to five exceptions.</w:t>
      </w:r>
    </w:p>
    <w:p w14:paraId="0212658C" w14:textId="78540972"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lastRenderedPageBreak/>
        <w:t>The general method is specified in sub</w:t>
      </w:r>
      <w:r w:rsidR="009E4F38">
        <w:rPr>
          <w:rFonts w:cs="Arial"/>
          <w:color w:val="000000" w:themeColor="text1"/>
          <w:sz w:val="22"/>
        </w:rPr>
        <w:t xml:space="preserve"> </w:t>
      </w:r>
      <w:r w:rsidRPr="00F12990">
        <w:rPr>
          <w:rFonts w:cs="Arial"/>
          <w:color w:val="000000" w:themeColor="text1"/>
          <w:sz w:val="22"/>
        </w:rPr>
        <w:t xml:space="preserve">item 4(2). It involves adding together the ‘earnings component’ for the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dealt with in item 5 of the Determination, and the ‘transaction reporting component’ for the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dealt with in item 6 of the Determination.</w:t>
      </w:r>
    </w:p>
    <w:p w14:paraId="16CE4E08"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The exceptions to the general method are specified in </w:t>
      </w:r>
      <w:proofErr w:type="spellStart"/>
      <w:r w:rsidRPr="00F12990">
        <w:rPr>
          <w:rFonts w:cs="Arial"/>
          <w:color w:val="000000" w:themeColor="text1"/>
          <w:sz w:val="22"/>
        </w:rPr>
        <w:t>subitems</w:t>
      </w:r>
      <w:proofErr w:type="spellEnd"/>
      <w:r w:rsidRPr="00F12990">
        <w:rPr>
          <w:rFonts w:cs="Arial"/>
          <w:color w:val="000000" w:themeColor="text1"/>
          <w:sz w:val="22"/>
        </w:rPr>
        <w:t xml:space="preserve"> 4(3), (4), (5), (6) and (7).</w:t>
      </w:r>
    </w:p>
    <w:p w14:paraId="039435CB" w14:textId="77777777"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4(3) provides a payment threshold of $1,</w:t>
      </w:r>
      <w:r w:rsidR="00E07EC8">
        <w:rPr>
          <w:rFonts w:cs="Arial"/>
          <w:color w:val="000000" w:themeColor="text1"/>
          <w:sz w:val="22"/>
        </w:rPr>
        <w:t>1</w:t>
      </w:r>
      <w:r w:rsidRPr="00F12990">
        <w:rPr>
          <w:rFonts w:cs="Arial"/>
          <w:color w:val="000000" w:themeColor="text1"/>
          <w:sz w:val="22"/>
        </w:rPr>
        <w:t xml:space="preserve">00 for the levy instalment. If the amount calculated in relation to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under </w:t>
      </w:r>
      <w:proofErr w:type="spellStart"/>
      <w:r w:rsidRPr="00F12990">
        <w:rPr>
          <w:rFonts w:cs="Arial"/>
          <w:color w:val="000000" w:themeColor="text1"/>
          <w:sz w:val="22"/>
        </w:rPr>
        <w:t>subitem</w:t>
      </w:r>
      <w:proofErr w:type="spellEnd"/>
      <w:r w:rsidRPr="00F12990">
        <w:rPr>
          <w:rFonts w:cs="Arial"/>
          <w:color w:val="000000" w:themeColor="text1"/>
          <w:sz w:val="22"/>
        </w:rPr>
        <w:t xml:space="preserve"> (2) is less than $1,</w:t>
      </w:r>
      <w:r w:rsidR="00E07EC8">
        <w:rPr>
          <w:rFonts w:cs="Arial"/>
          <w:color w:val="000000" w:themeColor="text1"/>
          <w:sz w:val="22"/>
        </w:rPr>
        <w:t>1</w:t>
      </w:r>
      <w:r w:rsidRPr="00F12990">
        <w:rPr>
          <w:rFonts w:cs="Arial"/>
          <w:color w:val="000000" w:themeColor="text1"/>
          <w:sz w:val="22"/>
        </w:rPr>
        <w:t>00, then the amount payable by that entity is nil.</w:t>
      </w:r>
    </w:p>
    <w:p w14:paraId="67E06FA8" w14:textId="42BBCF27"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4(4) provides a maximum payment amount for the levy instalment, applicable to those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with earnings greater than $5,000,000,000. The amount payable by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w:t>
      </w:r>
      <w:r w:rsidRPr="000927E1">
        <w:rPr>
          <w:rFonts w:cs="Arial"/>
          <w:color w:val="000000" w:themeColor="text1"/>
          <w:sz w:val="22"/>
        </w:rPr>
        <w:t xml:space="preserve">is not part of a group of </w:t>
      </w:r>
      <w:proofErr w:type="spellStart"/>
      <w:r w:rsidRPr="000927E1">
        <w:rPr>
          <w:rFonts w:cs="Arial"/>
          <w:color w:val="000000" w:themeColor="text1"/>
          <w:sz w:val="22"/>
        </w:rPr>
        <w:t>leviable</w:t>
      </w:r>
      <w:proofErr w:type="spellEnd"/>
      <w:r w:rsidRPr="000927E1">
        <w:rPr>
          <w:rFonts w:cs="Arial"/>
          <w:color w:val="000000" w:themeColor="text1"/>
          <w:sz w:val="22"/>
        </w:rPr>
        <w:t xml:space="preserve"> entities and has earnings of greater than $5,000,000,000 is $</w:t>
      </w:r>
      <w:r w:rsidR="00E50198" w:rsidRPr="00E50198">
        <w:rPr>
          <w:rFonts w:cs="Arial"/>
          <w:color w:val="000000" w:themeColor="text1"/>
          <w:sz w:val="22"/>
        </w:rPr>
        <w:t>11,480,616.08</w:t>
      </w:r>
      <w:r w:rsidRPr="000927E1">
        <w:rPr>
          <w:rFonts w:cs="Arial"/>
          <w:color w:val="000000" w:themeColor="text1"/>
          <w:sz w:val="22"/>
        </w:rPr>
        <w:t xml:space="preserve">. The amount payable by a </w:t>
      </w:r>
      <w:proofErr w:type="spellStart"/>
      <w:r w:rsidRPr="000927E1">
        <w:rPr>
          <w:rFonts w:cs="Arial"/>
          <w:color w:val="000000" w:themeColor="text1"/>
          <w:sz w:val="22"/>
        </w:rPr>
        <w:t>leviable</w:t>
      </w:r>
      <w:proofErr w:type="spellEnd"/>
      <w:r w:rsidRPr="000927E1">
        <w:rPr>
          <w:rFonts w:cs="Arial"/>
          <w:color w:val="000000" w:themeColor="text1"/>
          <w:sz w:val="22"/>
        </w:rPr>
        <w:t xml:space="preserve"> entity that is part of a group of </w:t>
      </w:r>
      <w:proofErr w:type="spellStart"/>
      <w:r w:rsidRPr="000927E1">
        <w:rPr>
          <w:rFonts w:cs="Arial"/>
          <w:color w:val="000000" w:themeColor="text1"/>
          <w:sz w:val="22"/>
        </w:rPr>
        <w:t>leviable</w:t>
      </w:r>
      <w:proofErr w:type="spellEnd"/>
      <w:r w:rsidRPr="000927E1">
        <w:rPr>
          <w:rFonts w:cs="Arial"/>
          <w:color w:val="000000" w:themeColor="text1"/>
          <w:sz w:val="22"/>
        </w:rPr>
        <w:t xml:space="preserve"> entities the total earnings for which are greater than $5,000,000,000 is </w:t>
      </w:r>
      <w:r w:rsidR="00552CF0" w:rsidRPr="000927E1">
        <w:rPr>
          <w:rFonts w:cs="Arial"/>
          <w:color w:val="000000" w:themeColor="text1"/>
          <w:sz w:val="22"/>
        </w:rPr>
        <w:t>$</w:t>
      </w:r>
      <w:r w:rsidR="00E50198" w:rsidRPr="00E50198">
        <w:rPr>
          <w:rFonts w:cs="Arial"/>
          <w:color w:val="000000" w:themeColor="text1"/>
          <w:sz w:val="22"/>
        </w:rPr>
        <w:t>11,480,616.08</w:t>
      </w:r>
      <w:r w:rsidR="00E50198">
        <w:rPr>
          <w:rFonts w:cs="Arial"/>
          <w:color w:val="000000" w:themeColor="text1"/>
          <w:sz w:val="22"/>
        </w:rPr>
        <w:t xml:space="preserve"> </w:t>
      </w:r>
      <w:r w:rsidRPr="000927E1">
        <w:rPr>
          <w:rFonts w:cs="Arial"/>
          <w:color w:val="000000" w:themeColor="text1"/>
          <w:sz w:val="22"/>
        </w:rPr>
        <w:t xml:space="preserve">divided by the number of </w:t>
      </w:r>
      <w:proofErr w:type="spellStart"/>
      <w:r w:rsidRPr="000927E1">
        <w:rPr>
          <w:rFonts w:cs="Arial"/>
          <w:color w:val="000000" w:themeColor="text1"/>
          <w:sz w:val="22"/>
        </w:rPr>
        <w:t>leviable</w:t>
      </w:r>
      <w:proofErr w:type="spellEnd"/>
      <w:r w:rsidRPr="000927E1">
        <w:rPr>
          <w:rFonts w:cs="Arial"/>
          <w:color w:val="000000" w:themeColor="text1"/>
          <w:sz w:val="22"/>
        </w:rPr>
        <w:t xml:space="preserve"> entities in the group.</w:t>
      </w:r>
    </w:p>
    <w:p w14:paraId="282861BD" w14:textId="414970EC"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4(5) sets the levy instalment at nil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w:t>
      </w:r>
      <w:r w:rsidR="00AE308B" w:rsidRPr="00AE308B">
        <w:rPr>
          <w:rFonts w:cs="Arial"/>
          <w:color w:val="000000" w:themeColor="text1"/>
          <w:sz w:val="22"/>
        </w:rPr>
        <w:t>in its most recent financial year prior to census date,</w:t>
      </w:r>
      <w:r w:rsidRPr="00F12990">
        <w:rPr>
          <w:rFonts w:cs="Arial"/>
          <w:color w:val="000000" w:themeColor="text1"/>
          <w:sz w:val="22"/>
        </w:rPr>
        <w:t xml:space="preserve"> provided designated services only in the capacity of a remittance affiliate. Entities to which </w:t>
      </w:r>
      <w:proofErr w:type="spellStart"/>
      <w:r w:rsidRPr="00F12990">
        <w:rPr>
          <w:rFonts w:cs="Arial"/>
          <w:color w:val="000000" w:themeColor="text1"/>
          <w:sz w:val="22"/>
        </w:rPr>
        <w:t>subitem</w:t>
      </w:r>
      <w:proofErr w:type="spellEnd"/>
      <w:r w:rsidRPr="00F12990">
        <w:rPr>
          <w:rFonts w:cs="Arial"/>
          <w:color w:val="000000" w:themeColor="text1"/>
          <w:sz w:val="22"/>
        </w:rPr>
        <w:t xml:space="preserve"> 4(5) applies have no amount payable on the basis that AUSTRAC’s primary regulatory relationship will be with remittance network providers rather than remittance affiliates.</w:t>
      </w:r>
    </w:p>
    <w:p w14:paraId="303A641B" w14:textId="77777777"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4(6) sets the levy instalment at nil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on the census day, was a ‘Market Generator’ within the meaning of the National Electricity Rules.</w:t>
      </w:r>
    </w:p>
    <w:p w14:paraId="4B1F2E7C" w14:textId="77777777"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4(7) sets the levy instalment at nil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is a body corporate established for a public purpose by an Act passed by the Commonwealth Parliament.</w:t>
      </w:r>
    </w:p>
    <w:p w14:paraId="06471A40" w14:textId="77777777" w:rsidR="000347F4" w:rsidRPr="00F12990" w:rsidRDefault="000347F4" w:rsidP="00F12990">
      <w:pPr>
        <w:keepNext/>
        <w:keepLines/>
        <w:spacing w:beforeLines="140" w:before="336" w:afterLines="140" w:after="336" w:line="280" w:lineRule="atLeast"/>
        <w:outlineLvl w:val="2"/>
        <w:rPr>
          <w:rFonts w:cs="Arial"/>
          <w:b/>
          <w:bCs/>
          <w:i/>
          <w:color w:val="000000" w:themeColor="text1"/>
          <w:sz w:val="22"/>
        </w:rPr>
      </w:pPr>
      <w:bookmarkStart w:id="18" w:name="_Toc425761617"/>
      <w:bookmarkStart w:id="19" w:name="_Toc425866792"/>
      <w:r w:rsidRPr="00F12990">
        <w:rPr>
          <w:rFonts w:cs="Arial"/>
          <w:b/>
          <w:i/>
          <w:color w:val="000000" w:themeColor="text1"/>
          <w:sz w:val="22"/>
        </w:rPr>
        <w:t>Item 5 – Earnings component</w:t>
      </w:r>
      <w:bookmarkEnd w:id="18"/>
      <w:bookmarkEnd w:id="19"/>
    </w:p>
    <w:p w14:paraId="70C6BC80"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Item 5 sets out a general method for determining the earnings component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which is subject to two exceptions.</w:t>
      </w:r>
    </w:p>
    <w:p w14:paraId="133A5DA2"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The general method is specified in </w:t>
      </w:r>
      <w:proofErr w:type="spellStart"/>
      <w:r w:rsidRPr="00F12990">
        <w:rPr>
          <w:rFonts w:cs="Arial"/>
          <w:color w:val="000000" w:themeColor="text1"/>
          <w:sz w:val="22"/>
        </w:rPr>
        <w:t>subitem</w:t>
      </w:r>
      <w:proofErr w:type="spellEnd"/>
      <w:r w:rsidRPr="00F12990">
        <w:rPr>
          <w:rFonts w:cs="Arial"/>
          <w:color w:val="000000" w:themeColor="text1"/>
          <w:sz w:val="22"/>
        </w:rPr>
        <w:t xml:space="preserve"> 5(2).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is not part of a group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the general method involves multiplying the earnings for the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by </w:t>
      </w:r>
      <w:r w:rsidRPr="00552CF0">
        <w:rPr>
          <w:rFonts w:cs="Arial"/>
          <w:color w:val="000000" w:themeColor="text1"/>
          <w:sz w:val="22"/>
        </w:rPr>
        <w:t>0.04</w:t>
      </w:r>
      <w:r w:rsidR="005D1FA7" w:rsidRPr="00552CF0">
        <w:rPr>
          <w:rFonts w:cs="Arial"/>
          <w:color w:val="000000" w:themeColor="text1"/>
          <w:sz w:val="22"/>
        </w:rPr>
        <w:t>8</w:t>
      </w:r>
      <w:r w:rsidRPr="00552CF0">
        <w:rPr>
          <w:rFonts w:cs="Arial"/>
          <w:color w:val="000000" w:themeColor="text1"/>
          <w:sz w:val="22"/>
        </w:rPr>
        <w:t>%.</w:t>
      </w:r>
      <w:r w:rsidRPr="00F12990">
        <w:rPr>
          <w:rFonts w:cs="Arial"/>
          <w:color w:val="000000" w:themeColor="text1"/>
          <w:sz w:val="22"/>
        </w:rPr>
        <w:t xml:space="preserve">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is part of a group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the general method involves multiplying the total earnings for the group by </w:t>
      </w:r>
      <w:r w:rsidRPr="00552CF0">
        <w:rPr>
          <w:rFonts w:cs="Arial"/>
          <w:color w:val="000000" w:themeColor="text1"/>
          <w:sz w:val="22"/>
        </w:rPr>
        <w:t>0.04</w:t>
      </w:r>
      <w:r w:rsidR="005D1FA7" w:rsidRPr="00552CF0">
        <w:rPr>
          <w:rFonts w:cs="Arial"/>
          <w:color w:val="000000" w:themeColor="text1"/>
          <w:sz w:val="22"/>
        </w:rPr>
        <w:t>8</w:t>
      </w:r>
      <w:r w:rsidRPr="00552CF0">
        <w:rPr>
          <w:rFonts w:cs="Arial"/>
          <w:color w:val="000000" w:themeColor="text1"/>
          <w:sz w:val="22"/>
        </w:rPr>
        <w:t>%</w:t>
      </w:r>
      <w:r w:rsidRPr="00F12990">
        <w:rPr>
          <w:rFonts w:cs="Arial"/>
          <w:color w:val="000000" w:themeColor="text1"/>
          <w:sz w:val="22"/>
        </w:rPr>
        <w:t xml:space="preserve"> and dividing the result by the number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in the group.</w:t>
      </w:r>
    </w:p>
    <w:p w14:paraId="4126CF51"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lastRenderedPageBreak/>
        <w:t xml:space="preserve">The exceptions to the general method are specified in </w:t>
      </w:r>
      <w:proofErr w:type="spellStart"/>
      <w:r w:rsidRPr="00F12990">
        <w:rPr>
          <w:rFonts w:cs="Arial"/>
          <w:color w:val="000000" w:themeColor="text1"/>
          <w:sz w:val="22"/>
        </w:rPr>
        <w:t>subitems</w:t>
      </w:r>
      <w:proofErr w:type="spellEnd"/>
      <w:r w:rsidRPr="00F12990">
        <w:rPr>
          <w:rFonts w:cs="Arial"/>
          <w:color w:val="000000" w:themeColor="text1"/>
          <w:sz w:val="22"/>
        </w:rPr>
        <w:t xml:space="preserve"> 5(3) and (4).</w:t>
      </w:r>
    </w:p>
    <w:p w14:paraId="08EC2A80" w14:textId="77777777"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5(3) provides a payment threshold for the earnings component. It does so by setting the earning component at nil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is not part of a group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and has earnings of less than $100,000,000, 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that is part of a group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the total earnings for which are less than $100,000,000.</w:t>
      </w:r>
    </w:p>
    <w:p w14:paraId="67271C55" w14:textId="0FB4AF9D"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5(4) provides a payment cap for the earnings component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if the amount calculated for that entity under </w:t>
      </w:r>
      <w:proofErr w:type="spellStart"/>
      <w:r w:rsidRPr="00F12990">
        <w:rPr>
          <w:rFonts w:cs="Arial"/>
          <w:color w:val="000000" w:themeColor="text1"/>
          <w:sz w:val="22"/>
        </w:rPr>
        <w:t>subitem</w:t>
      </w:r>
      <w:proofErr w:type="spellEnd"/>
      <w:r w:rsidRPr="00F12990">
        <w:rPr>
          <w:rFonts w:cs="Arial"/>
          <w:color w:val="000000" w:themeColor="text1"/>
          <w:sz w:val="22"/>
        </w:rPr>
        <w:t> (2) is greater than $</w:t>
      </w:r>
      <w:r w:rsidR="002F0426">
        <w:rPr>
          <w:rFonts w:cs="Arial"/>
          <w:color w:val="000000" w:themeColor="text1"/>
          <w:sz w:val="22"/>
        </w:rPr>
        <w:t>5</w:t>
      </w:r>
      <w:r w:rsidRPr="00F12990">
        <w:rPr>
          <w:rFonts w:cs="Arial"/>
          <w:color w:val="000000" w:themeColor="text1"/>
          <w:sz w:val="22"/>
        </w:rPr>
        <w:t>,</w:t>
      </w:r>
      <w:r w:rsidR="002F0426">
        <w:rPr>
          <w:rFonts w:cs="Arial"/>
          <w:color w:val="000000" w:themeColor="text1"/>
          <w:sz w:val="22"/>
        </w:rPr>
        <w:t>0</w:t>
      </w:r>
      <w:r w:rsidRPr="00F12990">
        <w:rPr>
          <w:rFonts w:cs="Arial"/>
          <w:color w:val="000000" w:themeColor="text1"/>
          <w:sz w:val="22"/>
        </w:rPr>
        <w:t xml:space="preserve">00,000.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to which </w:t>
      </w:r>
      <w:proofErr w:type="spellStart"/>
      <w:r w:rsidRPr="00F12990">
        <w:rPr>
          <w:rFonts w:cs="Arial"/>
          <w:color w:val="000000" w:themeColor="text1"/>
          <w:sz w:val="22"/>
        </w:rPr>
        <w:t>subitem</w:t>
      </w:r>
      <w:proofErr w:type="spellEnd"/>
      <w:r w:rsidRPr="00F12990">
        <w:rPr>
          <w:rFonts w:cs="Arial"/>
          <w:color w:val="000000" w:themeColor="text1"/>
          <w:sz w:val="22"/>
        </w:rPr>
        <w:t xml:space="preserve"> 5(4) applies that is not part of a group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the earnings component is set at $</w:t>
      </w:r>
      <w:r w:rsidR="002F0426">
        <w:rPr>
          <w:rFonts w:cs="Arial"/>
          <w:color w:val="000000" w:themeColor="text1"/>
          <w:sz w:val="22"/>
        </w:rPr>
        <w:t>5</w:t>
      </w:r>
      <w:r w:rsidRPr="00F12990">
        <w:rPr>
          <w:rFonts w:cs="Arial"/>
          <w:color w:val="000000" w:themeColor="text1"/>
          <w:sz w:val="22"/>
        </w:rPr>
        <w:t>,</w:t>
      </w:r>
      <w:r w:rsidR="002F0426">
        <w:rPr>
          <w:rFonts w:cs="Arial"/>
          <w:color w:val="000000" w:themeColor="text1"/>
          <w:sz w:val="22"/>
        </w:rPr>
        <w:t>0</w:t>
      </w:r>
      <w:r w:rsidRPr="00F12990">
        <w:rPr>
          <w:rFonts w:cs="Arial"/>
          <w:color w:val="000000" w:themeColor="text1"/>
          <w:sz w:val="22"/>
        </w:rPr>
        <w:t xml:space="preserve">00,000. For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to which </w:t>
      </w:r>
      <w:proofErr w:type="spellStart"/>
      <w:r w:rsidRPr="00F12990">
        <w:rPr>
          <w:rFonts w:cs="Arial"/>
          <w:color w:val="000000" w:themeColor="text1"/>
          <w:sz w:val="22"/>
        </w:rPr>
        <w:t>subitem</w:t>
      </w:r>
      <w:proofErr w:type="spellEnd"/>
      <w:r w:rsidRPr="00F12990">
        <w:rPr>
          <w:rFonts w:cs="Arial"/>
          <w:color w:val="000000" w:themeColor="text1"/>
          <w:sz w:val="22"/>
        </w:rPr>
        <w:t xml:space="preserve"> 5(4) applies that is part of a group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the earnings component is set at $</w:t>
      </w:r>
      <w:r w:rsidR="002F0426">
        <w:rPr>
          <w:rFonts w:cs="Arial"/>
          <w:color w:val="000000" w:themeColor="text1"/>
          <w:sz w:val="22"/>
        </w:rPr>
        <w:t>5</w:t>
      </w:r>
      <w:r w:rsidRPr="00F12990">
        <w:rPr>
          <w:rFonts w:cs="Arial"/>
          <w:color w:val="000000" w:themeColor="text1"/>
          <w:sz w:val="22"/>
        </w:rPr>
        <w:t>,</w:t>
      </w:r>
      <w:r w:rsidR="002F0426">
        <w:rPr>
          <w:rFonts w:cs="Arial"/>
          <w:color w:val="000000" w:themeColor="text1"/>
          <w:sz w:val="22"/>
        </w:rPr>
        <w:t>0</w:t>
      </w:r>
      <w:r w:rsidRPr="00F12990">
        <w:rPr>
          <w:rFonts w:cs="Arial"/>
          <w:color w:val="000000" w:themeColor="text1"/>
          <w:sz w:val="22"/>
        </w:rPr>
        <w:t xml:space="preserve">00,000 divided by the number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in the group.</w:t>
      </w:r>
    </w:p>
    <w:p w14:paraId="6276CCAE" w14:textId="77777777"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20" w:name="_Toc425761618"/>
      <w:bookmarkStart w:id="21" w:name="_Toc425866793"/>
      <w:r w:rsidRPr="00F12990">
        <w:rPr>
          <w:rFonts w:cs="Arial"/>
          <w:b/>
          <w:i/>
          <w:color w:val="000000" w:themeColor="text1"/>
          <w:sz w:val="22"/>
        </w:rPr>
        <w:t>Item 6 – Transaction reporting component</w:t>
      </w:r>
      <w:bookmarkEnd w:id="20"/>
      <w:bookmarkEnd w:id="21"/>
    </w:p>
    <w:p w14:paraId="02972D52" w14:textId="21499F89"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The transaction reporting component is calculated by reference to the TTRs and IFTIs that were lodged with AUSTRAC during the </w:t>
      </w:r>
      <w:r w:rsidR="00152707" w:rsidRPr="00F12990">
        <w:rPr>
          <w:rFonts w:cs="Arial"/>
          <w:color w:val="000000" w:themeColor="text1"/>
          <w:sz w:val="22"/>
        </w:rPr>
        <w:t>20</w:t>
      </w:r>
      <w:r w:rsidR="002F0426">
        <w:rPr>
          <w:rFonts w:cs="Arial"/>
          <w:color w:val="000000" w:themeColor="text1"/>
          <w:sz w:val="22"/>
        </w:rPr>
        <w:t>20</w:t>
      </w:r>
      <w:r w:rsidR="00152707" w:rsidRPr="00F12990">
        <w:rPr>
          <w:rFonts w:cs="Arial"/>
          <w:color w:val="000000" w:themeColor="text1"/>
          <w:sz w:val="22"/>
        </w:rPr>
        <w:t xml:space="preserve"> </w:t>
      </w:r>
      <w:r w:rsidRPr="00F12990">
        <w:rPr>
          <w:rFonts w:cs="Arial"/>
          <w:color w:val="000000" w:themeColor="text1"/>
          <w:sz w:val="22"/>
        </w:rPr>
        <w:t>calendar year.</w:t>
      </w:r>
    </w:p>
    <w:p w14:paraId="5EEC742A" w14:textId="0312E8F3"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6(2) contains a formula for working out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entity’s transaction reporting component. The formula is made up of two elements, one for report volume and one for report value. The report value element that is to be applied is dependent on the total value of reports lodged with AUSTRAC during the </w:t>
      </w:r>
      <w:r w:rsidR="00152707" w:rsidRPr="00F12990">
        <w:rPr>
          <w:rFonts w:cs="Arial"/>
          <w:color w:val="000000" w:themeColor="text1"/>
          <w:sz w:val="22"/>
        </w:rPr>
        <w:t>20</w:t>
      </w:r>
      <w:r w:rsidR="002F0426">
        <w:rPr>
          <w:rFonts w:cs="Arial"/>
          <w:color w:val="000000" w:themeColor="text1"/>
          <w:sz w:val="22"/>
        </w:rPr>
        <w:t>20</w:t>
      </w:r>
      <w:r w:rsidR="00152707" w:rsidRPr="00F12990">
        <w:rPr>
          <w:rFonts w:cs="Arial"/>
          <w:color w:val="000000" w:themeColor="text1"/>
          <w:sz w:val="22"/>
        </w:rPr>
        <w:t xml:space="preserve"> </w:t>
      </w:r>
      <w:r w:rsidRPr="00F12990">
        <w:rPr>
          <w:rFonts w:cs="Arial"/>
          <w:color w:val="000000" w:themeColor="text1"/>
          <w:sz w:val="22"/>
        </w:rPr>
        <w:t>calendar year.</w:t>
      </w:r>
    </w:p>
    <w:p w14:paraId="303149FF"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A higher report value element applies to entities that lodged reports with a total annual value of $15 billion or more. This reflects the government’s decision to recover costs associated with the program: Strengthening Australia’s Defences </w:t>
      </w:r>
      <w:proofErr w:type="gramStart"/>
      <w:r w:rsidRPr="00F12990">
        <w:rPr>
          <w:rFonts w:cs="Arial"/>
          <w:color w:val="000000" w:themeColor="text1"/>
          <w:sz w:val="22"/>
        </w:rPr>
        <w:t>Against</w:t>
      </w:r>
      <w:proofErr w:type="gramEnd"/>
      <w:r w:rsidRPr="00F12990">
        <w:rPr>
          <w:rFonts w:cs="Arial"/>
          <w:color w:val="000000" w:themeColor="text1"/>
          <w:sz w:val="22"/>
        </w:rPr>
        <w:t xml:space="preserve"> Money Laundering and Terrorism Financing from AUSTRAC’s largest reporting entitie</w:t>
      </w:r>
      <w:r w:rsidR="005D1FA7">
        <w:rPr>
          <w:rFonts w:cs="Arial"/>
          <w:color w:val="000000" w:themeColor="text1"/>
          <w:sz w:val="22"/>
        </w:rPr>
        <w:t>s who conduct the most significant transaction reporting by total value of transaction reports.</w:t>
      </w:r>
    </w:p>
    <w:p w14:paraId="6DF09433" w14:textId="77777777"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transaction reporting component is calculated as follows:</w:t>
      </w:r>
    </w:p>
    <w:p w14:paraId="41725D31" w14:textId="77777777" w:rsidR="000347F4" w:rsidRPr="00F12990" w:rsidRDefault="000347F4" w:rsidP="005D1FA7">
      <w:pPr>
        <w:pStyle w:val="ListParagraph"/>
        <w:numPr>
          <w:ilvl w:val="0"/>
          <w:numId w:val="5"/>
        </w:numPr>
        <w:spacing w:beforeLines="140" w:before="336" w:afterLines="140" w:after="336" w:line="280" w:lineRule="atLeast"/>
        <w:ind w:left="284"/>
        <w:rPr>
          <w:rFonts w:cs="Arial"/>
          <w:color w:val="000000" w:themeColor="text1"/>
          <w:sz w:val="22"/>
        </w:rPr>
      </w:pPr>
      <w:r w:rsidRPr="00F12990">
        <w:rPr>
          <w:rFonts w:cs="Arial"/>
          <w:color w:val="000000" w:themeColor="text1"/>
          <w:sz w:val="22"/>
        </w:rPr>
        <w:t>For entities with a total annual report value of less than $15 billion:</w:t>
      </w:r>
    </w:p>
    <w:p w14:paraId="5B6DF398" w14:textId="3F387A3A" w:rsidR="000347F4" w:rsidRPr="000927E1" w:rsidRDefault="000347F4" w:rsidP="005D1FA7">
      <w:pPr>
        <w:pStyle w:val="ListParagraph"/>
        <w:numPr>
          <w:ilvl w:val="0"/>
          <w:numId w:val="6"/>
        </w:numPr>
        <w:spacing w:beforeLines="140" w:before="336" w:afterLines="140" w:after="336" w:line="280" w:lineRule="atLeast"/>
        <w:ind w:left="851"/>
        <w:rPr>
          <w:rFonts w:cs="Arial"/>
          <w:color w:val="000000" w:themeColor="text1"/>
          <w:sz w:val="22"/>
        </w:rPr>
      </w:pPr>
      <w:r w:rsidRPr="000927E1">
        <w:rPr>
          <w:rFonts w:cs="Arial"/>
          <w:color w:val="000000" w:themeColor="text1"/>
          <w:sz w:val="22"/>
        </w:rPr>
        <w:t>1.</w:t>
      </w:r>
      <w:r w:rsidR="005D1FA7" w:rsidRPr="000927E1">
        <w:rPr>
          <w:rFonts w:cs="Arial"/>
          <w:color w:val="000000" w:themeColor="text1"/>
          <w:sz w:val="22"/>
        </w:rPr>
        <w:t>4</w:t>
      </w:r>
      <w:r w:rsidRPr="000927E1">
        <w:rPr>
          <w:rFonts w:cs="Arial"/>
          <w:color w:val="000000" w:themeColor="text1"/>
          <w:sz w:val="22"/>
        </w:rPr>
        <w:t xml:space="preserve"> cents for each </w:t>
      </w:r>
      <w:proofErr w:type="spellStart"/>
      <w:r w:rsidRPr="000927E1">
        <w:rPr>
          <w:rFonts w:cs="Arial"/>
          <w:color w:val="000000" w:themeColor="text1"/>
          <w:sz w:val="22"/>
        </w:rPr>
        <w:t>leviable</w:t>
      </w:r>
      <w:proofErr w:type="spellEnd"/>
      <w:r w:rsidRPr="000927E1">
        <w:rPr>
          <w:rFonts w:cs="Arial"/>
          <w:color w:val="000000" w:themeColor="text1"/>
          <w:sz w:val="22"/>
        </w:rPr>
        <w:t xml:space="preserve"> report made by a </w:t>
      </w:r>
      <w:proofErr w:type="spellStart"/>
      <w:r w:rsidRPr="000927E1">
        <w:rPr>
          <w:rFonts w:cs="Arial"/>
          <w:color w:val="000000" w:themeColor="text1"/>
          <w:sz w:val="22"/>
        </w:rPr>
        <w:t>leviable</w:t>
      </w:r>
      <w:proofErr w:type="spellEnd"/>
      <w:r w:rsidRPr="000927E1">
        <w:rPr>
          <w:rFonts w:cs="Arial"/>
          <w:color w:val="000000" w:themeColor="text1"/>
          <w:sz w:val="22"/>
        </w:rPr>
        <w:t xml:space="preserve"> entity to the AUSTRAC CEO in the 20</w:t>
      </w:r>
      <w:r w:rsidR="002F0426" w:rsidRPr="000927E1">
        <w:rPr>
          <w:rFonts w:cs="Arial"/>
          <w:color w:val="000000" w:themeColor="text1"/>
          <w:sz w:val="22"/>
        </w:rPr>
        <w:t>20</w:t>
      </w:r>
      <w:r w:rsidRPr="000927E1">
        <w:rPr>
          <w:rFonts w:cs="Arial"/>
          <w:color w:val="000000" w:themeColor="text1"/>
          <w:sz w:val="22"/>
        </w:rPr>
        <w:t xml:space="preserve"> calendar year; and</w:t>
      </w:r>
    </w:p>
    <w:p w14:paraId="24270369" w14:textId="64D34951" w:rsidR="000347F4" w:rsidRPr="000927E1" w:rsidRDefault="000347F4" w:rsidP="002F0426">
      <w:pPr>
        <w:pStyle w:val="ListParagraph"/>
        <w:numPr>
          <w:ilvl w:val="0"/>
          <w:numId w:val="6"/>
        </w:numPr>
        <w:spacing w:beforeLines="140" w:before="336" w:afterLines="140" w:after="336" w:line="280" w:lineRule="atLeast"/>
        <w:ind w:left="851"/>
        <w:rPr>
          <w:rFonts w:cs="Arial"/>
          <w:color w:val="000000" w:themeColor="text1"/>
          <w:sz w:val="22"/>
        </w:rPr>
      </w:pPr>
      <w:r w:rsidRPr="000927E1">
        <w:rPr>
          <w:rFonts w:cs="Arial"/>
          <w:color w:val="000000" w:themeColor="text1"/>
          <w:sz w:val="22"/>
        </w:rPr>
        <w:t>0.</w:t>
      </w:r>
      <w:r w:rsidR="00081E9B" w:rsidRPr="00122D57">
        <w:rPr>
          <w:rFonts w:cs="Arial"/>
          <w:color w:val="000000" w:themeColor="text1"/>
          <w:sz w:val="22"/>
        </w:rPr>
        <w:t>000</w:t>
      </w:r>
      <w:r w:rsidR="00E50198">
        <w:rPr>
          <w:rFonts w:cs="Arial"/>
          <w:color w:val="000000" w:themeColor="text1"/>
          <w:sz w:val="22"/>
        </w:rPr>
        <w:t>70301</w:t>
      </w:r>
      <w:r w:rsidR="00081E9B" w:rsidRPr="00122D57">
        <w:rPr>
          <w:rFonts w:cs="Arial"/>
          <w:color w:val="000000" w:themeColor="text1"/>
          <w:sz w:val="22"/>
        </w:rPr>
        <w:t xml:space="preserve"> </w:t>
      </w:r>
      <w:r w:rsidRPr="00122D57">
        <w:rPr>
          <w:rFonts w:cs="Arial"/>
          <w:color w:val="000000" w:themeColor="text1"/>
          <w:sz w:val="22"/>
        </w:rPr>
        <w:t>per</w:t>
      </w:r>
      <w:r w:rsidRPr="000927E1">
        <w:rPr>
          <w:rFonts w:cs="Arial"/>
          <w:color w:val="000000" w:themeColor="text1"/>
          <w:sz w:val="22"/>
        </w:rPr>
        <w:t xml:space="preserve"> cent of the value of the transaction to which the </w:t>
      </w:r>
      <w:proofErr w:type="spellStart"/>
      <w:r w:rsidRPr="000927E1">
        <w:rPr>
          <w:rFonts w:cs="Arial"/>
          <w:color w:val="000000" w:themeColor="text1"/>
          <w:sz w:val="22"/>
        </w:rPr>
        <w:t>leviable</w:t>
      </w:r>
      <w:proofErr w:type="spellEnd"/>
      <w:r w:rsidRPr="000927E1">
        <w:rPr>
          <w:rFonts w:cs="Arial"/>
          <w:color w:val="000000" w:themeColor="text1"/>
          <w:sz w:val="22"/>
        </w:rPr>
        <w:t xml:space="preserve"> report relates.</w:t>
      </w:r>
    </w:p>
    <w:p w14:paraId="07BA89EC" w14:textId="77777777" w:rsidR="000347F4" w:rsidRPr="000927E1" w:rsidRDefault="000347F4" w:rsidP="005D1FA7">
      <w:pPr>
        <w:pStyle w:val="ListParagraph"/>
        <w:numPr>
          <w:ilvl w:val="0"/>
          <w:numId w:val="5"/>
        </w:numPr>
        <w:spacing w:beforeLines="140" w:before="336" w:afterLines="140" w:after="336" w:line="280" w:lineRule="atLeast"/>
        <w:ind w:left="284"/>
        <w:rPr>
          <w:rFonts w:cs="Arial"/>
          <w:color w:val="000000" w:themeColor="text1"/>
          <w:sz w:val="22"/>
        </w:rPr>
      </w:pPr>
      <w:r w:rsidRPr="000927E1">
        <w:rPr>
          <w:rFonts w:cs="Arial"/>
          <w:color w:val="000000" w:themeColor="text1"/>
          <w:sz w:val="22"/>
        </w:rPr>
        <w:lastRenderedPageBreak/>
        <w:t>For entities with a total annual report value of $15 billion or more:</w:t>
      </w:r>
    </w:p>
    <w:p w14:paraId="1A49CDBF" w14:textId="0073E756" w:rsidR="000347F4" w:rsidRPr="000927E1" w:rsidRDefault="000347F4" w:rsidP="005D1FA7">
      <w:pPr>
        <w:pStyle w:val="ListParagraph"/>
        <w:numPr>
          <w:ilvl w:val="0"/>
          <w:numId w:val="6"/>
        </w:numPr>
        <w:spacing w:beforeLines="140" w:before="336" w:afterLines="140" w:after="336" w:line="280" w:lineRule="atLeast"/>
        <w:ind w:left="851"/>
        <w:rPr>
          <w:rFonts w:cs="Arial"/>
          <w:color w:val="000000" w:themeColor="text1"/>
          <w:sz w:val="22"/>
        </w:rPr>
      </w:pPr>
      <w:r w:rsidRPr="000927E1">
        <w:rPr>
          <w:rFonts w:cs="Arial"/>
          <w:color w:val="000000" w:themeColor="text1"/>
          <w:sz w:val="22"/>
        </w:rPr>
        <w:t>1.</w:t>
      </w:r>
      <w:r w:rsidR="005D1FA7" w:rsidRPr="000927E1">
        <w:rPr>
          <w:rFonts w:cs="Arial"/>
          <w:color w:val="000000" w:themeColor="text1"/>
          <w:sz w:val="22"/>
        </w:rPr>
        <w:t>4</w:t>
      </w:r>
      <w:r w:rsidRPr="000927E1">
        <w:rPr>
          <w:rFonts w:cs="Arial"/>
          <w:color w:val="000000" w:themeColor="text1"/>
          <w:sz w:val="22"/>
        </w:rPr>
        <w:t xml:space="preserve"> cents for each </w:t>
      </w:r>
      <w:proofErr w:type="spellStart"/>
      <w:r w:rsidRPr="000927E1">
        <w:rPr>
          <w:rFonts w:cs="Arial"/>
          <w:color w:val="000000" w:themeColor="text1"/>
          <w:sz w:val="22"/>
        </w:rPr>
        <w:t>leviable</w:t>
      </w:r>
      <w:proofErr w:type="spellEnd"/>
      <w:r w:rsidRPr="000927E1">
        <w:rPr>
          <w:rFonts w:cs="Arial"/>
          <w:color w:val="000000" w:themeColor="text1"/>
          <w:sz w:val="22"/>
        </w:rPr>
        <w:t xml:space="preserve"> report made by a </w:t>
      </w:r>
      <w:proofErr w:type="spellStart"/>
      <w:r w:rsidRPr="000927E1">
        <w:rPr>
          <w:rFonts w:cs="Arial"/>
          <w:color w:val="000000" w:themeColor="text1"/>
          <w:sz w:val="22"/>
        </w:rPr>
        <w:t>leviable</w:t>
      </w:r>
      <w:proofErr w:type="spellEnd"/>
      <w:r w:rsidRPr="000927E1">
        <w:rPr>
          <w:rFonts w:cs="Arial"/>
          <w:color w:val="000000" w:themeColor="text1"/>
          <w:sz w:val="22"/>
        </w:rPr>
        <w:t xml:space="preserve"> entity to the AUSTRAC CEO in the </w:t>
      </w:r>
      <w:r w:rsidR="008A5969" w:rsidRPr="000927E1">
        <w:rPr>
          <w:rFonts w:cs="Arial"/>
          <w:color w:val="000000" w:themeColor="text1"/>
          <w:sz w:val="22"/>
        </w:rPr>
        <w:t>20</w:t>
      </w:r>
      <w:r w:rsidR="002F0426" w:rsidRPr="000927E1">
        <w:rPr>
          <w:rFonts w:cs="Arial"/>
          <w:color w:val="000000" w:themeColor="text1"/>
          <w:sz w:val="22"/>
        </w:rPr>
        <w:t>20</w:t>
      </w:r>
      <w:r w:rsidR="008A5969" w:rsidRPr="000927E1">
        <w:rPr>
          <w:rFonts w:cs="Arial"/>
          <w:color w:val="000000" w:themeColor="text1"/>
          <w:sz w:val="22"/>
        </w:rPr>
        <w:t xml:space="preserve"> </w:t>
      </w:r>
      <w:r w:rsidRPr="000927E1">
        <w:rPr>
          <w:rFonts w:cs="Arial"/>
          <w:color w:val="000000" w:themeColor="text1"/>
          <w:sz w:val="22"/>
        </w:rPr>
        <w:t>calendar year; and</w:t>
      </w:r>
    </w:p>
    <w:p w14:paraId="1C66D5E8" w14:textId="3421B80B" w:rsidR="000347F4" w:rsidRPr="000927E1" w:rsidRDefault="000347F4" w:rsidP="005D1FA7">
      <w:pPr>
        <w:pStyle w:val="ListParagraph"/>
        <w:numPr>
          <w:ilvl w:val="0"/>
          <w:numId w:val="6"/>
        </w:numPr>
        <w:spacing w:beforeLines="140" w:before="336" w:afterLines="140" w:after="336" w:line="280" w:lineRule="atLeast"/>
        <w:ind w:left="851"/>
        <w:rPr>
          <w:rFonts w:cs="Arial"/>
          <w:color w:val="000000" w:themeColor="text1"/>
          <w:sz w:val="22"/>
        </w:rPr>
      </w:pPr>
      <w:r w:rsidRPr="000927E1">
        <w:rPr>
          <w:rFonts w:cs="Arial"/>
          <w:color w:val="000000" w:themeColor="text1"/>
          <w:sz w:val="22"/>
        </w:rPr>
        <w:t>0</w:t>
      </w:r>
      <w:r w:rsidRPr="00122D57">
        <w:rPr>
          <w:rFonts w:cs="Arial"/>
          <w:color w:val="000000" w:themeColor="text1"/>
          <w:sz w:val="22"/>
        </w:rPr>
        <w:t>.</w:t>
      </w:r>
      <w:r w:rsidR="00081E9B" w:rsidRPr="00122D57">
        <w:rPr>
          <w:rFonts w:cs="Arial"/>
          <w:color w:val="000000" w:themeColor="text1"/>
          <w:sz w:val="22"/>
        </w:rPr>
        <w:t>00</w:t>
      </w:r>
      <w:r w:rsidR="001D59DA" w:rsidRPr="000927E1">
        <w:rPr>
          <w:rFonts w:cs="Arial"/>
          <w:color w:val="000000" w:themeColor="text1"/>
          <w:sz w:val="22"/>
        </w:rPr>
        <w:t>09</w:t>
      </w:r>
      <w:r w:rsidR="00E50198">
        <w:rPr>
          <w:rFonts w:cs="Arial"/>
          <w:color w:val="000000" w:themeColor="text1"/>
          <w:sz w:val="22"/>
        </w:rPr>
        <w:t>2328</w:t>
      </w:r>
      <w:r w:rsidR="00081E9B" w:rsidRPr="000927E1">
        <w:rPr>
          <w:rFonts w:cs="Arial"/>
          <w:color w:val="000000" w:themeColor="text1"/>
          <w:sz w:val="22"/>
        </w:rPr>
        <w:t xml:space="preserve"> </w:t>
      </w:r>
      <w:r w:rsidRPr="000927E1">
        <w:rPr>
          <w:rFonts w:cs="Arial"/>
          <w:color w:val="000000" w:themeColor="text1"/>
          <w:sz w:val="22"/>
        </w:rPr>
        <w:t xml:space="preserve">per cent of the value of the transaction to which the </w:t>
      </w:r>
      <w:proofErr w:type="spellStart"/>
      <w:r w:rsidRPr="000927E1">
        <w:rPr>
          <w:rFonts w:cs="Arial"/>
          <w:color w:val="000000" w:themeColor="text1"/>
          <w:sz w:val="22"/>
        </w:rPr>
        <w:t>leviable</w:t>
      </w:r>
      <w:proofErr w:type="spellEnd"/>
      <w:r w:rsidRPr="000927E1">
        <w:rPr>
          <w:rFonts w:cs="Arial"/>
          <w:color w:val="000000" w:themeColor="text1"/>
          <w:sz w:val="22"/>
        </w:rPr>
        <w:t xml:space="preserve"> report relates.</w:t>
      </w:r>
    </w:p>
    <w:p w14:paraId="3028DDA1" w14:textId="77777777" w:rsidR="000347F4" w:rsidRPr="00F12990"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6(3) prevents ‘double-counting’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reports in the application of the formula in </w:t>
      </w:r>
      <w:proofErr w:type="spellStart"/>
      <w:r w:rsidRPr="00F12990">
        <w:rPr>
          <w:rFonts w:cs="Arial"/>
          <w:color w:val="000000" w:themeColor="text1"/>
          <w:sz w:val="22"/>
        </w:rPr>
        <w:t>subitem</w:t>
      </w:r>
      <w:proofErr w:type="spellEnd"/>
      <w:r w:rsidRPr="00F12990">
        <w:rPr>
          <w:rFonts w:cs="Arial"/>
          <w:color w:val="000000" w:themeColor="text1"/>
          <w:sz w:val="22"/>
        </w:rPr>
        <w:t xml:space="preserve"> (2) to different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w:t>
      </w:r>
    </w:p>
    <w:p w14:paraId="2ACB33BE" w14:textId="46045DF1" w:rsidR="000347F4" w:rsidRDefault="000347F4" w:rsidP="00F12990">
      <w:pPr>
        <w:spacing w:beforeLines="140" w:before="336" w:afterLines="140" w:after="336" w:line="280" w:lineRule="atLeast"/>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6(4) is included to avoid doubt as to what is meant by the ‘value of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report’ in </w:t>
      </w:r>
      <w:proofErr w:type="spellStart"/>
      <w:r w:rsidRPr="00F12990">
        <w:rPr>
          <w:rFonts w:cs="Arial"/>
          <w:color w:val="000000" w:themeColor="text1"/>
          <w:sz w:val="22"/>
        </w:rPr>
        <w:t>subitem</w:t>
      </w:r>
      <w:proofErr w:type="spellEnd"/>
      <w:r w:rsidRPr="00F12990">
        <w:rPr>
          <w:rFonts w:cs="Arial"/>
          <w:color w:val="000000" w:themeColor="text1"/>
          <w:sz w:val="22"/>
        </w:rPr>
        <w:t xml:space="preserve"> (2).</w:t>
      </w:r>
    </w:p>
    <w:p w14:paraId="7EBE96D4" w14:textId="13754FDA" w:rsidR="00F005A8" w:rsidRDefault="002F0426" w:rsidP="00F005A8">
      <w:pPr>
        <w:spacing w:beforeLines="140" w:before="336" w:afterLines="140" w:after="336" w:line="280" w:lineRule="atLeast"/>
        <w:rPr>
          <w:rFonts w:cs="Arial"/>
          <w:color w:val="000000" w:themeColor="text1"/>
          <w:sz w:val="22"/>
        </w:rPr>
      </w:pPr>
      <w:proofErr w:type="spellStart"/>
      <w:r w:rsidRPr="00122D57">
        <w:rPr>
          <w:rFonts w:cs="Arial"/>
          <w:color w:val="000000" w:themeColor="text1"/>
          <w:sz w:val="22"/>
        </w:rPr>
        <w:t>Subitem</w:t>
      </w:r>
      <w:proofErr w:type="spellEnd"/>
      <w:r w:rsidRPr="00122D57">
        <w:rPr>
          <w:rFonts w:cs="Arial"/>
          <w:color w:val="000000" w:themeColor="text1"/>
          <w:sz w:val="22"/>
        </w:rPr>
        <w:t xml:space="preserve"> 6(5) provides a payment cap for the transaction component for a </w:t>
      </w:r>
      <w:proofErr w:type="spellStart"/>
      <w:r w:rsidRPr="00122D57">
        <w:rPr>
          <w:rFonts w:cs="Arial"/>
          <w:color w:val="000000" w:themeColor="text1"/>
          <w:sz w:val="22"/>
        </w:rPr>
        <w:t>leviable</w:t>
      </w:r>
      <w:proofErr w:type="spellEnd"/>
      <w:r w:rsidRPr="00122D57">
        <w:rPr>
          <w:rFonts w:cs="Arial"/>
          <w:color w:val="000000" w:themeColor="text1"/>
          <w:sz w:val="22"/>
        </w:rPr>
        <w:t xml:space="preserve"> entity if the amount calculated for that entity under </w:t>
      </w:r>
      <w:proofErr w:type="spellStart"/>
      <w:r w:rsidRPr="00122D57">
        <w:rPr>
          <w:rFonts w:cs="Arial"/>
          <w:color w:val="000000" w:themeColor="text1"/>
          <w:sz w:val="22"/>
        </w:rPr>
        <w:t>s</w:t>
      </w:r>
      <w:r w:rsidR="00F005A8">
        <w:rPr>
          <w:rFonts w:cs="Arial"/>
          <w:color w:val="000000" w:themeColor="text1"/>
          <w:sz w:val="22"/>
        </w:rPr>
        <w:t>ubitem</w:t>
      </w:r>
      <w:proofErr w:type="spellEnd"/>
      <w:r w:rsidR="00F005A8">
        <w:rPr>
          <w:rFonts w:cs="Arial"/>
          <w:color w:val="000000" w:themeColor="text1"/>
          <w:sz w:val="22"/>
        </w:rPr>
        <w:t> (2)(a) is greater than $14,000,000,</w:t>
      </w:r>
      <w:r w:rsidR="00F005A8" w:rsidRPr="00F005A8">
        <w:rPr>
          <w:rFonts w:cs="Arial"/>
          <w:color w:val="000000" w:themeColor="text1"/>
          <w:sz w:val="22"/>
        </w:rPr>
        <w:t xml:space="preserve"> then the total transaction reporting component for the entity is $14,000,000.</w:t>
      </w:r>
      <w:r w:rsidRPr="00122D57">
        <w:rPr>
          <w:rFonts w:cs="Arial"/>
          <w:color w:val="000000" w:themeColor="text1"/>
          <w:sz w:val="22"/>
        </w:rPr>
        <w:t xml:space="preserve">  </w:t>
      </w:r>
    </w:p>
    <w:p w14:paraId="4A8B9680" w14:textId="1F12FE1F" w:rsidR="006E3071" w:rsidRPr="00F005A8" w:rsidRDefault="006E3071" w:rsidP="00F005A8">
      <w:pPr>
        <w:spacing w:beforeLines="140" w:before="336" w:afterLines="140" w:after="336" w:line="280" w:lineRule="atLeast"/>
        <w:rPr>
          <w:rFonts w:cs="Arial"/>
          <w:color w:val="000000" w:themeColor="text1"/>
          <w:sz w:val="22"/>
        </w:rPr>
      </w:pPr>
      <w:proofErr w:type="spellStart"/>
      <w:r w:rsidRPr="00F005A8">
        <w:rPr>
          <w:rFonts w:cs="Arial"/>
          <w:color w:val="000000" w:themeColor="text1"/>
          <w:sz w:val="22"/>
        </w:rPr>
        <w:t>Subitem</w:t>
      </w:r>
      <w:proofErr w:type="spellEnd"/>
      <w:r w:rsidRPr="00F005A8">
        <w:rPr>
          <w:rFonts w:cs="Arial"/>
          <w:color w:val="000000" w:themeColor="text1"/>
          <w:sz w:val="22"/>
        </w:rPr>
        <w:t xml:space="preserve"> 6(6) provides a payment cap for the transaction component for a </w:t>
      </w:r>
      <w:proofErr w:type="spellStart"/>
      <w:r w:rsidRPr="00F005A8">
        <w:rPr>
          <w:rFonts w:cs="Arial"/>
          <w:color w:val="000000" w:themeColor="text1"/>
          <w:sz w:val="22"/>
        </w:rPr>
        <w:t>levilable</w:t>
      </w:r>
      <w:proofErr w:type="spellEnd"/>
      <w:r w:rsidRPr="00F005A8">
        <w:rPr>
          <w:rFonts w:cs="Arial"/>
          <w:color w:val="000000" w:themeColor="text1"/>
          <w:sz w:val="22"/>
        </w:rPr>
        <w:t xml:space="preserve"> entity If the </w:t>
      </w:r>
      <w:r w:rsidR="00F005A8">
        <w:rPr>
          <w:rFonts w:cs="Arial"/>
          <w:color w:val="000000" w:themeColor="text1"/>
          <w:sz w:val="22"/>
        </w:rPr>
        <w:t>amount calculated for that</w:t>
      </w:r>
      <w:r w:rsidRPr="00F005A8">
        <w:rPr>
          <w:rFonts w:cs="Arial"/>
          <w:color w:val="000000" w:themeColor="text1"/>
          <w:sz w:val="22"/>
        </w:rPr>
        <w:t xml:space="preserve"> entity under </w:t>
      </w:r>
      <w:proofErr w:type="spellStart"/>
      <w:r w:rsidRPr="00F005A8">
        <w:rPr>
          <w:rFonts w:cs="Arial"/>
          <w:color w:val="000000" w:themeColor="text1"/>
          <w:sz w:val="22"/>
        </w:rPr>
        <w:t>subitem</w:t>
      </w:r>
      <w:proofErr w:type="spellEnd"/>
      <w:r w:rsidRPr="00F005A8">
        <w:rPr>
          <w:rFonts w:cs="Arial"/>
          <w:color w:val="000000" w:themeColor="text1"/>
          <w:sz w:val="22"/>
        </w:rPr>
        <w:t xml:space="preserve"> (2</w:t>
      </w:r>
      <w:proofErr w:type="gramStart"/>
      <w:r w:rsidRPr="00F005A8">
        <w:rPr>
          <w:rFonts w:cs="Arial"/>
          <w:color w:val="000000" w:themeColor="text1"/>
          <w:sz w:val="22"/>
        </w:rPr>
        <w:t>)(</w:t>
      </w:r>
      <w:proofErr w:type="gramEnd"/>
      <w:r w:rsidRPr="00F005A8">
        <w:rPr>
          <w:rFonts w:cs="Arial"/>
          <w:color w:val="000000" w:themeColor="text1"/>
          <w:sz w:val="22"/>
        </w:rPr>
        <w:t>b) is greater than $14,000,000, then the total transaction reporting component for the entity is $14,000,000.</w:t>
      </w:r>
    </w:p>
    <w:p w14:paraId="508CDA16" w14:textId="77777777" w:rsidR="000347F4" w:rsidRPr="00F12990" w:rsidRDefault="000347F4" w:rsidP="00F12990">
      <w:pPr>
        <w:spacing w:beforeLines="140" w:before="336" w:afterLines="140" w:after="336" w:line="280" w:lineRule="atLeast"/>
        <w:rPr>
          <w:rFonts w:cs="Arial"/>
          <w:color w:val="000000" w:themeColor="text1"/>
          <w:sz w:val="22"/>
        </w:rPr>
      </w:pPr>
    </w:p>
    <w:p w14:paraId="46976492" w14:textId="77777777" w:rsidR="000347F4" w:rsidRPr="00F12990" w:rsidRDefault="000347F4" w:rsidP="00F12990">
      <w:pPr>
        <w:spacing w:before="140" w:after="140" w:line="280" w:lineRule="atLeast"/>
        <w:rPr>
          <w:rFonts w:cs="Arial"/>
          <w:color w:val="000000" w:themeColor="text1"/>
          <w:sz w:val="22"/>
        </w:rPr>
      </w:pPr>
      <w:r w:rsidRPr="00F12990">
        <w:rPr>
          <w:rFonts w:cs="Arial"/>
          <w:b/>
          <w:bCs/>
          <w:caps/>
          <w:kern w:val="32"/>
          <w:sz w:val="22"/>
        </w:rPr>
        <w:br w:type="page"/>
      </w:r>
    </w:p>
    <w:p w14:paraId="38FA0211" w14:textId="77777777" w:rsidR="000347F4" w:rsidRPr="00F12990" w:rsidRDefault="000347F4" w:rsidP="00F12990">
      <w:pPr>
        <w:rPr>
          <w:rFonts w:cs="Arial"/>
          <w:sz w:val="22"/>
        </w:rPr>
      </w:pPr>
      <w:bookmarkStart w:id="22" w:name="_Toc425761619"/>
      <w:bookmarkStart w:id="23" w:name="_Toc425866794"/>
      <w:bookmarkStart w:id="24" w:name="_Toc425927185"/>
    </w:p>
    <w:p w14:paraId="6A2E1586" w14:textId="77777777" w:rsidR="000347F4" w:rsidRPr="00F12990" w:rsidRDefault="000347F4" w:rsidP="00F12990">
      <w:pPr>
        <w:keepNext/>
        <w:keepLines/>
        <w:pBdr>
          <w:top w:val="double" w:sz="4" w:space="0" w:color="auto"/>
          <w:left w:val="double" w:sz="4" w:space="4" w:color="auto"/>
          <w:bottom w:val="double" w:sz="4" w:space="1" w:color="auto"/>
          <w:right w:val="double" w:sz="4" w:space="4" w:color="auto"/>
        </w:pBdr>
        <w:spacing w:before="200" w:after="0" w:line="280" w:lineRule="atLeast"/>
        <w:jc w:val="center"/>
        <w:outlineLvl w:val="0"/>
        <w:rPr>
          <w:rFonts w:cs="Arial"/>
          <w:b/>
          <w:bCs/>
          <w:caps/>
          <w:color w:val="000000" w:themeColor="text1"/>
          <w:kern w:val="32"/>
          <w:sz w:val="22"/>
        </w:rPr>
      </w:pPr>
      <w:bookmarkStart w:id="25" w:name="_Toc513021556"/>
      <w:r w:rsidRPr="00F12990">
        <w:rPr>
          <w:rFonts w:cs="Arial"/>
          <w:b/>
          <w:bCs/>
          <w:caps/>
          <w:color w:val="000000" w:themeColor="text1"/>
          <w:kern w:val="32"/>
          <w:sz w:val="22"/>
        </w:rPr>
        <w:t>Statement of Compatibility with Human Rights</w:t>
      </w:r>
      <w:bookmarkEnd w:id="22"/>
      <w:bookmarkEnd w:id="23"/>
      <w:bookmarkEnd w:id="24"/>
      <w:bookmarkEnd w:id="25"/>
    </w:p>
    <w:p w14:paraId="04FC9D3C"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i/>
          <w:color w:val="000000" w:themeColor="text1"/>
          <w:sz w:val="22"/>
        </w:rPr>
      </w:pPr>
      <w:r w:rsidRPr="00F12990">
        <w:rPr>
          <w:rFonts w:cs="Arial"/>
          <w:i/>
          <w:color w:val="000000" w:themeColor="text1"/>
          <w:sz w:val="22"/>
        </w:rPr>
        <w:t>Prepared in accordance with Part 3 of the</w:t>
      </w:r>
      <w:r w:rsidRPr="00F12990">
        <w:rPr>
          <w:rFonts w:cs="Arial"/>
          <w:i/>
          <w:color w:val="000000" w:themeColor="text1"/>
          <w:sz w:val="22"/>
        </w:rPr>
        <w:br/>
        <w:t>Human Rights (Parliamentary Scrutiny) Act 2011</w:t>
      </w:r>
    </w:p>
    <w:p w14:paraId="6A28BB52" w14:textId="7E171312"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b/>
          <w:i/>
          <w:color w:val="000000" w:themeColor="text1"/>
          <w:sz w:val="22"/>
        </w:rPr>
      </w:pPr>
      <w:r w:rsidRPr="00F12990">
        <w:rPr>
          <w:rFonts w:cs="Arial"/>
          <w:b/>
          <w:i/>
          <w:color w:val="000000" w:themeColor="text1"/>
          <w:sz w:val="22"/>
        </w:rPr>
        <w:t>Australian Transaction Reports and Analysis Centre Industry</w:t>
      </w:r>
      <w:r w:rsidR="00916997">
        <w:rPr>
          <w:rFonts w:cs="Arial"/>
          <w:b/>
          <w:i/>
          <w:color w:val="000000" w:themeColor="text1"/>
          <w:sz w:val="22"/>
        </w:rPr>
        <w:t xml:space="preserve"> Contribution Determination </w:t>
      </w:r>
      <w:r w:rsidR="00152707">
        <w:rPr>
          <w:rFonts w:cs="Arial"/>
          <w:b/>
          <w:i/>
          <w:color w:val="000000" w:themeColor="text1"/>
          <w:sz w:val="22"/>
        </w:rPr>
        <w:t>202</w:t>
      </w:r>
      <w:r w:rsidR="00AE151F">
        <w:rPr>
          <w:rFonts w:cs="Arial"/>
          <w:b/>
          <w:i/>
          <w:color w:val="000000" w:themeColor="text1"/>
          <w:sz w:val="22"/>
        </w:rPr>
        <w:t>2</w:t>
      </w:r>
      <w:r w:rsidR="00152707" w:rsidRPr="00F12990">
        <w:rPr>
          <w:rFonts w:cs="Arial"/>
          <w:b/>
          <w:i/>
          <w:color w:val="000000" w:themeColor="text1"/>
          <w:sz w:val="22"/>
        </w:rPr>
        <w:t xml:space="preserve"> </w:t>
      </w:r>
      <w:r w:rsidRPr="00F12990">
        <w:rPr>
          <w:rFonts w:cs="Arial"/>
          <w:b/>
          <w:i/>
          <w:color w:val="000000" w:themeColor="text1"/>
          <w:sz w:val="22"/>
        </w:rPr>
        <w:t>(No. 1)</w:t>
      </w:r>
    </w:p>
    <w:p w14:paraId="37A71F4B"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color w:val="000000" w:themeColor="text1"/>
          <w:sz w:val="22"/>
        </w:rPr>
      </w:pPr>
      <w:r w:rsidRPr="00F12990">
        <w:rPr>
          <w:rFonts w:cs="Arial"/>
          <w:color w:val="000000" w:themeColor="text1"/>
          <w:sz w:val="22"/>
        </w:rPr>
        <w:t xml:space="preserve">This Determination is compatible with the human rights and freedoms recognised or declared in the international instruments listed in section 3 of the </w:t>
      </w:r>
      <w:r w:rsidRPr="00F12990">
        <w:rPr>
          <w:rFonts w:cs="Arial"/>
          <w:i/>
          <w:color w:val="000000" w:themeColor="text1"/>
          <w:sz w:val="22"/>
        </w:rPr>
        <w:t>Human Rights (Parliamentary Scrutiny) Act 2011</w:t>
      </w:r>
      <w:r w:rsidRPr="00F12990">
        <w:rPr>
          <w:rFonts w:cs="Arial"/>
          <w:color w:val="000000" w:themeColor="text1"/>
          <w:sz w:val="22"/>
        </w:rPr>
        <w:t>.</w:t>
      </w:r>
    </w:p>
    <w:p w14:paraId="2168464E"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color w:val="000000" w:themeColor="text1"/>
          <w:sz w:val="22"/>
        </w:rPr>
      </w:pPr>
    </w:p>
    <w:p w14:paraId="385DF1CF"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sz w:val="22"/>
        </w:rPr>
      </w:pPr>
      <w:r w:rsidRPr="00F12990">
        <w:rPr>
          <w:rFonts w:cs="Arial"/>
          <w:b/>
          <w:color w:val="000000" w:themeColor="text1"/>
          <w:sz w:val="22"/>
        </w:rPr>
        <w:t>Overview of the legislative instrument</w:t>
      </w:r>
    </w:p>
    <w:p w14:paraId="07125304"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 xml:space="preserve">The </w:t>
      </w:r>
      <w:r w:rsidRPr="00F12990">
        <w:rPr>
          <w:rFonts w:cs="Arial"/>
          <w:i/>
          <w:color w:val="000000" w:themeColor="text1"/>
          <w:sz w:val="22"/>
        </w:rPr>
        <w:t>Australian Transaction Reports and Analysis Centre Industry Contribution Act 2011</w:t>
      </w:r>
      <w:r w:rsidRPr="00F12990">
        <w:rPr>
          <w:rFonts w:cs="Arial"/>
          <w:color w:val="000000" w:themeColor="text1"/>
          <w:sz w:val="22"/>
        </w:rPr>
        <w:t xml:space="preserve"> (Industry Contribution Act) imposes a levy on certain entities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 which are regulated under the </w:t>
      </w:r>
      <w:r w:rsidRPr="00F12990">
        <w:rPr>
          <w:rFonts w:cs="Arial"/>
          <w:i/>
          <w:color w:val="000000" w:themeColor="text1"/>
          <w:sz w:val="22"/>
        </w:rPr>
        <w:t xml:space="preserve">Anti-Money Laundering and Counter-Terrorism Financing Act 2006 </w:t>
      </w:r>
      <w:r w:rsidRPr="00F12990">
        <w:rPr>
          <w:rFonts w:cs="Arial"/>
          <w:color w:val="000000" w:themeColor="text1"/>
          <w:sz w:val="22"/>
        </w:rPr>
        <w:t xml:space="preserve">and supervised by the Australian Transaction Reports and Analysis Centre. Subsection 9(1) of the Industry Contribution Act provides for the Minister, by legislative instrument, to determine the amount of an instalment of levy payable by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for a financial year.</w:t>
      </w:r>
    </w:p>
    <w:p w14:paraId="6507787F" w14:textId="25E18162"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 xml:space="preserve">This Determination is made by the Minister for </w:t>
      </w:r>
      <w:r w:rsidR="00973999">
        <w:rPr>
          <w:rFonts w:cs="Arial"/>
          <w:color w:val="000000" w:themeColor="text1"/>
          <w:sz w:val="22"/>
        </w:rPr>
        <w:t>Home Affairs</w:t>
      </w:r>
      <w:r w:rsidRPr="00F12990">
        <w:rPr>
          <w:rFonts w:cs="Arial"/>
          <w:color w:val="000000" w:themeColor="text1"/>
          <w:sz w:val="22"/>
        </w:rPr>
        <w:t xml:space="preserve"> under subsection 9(1) of the Industry Contribution Act for the financial year 1 July </w:t>
      </w:r>
      <w:r w:rsidR="00152707" w:rsidRPr="00F12990">
        <w:rPr>
          <w:rFonts w:cs="Arial"/>
          <w:color w:val="000000" w:themeColor="text1"/>
          <w:sz w:val="22"/>
        </w:rPr>
        <w:t>20</w:t>
      </w:r>
      <w:r w:rsidR="00152707">
        <w:rPr>
          <w:rFonts w:cs="Arial"/>
          <w:color w:val="000000" w:themeColor="text1"/>
          <w:sz w:val="22"/>
        </w:rPr>
        <w:t>2</w:t>
      </w:r>
      <w:r w:rsidR="002F0426">
        <w:rPr>
          <w:rFonts w:cs="Arial"/>
          <w:color w:val="000000" w:themeColor="text1"/>
          <w:sz w:val="22"/>
        </w:rPr>
        <w:t>1</w:t>
      </w:r>
      <w:r w:rsidR="00152707" w:rsidRPr="00F12990">
        <w:rPr>
          <w:rFonts w:cs="Arial"/>
          <w:color w:val="000000" w:themeColor="text1"/>
          <w:sz w:val="22"/>
        </w:rPr>
        <w:t xml:space="preserve"> </w:t>
      </w:r>
      <w:r w:rsidRPr="00F12990">
        <w:rPr>
          <w:rFonts w:cs="Arial"/>
          <w:color w:val="000000" w:themeColor="text1"/>
          <w:sz w:val="22"/>
        </w:rPr>
        <w:t>to 30 June 20</w:t>
      </w:r>
      <w:r w:rsidR="009E4F38">
        <w:rPr>
          <w:rFonts w:cs="Arial"/>
          <w:color w:val="000000" w:themeColor="text1"/>
          <w:sz w:val="22"/>
        </w:rPr>
        <w:t>2</w:t>
      </w:r>
      <w:r w:rsidR="002F0426">
        <w:rPr>
          <w:rFonts w:cs="Arial"/>
          <w:color w:val="000000" w:themeColor="text1"/>
          <w:sz w:val="22"/>
        </w:rPr>
        <w:t>2</w:t>
      </w:r>
      <w:r w:rsidRPr="00F12990">
        <w:rPr>
          <w:rFonts w:cs="Arial"/>
          <w:color w:val="000000" w:themeColor="text1"/>
          <w:sz w:val="22"/>
        </w:rPr>
        <w:t xml:space="preserve">. It specifies the amount, or the method for determining the amount, of the first instalment of levy payable by each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for the financial year. Different amounts and methods are specified for different classes of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entities.</w:t>
      </w:r>
    </w:p>
    <w:p w14:paraId="6AA69B3E"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sz w:val="22"/>
        </w:rPr>
      </w:pPr>
      <w:r w:rsidRPr="00F12990">
        <w:rPr>
          <w:rFonts w:cs="Arial"/>
          <w:b/>
          <w:color w:val="000000" w:themeColor="text1"/>
          <w:sz w:val="22"/>
        </w:rPr>
        <w:t>Human rights implications</w:t>
      </w:r>
    </w:p>
    <w:p w14:paraId="149E8413"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This Determination does not engage any of the applicable rights or freedoms.</w:t>
      </w:r>
    </w:p>
    <w:p w14:paraId="203D8B9F"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sz w:val="22"/>
        </w:rPr>
      </w:pPr>
      <w:r w:rsidRPr="00F12990">
        <w:rPr>
          <w:rFonts w:cs="Arial"/>
          <w:b/>
          <w:color w:val="000000" w:themeColor="text1"/>
          <w:sz w:val="22"/>
        </w:rPr>
        <w:t>Conclusion</w:t>
      </w:r>
    </w:p>
    <w:p w14:paraId="74220782"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This Determination is compatible with human rights as it does not raise any human rights issues.</w:t>
      </w:r>
    </w:p>
    <w:p w14:paraId="588701A2"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p>
    <w:p w14:paraId="4E5683FC"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p>
    <w:p w14:paraId="6812361B"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p>
    <w:p w14:paraId="1DB2A8AA" w14:textId="66DC1187" w:rsidR="000347F4" w:rsidRPr="00F12990" w:rsidRDefault="00137C99" w:rsidP="00F12990">
      <w:pPr>
        <w:pBdr>
          <w:top w:val="double" w:sz="4" w:space="0" w:color="auto"/>
          <w:left w:val="double" w:sz="4" w:space="4" w:color="auto"/>
          <w:bottom w:val="double" w:sz="4" w:space="1" w:color="auto"/>
          <w:right w:val="double" w:sz="4" w:space="4" w:color="auto"/>
        </w:pBdr>
        <w:spacing w:before="0" w:after="0" w:line="280" w:lineRule="atLeast"/>
        <w:rPr>
          <w:rFonts w:cs="Arial"/>
          <w:color w:val="000000" w:themeColor="text1"/>
          <w:sz w:val="22"/>
        </w:rPr>
      </w:pPr>
      <w:r>
        <w:rPr>
          <w:rFonts w:cs="Arial"/>
          <w:color w:val="000000" w:themeColor="text1"/>
          <w:sz w:val="22"/>
        </w:rPr>
        <w:t>Karen Andrews</w:t>
      </w:r>
      <w:bookmarkStart w:id="26" w:name="_GoBack"/>
      <w:bookmarkEnd w:id="26"/>
    </w:p>
    <w:p w14:paraId="69FD4916" w14:textId="77777777" w:rsidR="000347F4" w:rsidRPr="00F12990" w:rsidRDefault="000347F4" w:rsidP="00F12990">
      <w:pPr>
        <w:pBdr>
          <w:top w:val="double" w:sz="4" w:space="0" w:color="auto"/>
          <w:left w:val="double" w:sz="4" w:space="4" w:color="auto"/>
          <w:bottom w:val="double" w:sz="4" w:space="1" w:color="auto"/>
          <w:right w:val="double" w:sz="4" w:space="4" w:color="auto"/>
        </w:pBdr>
        <w:spacing w:before="0" w:after="0" w:line="280" w:lineRule="atLeast"/>
        <w:rPr>
          <w:rFonts w:cs="Arial"/>
          <w:sz w:val="22"/>
        </w:rPr>
      </w:pPr>
      <w:r w:rsidRPr="00F12990">
        <w:rPr>
          <w:rFonts w:cs="Arial"/>
          <w:color w:val="000000" w:themeColor="text1"/>
          <w:sz w:val="22"/>
        </w:rPr>
        <w:t xml:space="preserve">Minister for </w:t>
      </w:r>
      <w:r w:rsidR="00973999">
        <w:rPr>
          <w:rFonts w:cs="Arial"/>
          <w:color w:val="000000" w:themeColor="text1"/>
          <w:sz w:val="22"/>
        </w:rPr>
        <w:t>Home Affairs</w:t>
      </w:r>
    </w:p>
    <w:p w14:paraId="34E9CE33" w14:textId="77777777" w:rsidR="000347F4" w:rsidRPr="00F12990" w:rsidRDefault="000347F4" w:rsidP="00F12990">
      <w:pPr>
        <w:rPr>
          <w:rFonts w:cs="Arial"/>
          <w:sz w:val="22"/>
        </w:rPr>
      </w:pPr>
    </w:p>
    <w:sectPr w:rsidR="000347F4" w:rsidRPr="00F12990" w:rsidSect="00F12990">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0B8C" w14:textId="77777777" w:rsidR="00672C78" w:rsidRDefault="00672C78" w:rsidP="008262CF">
      <w:pPr>
        <w:spacing w:before="0" w:after="0" w:line="240" w:lineRule="auto"/>
      </w:pPr>
      <w:r>
        <w:separator/>
      </w:r>
    </w:p>
  </w:endnote>
  <w:endnote w:type="continuationSeparator" w:id="0">
    <w:p w14:paraId="65529773" w14:textId="77777777" w:rsidR="00672C78" w:rsidRDefault="00672C78" w:rsidP="008262CF">
      <w:pPr>
        <w:spacing w:before="0" w:after="0" w:line="240" w:lineRule="auto"/>
      </w:pPr>
      <w:r>
        <w:continuationSeparator/>
      </w:r>
    </w:p>
  </w:endnote>
  <w:endnote w:type="continuationNotice" w:id="1">
    <w:p w14:paraId="1FED87C2" w14:textId="77777777" w:rsidR="00672C78" w:rsidRDefault="00672C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FEC0" w14:textId="77777777" w:rsidR="00B070D6" w:rsidRDefault="00B07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40B5" w14:textId="72B28E16" w:rsidR="008262CF" w:rsidRPr="003C2DBE" w:rsidRDefault="008262CF" w:rsidP="008262CF">
    <w:pPr>
      <w:pStyle w:val="Footer"/>
      <w:rPr>
        <w:sz w:val="16"/>
        <w:szCs w:val="16"/>
      </w:rPr>
    </w:pPr>
    <w:r w:rsidRPr="003C2DBE">
      <w:rPr>
        <w:i/>
        <w:sz w:val="16"/>
        <w:szCs w:val="16"/>
      </w:rPr>
      <w:t xml:space="preserve">Explanatory Statement – Australian Transaction Reports and Analysis Centre Industry Contribution Determination </w:t>
    </w:r>
    <w:r w:rsidR="00FE0C84" w:rsidRPr="003C2DBE">
      <w:rPr>
        <w:i/>
        <w:sz w:val="16"/>
        <w:szCs w:val="16"/>
      </w:rPr>
      <w:t>20</w:t>
    </w:r>
    <w:r w:rsidR="00FE0C84">
      <w:rPr>
        <w:i/>
        <w:sz w:val="16"/>
        <w:szCs w:val="16"/>
      </w:rPr>
      <w:t>2</w:t>
    </w:r>
    <w:r w:rsidR="004067AF">
      <w:rPr>
        <w:i/>
        <w:sz w:val="16"/>
        <w:szCs w:val="16"/>
      </w:rPr>
      <w:t>2</w:t>
    </w:r>
    <w:r w:rsidR="00FE0C84" w:rsidRPr="003C2DBE">
      <w:rPr>
        <w:i/>
        <w:sz w:val="16"/>
        <w:szCs w:val="16"/>
      </w:rPr>
      <w:t xml:space="preserve"> </w:t>
    </w:r>
    <w:r w:rsidRPr="003C2DBE">
      <w:rPr>
        <w:i/>
        <w:sz w:val="16"/>
        <w:szCs w:val="16"/>
      </w:rPr>
      <w:t>(No. 1)</w:t>
    </w:r>
    <w:r w:rsidR="00F12990">
      <w:rPr>
        <w:i/>
      </w:rPr>
      <w:tab/>
    </w:r>
    <w:r>
      <w:tab/>
    </w:r>
    <w:r w:rsidRPr="003C2DBE">
      <w:rPr>
        <w:sz w:val="16"/>
        <w:szCs w:val="16"/>
      </w:rPr>
      <w:fldChar w:fldCharType="begin"/>
    </w:r>
    <w:r w:rsidRPr="003C2DBE">
      <w:rPr>
        <w:sz w:val="16"/>
        <w:szCs w:val="16"/>
      </w:rPr>
      <w:instrText xml:space="preserve"> PAGE   \* MERGEFORMAT </w:instrText>
    </w:r>
    <w:r w:rsidRPr="003C2DBE">
      <w:rPr>
        <w:sz w:val="16"/>
        <w:szCs w:val="16"/>
      </w:rPr>
      <w:fldChar w:fldCharType="separate"/>
    </w:r>
    <w:r w:rsidR="00137C99">
      <w:rPr>
        <w:noProof/>
        <w:sz w:val="16"/>
        <w:szCs w:val="16"/>
      </w:rPr>
      <w:t>8</w:t>
    </w:r>
    <w:r w:rsidRPr="003C2DBE">
      <w:rPr>
        <w:sz w:val="16"/>
        <w:szCs w:val="16"/>
      </w:rPr>
      <w:fldChar w:fldCharType="end"/>
    </w:r>
  </w:p>
  <w:p w14:paraId="6C3D2356" w14:textId="77777777" w:rsidR="008262CF" w:rsidRDefault="00826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2E00" w14:textId="77777777" w:rsidR="00B070D6" w:rsidRDefault="00B07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6B5D" w14:textId="77777777" w:rsidR="00672C78" w:rsidRDefault="00672C78" w:rsidP="008262CF">
      <w:pPr>
        <w:spacing w:before="0" w:after="0" w:line="240" w:lineRule="auto"/>
      </w:pPr>
      <w:r>
        <w:separator/>
      </w:r>
    </w:p>
  </w:footnote>
  <w:footnote w:type="continuationSeparator" w:id="0">
    <w:p w14:paraId="564D1F6F" w14:textId="77777777" w:rsidR="00672C78" w:rsidRDefault="00672C78" w:rsidP="008262CF">
      <w:pPr>
        <w:spacing w:before="0" w:after="0" w:line="240" w:lineRule="auto"/>
      </w:pPr>
      <w:r>
        <w:continuationSeparator/>
      </w:r>
    </w:p>
  </w:footnote>
  <w:footnote w:type="continuationNotice" w:id="1">
    <w:p w14:paraId="2C67547A" w14:textId="77777777" w:rsidR="00672C78" w:rsidRDefault="00672C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F750E" w14:textId="77777777" w:rsidR="00B070D6" w:rsidRDefault="00B07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8DC5" w14:textId="77777777" w:rsidR="00B070D6" w:rsidRDefault="00B07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7A48F" w14:textId="77777777" w:rsidR="00B070D6" w:rsidRDefault="00B07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0D3"/>
    <w:multiLevelType w:val="hybridMultilevel"/>
    <w:tmpl w:val="8D0A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825BF"/>
    <w:multiLevelType w:val="hybridMultilevel"/>
    <w:tmpl w:val="9CBA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3D1025"/>
    <w:multiLevelType w:val="hybridMultilevel"/>
    <w:tmpl w:val="1836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042EF5"/>
    <w:multiLevelType w:val="multilevel"/>
    <w:tmpl w:val="4718BE0C"/>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o"/>
      <w:lvlJc w:val="left"/>
      <w:pPr>
        <w:tabs>
          <w:tab w:val="num" w:pos="850"/>
        </w:tabs>
        <w:ind w:left="850" w:hanging="425"/>
      </w:pPr>
      <w:rPr>
        <w:rFonts w:ascii="Courier New" w:hAnsi="Courier New" w:cs="Courier New" w:hint="default"/>
        <w:b w:val="0"/>
        <w:i w:val="0"/>
      </w:rPr>
    </w:lvl>
    <w:lvl w:ilvl="3">
      <w:start w:val="1"/>
      <w:numFmt w:val="bullet"/>
      <w:lvlText w:val="o"/>
      <w:lvlJc w:val="left"/>
      <w:pPr>
        <w:tabs>
          <w:tab w:val="num" w:pos="1276"/>
        </w:tabs>
        <w:ind w:left="1276" w:hanging="426"/>
      </w:pPr>
      <w:rPr>
        <w:rFonts w:ascii="Courier New" w:hAnsi="Courier New" w:cs="Courier New" w:hint="default"/>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4" w15:restartNumberingAfterBreak="0">
    <w:nsid w:val="41993A99"/>
    <w:multiLevelType w:val="hybridMultilevel"/>
    <w:tmpl w:val="67CC97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6E527B"/>
    <w:multiLevelType w:val="hybridMultilevel"/>
    <w:tmpl w:val="444E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4"/>
    <w:rsid w:val="000347F4"/>
    <w:rsid w:val="00081E9B"/>
    <w:rsid w:val="000927E1"/>
    <w:rsid w:val="00116526"/>
    <w:rsid w:val="001221AB"/>
    <w:rsid w:val="00122D57"/>
    <w:rsid w:val="00137C99"/>
    <w:rsid w:val="00152707"/>
    <w:rsid w:val="00170C57"/>
    <w:rsid w:val="001D59DA"/>
    <w:rsid w:val="00252BD7"/>
    <w:rsid w:val="00260173"/>
    <w:rsid w:val="00261A8A"/>
    <w:rsid w:val="002F0426"/>
    <w:rsid w:val="0033664F"/>
    <w:rsid w:val="00376810"/>
    <w:rsid w:val="003C2DBE"/>
    <w:rsid w:val="004067AF"/>
    <w:rsid w:val="004A5CB8"/>
    <w:rsid w:val="004D4D3D"/>
    <w:rsid w:val="005076AC"/>
    <w:rsid w:val="00552CF0"/>
    <w:rsid w:val="00596B78"/>
    <w:rsid w:val="005D1FA7"/>
    <w:rsid w:val="006349FF"/>
    <w:rsid w:val="006518E9"/>
    <w:rsid w:val="00672C78"/>
    <w:rsid w:val="006C5BBD"/>
    <w:rsid w:val="006E3071"/>
    <w:rsid w:val="00734CD3"/>
    <w:rsid w:val="00776684"/>
    <w:rsid w:val="0079713C"/>
    <w:rsid w:val="007E4DCD"/>
    <w:rsid w:val="007E52CC"/>
    <w:rsid w:val="00812A0A"/>
    <w:rsid w:val="00824116"/>
    <w:rsid w:val="008262CF"/>
    <w:rsid w:val="008334B7"/>
    <w:rsid w:val="00841A55"/>
    <w:rsid w:val="008578F6"/>
    <w:rsid w:val="0087220C"/>
    <w:rsid w:val="00876F7B"/>
    <w:rsid w:val="008A5969"/>
    <w:rsid w:val="008D25A6"/>
    <w:rsid w:val="008D6EEA"/>
    <w:rsid w:val="00916997"/>
    <w:rsid w:val="00973999"/>
    <w:rsid w:val="00995BEF"/>
    <w:rsid w:val="009B7944"/>
    <w:rsid w:val="009E4F38"/>
    <w:rsid w:val="009F14AF"/>
    <w:rsid w:val="00A305CF"/>
    <w:rsid w:val="00A7107E"/>
    <w:rsid w:val="00AB4F0B"/>
    <w:rsid w:val="00AE151F"/>
    <w:rsid w:val="00AE308B"/>
    <w:rsid w:val="00B070D6"/>
    <w:rsid w:val="00B45505"/>
    <w:rsid w:val="00B8585F"/>
    <w:rsid w:val="00BA4999"/>
    <w:rsid w:val="00BF070D"/>
    <w:rsid w:val="00CC6F57"/>
    <w:rsid w:val="00CF1192"/>
    <w:rsid w:val="00D35768"/>
    <w:rsid w:val="00D411F4"/>
    <w:rsid w:val="00D46CBA"/>
    <w:rsid w:val="00D83C2D"/>
    <w:rsid w:val="00E07EC8"/>
    <w:rsid w:val="00E50198"/>
    <w:rsid w:val="00EB42BF"/>
    <w:rsid w:val="00F005A8"/>
    <w:rsid w:val="00F12990"/>
    <w:rsid w:val="00F1761B"/>
    <w:rsid w:val="00F24F60"/>
    <w:rsid w:val="00F71E23"/>
    <w:rsid w:val="00F72AB1"/>
    <w:rsid w:val="00F8656D"/>
    <w:rsid w:val="00FE0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291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F4"/>
    <w:pPr>
      <w:spacing w:before="120" w:after="120" w:line="276" w:lineRule="auto"/>
    </w:pPr>
    <w:rPr>
      <w:rFonts w:ascii="Arial" w:hAnsi="Arial"/>
      <w:color w:val="595959" w:themeColor="text1" w:themeTint="A6"/>
      <w:sz w:val="20"/>
    </w:rPr>
  </w:style>
  <w:style w:type="paragraph" w:styleId="Heading1">
    <w:name w:val="heading 1"/>
    <w:basedOn w:val="Normal"/>
    <w:next w:val="Normal"/>
    <w:link w:val="Heading1Char"/>
    <w:uiPriority w:val="9"/>
    <w:qFormat/>
    <w:rsid w:val="00995BEF"/>
    <w:pPr>
      <w:keepNext/>
      <w:keepLines/>
      <w:pageBreakBefore/>
      <w:pBdr>
        <w:bottom w:val="single" w:sz="4" w:space="1" w:color="auto"/>
      </w:pBdr>
      <w:spacing w:before="0" w:after="480"/>
      <w:outlineLvl w:val="0"/>
    </w:pPr>
    <w:rPr>
      <w:rFonts w:ascii="Calibri" w:eastAsiaTheme="majorEastAsia" w:hAnsi="Calibri" w:cstheme="majorBidi"/>
      <w:b/>
      <w:bCs/>
      <w:color w:val="01426A"/>
      <w:sz w:val="4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ist Paragraph111,L,F5 List Paragraph,Dot pt,CV text,Medium Grid 1 - Accent 21,Numbered Paragraph,No Spacing1,List Paragraph Char Char Char,Indicator Text,Numbered Para 1,Bullet Points,列出段落"/>
    <w:basedOn w:val="Normal"/>
    <w:link w:val="ListParagraphChar"/>
    <w:uiPriority w:val="34"/>
    <w:qFormat/>
    <w:rsid w:val="000347F4"/>
    <w:pPr>
      <w:ind w:left="720"/>
    </w:pPr>
  </w:style>
  <w:style w:type="character" w:customStyle="1" w:styleId="ListParagraphChar">
    <w:name w:val="List Paragraph Char"/>
    <w:aliases w:val="Recommendation Char,List Paragraph1 Char,List Paragraph11 Char,List Paragraph111 Char,L Char,F5 List Paragraph Char,Dot pt Char,CV text Char,Medium Grid 1 - Accent 21 Char,Numbered Paragraph Char,No Spacing1 Char,Indicator Text Char"/>
    <w:basedOn w:val="DefaultParagraphFont"/>
    <w:link w:val="ListParagraph"/>
    <w:uiPriority w:val="34"/>
    <w:locked/>
    <w:rsid w:val="000347F4"/>
    <w:rPr>
      <w:rFonts w:ascii="Arial" w:hAnsi="Arial"/>
      <w:color w:val="595959" w:themeColor="text1" w:themeTint="A6"/>
      <w:sz w:val="20"/>
    </w:rPr>
  </w:style>
  <w:style w:type="paragraph" w:styleId="Header">
    <w:name w:val="header"/>
    <w:basedOn w:val="Normal"/>
    <w:link w:val="HeaderChar"/>
    <w:uiPriority w:val="99"/>
    <w:unhideWhenUsed/>
    <w:rsid w:val="008262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62CF"/>
    <w:rPr>
      <w:rFonts w:ascii="Arial" w:hAnsi="Arial"/>
      <w:color w:val="595959" w:themeColor="text1" w:themeTint="A6"/>
      <w:sz w:val="20"/>
    </w:rPr>
  </w:style>
  <w:style w:type="paragraph" w:styleId="Footer">
    <w:name w:val="footer"/>
    <w:basedOn w:val="Normal"/>
    <w:link w:val="FooterChar"/>
    <w:unhideWhenUsed/>
    <w:rsid w:val="008262CF"/>
    <w:pPr>
      <w:tabs>
        <w:tab w:val="center" w:pos="4513"/>
        <w:tab w:val="right" w:pos="9026"/>
      </w:tabs>
      <w:spacing w:before="0" w:after="0" w:line="240" w:lineRule="auto"/>
    </w:pPr>
  </w:style>
  <w:style w:type="character" w:customStyle="1" w:styleId="FooterChar">
    <w:name w:val="Footer Char"/>
    <w:basedOn w:val="DefaultParagraphFont"/>
    <w:link w:val="Footer"/>
    <w:rsid w:val="008262CF"/>
    <w:rPr>
      <w:rFonts w:ascii="Arial" w:hAnsi="Arial"/>
      <w:color w:val="595959" w:themeColor="text1" w:themeTint="A6"/>
      <w:sz w:val="20"/>
    </w:rPr>
  </w:style>
  <w:style w:type="paragraph" w:customStyle="1" w:styleId="PlainParagraph">
    <w:name w:val="Plain Paragraph"/>
    <w:basedOn w:val="Normal"/>
    <w:rsid w:val="006C5BBD"/>
    <w:pPr>
      <w:spacing w:before="140" w:after="140" w:line="280" w:lineRule="atLeast"/>
    </w:pPr>
    <w:rPr>
      <w:rFonts w:eastAsia="Times New Roman" w:cs="Arial"/>
      <w:color w:val="auto"/>
      <w:sz w:val="22"/>
      <w:lang w:eastAsia="en-AU"/>
    </w:rPr>
  </w:style>
  <w:style w:type="paragraph" w:styleId="BalloonText">
    <w:name w:val="Balloon Text"/>
    <w:basedOn w:val="Normal"/>
    <w:link w:val="BalloonTextChar"/>
    <w:uiPriority w:val="99"/>
    <w:semiHidden/>
    <w:unhideWhenUsed/>
    <w:rsid w:val="00B455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505"/>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5D1FA7"/>
    <w:rPr>
      <w:sz w:val="16"/>
      <w:szCs w:val="16"/>
    </w:rPr>
  </w:style>
  <w:style w:type="paragraph" w:styleId="CommentText">
    <w:name w:val="annotation text"/>
    <w:basedOn w:val="Normal"/>
    <w:link w:val="CommentTextChar"/>
    <w:uiPriority w:val="99"/>
    <w:semiHidden/>
    <w:unhideWhenUsed/>
    <w:rsid w:val="005D1FA7"/>
    <w:pPr>
      <w:spacing w:line="240" w:lineRule="auto"/>
    </w:pPr>
    <w:rPr>
      <w:szCs w:val="20"/>
    </w:rPr>
  </w:style>
  <w:style w:type="character" w:customStyle="1" w:styleId="CommentTextChar">
    <w:name w:val="Comment Text Char"/>
    <w:basedOn w:val="DefaultParagraphFont"/>
    <w:link w:val="CommentText"/>
    <w:uiPriority w:val="99"/>
    <w:semiHidden/>
    <w:rsid w:val="005D1FA7"/>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5D1FA7"/>
    <w:rPr>
      <w:b/>
      <w:bCs/>
    </w:rPr>
  </w:style>
  <w:style w:type="character" w:customStyle="1" w:styleId="CommentSubjectChar">
    <w:name w:val="Comment Subject Char"/>
    <w:basedOn w:val="CommentTextChar"/>
    <w:link w:val="CommentSubject"/>
    <w:uiPriority w:val="99"/>
    <w:semiHidden/>
    <w:rsid w:val="005D1FA7"/>
    <w:rPr>
      <w:rFonts w:ascii="Arial" w:hAnsi="Arial"/>
      <w:b/>
      <w:bCs/>
      <w:color w:val="595959" w:themeColor="text1" w:themeTint="A6"/>
      <w:sz w:val="20"/>
      <w:szCs w:val="20"/>
    </w:rPr>
  </w:style>
  <w:style w:type="character" w:customStyle="1" w:styleId="Heading1Char">
    <w:name w:val="Heading 1 Char"/>
    <w:basedOn w:val="DefaultParagraphFont"/>
    <w:link w:val="Heading1"/>
    <w:uiPriority w:val="9"/>
    <w:rsid w:val="00995BEF"/>
    <w:rPr>
      <w:rFonts w:ascii="Calibri" w:eastAsiaTheme="majorEastAsia" w:hAnsi="Calibri" w:cstheme="majorBidi"/>
      <w:b/>
      <w:bCs/>
      <w:color w:val="01426A"/>
      <w:sz w:val="44"/>
      <w:szCs w:val="52"/>
    </w:rPr>
  </w:style>
  <w:style w:type="paragraph" w:styleId="Revision">
    <w:name w:val="Revision"/>
    <w:hidden/>
    <w:uiPriority w:val="99"/>
    <w:semiHidden/>
    <w:rsid w:val="00260173"/>
    <w:pPr>
      <w:spacing w:after="0" w:line="240" w:lineRule="auto"/>
    </w:pPr>
    <w:rPr>
      <w:rFonts w:ascii="Arial" w:hAnsi="Arial"/>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3E214-36C8-4733-8CCA-D3CBB580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2022-03-02T23:23:00Z</dcterms:created>
  <dcterms:modified xsi:type="dcterms:W3CDTF">2022-03-02T23:24:00Z</dcterms:modified>
</cp:coreProperties>
</file>