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B1A46" w14:textId="77777777" w:rsidR="00FB640B" w:rsidRPr="008B24C8" w:rsidRDefault="0057002B" w:rsidP="00BB0CF2">
      <w:pPr>
        <w:pStyle w:val="ESTitleHeader"/>
      </w:pPr>
      <w:bookmarkStart w:id="0" w:name="_GoBack"/>
      <w:bookmarkEnd w:id="0"/>
      <w:r w:rsidRPr="008B24C8">
        <w:t>EXPLANATORY STATEMENT</w:t>
      </w:r>
    </w:p>
    <w:p w14:paraId="69CBCE5D" w14:textId="77777777" w:rsidR="002E4B89" w:rsidRPr="009E5DDE" w:rsidRDefault="002E4B89" w:rsidP="002E4B89">
      <w:pPr>
        <w:spacing w:line="276" w:lineRule="auto"/>
        <w:jc w:val="center"/>
        <w:rPr>
          <w:rFonts w:ascii="Times New Roman" w:hAnsi="Times New Roman" w:cs="Times New Roman"/>
        </w:rPr>
      </w:pPr>
      <w:r w:rsidRPr="009E5DDE">
        <w:rPr>
          <w:rFonts w:ascii="Times New Roman" w:hAnsi="Times New Roman" w:cs="Times New Roman"/>
        </w:rPr>
        <w:t>Issued by authority of the Minister for Immigration, Citizenship, Migrant Affairs and</w:t>
      </w:r>
      <w:r w:rsidRPr="009E5DDE">
        <w:rPr>
          <w:rFonts w:ascii="Times New Roman" w:hAnsi="Times New Roman" w:cs="Times New Roman"/>
        </w:rPr>
        <w:br/>
        <w:t xml:space="preserve">Multicultural Affairs </w:t>
      </w:r>
    </w:p>
    <w:p w14:paraId="4AB8A4F2" w14:textId="77777777" w:rsidR="002E4B89" w:rsidRPr="009E5DDE" w:rsidRDefault="002E4B89" w:rsidP="002E4B89">
      <w:pPr>
        <w:spacing w:line="276" w:lineRule="auto"/>
        <w:jc w:val="center"/>
        <w:rPr>
          <w:rFonts w:ascii="Times New Roman" w:hAnsi="Times New Roman" w:cs="Times New Roman"/>
          <w:i/>
        </w:rPr>
      </w:pPr>
      <w:r w:rsidRPr="009E5DDE">
        <w:rPr>
          <w:rFonts w:ascii="Times New Roman" w:hAnsi="Times New Roman" w:cs="Times New Roman"/>
          <w:i/>
        </w:rPr>
        <w:t>Migration Regulations 1994</w:t>
      </w:r>
    </w:p>
    <w:p w14:paraId="289CA59E" w14:textId="77777777" w:rsidR="0057002B" w:rsidRPr="008B24C8" w:rsidRDefault="002E4B89" w:rsidP="00BB0CF2">
      <w:pPr>
        <w:pStyle w:val="ESTitleInstrumentName"/>
      </w:pPr>
      <w:bookmarkStart w:id="1" w:name="Title"/>
      <w:r>
        <w:t>Migration (Arrangements for Visitor (Class FA) visa applications) Amendment Instrument (LIN 22/005) 2022</w:t>
      </w:r>
      <w:bookmarkEnd w:id="1"/>
    </w:p>
    <w:p w14:paraId="1C8A5FBD" w14:textId="1A97192F" w:rsidR="0057002B" w:rsidRPr="008B24C8" w:rsidRDefault="0057002B" w:rsidP="002D167E">
      <w:pPr>
        <w:pStyle w:val="ESPara"/>
      </w:pPr>
      <w:r w:rsidRPr="008B24C8">
        <w:t>The inst</w:t>
      </w:r>
      <w:r w:rsidR="002E4B89">
        <w:t>rument, Departmental reference LIN 22/005</w:t>
      </w:r>
      <w:r w:rsidRPr="008B24C8">
        <w:t xml:space="preserve">, </w:t>
      </w:r>
      <w:r w:rsidR="00A121E3" w:rsidRPr="009E5DDE">
        <w:t>is m</w:t>
      </w:r>
      <w:r w:rsidR="00CA31CB">
        <w:t>ade under subregulation 2.07(5)</w:t>
      </w:r>
      <w:r w:rsidR="00A121E3">
        <w:t xml:space="preserve"> </w:t>
      </w:r>
      <w:r w:rsidRPr="008B24C8">
        <w:t xml:space="preserve">of the </w:t>
      </w:r>
      <w:r w:rsidRPr="008B24C8">
        <w:rPr>
          <w:i/>
        </w:rPr>
        <w:t>Migration Regulations</w:t>
      </w:r>
      <w:r w:rsidR="0030781A">
        <w:rPr>
          <w:i/>
        </w:rPr>
        <w:t> </w:t>
      </w:r>
      <w:r w:rsidRPr="008B24C8">
        <w:rPr>
          <w:i/>
        </w:rPr>
        <w:t>1994</w:t>
      </w:r>
      <w:r w:rsidR="007C36FE">
        <w:t xml:space="preserve"> (the Regulations)</w:t>
      </w:r>
      <w:r w:rsidRPr="008B24C8">
        <w:t xml:space="preserve">.  </w:t>
      </w:r>
    </w:p>
    <w:p w14:paraId="03879820" w14:textId="1A2E8087" w:rsidR="00EA12C9" w:rsidRPr="008B24C8" w:rsidRDefault="00EA12C9" w:rsidP="007C36FE">
      <w:pPr>
        <w:pStyle w:val="ESPara"/>
      </w:pPr>
      <w:r w:rsidRPr="008B24C8">
        <w:t xml:space="preserve">The instrument </w:t>
      </w:r>
      <w:r w:rsidR="002E4B89">
        <w:t xml:space="preserve">amends </w:t>
      </w:r>
      <w:r w:rsidR="007C36FE" w:rsidRPr="007C36FE">
        <w:rPr>
          <w:i/>
        </w:rPr>
        <w:t>Migration (arrangements for Visitor (Class FA) visa applications) Instrument (LIN 21/056)</w:t>
      </w:r>
      <w:r w:rsidR="007C36FE">
        <w:rPr>
          <w:i/>
        </w:rPr>
        <w:t> </w:t>
      </w:r>
      <w:r w:rsidR="007C36FE" w:rsidRPr="007C36FE">
        <w:rPr>
          <w:i/>
        </w:rPr>
        <w:t>2021</w:t>
      </w:r>
      <w:r w:rsidR="00BD598E" w:rsidRPr="008B24C8">
        <w:t xml:space="preserve"> </w:t>
      </w:r>
      <w:r w:rsidR="00B75478">
        <w:t>(</w:t>
      </w:r>
      <w:r w:rsidR="00100DFC">
        <w:t>LIN</w:t>
      </w:r>
      <w:r w:rsidR="007C36FE">
        <w:t> 21/056</w:t>
      </w:r>
      <w:r w:rsidR="00B75478">
        <w:t xml:space="preserve">) </w:t>
      </w:r>
      <w:r w:rsidRPr="008B24C8">
        <w:t xml:space="preserve">in accordance with subsection 33(3) of the </w:t>
      </w:r>
      <w:r w:rsidRPr="008B24C8">
        <w:rPr>
          <w:i/>
        </w:rPr>
        <w:t>Acts Interpretation Act 1901</w:t>
      </w:r>
      <w:r w:rsidR="00386465">
        <w:t xml:space="preserve">.  </w:t>
      </w:r>
      <w:r w:rsidRPr="008B24C8">
        <w:t xml:space="preserve">That subsection provides that </w:t>
      </w:r>
      <w:r w:rsidR="00100DFC">
        <w:t>a power to make a legislative instrument includes a power to amend or repeal that instrument in the same manner, and subject to the same conditions, as the power to make the instrument</w:t>
      </w:r>
      <w:r w:rsidR="00BD598E" w:rsidRPr="008B24C8">
        <w:t xml:space="preserve">.  </w:t>
      </w:r>
      <w:r w:rsidR="00991A1D">
        <w:t xml:space="preserve">This means that subregulation 2.07(5) </w:t>
      </w:r>
      <w:r w:rsidR="00991A1D" w:rsidRPr="008B24C8">
        <w:t>of the</w:t>
      </w:r>
      <w:r w:rsidR="00991A1D">
        <w:t xml:space="preserve"> Regulations </w:t>
      </w:r>
      <w:r w:rsidR="00991A1D" w:rsidRPr="00716EA0">
        <w:t>also include a power to amend or repeal an instrument made under that provision.</w:t>
      </w:r>
      <w:r w:rsidR="00991A1D">
        <w:t xml:space="preserve">  </w:t>
      </w:r>
    </w:p>
    <w:p w14:paraId="03E3BB87" w14:textId="77777777" w:rsidR="00BD598E" w:rsidRPr="008B24C8" w:rsidRDefault="00AA4557" w:rsidP="002D167E">
      <w:pPr>
        <w:pStyle w:val="ESPara"/>
      </w:pPr>
      <w:r>
        <w:t>T</w:t>
      </w:r>
      <w:r w:rsidR="007C36FE">
        <w:t>he instrument commences on 5 March 2022</w:t>
      </w:r>
      <w:r>
        <w:t>, and i</w:t>
      </w:r>
      <w:r w:rsidR="00BD598E" w:rsidRPr="008B24C8">
        <w:t xml:space="preserve">s a </w:t>
      </w:r>
      <w:r>
        <w:t>legislative</w:t>
      </w:r>
      <w:r w:rsidR="00BD598E" w:rsidRPr="008B24C8">
        <w:t xml:space="preserve"> instrument for </w:t>
      </w:r>
      <w:r w:rsidR="00B75478">
        <w:t xml:space="preserve">the </w:t>
      </w:r>
      <w:r w:rsidR="00A121E3">
        <w:rPr>
          <w:i/>
        </w:rPr>
        <w:t>Legislation Act </w:t>
      </w:r>
      <w:r w:rsidR="00100DFC">
        <w:rPr>
          <w:i/>
        </w:rPr>
        <w:t>2003</w:t>
      </w:r>
      <w:r w:rsidR="00100DFC">
        <w:t xml:space="preserve"> (the Legislation Act)</w:t>
      </w:r>
      <w:r w:rsidR="00BD598E" w:rsidRPr="008B24C8">
        <w:t xml:space="preserve">.  </w:t>
      </w:r>
    </w:p>
    <w:p w14:paraId="529DCA7C" w14:textId="77777777" w:rsidR="00EA12C9" w:rsidRPr="00BB0CF2" w:rsidRDefault="00BD598E" w:rsidP="00100DFC">
      <w:pPr>
        <w:pStyle w:val="ESHeading"/>
        <w:rPr>
          <w:color w:val="FF0000"/>
        </w:rPr>
      </w:pPr>
      <w:r w:rsidRPr="008B24C8">
        <w:t>Purpose</w:t>
      </w:r>
    </w:p>
    <w:p w14:paraId="0A6DE9D7" w14:textId="00B3C5BE" w:rsidR="00B75478" w:rsidRDefault="00F5618C" w:rsidP="002D167E">
      <w:pPr>
        <w:pStyle w:val="ESPara"/>
      </w:pPr>
      <w:r>
        <w:t xml:space="preserve">The purpose of </w:t>
      </w:r>
      <w:r w:rsidR="00985C17">
        <w:t xml:space="preserve">the </w:t>
      </w:r>
      <w:r>
        <w:t xml:space="preserve">instrument is to </w:t>
      </w:r>
      <w:r w:rsidR="0018278C">
        <w:t>amend</w:t>
      </w:r>
      <w:r>
        <w:t xml:space="preserve"> the approved</w:t>
      </w:r>
      <w:r w:rsidR="00B92A10">
        <w:t xml:space="preserve"> form, place and manner</w:t>
      </w:r>
      <w:r>
        <w:t xml:space="preserve"> </w:t>
      </w:r>
      <w:r w:rsidR="00B92A10">
        <w:t xml:space="preserve">(the arrangements) </w:t>
      </w:r>
      <w:r>
        <w:t>for making an application for a Visitor (Class FA) visa in the Tourist stream</w:t>
      </w:r>
      <w:r w:rsidR="003A58CE">
        <w:t xml:space="preserve"> (Tourist stream visa)</w:t>
      </w:r>
      <w:r w:rsidR="0076362A">
        <w:t xml:space="preserve"> in Australia</w:t>
      </w:r>
      <w:r>
        <w:t xml:space="preserve">. </w:t>
      </w:r>
      <w:r w:rsidR="0018278C">
        <w:t xml:space="preserve"> </w:t>
      </w:r>
    </w:p>
    <w:p w14:paraId="35B09B12" w14:textId="1E556850" w:rsidR="000D391F" w:rsidRDefault="000A1829">
      <w:pPr>
        <w:pStyle w:val="ESPara"/>
      </w:pPr>
      <w:r>
        <w:t xml:space="preserve">The instruments aligns the arrangements for making an application for a Tourist stream visa for applicants outside Australia and applicants in Australia.  </w:t>
      </w:r>
    </w:p>
    <w:p w14:paraId="5339E3B2" w14:textId="7D9AACDE" w:rsidR="0018278C" w:rsidRDefault="000D391F" w:rsidP="00A737CE">
      <w:pPr>
        <w:pStyle w:val="ESPara"/>
      </w:pPr>
      <w:r>
        <w:t xml:space="preserve">The instrument </w:t>
      </w:r>
      <w:r w:rsidR="004D0CB9">
        <w:t xml:space="preserve">also places </w:t>
      </w:r>
      <w:r w:rsidR="00ED6FE9">
        <w:t>a limit</w:t>
      </w:r>
      <w:r w:rsidR="004D0CB9">
        <w:t>ation</w:t>
      </w:r>
      <w:r>
        <w:t xml:space="preserve"> on when an applicant in Australia may make an application</w:t>
      </w:r>
      <w:r w:rsidR="004D0CB9">
        <w:t xml:space="preserve"> (see </w:t>
      </w:r>
      <w:r w:rsidR="00ED6FE9">
        <w:t xml:space="preserve">paragraph </w:t>
      </w:r>
      <w:r w:rsidR="00985C17">
        <w:t>1</w:t>
      </w:r>
      <w:r w:rsidR="004D0CB9">
        <w:t>8 for further detail)</w:t>
      </w:r>
      <w:r w:rsidR="00985C17">
        <w:t xml:space="preserve">. </w:t>
      </w:r>
      <w:r>
        <w:t xml:space="preserve">  </w:t>
      </w:r>
    </w:p>
    <w:p w14:paraId="6EE0FB8D" w14:textId="77777777" w:rsidR="008B24C8" w:rsidRPr="00D8015A" w:rsidRDefault="00D8015A" w:rsidP="00D8015A">
      <w:pPr>
        <w:pStyle w:val="ESPara"/>
      </w:pPr>
      <w:r>
        <w:t>Further information about the enabling provisions is provided in the explanatory statement to LIN 21/056.</w:t>
      </w:r>
      <w:r w:rsidR="008B24C8" w:rsidRPr="00D8015A">
        <w:rPr>
          <w:color w:val="806000" w:themeColor="accent4" w:themeShade="80"/>
        </w:rPr>
        <w:t xml:space="preserve"> </w:t>
      </w:r>
      <w:r w:rsidR="0030781A">
        <w:rPr>
          <w:color w:val="806000" w:themeColor="accent4" w:themeShade="80"/>
        </w:rPr>
        <w:t xml:space="preserve"> </w:t>
      </w:r>
    </w:p>
    <w:p w14:paraId="481F52E6" w14:textId="77777777" w:rsidR="008B24C8" w:rsidRDefault="008B24C8" w:rsidP="00100DFC">
      <w:pPr>
        <w:pStyle w:val="ESHeading"/>
      </w:pPr>
      <w:r w:rsidRPr="008B24C8">
        <w:t>Consultation</w:t>
      </w:r>
    </w:p>
    <w:p w14:paraId="74BC1300" w14:textId="77777777" w:rsidR="00D8015A" w:rsidRDefault="00D8015A" w:rsidP="005A3733">
      <w:pPr>
        <w:pStyle w:val="ESPara"/>
      </w:pPr>
      <w:r w:rsidRPr="009E5DDE">
        <w:t>Consultation was undertaken with key stakeholders, including the Department of Foreign Affairs and Trade, Austrade, and Tourism Visa Advisory Group representatives.  The Department's contracted Service Delivery Partners were advised of the proposed transition to 100 per cent online lodgement. Further communication will be undertaken with clients and other stakeholders prior to final implementation of the changes.</w:t>
      </w:r>
      <w:r w:rsidR="0030781A">
        <w:t xml:space="preserve">  </w:t>
      </w:r>
    </w:p>
    <w:p w14:paraId="6E31D1D8" w14:textId="77777777" w:rsidR="00AA4557" w:rsidRDefault="00D8015A" w:rsidP="00D8015A">
      <w:pPr>
        <w:pStyle w:val="ESPara"/>
      </w:pPr>
      <w:r w:rsidRPr="009E5DDE">
        <w:t>The Office of Best Practice Regulation (OBPR) was also consulted and considered that the instrument dealt with matters of a minor nature and a regulatory impact state</w:t>
      </w:r>
      <w:r w:rsidR="0030781A">
        <w:t xml:space="preserve">ment is not required.  The OBPR </w:t>
      </w:r>
      <w:r w:rsidRPr="009E5DDE">
        <w:t>reference number is 44183.</w:t>
      </w:r>
    </w:p>
    <w:p w14:paraId="084C4C93" w14:textId="77777777" w:rsidR="00AA4557" w:rsidRDefault="00464080" w:rsidP="00100DFC">
      <w:pPr>
        <w:pStyle w:val="ESHeading"/>
      </w:pPr>
      <w:r>
        <w:lastRenderedPageBreak/>
        <w:t>Details</w:t>
      </w:r>
      <w:r w:rsidR="00AA4557">
        <w:t xml:space="preserve"> of the instrument</w:t>
      </w:r>
    </w:p>
    <w:p w14:paraId="722255AD" w14:textId="77777777" w:rsidR="00AA4557" w:rsidRDefault="00AA4557" w:rsidP="002D167E">
      <w:pPr>
        <w:pStyle w:val="ESPara"/>
      </w:pPr>
      <w:r>
        <w:t>Section 1 sets out</w:t>
      </w:r>
      <w:r w:rsidR="00E03DCC">
        <w:t xml:space="preserve"> the name of the instrument. </w:t>
      </w:r>
    </w:p>
    <w:p w14:paraId="2A3DC97B" w14:textId="31E6AC06" w:rsidR="00AA4557" w:rsidRDefault="00AA4557" w:rsidP="002D167E">
      <w:pPr>
        <w:pStyle w:val="ESPara"/>
      </w:pPr>
      <w:r>
        <w:t xml:space="preserve">Section 2 provides for the commencement of the instrument on </w:t>
      </w:r>
      <w:r w:rsidR="00D8015A">
        <w:t>5 March 2022</w:t>
      </w:r>
      <w:r>
        <w:t>.</w:t>
      </w:r>
      <w:r w:rsidR="00D8015A">
        <w:t xml:space="preserve"> </w:t>
      </w:r>
      <w:r w:rsidR="00757CEA">
        <w:t xml:space="preserve"> </w:t>
      </w:r>
      <w:r w:rsidR="00D8015A">
        <w:t xml:space="preserve">  </w:t>
      </w:r>
    </w:p>
    <w:p w14:paraId="1F67426F" w14:textId="1B6EA162" w:rsidR="00AA4F77" w:rsidRDefault="00AA4F77" w:rsidP="00AA4F77">
      <w:pPr>
        <w:pStyle w:val="ESPara"/>
      </w:pPr>
      <w:r>
        <w:t xml:space="preserve">Section 3 </w:t>
      </w:r>
      <w:r w:rsidR="00D8015A">
        <w:t xml:space="preserve">provides that </w:t>
      </w:r>
      <w:r w:rsidR="00757CEA">
        <w:t xml:space="preserve">LIN 21/056 is amended as set out in </w:t>
      </w:r>
      <w:r w:rsidR="00D8015A">
        <w:t>Schedule 1</w:t>
      </w:r>
      <w:r>
        <w:t xml:space="preserve">. </w:t>
      </w:r>
      <w:r w:rsidR="0030781A">
        <w:t xml:space="preserve"> </w:t>
      </w:r>
    </w:p>
    <w:p w14:paraId="73AB476E" w14:textId="64869C87" w:rsidR="007E0402" w:rsidRDefault="007E0402">
      <w:pPr>
        <w:pStyle w:val="ESPara"/>
      </w:pPr>
      <w:r>
        <w:t xml:space="preserve">Item 1 of Schedule 1 to the instrument </w:t>
      </w:r>
      <w:r w:rsidR="00914153">
        <w:t>omits ‘arrangements’ and inserts ‘Arrangements’ in</w:t>
      </w:r>
      <w:r w:rsidR="00E8785C">
        <w:t xml:space="preserve"> section 1 of LIN 21/056.  </w:t>
      </w:r>
      <w:r w:rsidR="00B80F87">
        <w:t xml:space="preserve">As a result of this amendment, the </w:t>
      </w:r>
      <w:r w:rsidR="00E8785C">
        <w:t xml:space="preserve">name of LIN 21/056 is updated to be </w:t>
      </w:r>
      <w:r w:rsidR="00E8785C">
        <w:rPr>
          <w:i/>
        </w:rPr>
        <w:t>Migration (A</w:t>
      </w:r>
      <w:r w:rsidR="00E8785C" w:rsidRPr="00E44852">
        <w:rPr>
          <w:i/>
        </w:rPr>
        <w:t>rrangements for Visitor (Class FA) vis</w:t>
      </w:r>
      <w:r w:rsidR="00E8785C">
        <w:rPr>
          <w:i/>
        </w:rPr>
        <w:t>a applications) Instrument (LIN 21/056) </w:t>
      </w:r>
      <w:r w:rsidR="00E8785C" w:rsidRPr="00E44852">
        <w:rPr>
          <w:i/>
        </w:rPr>
        <w:t>2021</w:t>
      </w:r>
      <w:r w:rsidR="00E8785C">
        <w:t xml:space="preserve">.  </w:t>
      </w:r>
    </w:p>
    <w:p w14:paraId="576C727E" w14:textId="1DD8058F" w:rsidR="00E41E66" w:rsidRDefault="00E41E66">
      <w:pPr>
        <w:pStyle w:val="ESPara"/>
      </w:pPr>
      <w:r>
        <w:t xml:space="preserve">Item </w:t>
      </w:r>
      <w:r w:rsidR="007E0402">
        <w:t xml:space="preserve">2 </w:t>
      </w:r>
      <w:r>
        <w:t>of Schedule 1 substitutes the note in section 3 of LIN 21/056.  The note is updated to reference new terms inserted by the instrument</w:t>
      </w:r>
      <w:r w:rsidR="006F33BF">
        <w:t xml:space="preserve"> and to correct a drafting error</w:t>
      </w:r>
      <w:r>
        <w:t xml:space="preserve">.  </w:t>
      </w:r>
    </w:p>
    <w:p w14:paraId="76712143" w14:textId="0359F6C6" w:rsidR="002B6AC7" w:rsidRDefault="0030781A">
      <w:pPr>
        <w:pStyle w:val="ESPara"/>
      </w:pPr>
      <w:r>
        <w:t xml:space="preserve">Item </w:t>
      </w:r>
      <w:r w:rsidR="007E0402">
        <w:t xml:space="preserve">3 </w:t>
      </w:r>
      <w:r w:rsidR="00573BAA">
        <w:t>of Schedule 1 substitutes section 5 of LIN 21/056</w:t>
      </w:r>
      <w:r w:rsidR="008C2AD5">
        <w:t>.  Section 5</w:t>
      </w:r>
      <w:r w:rsidR="003A58CE">
        <w:t xml:space="preserve"> </w:t>
      </w:r>
      <w:r w:rsidR="002B6AC7" w:rsidRPr="009E5DDE">
        <w:t>sets out for subitem 1236(1) and item 1 of the table in subitem 1236(3) of Schedule 1 to the Regulations the arrangements for making an application for a Tourist stream</w:t>
      </w:r>
      <w:r w:rsidR="00031582">
        <w:t xml:space="preserve"> visa</w:t>
      </w:r>
      <w:r w:rsidR="003A58CE">
        <w:t xml:space="preserve">.  </w:t>
      </w:r>
    </w:p>
    <w:p w14:paraId="6D161135" w14:textId="77777777" w:rsidR="003A58CE" w:rsidRDefault="003A58CE">
      <w:pPr>
        <w:pStyle w:val="ESPara"/>
      </w:pPr>
      <w:r>
        <w:t xml:space="preserve">Subsection 5(2) specifies that an applicant for a Tourist stream visa must </w:t>
      </w:r>
      <w:r w:rsidRPr="009E5DDE">
        <w:t>make an application using form 1419 (Internet) through ImmiAccount and must indicate that they are making an application for a Tourist stream visa</w:t>
      </w:r>
      <w:r>
        <w:t xml:space="preserve">.  </w:t>
      </w:r>
    </w:p>
    <w:p w14:paraId="029F007D" w14:textId="7A3AB3AB" w:rsidR="003A58CE" w:rsidRPr="009E5DDE" w:rsidRDefault="003A58CE" w:rsidP="00AA2C42">
      <w:pPr>
        <w:pStyle w:val="ESPara"/>
      </w:pPr>
      <w:r>
        <w:t xml:space="preserve">Subsection 5(3) specifies that </w:t>
      </w:r>
      <w:r w:rsidRPr="009E5DDE">
        <w:t xml:space="preserve">if a person seeking to apply for a Tourist stream visa has received </w:t>
      </w:r>
      <w:r w:rsidR="00B80F87">
        <w:t xml:space="preserve">a </w:t>
      </w:r>
      <w:r w:rsidRPr="009E5DDE">
        <w:t xml:space="preserve">written notice they may make an application using form 1419 in accordance with the directions in the written notice.  </w:t>
      </w:r>
      <w:r w:rsidR="00B80F87">
        <w:t>This provision</w:t>
      </w:r>
      <w:r w:rsidRPr="009E5DDE">
        <w:t xml:space="preserve"> does not exclude the applicant from making an application in accordance with subsection 5(2).  </w:t>
      </w:r>
    </w:p>
    <w:p w14:paraId="28E273FC" w14:textId="2C7B6CA7" w:rsidR="002B02DE" w:rsidRDefault="008C2AD5" w:rsidP="002B02DE">
      <w:pPr>
        <w:pStyle w:val="ESPara"/>
      </w:pPr>
      <w:r w:rsidRPr="009E5DDE">
        <w:t>Subsection</w:t>
      </w:r>
      <w:r w:rsidR="00F01659">
        <w:t> </w:t>
      </w:r>
      <w:r w:rsidRPr="009E5DDE">
        <w:t xml:space="preserve">5(4) specifies that </w:t>
      </w:r>
      <w:r w:rsidR="002B02DE">
        <w:t>an applicant in Australia must make an application before, or within 28</w:t>
      </w:r>
      <w:r w:rsidR="00757CEA">
        <w:t> </w:t>
      </w:r>
      <w:r w:rsidR="002B02DE">
        <w:t>days</w:t>
      </w:r>
      <w:r w:rsidR="002B02DE" w:rsidRPr="002B02DE">
        <w:t xml:space="preserve"> after</w:t>
      </w:r>
      <w:r w:rsidR="00757CEA">
        <w:t>,</w:t>
      </w:r>
      <w:r w:rsidR="002B02DE" w:rsidRPr="002B02DE">
        <w:t xml:space="preserve"> the day the applicant ceases to hold a substantive visa or a criminal justice visa</w:t>
      </w:r>
      <w:r w:rsidR="002B02DE">
        <w:t xml:space="preserve">.  </w:t>
      </w:r>
      <w:r w:rsidR="002B6828" w:rsidRPr="00F71BE8">
        <w:t xml:space="preserve">This </w:t>
      </w:r>
      <w:r w:rsidR="00340E38" w:rsidRPr="00F71BE8">
        <w:t>reflects</w:t>
      </w:r>
      <w:r w:rsidR="006F33BF" w:rsidRPr="00F71BE8">
        <w:rPr>
          <w:rStyle w:val="CommentReference"/>
          <w:rFonts w:asciiTheme="minorHAnsi" w:hAnsiTheme="minorHAnsi" w:cstheme="minorBidi"/>
        </w:rPr>
        <w:t xml:space="preserve"> </w:t>
      </w:r>
      <w:r w:rsidR="00340E38" w:rsidRPr="00F71BE8">
        <w:t xml:space="preserve">some of the </w:t>
      </w:r>
      <w:r w:rsidR="00107058" w:rsidRPr="00F71BE8">
        <w:t>criteria</w:t>
      </w:r>
      <w:r w:rsidR="00723920" w:rsidRPr="00F71BE8">
        <w:t xml:space="preserve"> in Schedule</w:t>
      </w:r>
      <w:r w:rsidR="00B23D91" w:rsidRPr="00F71BE8">
        <w:t>s 2 and</w:t>
      </w:r>
      <w:r w:rsidR="00723920" w:rsidRPr="00F71BE8">
        <w:t xml:space="preserve"> 3 to the Regulations</w:t>
      </w:r>
      <w:r w:rsidR="000D3CD3" w:rsidRPr="00F71BE8">
        <w:t xml:space="preserve"> for grant of the visa</w:t>
      </w:r>
      <w:r w:rsidR="00340E38" w:rsidRPr="00F71BE8">
        <w:t xml:space="preserve">, </w:t>
      </w:r>
      <w:r w:rsidR="00B23D91" w:rsidRPr="00F71BE8">
        <w:t xml:space="preserve">and </w:t>
      </w:r>
      <w:r w:rsidR="00340E38" w:rsidRPr="00F71BE8">
        <w:t>in</w:t>
      </w:r>
      <w:r w:rsidR="00B23D91" w:rsidRPr="00F71BE8">
        <w:t xml:space="preserve"> doing so</w:t>
      </w:r>
      <w:r w:rsidR="00340E38" w:rsidRPr="00F71BE8">
        <w:t xml:space="preserve"> </w:t>
      </w:r>
      <w:r w:rsidR="006F33BF" w:rsidRPr="00F71BE8">
        <w:t>prevent</w:t>
      </w:r>
      <w:r w:rsidR="00B23D91" w:rsidRPr="00F71BE8">
        <w:t>s</w:t>
      </w:r>
      <w:r w:rsidR="006F33BF" w:rsidRPr="00F71BE8">
        <w:t xml:space="preserve"> persons who will not be granted a visa from making a valid application (see subclause 600.223(2) of Schedule 2 and subclause 3001(1) and subparagraph 3001(2)(c)(iv</w:t>
      </w:r>
      <w:r w:rsidR="00723920" w:rsidRPr="00F71BE8">
        <w:t>)</w:t>
      </w:r>
      <w:r w:rsidR="006F33BF" w:rsidRPr="00F71BE8" w:rsidDel="006F33BF">
        <w:t xml:space="preserve"> </w:t>
      </w:r>
      <w:r w:rsidR="006F33BF" w:rsidRPr="00F71BE8">
        <w:t>of Schedule 3 to the Regulations)</w:t>
      </w:r>
      <w:r w:rsidR="00107058" w:rsidRPr="00F71BE8">
        <w:t>.</w:t>
      </w:r>
      <w:r w:rsidR="002B6828">
        <w:t xml:space="preserve">  </w:t>
      </w:r>
    </w:p>
    <w:p w14:paraId="12884359" w14:textId="77777777" w:rsidR="00AA4557" w:rsidRPr="00AA4557" w:rsidRDefault="00AA4557" w:rsidP="00100DFC">
      <w:pPr>
        <w:pStyle w:val="ESHeading"/>
      </w:pPr>
      <w:r>
        <w:t xml:space="preserve">Parliamentary scrutiny etc.  </w:t>
      </w:r>
    </w:p>
    <w:p w14:paraId="108C6BAD" w14:textId="2453E2D8" w:rsidR="00D8015A" w:rsidRDefault="00D8015A" w:rsidP="00D8015A">
      <w:pPr>
        <w:pStyle w:val="ESPara"/>
      </w:pPr>
      <w:r>
        <w:t xml:space="preserve">The instrument is exempt from disallowance under section 42 of the Legislation Act.  This is because instruments made under </w:t>
      </w:r>
      <w:r w:rsidR="0018278C">
        <w:t>Part 2 of and Schedule</w:t>
      </w:r>
      <w:r>
        <w:t xml:space="preserve"> 1 to the Regulations are exempt under </w:t>
      </w:r>
      <w:r w:rsidR="0018278C">
        <w:t xml:space="preserve">paragraph b of item 20 in </w:t>
      </w:r>
      <w:r>
        <w:t>section</w:t>
      </w:r>
      <w:r w:rsidR="0018278C">
        <w:t> </w:t>
      </w:r>
      <w:r>
        <w:t xml:space="preserve">10 of the </w:t>
      </w:r>
      <w:r w:rsidRPr="0018278C">
        <w:rPr>
          <w:i/>
        </w:rPr>
        <w:t>Legislation (Exemptions and Other Matters) Regulation</w:t>
      </w:r>
      <w:r w:rsidR="0018278C">
        <w:rPr>
          <w:i/>
        </w:rPr>
        <w:t> </w:t>
      </w:r>
      <w:r w:rsidRPr="0018278C">
        <w:rPr>
          <w:i/>
        </w:rPr>
        <w:t>2015</w:t>
      </w:r>
      <w:r>
        <w:t xml:space="preserve">.  </w:t>
      </w:r>
    </w:p>
    <w:p w14:paraId="41324E1D" w14:textId="42CA7BD9" w:rsidR="00991A1D" w:rsidRDefault="00991A1D" w:rsidP="00B23676">
      <w:pPr>
        <w:pStyle w:val="ESPara"/>
      </w:pPr>
      <w:r w:rsidRPr="00A7639F">
        <w:t xml:space="preserve">The instrument is appropriate to be exempt from disallowance as it concerns matters of an administrative nature.  Updating legislative instruments that specify administrative matters allows for consistent internal management of the migration policy framework.  </w:t>
      </w:r>
    </w:p>
    <w:p w14:paraId="760B841E" w14:textId="77777777" w:rsidR="00915032" w:rsidRPr="00D8015A" w:rsidRDefault="00D8015A" w:rsidP="00D8015A">
      <w:pPr>
        <w:pStyle w:val="ESPara"/>
      </w:pPr>
      <w:r>
        <w:t xml:space="preserve">The instrument was made by a delegate of the Minister, </w:t>
      </w:r>
      <w:r w:rsidR="0018278C">
        <w:t xml:space="preserve">in accordance with </w:t>
      </w:r>
      <w:r w:rsidR="00CA31CB">
        <w:t>subregulation 2.07(5), sub</w:t>
      </w:r>
      <w:r w:rsidR="00CA31CB" w:rsidRPr="009E5DDE">
        <w:t>item 1236</w:t>
      </w:r>
      <w:r w:rsidR="00CA31CB">
        <w:t>(1) and item 1 of the table in subitem 1236(3)</w:t>
      </w:r>
      <w:r w:rsidR="00CA31CB" w:rsidRPr="009E5DDE">
        <w:t xml:space="preserve"> of Schedule 1</w:t>
      </w:r>
      <w:r w:rsidR="0018278C">
        <w:t xml:space="preserve"> to the Regulations. </w:t>
      </w:r>
      <w:r w:rsidR="00573BAA">
        <w:t xml:space="preserve"> </w:t>
      </w:r>
    </w:p>
    <w:sectPr w:rsidR="00915032" w:rsidRPr="00D8015A" w:rsidSect="004F5CE4">
      <w:footerReference w:type="default" r:id="rId7"/>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B7296" w14:textId="77777777" w:rsidR="00B80F87" w:rsidRDefault="00B80F87" w:rsidP="00B80F87">
      <w:pPr>
        <w:spacing w:after="0" w:line="240" w:lineRule="auto"/>
      </w:pPr>
      <w:r>
        <w:separator/>
      </w:r>
    </w:p>
  </w:endnote>
  <w:endnote w:type="continuationSeparator" w:id="0">
    <w:p w14:paraId="3C677511" w14:textId="77777777" w:rsidR="00B80F87" w:rsidRDefault="00B80F87" w:rsidP="00B80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83CBC" w14:textId="17D42A7A" w:rsidR="00B80F87" w:rsidRPr="00A90DFC" w:rsidRDefault="00B80F87" w:rsidP="00A90DFC">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8F4A89">
      <w:rPr>
        <w:rFonts w:ascii="Times New Roman" w:hAnsi="Times New Roman" w:cs="Times New Roman"/>
        <w:noProof/>
      </w:rPr>
      <w:t>2</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5D1E3" w14:textId="77777777" w:rsidR="00B80F87" w:rsidRDefault="00B80F87" w:rsidP="00B80F87">
      <w:pPr>
        <w:spacing w:after="0" w:line="240" w:lineRule="auto"/>
      </w:pPr>
      <w:r>
        <w:separator/>
      </w:r>
    </w:p>
  </w:footnote>
  <w:footnote w:type="continuationSeparator" w:id="0">
    <w:p w14:paraId="5B90205C" w14:textId="77777777" w:rsidR="00B80F87" w:rsidRDefault="00B80F87" w:rsidP="00B80F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trackRevisions/>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B89"/>
    <w:rsid w:val="00031582"/>
    <w:rsid w:val="000A1829"/>
    <w:rsid w:val="000D014F"/>
    <w:rsid w:val="000D391F"/>
    <w:rsid w:val="000D3CD3"/>
    <w:rsid w:val="00100DFC"/>
    <w:rsid w:val="00107058"/>
    <w:rsid w:val="0018278C"/>
    <w:rsid w:val="0019164E"/>
    <w:rsid w:val="002402E0"/>
    <w:rsid w:val="002B02DE"/>
    <w:rsid w:val="002B6828"/>
    <w:rsid w:val="002B6AC7"/>
    <w:rsid w:val="002D167E"/>
    <w:rsid w:val="002E4B89"/>
    <w:rsid w:val="0030781A"/>
    <w:rsid w:val="00340E38"/>
    <w:rsid w:val="00386465"/>
    <w:rsid w:val="003A58CE"/>
    <w:rsid w:val="00431552"/>
    <w:rsid w:val="00457D4A"/>
    <w:rsid w:val="00464080"/>
    <w:rsid w:val="004D0CB9"/>
    <w:rsid w:val="004D3086"/>
    <w:rsid w:val="004F5CE4"/>
    <w:rsid w:val="005055A5"/>
    <w:rsid w:val="00560B24"/>
    <w:rsid w:val="0057002B"/>
    <w:rsid w:val="00573BAA"/>
    <w:rsid w:val="005A23F5"/>
    <w:rsid w:val="005A3733"/>
    <w:rsid w:val="00604E06"/>
    <w:rsid w:val="006F33BF"/>
    <w:rsid w:val="00723920"/>
    <w:rsid w:val="007504E0"/>
    <w:rsid w:val="00757CEA"/>
    <w:rsid w:val="0076362A"/>
    <w:rsid w:val="007C36FE"/>
    <w:rsid w:val="007E0402"/>
    <w:rsid w:val="007E4691"/>
    <w:rsid w:val="0088407D"/>
    <w:rsid w:val="008936A3"/>
    <w:rsid w:val="008B24C8"/>
    <w:rsid w:val="008C2AD5"/>
    <w:rsid w:val="008F4A89"/>
    <w:rsid w:val="00914153"/>
    <w:rsid w:val="00915032"/>
    <w:rsid w:val="00984C34"/>
    <w:rsid w:val="00985C17"/>
    <w:rsid w:val="00991A1D"/>
    <w:rsid w:val="009C5BDC"/>
    <w:rsid w:val="00A121E3"/>
    <w:rsid w:val="00A90DFC"/>
    <w:rsid w:val="00AA2C42"/>
    <w:rsid w:val="00AA4557"/>
    <w:rsid w:val="00AA4F77"/>
    <w:rsid w:val="00B23676"/>
    <w:rsid w:val="00B23D91"/>
    <w:rsid w:val="00B445D9"/>
    <w:rsid w:val="00B65A06"/>
    <w:rsid w:val="00B75478"/>
    <w:rsid w:val="00B80F87"/>
    <w:rsid w:val="00B92A10"/>
    <w:rsid w:val="00BB0CF2"/>
    <w:rsid w:val="00BD09FB"/>
    <w:rsid w:val="00BD598E"/>
    <w:rsid w:val="00BE3E7F"/>
    <w:rsid w:val="00C35DC6"/>
    <w:rsid w:val="00C81A5E"/>
    <w:rsid w:val="00C86465"/>
    <w:rsid w:val="00C930F2"/>
    <w:rsid w:val="00CA31CB"/>
    <w:rsid w:val="00CF0BAA"/>
    <w:rsid w:val="00D40E1E"/>
    <w:rsid w:val="00D43A0C"/>
    <w:rsid w:val="00D8015A"/>
    <w:rsid w:val="00DF1FC7"/>
    <w:rsid w:val="00E03DCC"/>
    <w:rsid w:val="00E41E66"/>
    <w:rsid w:val="00E45FE2"/>
    <w:rsid w:val="00E57E5D"/>
    <w:rsid w:val="00E8785C"/>
    <w:rsid w:val="00EA12C9"/>
    <w:rsid w:val="00ED6FE9"/>
    <w:rsid w:val="00EE66A9"/>
    <w:rsid w:val="00F01659"/>
    <w:rsid w:val="00F5618C"/>
    <w:rsid w:val="00F71BE8"/>
    <w:rsid w:val="00FB5B7A"/>
    <w:rsid w:val="00FE0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40892"/>
  <w15:chartTrackingRefBased/>
  <w15:docId w15:val="{F92F4FF1-21F8-42A3-91AF-6E3B7A621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paragraph" w:styleId="BalloonText">
    <w:name w:val="Balloon Text"/>
    <w:basedOn w:val="Normal"/>
    <w:link w:val="BalloonTextChar"/>
    <w:uiPriority w:val="99"/>
    <w:semiHidden/>
    <w:unhideWhenUsed/>
    <w:rsid w:val="003864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465"/>
    <w:rPr>
      <w:rFonts w:ascii="Segoe UI" w:hAnsi="Segoe UI" w:cs="Segoe UI"/>
      <w:sz w:val="18"/>
      <w:szCs w:val="18"/>
    </w:rPr>
  </w:style>
  <w:style w:type="character" w:styleId="CommentReference">
    <w:name w:val="annotation reference"/>
    <w:basedOn w:val="DefaultParagraphFont"/>
    <w:uiPriority w:val="99"/>
    <w:semiHidden/>
    <w:unhideWhenUsed/>
    <w:rsid w:val="002B02DE"/>
    <w:rPr>
      <w:sz w:val="16"/>
      <w:szCs w:val="16"/>
    </w:rPr>
  </w:style>
  <w:style w:type="paragraph" w:styleId="CommentText">
    <w:name w:val="annotation text"/>
    <w:basedOn w:val="Normal"/>
    <w:link w:val="CommentTextChar"/>
    <w:uiPriority w:val="99"/>
    <w:semiHidden/>
    <w:unhideWhenUsed/>
    <w:rsid w:val="002B02DE"/>
    <w:pPr>
      <w:spacing w:line="240" w:lineRule="auto"/>
    </w:pPr>
    <w:rPr>
      <w:sz w:val="20"/>
      <w:szCs w:val="20"/>
    </w:rPr>
  </w:style>
  <w:style w:type="character" w:customStyle="1" w:styleId="CommentTextChar">
    <w:name w:val="Comment Text Char"/>
    <w:basedOn w:val="DefaultParagraphFont"/>
    <w:link w:val="CommentText"/>
    <w:uiPriority w:val="99"/>
    <w:semiHidden/>
    <w:rsid w:val="002B02DE"/>
    <w:rPr>
      <w:sz w:val="20"/>
      <w:szCs w:val="20"/>
    </w:rPr>
  </w:style>
  <w:style w:type="paragraph" w:styleId="CommentSubject">
    <w:name w:val="annotation subject"/>
    <w:basedOn w:val="CommentText"/>
    <w:next w:val="CommentText"/>
    <w:link w:val="CommentSubjectChar"/>
    <w:uiPriority w:val="99"/>
    <w:semiHidden/>
    <w:unhideWhenUsed/>
    <w:rsid w:val="002B02DE"/>
    <w:rPr>
      <w:b/>
      <w:bCs/>
    </w:rPr>
  </w:style>
  <w:style w:type="character" w:customStyle="1" w:styleId="CommentSubjectChar">
    <w:name w:val="Comment Subject Char"/>
    <w:basedOn w:val="CommentTextChar"/>
    <w:link w:val="CommentSubject"/>
    <w:uiPriority w:val="99"/>
    <w:semiHidden/>
    <w:rsid w:val="002B02DE"/>
    <w:rPr>
      <w:b/>
      <w:bCs/>
      <w:sz w:val="20"/>
      <w:szCs w:val="20"/>
    </w:rPr>
  </w:style>
  <w:style w:type="paragraph" w:styleId="Header">
    <w:name w:val="header"/>
    <w:basedOn w:val="Normal"/>
    <w:link w:val="HeaderChar"/>
    <w:uiPriority w:val="99"/>
    <w:unhideWhenUsed/>
    <w:rsid w:val="00B80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F87"/>
  </w:style>
  <w:style w:type="paragraph" w:styleId="Footer">
    <w:name w:val="footer"/>
    <w:basedOn w:val="Normal"/>
    <w:link w:val="FooterChar"/>
    <w:uiPriority w:val="99"/>
    <w:unhideWhenUsed/>
    <w:rsid w:val="00B80F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488502">
      <w:bodyDiv w:val="1"/>
      <w:marLeft w:val="0"/>
      <w:marRight w:val="0"/>
      <w:marTop w:val="0"/>
      <w:marBottom w:val="0"/>
      <w:divBdr>
        <w:top w:val="none" w:sz="0" w:space="0" w:color="auto"/>
        <w:left w:val="none" w:sz="0" w:space="0" w:color="auto"/>
        <w:bottom w:val="none" w:sz="0" w:space="0" w:color="auto"/>
        <w:right w:val="none" w:sz="0" w:space="0" w:color="auto"/>
      </w:divBdr>
      <w:divsChild>
        <w:div w:id="503588817">
          <w:marLeft w:val="0"/>
          <w:marRight w:val="0"/>
          <w:marTop w:val="0"/>
          <w:marBottom w:val="0"/>
          <w:divBdr>
            <w:top w:val="none" w:sz="0" w:space="0" w:color="auto"/>
            <w:left w:val="none" w:sz="0" w:space="0" w:color="auto"/>
            <w:bottom w:val="none" w:sz="0" w:space="0" w:color="auto"/>
            <w:right w:val="none" w:sz="0" w:space="0" w:color="auto"/>
          </w:divBdr>
          <w:divsChild>
            <w:div w:id="1135837030">
              <w:marLeft w:val="0"/>
              <w:marRight w:val="0"/>
              <w:marTop w:val="0"/>
              <w:marBottom w:val="0"/>
              <w:divBdr>
                <w:top w:val="none" w:sz="0" w:space="0" w:color="auto"/>
                <w:left w:val="none" w:sz="0" w:space="0" w:color="auto"/>
                <w:bottom w:val="none" w:sz="0" w:space="0" w:color="auto"/>
                <w:right w:val="none" w:sz="0" w:space="0" w:color="auto"/>
              </w:divBdr>
              <w:divsChild>
                <w:div w:id="650523650">
                  <w:marLeft w:val="0"/>
                  <w:marRight w:val="0"/>
                  <w:marTop w:val="0"/>
                  <w:marBottom w:val="0"/>
                  <w:divBdr>
                    <w:top w:val="none" w:sz="0" w:space="0" w:color="auto"/>
                    <w:left w:val="none" w:sz="0" w:space="0" w:color="auto"/>
                    <w:bottom w:val="none" w:sz="0" w:space="0" w:color="auto"/>
                    <w:right w:val="none" w:sz="0" w:space="0" w:color="auto"/>
                  </w:divBdr>
                  <w:divsChild>
                    <w:div w:id="2129350953">
                      <w:marLeft w:val="0"/>
                      <w:marRight w:val="0"/>
                      <w:marTop w:val="0"/>
                      <w:marBottom w:val="0"/>
                      <w:divBdr>
                        <w:top w:val="none" w:sz="0" w:space="0" w:color="auto"/>
                        <w:left w:val="none" w:sz="0" w:space="0" w:color="auto"/>
                        <w:bottom w:val="none" w:sz="0" w:space="0" w:color="auto"/>
                        <w:right w:val="none" w:sz="0" w:space="0" w:color="auto"/>
                      </w:divBdr>
                      <w:divsChild>
                        <w:div w:id="177932886">
                          <w:marLeft w:val="0"/>
                          <w:marRight w:val="0"/>
                          <w:marTop w:val="0"/>
                          <w:marBottom w:val="0"/>
                          <w:divBdr>
                            <w:top w:val="none" w:sz="0" w:space="0" w:color="auto"/>
                            <w:left w:val="none" w:sz="0" w:space="0" w:color="auto"/>
                            <w:bottom w:val="none" w:sz="0" w:space="0" w:color="auto"/>
                            <w:right w:val="none" w:sz="0" w:space="0" w:color="auto"/>
                          </w:divBdr>
                          <w:divsChild>
                            <w:div w:id="143932037">
                              <w:marLeft w:val="0"/>
                              <w:marRight w:val="0"/>
                              <w:marTop w:val="0"/>
                              <w:marBottom w:val="0"/>
                              <w:divBdr>
                                <w:top w:val="none" w:sz="0" w:space="0" w:color="auto"/>
                                <w:left w:val="none" w:sz="0" w:space="0" w:color="auto"/>
                                <w:bottom w:val="none" w:sz="0" w:space="0" w:color="auto"/>
                                <w:right w:val="none" w:sz="0" w:space="0" w:color="auto"/>
                              </w:divBdr>
                              <w:divsChild>
                                <w:div w:id="529494077">
                                  <w:marLeft w:val="0"/>
                                  <w:marRight w:val="0"/>
                                  <w:marTop w:val="0"/>
                                  <w:marBottom w:val="0"/>
                                  <w:divBdr>
                                    <w:top w:val="none" w:sz="0" w:space="0" w:color="auto"/>
                                    <w:left w:val="none" w:sz="0" w:space="0" w:color="auto"/>
                                    <w:bottom w:val="none" w:sz="0" w:space="0" w:color="auto"/>
                                    <w:right w:val="none" w:sz="0" w:space="0" w:color="auto"/>
                                  </w:divBdr>
                                  <w:divsChild>
                                    <w:div w:id="1185677990">
                                      <w:marLeft w:val="0"/>
                                      <w:marRight w:val="0"/>
                                      <w:marTop w:val="0"/>
                                      <w:marBottom w:val="0"/>
                                      <w:divBdr>
                                        <w:top w:val="none" w:sz="0" w:space="0" w:color="auto"/>
                                        <w:left w:val="none" w:sz="0" w:space="0" w:color="auto"/>
                                        <w:bottom w:val="none" w:sz="0" w:space="0" w:color="auto"/>
                                        <w:right w:val="none" w:sz="0" w:space="0" w:color="auto"/>
                                      </w:divBdr>
                                      <w:divsChild>
                                        <w:div w:id="748119629">
                                          <w:marLeft w:val="0"/>
                                          <w:marRight w:val="0"/>
                                          <w:marTop w:val="0"/>
                                          <w:marBottom w:val="0"/>
                                          <w:divBdr>
                                            <w:top w:val="none" w:sz="0" w:space="0" w:color="auto"/>
                                            <w:left w:val="none" w:sz="0" w:space="0" w:color="auto"/>
                                            <w:bottom w:val="none" w:sz="0" w:space="0" w:color="auto"/>
                                            <w:right w:val="none" w:sz="0" w:space="0" w:color="auto"/>
                                          </w:divBdr>
                                          <w:divsChild>
                                            <w:div w:id="621812559">
                                              <w:marLeft w:val="0"/>
                                              <w:marRight w:val="0"/>
                                              <w:marTop w:val="0"/>
                                              <w:marBottom w:val="0"/>
                                              <w:divBdr>
                                                <w:top w:val="none" w:sz="0" w:space="0" w:color="auto"/>
                                                <w:left w:val="none" w:sz="0" w:space="0" w:color="auto"/>
                                                <w:bottom w:val="none" w:sz="0" w:space="0" w:color="auto"/>
                                                <w:right w:val="none" w:sz="0" w:space="0" w:color="auto"/>
                                              </w:divBdr>
                                              <w:divsChild>
                                                <w:div w:id="383481175">
                                                  <w:marLeft w:val="0"/>
                                                  <w:marRight w:val="0"/>
                                                  <w:marTop w:val="0"/>
                                                  <w:marBottom w:val="0"/>
                                                  <w:divBdr>
                                                    <w:top w:val="none" w:sz="0" w:space="0" w:color="auto"/>
                                                    <w:left w:val="none" w:sz="0" w:space="0" w:color="auto"/>
                                                    <w:bottom w:val="none" w:sz="0" w:space="0" w:color="auto"/>
                                                    <w:right w:val="none" w:sz="0" w:space="0" w:color="auto"/>
                                                  </w:divBdr>
                                                  <w:divsChild>
                                                    <w:div w:id="1320236206">
                                                      <w:marLeft w:val="0"/>
                                                      <w:marRight w:val="0"/>
                                                      <w:marTop w:val="0"/>
                                                      <w:marBottom w:val="0"/>
                                                      <w:divBdr>
                                                        <w:top w:val="none" w:sz="0" w:space="0" w:color="auto"/>
                                                        <w:left w:val="none" w:sz="0" w:space="0" w:color="auto"/>
                                                        <w:bottom w:val="none" w:sz="0" w:space="0" w:color="auto"/>
                                                        <w:right w:val="none" w:sz="0" w:space="0" w:color="auto"/>
                                                      </w:divBdr>
                                                      <w:divsChild>
                                                        <w:div w:id="97198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0899057">
      <w:bodyDiv w:val="1"/>
      <w:marLeft w:val="0"/>
      <w:marRight w:val="0"/>
      <w:marTop w:val="0"/>
      <w:marBottom w:val="0"/>
      <w:divBdr>
        <w:top w:val="none" w:sz="0" w:space="0" w:color="auto"/>
        <w:left w:val="none" w:sz="0" w:space="0" w:color="auto"/>
        <w:bottom w:val="none" w:sz="0" w:space="0" w:color="auto"/>
        <w:right w:val="none" w:sz="0" w:space="0" w:color="auto"/>
      </w:divBdr>
    </w:div>
    <w:div w:id="573390653">
      <w:bodyDiv w:val="1"/>
      <w:marLeft w:val="0"/>
      <w:marRight w:val="0"/>
      <w:marTop w:val="0"/>
      <w:marBottom w:val="0"/>
      <w:divBdr>
        <w:top w:val="none" w:sz="0" w:space="0" w:color="auto"/>
        <w:left w:val="none" w:sz="0" w:space="0" w:color="auto"/>
        <w:bottom w:val="none" w:sz="0" w:space="0" w:color="auto"/>
        <w:right w:val="none" w:sz="0" w:space="0" w:color="auto"/>
      </w:divBdr>
      <w:divsChild>
        <w:div w:id="548684916">
          <w:marLeft w:val="0"/>
          <w:marRight w:val="0"/>
          <w:marTop w:val="0"/>
          <w:marBottom w:val="0"/>
          <w:divBdr>
            <w:top w:val="none" w:sz="0" w:space="0" w:color="auto"/>
            <w:left w:val="none" w:sz="0" w:space="0" w:color="auto"/>
            <w:bottom w:val="none" w:sz="0" w:space="0" w:color="auto"/>
            <w:right w:val="none" w:sz="0" w:space="0" w:color="auto"/>
          </w:divBdr>
          <w:divsChild>
            <w:div w:id="1920362394">
              <w:marLeft w:val="0"/>
              <w:marRight w:val="0"/>
              <w:marTop w:val="0"/>
              <w:marBottom w:val="0"/>
              <w:divBdr>
                <w:top w:val="none" w:sz="0" w:space="0" w:color="auto"/>
                <w:left w:val="none" w:sz="0" w:space="0" w:color="auto"/>
                <w:bottom w:val="none" w:sz="0" w:space="0" w:color="auto"/>
                <w:right w:val="none" w:sz="0" w:space="0" w:color="auto"/>
              </w:divBdr>
              <w:divsChild>
                <w:div w:id="1599873553">
                  <w:marLeft w:val="0"/>
                  <w:marRight w:val="0"/>
                  <w:marTop w:val="0"/>
                  <w:marBottom w:val="0"/>
                  <w:divBdr>
                    <w:top w:val="none" w:sz="0" w:space="0" w:color="auto"/>
                    <w:left w:val="none" w:sz="0" w:space="0" w:color="auto"/>
                    <w:bottom w:val="none" w:sz="0" w:space="0" w:color="auto"/>
                    <w:right w:val="none" w:sz="0" w:space="0" w:color="auto"/>
                  </w:divBdr>
                  <w:divsChild>
                    <w:div w:id="564410271">
                      <w:marLeft w:val="0"/>
                      <w:marRight w:val="0"/>
                      <w:marTop w:val="0"/>
                      <w:marBottom w:val="0"/>
                      <w:divBdr>
                        <w:top w:val="none" w:sz="0" w:space="0" w:color="auto"/>
                        <w:left w:val="none" w:sz="0" w:space="0" w:color="auto"/>
                        <w:bottom w:val="none" w:sz="0" w:space="0" w:color="auto"/>
                        <w:right w:val="none" w:sz="0" w:space="0" w:color="auto"/>
                      </w:divBdr>
                      <w:divsChild>
                        <w:div w:id="1551191970">
                          <w:marLeft w:val="0"/>
                          <w:marRight w:val="0"/>
                          <w:marTop w:val="0"/>
                          <w:marBottom w:val="0"/>
                          <w:divBdr>
                            <w:top w:val="none" w:sz="0" w:space="0" w:color="auto"/>
                            <w:left w:val="none" w:sz="0" w:space="0" w:color="auto"/>
                            <w:bottom w:val="none" w:sz="0" w:space="0" w:color="auto"/>
                            <w:right w:val="none" w:sz="0" w:space="0" w:color="auto"/>
                          </w:divBdr>
                          <w:divsChild>
                            <w:div w:id="1727949961">
                              <w:marLeft w:val="0"/>
                              <w:marRight w:val="0"/>
                              <w:marTop w:val="0"/>
                              <w:marBottom w:val="0"/>
                              <w:divBdr>
                                <w:top w:val="none" w:sz="0" w:space="0" w:color="auto"/>
                                <w:left w:val="none" w:sz="0" w:space="0" w:color="auto"/>
                                <w:bottom w:val="none" w:sz="0" w:space="0" w:color="auto"/>
                                <w:right w:val="none" w:sz="0" w:space="0" w:color="auto"/>
                              </w:divBdr>
                              <w:divsChild>
                                <w:div w:id="1551065634">
                                  <w:marLeft w:val="0"/>
                                  <w:marRight w:val="0"/>
                                  <w:marTop w:val="0"/>
                                  <w:marBottom w:val="0"/>
                                  <w:divBdr>
                                    <w:top w:val="none" w:sz="0" w:space="0" w:color="auto"/>
                                    <w:left w:val="none" w:sz="0" w:space="0" w:color="auto"/>
                                    <w:bottom w:val="none" w:sz="0" w:space="0" w:color="auto"/>
                                    <w:right w:val="none" w:sz="0" w:space="0" w:color="auto"/>
                                  </w:divBdr>
                                  <w:divsChild>
                                    <w:div w:id="1613442367">
                                      <w:marLeft w:val="0"/>
                                      <w:marRight w:val="0"/>
                                      <w:marTop w:val="0"/>
                                      <w:marBottom w:val="0"/>
                                      <w:divBdr>
                                        <w:top w:val="none" w:sz="0" w:space="0" w:color="auto"/>
                                        <w:left w:val="none" w:sz="0" w:space="0" w:color="auto"/>
                                        <w:bottom w:val="none" w:sz="0" w:space="0" w:color="auto"/>
                                        <w:right w:val="none" w:sz="0" w:space="0" w:color="auto"/>
                                      </w:divBdr>
                                      <w:divsChild>
                                        <w:div w:id="1644234842">
                                          <w:marLeft w:val="0"/>
                                          <w:marRight w:val="0"/>
                                          <w:marTop w:val="0"/>
                                          <w:marBottom w:val="0"/>
                                          <w:divBdr>
                                            <w:top w:val="none" w:sz="0" w:space="0" w:color="auto"/>
                                            <w:left w:val="none" w:sz="0" w:space="0" w:color="auto"/>
                                            <w:bottom w:val="none" w:sz="0" w:space="0" w:color="auto"/>
                                            <w:right w:val="none" w:sz="0" w:space="0" w:color="auto"/>
                                          </w:divBdr>
                                          <w:divsChild>
                                            <w:div w:id="1610694499">
                                              <w:marLeft w:val="0"/>
                                              <w:marRight w:val="0"/>
                                              <w:marTop w:val="0"/>
                                              <w:marBottom w:val="0"/>
                                              <w:divBdr>
                                                <w:top w:val="none" w:sz="0" w:space="0" w:color="auto"/>
                                                <w:left w:val="none" w:sz="0" w:space="0" w:color="auto"/>
                                                <w:bottom w:val="none" w:sz="0" w:space="0" w:color="auto"/>
                                                <w:right w:val="none" w:sz="0" w:space="0" w:color="auto"/>
                                              </w:divBdr>
                                              <w:divsChild>
                                                <w:div w:id="2628729">
                                                  <w:marLeft w:val="0"/>
                                                  <w:marRight w:val="0"/>
                                                  <w:marTop w:val="0"/>
                                                  <w:marBottom w:val="0"/>
                                                  <w:divBdr>
                                                    <w:top w:val="none" w:sz="0" w:space="0" w:color="auto"/>
                                                    <w:left w:val="none" w:sz="0" w:space="0" w:color="auto"/>
                                                    <w:bottom w:val="none" w:sz="0" w:space="0" w:color="auto"/>
                                                    <w:right w:val="none" w:sz="0" w:space="0" w:color="auto"/>
                                                  </w:divBdr>
                                                  <w:divsChild>
                                                    <w:div w:id="734281812">
                                                      <w:marLeft w:val="0"/>
                                                      <w:marRight w:val="0"/>
                                                      <w:marTop w:val="0"/>
                                                      <w:marBottom w:val="0"/>
                                                      <w:divBdr>
                                                        <w:top w:val="none" w:sz="0" w:space="0" w:color="auto"/>
                                                        <w:left w:val="none" w:sz="0" w:space="0" w:color="auto"/>
                                                        <w:bottom w:val="none" w:sz="0" w:space="0" w:color="auto"/>
                                                        <w:right w:val="none" w:sz="0" w:space="0" w:color="auto"/>
                                                      </w:divBdr>
                                                      <w:divsChild>
                                                        <w:div w:id="110469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6800276">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Yo-ru LEE</dc:creator>
  <cp:keywords/>
  <dc:description/>
  <cp:lastModifiedBy>Thomas BURBURY</cp:lastModifiedBy>
  <cp:revision>2</cp:revision>
  <dcterms:created xsi:type="dcterms:W3CDTF">2022-03-02T01:12:00Z</dcterms:created>
  <dcterms:modified xsi:type="dcterms:W3CDTF">2022-03-02T01:12:00Z</dcterms:modified>
</cp:coreProperties>
</file>