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0216" w14:textId="08BEBC6D" w:rsidR="001F3FB7" w:rsidRPr="00BC1932" w:rsidRDefault="001F3FB7" w:rsidP="001F3FB7">
      <w:pPr>
        <w:rPr>
          <w:rFonts w:asciiTheme="minorHAnsi" w:hAnsiTheme="minorHAnsi" w:cstheme="minorHAnsi"/>
        </w:rPr>
      </w:pPr>
      <w:r w:rsidRPr="00BC1932">
        <w:rPr>
          <w:rFonts w:asciiTheme="minorHAnsi" w:hAnsiTheme="minorHAnsi" w:cstheme="minorHAnsi"/>
          <w:noProof/>
        </w:rPr>
        <w:drawing>
          <wp:inline distT="0" distB="0" distL="0" distR="0" wp14:anchorId="14B4637B" wp14:editId="6F4173FF">
            <wp:extent cx="1460500" cy="1064260"/>
            <wp:effectExtent l="0" t="0" r="0"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pic:cNvPicPr>
                      <a:picLocks noChangeAspect="1" noChangeArrowheads="1"/>
                    </pic:cNvPicPr>
                  </pic:nvPicPr>
                  <pic:blipFill>
                    <a:blip r:embed="rId12" cstate="print"/>
                    <a:srcRect/>
                    <a:stretch>
                      <a:fillRect/>
                    </a:stretch>
                  </pic:blipFill>
                  <pic:spPr bwMode="auto">
                    <a:xfrm>
                      <a:off x="0" y="0"/>
                      <a:ext cx="1460500" cy="1064260"/>
                    </a:xfrm>
                    <a:prstGeom prst="rect">
                      <a:avLst/>
                    </a:prstGeom>
                    <a:noFill/>
                    <a:ln w="9525">
                      <a:noFill/>
                      <a:miter lim="800000"/>
                      <a:headEnd/>
                      <a:tailEnd/>
                    </a:ln>
                  </pic:spPr>
                </pic:pic>
              </a:graphicData>
            </a:graphic>
          </wp:inline>
        </w:drawing>
      </w:r>
    </w:p>
    <w:p w14:paraId="27BAFD94" w14:textId="35C8CA15" w:rsidR="001F3FB7" w:rsidRPr="00BC1932" w:rsidRDefault="00D441B3" w:rsidP="001F3FB7">
      <w:pPr>
        <w:pStyle w:val="Title"/>
        <w:pBdr>
          <w:bottom w:val="single" w:sz="4" w:space="3" w:color="auto"/>
        </w:pBdr>
        <w:rPr>
          <w:rFonts w:ascii="Times New Roman" w:hAnsi="Times New Roman" w:cs="Times New Roman"/>
        </w:rPr>
      </w:pPr>
      <w:bookmarkStart w:id="0" w:name="Citation"/>
      <w:r w:rsidRPr="00BC1932">
        <w:rPr>
          <w:rFonts w:ascii="Times New Roman" w:hAnsi="Times New Roman" w:cs="Times New Roman"/>
          <w:iCs/>
        </w:rPr>
        <w:t>Telecommunications</w:t>
      </w:r>
      <w:r w:rsidR="005A3281" w:rsidRPr="00BC1932">
        <w:rPr>
          <w:rFonts w:ascii="Times New Roman" w:hAnsi="Times New Roman" w:cs="Times New Roman"/>
          <w:iCs/>
        </w:rPr>
        <w:t xml:space="preserve"> </w:t>
      </w:r>
      <w:bookmarkEnd w:id="0"/>
      <w:r w:rsidRPr="00BC1932">
        <w:rPr>
          <w:rFonts w:ascii="Times New Roman" w:hAnsi="Times New Roman" w:cs="Times New Roman"/>
          <w:iCs/>
        </w:rPr>
        <w:t>(Infringement Notices) Guidelines 20</w:t>
      </w:r>
      <w:r w:rsidR="00236028" w:rsidRPr="00BC1932">
        <w:rPr>
          <w:rFonts w:ascii="Times New Roman" w:hAnsi="Times New Roman" w:cs="Times New Roman"/>
          <w:iCs/>
        </w:rPr>
        <w:t>22</w:t>
      </w:r>
    </w:p>
    <w:p w14:paraId="4B9EECB5" w14:textId="69F8AD18" w:rsidR="001F3FB7" w:rsidRPr="00BC1932" w:rsidRDefault="00D441B3" w:rsidP="001F3FB7">
      <w:pPr>
        <w:pBdr>
          <w:bottom w:val="single" w:sz="4" w:space="3" w:color="auto"/>
        </w:pBdr>
        <w:spacing w:before="480"/>
        <w:rPr>
          <w:i/>
          <w:sz w:val="22"/>
          <w:szCs w:val="22"/>
          <w:lang w:val="en-US"/>
        </w:rPr>
      </w:pPr>
      <w:r w:rsidRPr="00BC1932">
        <w:rPr>
          <w:i/>
          <w:sz w:val="22"/>
          <w:szCs w:val="22"/>
          <w:lang w:val="en-US"/>
        </w:rPr>
        <w:t>Telecommunications Act 1997</w:t>
      </w:r>
    </w:p>
    <w:p w14:paraId="2AEBC2B5" w14:textId="68178434" w:rsidR="001F3FB7" w:rsidRPr="00BC1932" w:rsidRDefault="00FA3E25" w:rsidP="001F3FB7">
      <w:pPr>
        <w:spacing w:before="360"/>
        <w:jc w:val="both"/>
        <w:rPr>
          <w:sz w:val="22"/>
          <w:szCs w:val="22"/>
        </w:rPr>
      </w:pPr>
      <w:r w:rsidRPr="00BC1932">
        <w:rPr>
          <w:sz w:val="22"/>
          <w:szCs w:val="22"/>
        </w:rPr>
        <w:t xml:space="preserve">The </w:t>
      </w:r>
      <w:r w:rsidR="00721CE9" w:rsidRPr="00BC1932">
        <w:rPr>
          <w:sz w:val="22"/>
          <w:szCs w:val="22"/>
        </w:rPr>
        <w:t>Australian Communications and Media Authority</w:t>
      </w:r>
      <w:r w:rsidR="001F3FB7" w:rsidRPr="00BC1932">
        <w:rPr>
          <w:sz w:val="22"/>
          <w:szCs w:val="22"/>
        </w:rPr>
        <w:t xml:space="preserve"> makes </w:t>
      </w:r>
      <w:r w:rsidR="00721CE9" w:rsidRPr="00BC1932">
        <w:rPr>
          <w:sz w:val="22"/>
          <w:szCs w:val="22"/>
        </w:rPr>
        <w:t>the following</w:t>
      </w:r>
      <w:r w:rsidR="001F3FB7" w:rsidRPr="00BC1932">
        <w:rPr>
          <w:sz w:val="22"/>
          <w:szCs w:val="22"/>
        </w:rPr>
        <w:t xml:space="preserve"> Guidelines under subsection</w:t>
      </w:r>
      <w:r w:rsidR="00721CE9" w:rsidRPr="00BC1932">
        <w:rPr>
          <w:sz w:val="22"/>
          <w:szCs w:val="22"/>
        </w:rPr>
        <w:t> </w:t>
      </w:r>
      <w:r w:rsidR="00D441B3" w:rsidRPr="00BC1932">
        <w:rPr>
          <w:sz w:val="22"/>
          <w:szCs w:val="22"/>
        </w:rPr>
        <w:t>572</w:t>
      </w:r>
      <w:proofErr w:type="gramStart"/>
      <w:r w:rsidR="00D441B3" w:rsidRPr="00BC1932">
        <w:rPr>
          <w:sz w:val="22"/>
          <w:szCs w:val="22"/>
        </w:rPr>
        <w:t>M(</w:t>
      </w:r>
      <w:proofErr w:type="gramEnd"/>
      <w:r w:rsidR="00D441B3" w:rsidRPr="00BC1932">
        <w:rPr>
          <w:sz w:val="22"/>
          <w:szCs w:val="22"/>
        </w:rPr>
        <w:t>2)</w:t>
      </w:r>
      <w:r w:rsidR="001F3FB7" w:rsidRPr="00BC1932">
        <w:rPr>
          <w:sz w:val="22"/>
          <w:szCs w:val="22"/>
        </w:rPr>
        <w:t xml:space="preserve"> of the </w:t>
      </w:r>
      <w:r w:rsidR="00D441B3" w:rsidRPr="00BC1932">
        <w:rPr>
          <w:i/>
          <w:sz w:val="22"/>
          <w:szCs w:val="22"/>
        </w:rPr>
        <w:t>Telecommunications Act 1997</w:t>
      </w:r>
      <w:r w:rsidR="001F3FB7" w:rsidRPr="00BC1932">
        <w:rPr>
          <w:sz w:val="22"/>
          <w:szCs w:val="22"/>
        </w:rPr>
        <w:t>.</w:t>
      </w:r>
    </w:p>
    <w:p w14:paraId="31996343" w14:textId="16874D65" w:rsidR="001F3FB7" w:rsidRPr="00BC1932" w:rsidRDefault="001F3FB7" w:rsidP="001F3FB7">
      <w:pPr>
        <w:tabs>
          <w:tab w:val="left" w:pos="3119"/>
        </w:tabs>
        <w:spacing w:before="300" w:after="600" w:line="300" w:lineRule="atLeast"/>
        <w:rPr>
          <w:sz w:val="22"/>
          <w:szCs w:val="22"/>
        </w:rPr>
      </w:pPr>
      <w:r w:rsidRPr="00BC1932">
        <w:rPr>
          <w:sz w:val="22"/>
          <w:szCs w:val="22"/>
        </w:rPr>
        <w:t>Dated</w:t>
      </w:r>
      <w:r w:rsidR="00AC4299">
        <w:rPr>
          <w:sz w:val="22"/>
          <w:szCs w:val="22"/>
        </w:rPr>
        <w:t>: 3 March 2022</w:t>
      </w:r>
    </w:p>
    <w:p w14:paraId="6481BC15" w14:textId="339FE9CE" w:rsidR="001F3FB7" w:rsidRPr="00BC1932" w:rsidRDefault="0016085F" w:rsidP="001F3FB7">
      <w:pPr>
        <w:tabs>
          <w:tab w:val="left" w:pos="3119"/>
        </w:tabs>
        <w:spacing w:after="600" w:line="300" w:lineRule="atLeast"/>
        <w:jc w:val="right"/>
        <w:rPr>
          <w:sz w:val="22"/>
          <w:szCs w:val="22"/>
        </w:rPr>
      </w:pPr>
      <w:r>
        <w:rPr>
          <w:sz w:val="22"/>
          <w:szCs w:val="22"/>
        </w:rPr>
        <w:t>James Cameron</w:t>
      </w:r>
      <w:r w:rsidR="001F3FB7" w:rsidRPr="00BC1932">
        <w:rPr>
          <w:sz w:val="22"/>
          <w:szCs w:val="22"/>
        </w:rPr>
        <w:br/>
      </w:r>
      <w:r w:rsidR="00AC4299">
        <w:rPr>
          <w:sz w:val="22"/>
          <w:szCs w:val="22"/>
        </w:rPr>
        <w:t>[signed]</w:t>
      </w:r>
      <w:r w:rsidR="002F1AD3" w:rsidRPr="00BC1932">
        <w:rPr>
          <w:sz w:val="22"/>
          <w:szCs w:val="22"/>
        </w:rPr>
        <w:br/>
      </w:r>
      <w:r w:rsidR="001F3FB7" w:rsidRPr="00BC1932">
        <w:rPr>
          <w:sz w:val="22"/>
          <w:szCs w:val="22"/>
        </w:rPr>
        <w:t>Member</w:t>
      </w:r>
    </w:p>
    <w:p w14:paraId="60195B0D" w14:textId="259C4A1F" w:rsidR="00EB5CDB" w:rsidRPr="00BC1932" w:rsidRDefault="0016085F" w:rsidP="00EB5CDB">
      <w:pPr>
        <w:tabs>
          <w:tab w:val="left" w:pos="3119"/>
        </w:tabs>
        <w:spacing w:after="600" w:line="300" w:lineRule="atLeast"/>
        <w:jc w:val="right"/>
        <w:rPr>
          <w:sz w:val="22"/>
          <w:szCs w:val="22"/>
        </w:rPr>
      </w:pPr>
      <w:r>
        <w:rPr>
          <w:sz w:val="22"/>
          <w:szCs w:val="22"/>
        </w:rPr>
        <w:t>Cathy Rainsford</w:t>
      </w:r>
      <w:r w:rsidR="00EB5CDB" w:rsidRPr="00BC1932">
        <w:rPr>
          <w:sz w:val="22"/>
          <w:szCs w:val="22"/>
        </w:rPr>
        <w:br/>
      </w:r>
      <w:r w:rsidR="00AC4299">
        <w:rPr>
          <w:sz w:val="22"/>
          <w:szCs w:val="22"/>
        </w:rPr>
        <w:t>[signed]</w:t>
      </w:r>
      <w:r w:rsidR="002F1AD3" w:rsidRPr="00BC1932">
        <w:rPr>
          <w:sz w:val="22"/>
          <w:szCs w:val="22"/>
        </w:rPr>
        <w:br/>
      </w:r>
      <w:r w:rsidR="00EB5CDB" w:rsidRPr="0016085F">
        <w:rPr>
          <w:strike/>
          <w:sz w:val="22"/>
          <w:szCs w:val="22"/>
        </w:rPr>
        <w:t>Member</w:t>
      </w:r>
      <w:r w:rsidR="00EB5CDB" w:rsidRPr="00BC1932">
        <w:rPr>
          <w:sz w:val="22"/>
          <w:szCs w:val="22"/>
        </w:rPr>
        <w:t>/General Manager</w:t>
      </w:r>
    </w:p>
    <w:p w14:paraId="47C6F15E" w14:textId="77777777" w:rsidR="00EB5CDB" w:rsidRPr="00BC1932" w:rsidRDefault="00EB5CDB" w:rsidP="001F3FB7">
      <w:pPr>
        <w:tabs>
          <w:tab w:val="left" w:pos="3119"/>
        </w:tabs>
        <w:spacing w:before="600" w:line="300" w:lineRule="atLeast"/>
        <w:jc w:val="right"/>
        <w:rPr>
          <w:sz w:val="22"/>
          <w:szCs w:val="22"/>
        </w:rPr>
      </w:pPr>
    </w:p>
    <w:p w14:paraId="7B8A9F1E" w14:textId="77777777" w:rsidR="00EB5CDB" w:rsidRPr="00BC1932" w:rsidRDefault="00EB5CDB" w:rsidP="001F3FB7">
      <w:pPr>
        <w:tabs>
          <w:tab w:val="left" w:pos="3119"/>
        </w:tabs>
        <w:spacing w:before="600" w:line="300" w:lineRule="atLeast"/>
        <w:jc w:val="right"/>
        <w:rPr>
          <w:sz w:val="22"/>
          <w:szCs w:val="22"/>
        </w:rPr>
      </w:pPr>
      <w:r w:rsidRPr="00BC1932">
        <w:rPr>
          <w:sz w:val="22"/>
          <w:szCs w:val="22"/>
        </w:rPr>
        <w:br/>
      </w:r>
    </w:p>
    <w:p w14:paraId="1007306C" w14:textId="77777777" w:rsidR="001F3FB7" w:rsidRPr="00BC1932" w:rsidRDefault="001F3FB7" w:rsidP="001F3FB7">
      <w:pPr>
        <w:tabs>
          <w:tab w:val="left" w:pos="3969"/>
        </w:tabs>
        <w:spacing w:before="480" w:line="300" w:lineRule="atLeast"/>
        <w:rPr>
          <w:sz w:val="22"/>
          <w:szCs w:val="22"/>
        </w:rPr>
      </w:pPr>
    </w:p>
    <w:p w14:paraId="7ED94FB6" w14:textId="18CF1EE3" w:rsidR="001F3FB7" w:rsidRPr="00BC1932" w:rsidRDefault="001F3FB7" w:rsidP="001F3FB7">
      <w:pPr>
        <w:pBdr>
          <w:bottom w:val="single" w:sz="4" w:space="12" w:color="auto"/>
        </w:pBdr>
        <w:tabs>
          <w:tab w:val="left" w:pos="3119"/>
        </w:tabs>
        <w:spacing w:after="240" w:line="300" w:lineRule="atLeast"/>
        <w:rPr>
          <w:sz w:val="22"/>
          <w:szCs w:val="22"/>
        </w:rPr>
      </w:pPr>
      <w:bookmarkStart w:id="1" w:name="Minister"/>
      <w:r w:rsidRPr="00BC1932">
        <w:rPr>
          <w:sz w:val="22"/>
          <w:szCs w:val="22"/>
        </w:rPr>
        <w:t>Australian Communications and Media Authority</w:t>
      </w:r>
      <w:bookmarkEnd w:id="1"/>
    </w:p>
    <w:p w14:paraId="73BFA3A4" w14:textId="77777777" w:rsidR="009E7897" w:rsidRPr="00BC1932" w:rsidRDefault="009E7897" w:rsidP="009E7897">
      <w:pPr>
        <w:tabs>
          <w:tab w:val="left" w:pos="2190"/>
        </w:tabs>
        <w:sectPr w:rsidR="009E7897" w:rsidRPr="00BC1932" w:rsidSect="00341BE7">
          <w:headerReference w:type="even" r:id="rId13"/>
          <w:headerReference w:type="default" r:id="rId14"/>
          <w:footerReference w:type="default" r:id="rId15"/>
          <w:pgSz w:w="11906" w:h="16838"/>
          <w:pgMar w:top="1440" w:right="1440" w:bottom="1440" w:left="1440" w:header="708" w:footer="708" w:gutter="0"/>
          <w:pgNumType w:start="1"/>
          <w:cols w:space="708"/>
          <w:titlePg/>
          <w:docGrid w:linePitch="360"/>
        </w:sectPr>
      </w:pPr>
      <w:r w:rsidRPr="00BC1932">
        <w:tab/>
      </w:r>
    </w:p>
    <w:p w14:paraId="492540DC" w14:textId="77777777" w:rsidR="000B5C12" w:rsidRPr="003C6642" w:rsidRDefault="000B5C12" w:rsidP="000B5C12">
      <w:pPr>
        <w:pStyle w:val="ContentsHead"/>
        <w:rPr>
          <w:rFonts w:ascii="Times New Roman" w:hAnsi="Times New Roman"/>
          <w:bCs/>
          <w:sz w:val="22"/>
          <w:szCs w:val="22"/>
        </w:rPr>
      </w:pPr>
      <w:r w:rsidRPr="003C6642">
        <w:rPr>
          <w:rFonts w:ascii="Times New Roman" w:hAnsi="Times New Roman"/>
          <w:bCs/>
          <w:sz w:val="22"/>
          <w:szCs w:val="22"/>
        </w:rPr>
        <w:lastRenderedPageBreak/>
        <w:t>Contents</w:t>
      </w:r>
    </w:p>
    <w:p w14:paraId="16CDD4E5" w14:textId="3E04C2F8" w:rsidR="00EC30BD" w:rsidRPr="003C6642" w:rsidRDefault="00164D37">
      <w:pPr>
        <w:pStyle w:val="TOC1"/>
        <w:tabs>
          <w:tab w:val="left" w:pos="440"/>
          <w:tab w:val="right" w:leader="dot" w:pos="9016"/>
        </w:tabs>
        <w:rPr>
          <w:rFonts w:asciiTheme="minorHAnsi" w:eastAsiaTheme="minorEastAsia" w:hAnsiTheme="minorHAnsi" w:cstheme="minorBidi"/>
          <w:noProof/>
          <w:sz w:val="20"/>
          <w:szCs w:val="20"/>
        </w:rPr>
      </w:pPr>
      <w:r w:rsidRPr="003C6642">
        <w:rPr>
          <w:b/>
          <w:bCs/>
          <w:sz w:val="22"/>
          <w:szCs w:val="22"/>
        </w:rPr>
        <w:fldChar w:fldCharType="begin"/>
      </w:r>
      <w:r w:rsidRPr="003C6642">
        <w:rPr>
          <w:b/>
          <w:bCs/>
          <w:sz w:val="22"/>
          <w:szCs w:val="22"/>
        </w:rPr>
        <w:instrText xml:space="preserve"> TOC \o "1-1" \h \z \u </w:instrText>
      </w:r>
      <w:r w:rsidRPr="003C6642">
        <w:rPr>
          <w:b/>
          <w:bCs/>
          <w:sz w:val="22"/>
          <w:szCs w:val="22"/>
        </w:rPr>
        <w:fldChar w:fldCharType="separate"/>
      </w:r>
      <w:hyperlink w:anchor="_Toc88208628" w:history="1">
        <w:r w:rsidR="00EC30BD" w:rsidRPr="003C6642">
          <w:rPr>
            <w:rStyle w:val="Hyperlink"/>
            <w:noProof/>
            <w:sz w:val="22"/>
            <w:szCs w:val="22"/>
          </w:rPr>
          <w:t>1</w:t>
        </w:r>
        <w:r w:rsidR="00EC30BD" w:rsidRPr="003C6642">
          <w:rPr>
            <w:rFonts w:asciiTheme="minorHAnsi" w:eastAsiaTheme="minorEastAsia" w:hAnsiTheme="minorHAnsi" w:cstheme="minorBidi"/>
            <w:noProof/>
            <w:sz w:val="20"/>
            <w:szCs w:val="20"/>
          </w:rPr>
          <w:tab/>
        </w:r>
        <w:r w:rsidR="00EC30BD" w:rsidRPr="003C6642">
          <w:rPr>
            <w:rStyle w:val="Hyperlink"/>
            <w:noProof/>
            <w:sz w:val="22"/>
            <w:szCs w:val="22"/>
          </w:rPr>
          <w:t>Name</w:t>
        </w:r>
        <w:r w:rsidR="00EC30BD" w:rsidRPr="003C6642">
          <w:rPr>
            <w:noProof/>
            <w:webHidden/>
            <w:sz w:val="22"/>
            <w:szCs w:val="22"/>
          </w:rPr>
          <w:tab/>
        </w:r>
        <w:r w:rsidR="00EC30BD" w:rsidRPr="003C6642">
          <w:rPr>
            <w:noProof/>
            <w:webHidden/>
            <w:sz w:val="22"/>
            <w:szCs w:val="22"/>
          </w:rPr>
          <w:fldChar w:fldCharType="begin"/>
        </w:r>
        <w:r w:rsidR="00EC30BD" w:rsidRPr="003C6642">
          <w:rPr>
            <w:noProof/>
            <w:webHidden/>
            <w:sz w:val="22"/>
            <w:szCs w:val="22"/>
          </w:rPr>
          <w:instrText xml:space="preserve"> PAGEREF _Toc88208628 \h </w:instrText>
        </w:r>
        <w:r w:rsidR="00EC30BD" w:rsidRPr="003C6642">
          <w:rPr>
            <w:noProof/>
            <w:webHidden/>
            <w:sz w:val="22"/>
            <w:szCs w:val="22"/>
          </w:rPr>
        </w:r>
        <w:r w:rsidR="00EC30BD" w:rsidRPr="003C6642">
          <w:rPr>
            <w:noProof/>
            <w:webHidden/>
            <w:sz w:val="22"/>
            <w:szCs w:val="22"/>
          </w:rPr>
          <w:fldChar w:fldCharType="separate"/>
        </w:r>
        <w:r w:rsidR="003C6642" w:rsidRPr="003C6642">
          <w:rPr>
            <w:noProof/>
            <w:webHidden/>
            <w:sz w:val="22"/>
            <w:szCs w:val="22"/>
          </w:rPr>
          <w:t>3</w:t>
        </w:r>
        <w:r w:rsidR="00EC30BD" w:rsidRPr="003C6642">
          <w:rPr>
            <w:noProof/>
            <w:webHidden/>
            <w:sz w:val="22"/>
            <w:szCs w:val="22"/>
          </w:rPr>
          <w:fldChar w:fldCharType="end"/>
        </w:r>
      </w:hyperlink>
    </w:p>
    <w:p w14:paraId="716D0E82" w14:textId="59F83DA5" w:rsidR="00EC30BD" w:rsidRPr="003C6642" w:rsidRDefault="0016085F">
      <w:pPr>
        <w:pStyle w:val="TOC1"/>
        <w:tabs>
          <w:tab w:val="left" w:pos="440"/>
          <w:tab w:val="right" w:leader="dot" w:pos="9016"/>
        </w:tabs>
        <w:rPr>
          <w:rFonts w:asciiTheme="minorHAnsi" w:eastAsiaTheme="minorEastAsia" w:hAnsiTheme="minorHAnsi" w:cstheme="minorBidi"/>
          <w:noProof/>
          <w:sz w:val="20"/>
          <w:szCs w:val="20"/>
        </w:rPr>
      </w:pPr>
      <w:hyperlink w:anchor="_Toc88208629" w:history="1">
        <w:r w:rsidR="00EC30BD" w:rsidRPr="003C6642">
          <w:rPr>
            <w:rStyle w:val="Hyperlink"/>
            <w:noProof/>
            <w:sz w:val="22"/>
            <w:szCs w:val="22"/>
          </w:rPr>
          <w:t>2</w:t>
        </w:r>
        <w:r w:rsidR="00EC30BD" w:rsidRPr="003C6642">
          <w:rPr>
            <w:rFonts w:asciiTheme="minorHAnsi" w:eastAsiaTheme="minorEastAsia" w:hAnsiTheme="minorHAnsi" w:cstheme="minorBidi"/>
            <w:noProof/>
            <w:sz w:val="20"/>
            <w:szCs w:val="20"/>
          </w:rPr>
          <w:tab/>
        </w:r>
        <w:r w:rsidR="00EC30BD" w:rsidRPr="003C6642">
          <w:rPr>
            <w:rStyle w:val="Hyperlink"/>
            <w:noProof/>
            <w:sz w:val="22"/>
            <w:szCs w:val="22"/>
          </w:rPr>
          <w:t>Commencement</w:t>
        </w:r>
        <w:r w:rsidR="00EC30BD" w:rsidRPr="003C6642">
          <w:rPr>
            <w:noProof/>
            <w:webHidden/>
            <w:sz w:val="22"/>
            <w:szCs w:val="22"/>
          </w:rPr>
          <w:tab/>
        </w:r>
        <w:r w:rsidR="00EC30BD" w:rsidRPr="003C6642">
          <w:rPr>
            <w:noProof/>
            <w:webHidden/>
            <w:sz w:val="22"/>
            <w:szCs w:val="22"/>
          </w:rPr>
          <w:fldChar w:fldCharType="begin"/>
        </w:r>
        <w:r w:rsidR="00EC30BD" w:rsidRPr="003C6642">
          <w:rPr>
            <w:noProof/>
            <w:webHidden/>
            <w:sz w:val="22"/>
            <w:szCs w:val="22"/>
          </w:rPr>
          <w:instrText xml:space="preserve"> PAGEREF _Toc88208629 \h </w:instrText>
        </w:r>
        <w:r w:rsidR="00EC30BD" w:rsidRPr="003C6642">
          <w:rPr>
            <w:noProof/>
            <w:webHidden/>
            <w:sz w:val="22"/>
            <w:szCs w:val="22"/>
          </w:rPr>
        </w:r>
        <w:r w:rsidR="00EC30BD" w:rsidRPr="003C6642">
          <w:rPr>
            <w:noProof/>
            <w:webHidden/>
            <w:sz w:val="22"/>
            <w:szCs w:val="22"/>
          </w:rPr>
          <w:fldChar w:fldCharType="separate"/>
        </w:r>
        <w:r w:rsidR="003C6642" w:rsidRPr="003C6642">
          <w:rPr>
            <w:noProof/>
            <w:webHidden/>
            <w:sz w:val="22"/>
            <w:szCs w:val="22"/>
          </w:rPr>
          <w:t>3</w:t>
        </w:r>
        <w:r w:rsidR="00EC30BD" w:rsidRPr="003C6642">
          <w:rPr>
            <w:noProof/>
            <w:webHidden/>
            <w:sz w:val="22"/>
            <w:szCs w:val="22"/>
          </w:rPr>
          <w:fldChar w:fldCharType="end"/>
        </w:r>
      </w:hyperlink>
    </w:p>
    <w:p w14:paraId="7FD28FB4" w14:textId="6726B27E" w:rsidR="00EC30BD" w:rsidRPr="003C6642" w:rsidRDefault="0016085F">
      <w:pPr>
        <w:pStyle w:val="TOC1"/>
        <w:tabs>
          <w:tab w:val="left" w:pos="440"/>
          <w:tab w:val="right" w:leader="dot" w:pos="9016"/>
        </w:tabs>
        <w:rPr>
          <w:rFonts w:asciiTheme="minorHAnsi" w:eastAsiaTheme="minorEastAsia" w:hAnsiTheme="minorHAnsi" w:cstheme="minorBidi"/>
          <w:noProof/>
          <w:sz w:val="20"/>
          <w:szCs w:val="20"/>
        </w:rPr>
      </w:pPr>
      <w:hyperlink w:anchor="_Toc88208630" w:history="1">
        <w:r w:rsidR="00EC30BD" w:rsidRPr="003C6642">
          <w:rPr>
            <w:rStyle w:val="Hyperlink"/>
            <w:noProof/>
            <w:sz w:val="22"/>
            <w:szCs w:val="22"/>
          </w:rPr>
          <w:t>3</w:t>
        </w:r>
        <w:r w:rsidR="00EC30BD" w:rsidRPr="003C6642">
          <w:rPr>
            <w:rFonts w:asciiTheme="minorHAnsi" w:eastAsiaTheme="minorEastAsia" w:hAnsiTheme="minorHAnsi" w:cstheme="minorBidi"/>
            <w:noProof/>
            <w:sz w:val="20"/>
            <w:szCs w:val="20"/>
          </w:rPr>
          <w:tab/>
        </w:r>
        <w:r w:rsidR="00EC30BD" w:rsidRPr="003C6642">
          <w:rPr>
            <w:rStyle w:val="Hyperlink"/>
            <w:noProof/>
            <w:sz w:val="22"/>
            <w:szCs w:val="22"/>
          </w:rPr>
          <w:t>Authority</w:t>
        </w:r>
        <w:r w:rsidR="00EC30BD" w:rsidRPr="003C6642">
          <w:rPr>
            <w:noProof/>
            <w:webHidden/>
            <w:sz w:val="22"/>
            <w:szCs w:val="22"/>
          </w:rPr>
          <w:tab/>
        </w:r>
        <w:r w:rsidR="00EC30BD" w:rsidRPr="003C6642">
          <w:rPr>
            <w:noProof/>
            <w:webHidden/>
            <w:sz w:val="22"/>
            <w:szCs w:val="22"/>
          </w:rPr>
          <w:fldChar w:fldCharType="begin"/>
        </w:r>
        <w:r w:rsidR="00EC30BD" w:rsidRPr="003C6642">
          <w:rPr>
            <w:noProof/>
            <w:webHidden/>
            <w:sz w:val="22"/>
            <w:szCs w:val="22"/>
          </w:rPr>
          <w:instrText xml:space="preserve"> PAGEREF _Toc88208630 \h </w:instrText>
        </w:r>
        <w:r w:rsidR="00EC30BD" w:rsidRPr="003C6642">
          <w:rPr>
            <w:noProof/>
            <w:webHidden/>
            <w:sz w:val="22"/>
            <w:szCs w:val="22"/>
          </w:rPr>
        </w:r>
        <w:r w:rsidR="00EC30BD" w:rsidRPr="003C6642">
          <w:rPr>
            <w:noProof/>
            <w:webHidden/>
            <w:sz w:val="22"/>
            <w:szCs w:val="22"/>
          </w:rPr>
          <w:fldChar w:fldCharType="separate"/>
        </w:r>
        <w:r w:rsidR="003C6642" w:rsidRPr="003C6642">
          <w:rPr>
            <w:noProof/>
            <w:webHidden/>
            <w:sz w:val="22"/>
            <w:szCs w:val="22"/>
          </w:rPr>
          <w:t>3</w:t>
        </w:r>
        <w:r w:rsidR="00EC30BD" w:rsidRPr="003C6642">
          <w:rPr>
            <w:noProof/>
            <w:webHidden/>
            <w:sz w:val="22"/>
            <w:szCs w:val="22"/>
          </w:rPr>
          <w:fldChar w:fldCharType="end"/>
        </w:r>
      </w:hyperlink>
    </w:p>
    <w:p w14:paraId="4BDFDD9B" w14:textId="6D6BBBC6" w:rsidR="00EC30BD" w:rsidRPr="003C6642" w:rsidRDefault="0016085F">
      <w:pPr>
        <w:pStyle w:val="TOC1"/>
        <w:tabs>
          <w:tab w:val="left" w:pos="440"/>
          <w:tab w:val="right" w:leader="dot" w:pos="9016"/>
        </w:tabs>
        <w:rPr>
          <w:rFonts w:asciiTheme="minorHAnsi" w:eastAsiaTheme="minorEastAsia" w:hAnsiTheme="minorHAnsi" w:cstheme="minorBidi"/>
          <w:noProof/>
          <w:sz w:val="20"/>
          <w:szCs w:val="20"/>
        </w:rPr>
      </w:pPr>
      <w:hyperlink w:anchor="_Toc88208631" w:history="1">
        <w:r w:rsidR="00EC30BD" w:rsidRPr="003C6642">
          <w:rPr>
            <w:rStyle w:val="Hyperlink"/>
            <w:noProof/>
            <w:sz w:val="22"/>
            <w:szCs w:val="22"/>
          </w:rPr>
          <w:t>4</w:t>
        </w:r>
        <w:r w:rsidR="00EC30BD" w:rsidRPr="003C6642">
          <w:rPr>
            <w:rFonts w:asciiTheme="minorHAnsi" w:eastAsiaTheme="minorEastAsia" w:hAnsiTheme="minorHAnsi" w:cstheme="minorBidi"/>
            <w:noProof/>
            <w:sz w:val="20"/>
            <w:szCs w:val="20"/>
          </w:rPr>
          <w:tab/>
        </w:r>
        <w:r w:rsidR="00EC30BD" w:rsidRPr="003C6642">
          <w:rPr>
            <w:rStyle w:val="Hyperlink"/>
            <w:noProof/>
            <w:sz w:val="22"/>
            <w:szCs w:val="22"/>
          </w:rPr>
          <w:t>Repeal</w:t>
        </w:r>
        <w:r w:rsidR="00EC30BD" w:rsidRPr="003C6642">
          <w:rPr>
            <w:noProof/>
            <w:webHidden/>
            <w:sz w:val="22"/>
            <w:szCs w:val="22"/>
          </w:rPr>
          <w:tab/>
        </w:r>
        <w:r w:rsidR="00EC30BD" w:rsidRPr="003C6642">
          <w:rPr>
            <w:noProof/>
            <w:webHidden/>
            <w:sz w:val="22"/>
            <w:szCs w:val="22"/>
          </w:rPr>
          <w:fldChar w:fldCharType="begin"/>
        </w:r>
        <w:r w:rsidR="00EC30BD" w:rsidRPr="003C6642">
          <w:rPr>
            <w:noProof/>
            <w:webHidden/>
            <w:sz w:val="22"/>
            <w:szCs w:val="22"/>
          </w:rPr>
          <w:instrText xml:space="preserve"> PAGEREF _Toc88208631 \h </w:instrText>
        </w:r>
        <w:r w:rsidR="00EC30BD" w:rsidRPr="003C6642">
          <w:rPr>
            <w:noProof/>
            <w:webHidden/>
            <w:sz w:val="22"/>
            <w:szCs w:val="22"/>
          </w:rPr>
        </w:r>
        <w:r w:rsidR="00EC30BD" w:rsidRPr="003C6642">
          <w:rPr>
            <w:noProof/>
            <w:webHidden/>
            <w:sz w:val="22"/>
            <w:szCs w:val="22"/>
          </w:rPr>
          <w:fldChar w:fldCharType="separate"/>
        </w:r>
        <w:r w:rsidR="003C6642" w:rsidRPr="003C6642">
          <w:rPr>
            <w:noProof/>
            <w:webHidden/>
            <w:sz w:val="22"/>
            <w:szCs w:val="22"/>
          </w:rPr>
          <w:t>3</w:t>
        </w:r>
        <w:r w:rsidR="00EC30BD" w:rsidRPr="003C6642">
          <w:rPr>
            <w:noProof/>
            <w:webHidden/>
            <w:sz w:val="22"/>
            <w:szCs w:val="22"/>
          </w:rPr>
          <w:fldChar w:fldCharType="end"/>
        </w:r>
      </w:hyperlink>
    </w:p>
    <w:p w14:paraId="66456ED4" w14:textId="29BD3BA3" w:rsidR="00EC30BD" w:rsidRPr="003C6642" w:rsidRDefault="0016085F">
      <w:pPr>
        <w:pStyle w:val="TOC1"/>
        <w:tabs>
          <w:tab w:val="left" w:pos="440"/>
          <w:tab w:val="right" w:leader="dot" w:pos="9016"/>
        </w:tabs>
        <w:rPr>
          <w:rFonts w:asciiTheme="minorHAnsi" w:eastAsiaTheme="minorEastAsia" w:hAnsiTheme="minorHAnsi" w:cstheme="minorBidi"/>
          <w:noProof/>
          <w:sz w:val="20"/>
          <w:szCs w:val="20"/>
        </w:rPr>
      </w:pPr>
      <w:hyperlink w:anchor="_Toc88208632" w:history="1">
        <w:r w:rsidR="00EC30BD" w:rsidRPr="003C6642">
          <w:rPr>
            <w:rStyle w:val="Hyperlink"/>
            <w:noProof/>
            <w:sz w:val="22"/>
            <w:szCs w:val="22"/>
          </w:rPr>
          <w:t>5</w:t>
        </w:r>
        <w:r w:rsidR="00EC30BD" w:rsidRPr="003C6642">
          <w:rPr>
            <w:rFonts w:asciiTheme="minorHAnsi" w:eastAsiaTheme="minorEastAsia" w:hAnsiTheme="minorHAnsi" w:cstheme="minorBidi"/>
            <w:noProof/>
            <w:sz w:val="20"/>
            <w:szCs w:val="20"/>
          </w:rPr>
          <w:tab/>
        </w:r>
        <w:r w:rsidR="00EC30BD" w:rsidRPr="003C6642">
          <w:rPr>
            <w:rStyle w:val="Hyperlink"/>
            <w:noProof/>
            <w:sz w:val="22"/>
            <w:szCs w:val="22"/>
          </w:rPr>
          <w:t>Definitions and interpretation</w:t>
        </w:r>
        <w:r w:rsidR="00EC30BD" w:rsidRPr="003C6642">
          <w:rPr>
            <w:noProof/>
            <w:webHidden/>
            <w:sz w:val="22"/>
            <w:szCs w:val="22"/>
          </w:rPr>
          <w:tab/>
        </w:r>
        <w:r w:rsidR="00EC30BD" w:rsidRPr="003C6642">
          <w:rPr>
            <w:noProof/>
            <w:webHidden/>
            <w:sz w:val="22"/>
            <w:szCs w:val="22"/>
          </w:rPr>
          <w:fldChar w:fldCharType="begin"/>
        </w:r>
        <w:r w:rsidR="00EC30BD" w:rsidRPr="003C6642">
          <w:rPr>
            <w:noProof/>
            <w:webHidden/>
            <w:sz w:val="22"/>
            <w:szCs w:val="22"/>
          </w:rPr>
          <w:instrText xml:space="preserve"> PAGEREF _Toc88208632 \h </w:instrText>
        </w:r>
        <w:r w:rsidR="00EC30BD" w:rsidRPr="003C6642">
          <w:rPr>
            <w:noProof/>
            <w:webHidden/>
            <w:sz w:val="22"/>
            <w:szCs w:val="22"/>
          </w:rPr>
        </w:r>
        <w:r w:rsidR="00EC30BD" w:rsidRPr="003C6642">
          <w:rPr>
            <w:noProof/>
            <w:webHidden/>
            <w:sz w:val="22"/>
            <w:szCs w:val="22"/>
          </w:rPr>
          <w:fldChar w:fldCharType="separate"/>
        </w:r>
        <w:r w:rsidR="003C6642" w:rsidRPr="003C6642">
          <w:rPr>
            <w:noProof/>
            <w:webHidden/>
            <w:sz w:val="22"/>
            <w:szCs w:val="22"/>
          </w:rPr>
          <w:t>3</w:t>
        </w:r>
        <w:r w:rsidR="00EC30BD" w:rsidRPr="003C6642">
          <w:rPr>
            <w:noProof/>
            <w:webHidden/>
            <w:sz w:val="22"/>
            <w:szCs w:val="22"/>
          </w:rPr>
          <w:fldChar w:fldCharType="end"/>
        </w:r>
      </w:hyperlink>
    </w:p>
    <w:p w14:paraId="10B9ADF5" w14:textId="7A6CF232" w:rsidR="00EC30BD" w:rsidRPr="003C6642" w:rsidRDefault="0016085F">
      <w:pPr>
        <w:pStyle w:val="TOC1"/>
        <w:tabs>
          <w:tab w:val="left" w:pos="440"/>
          <w:tab w:val="right" w:leader="dot" w:pos="9016"/>
        </w:tabs>
        <w:rPr>
          <w:rFonts w:asciiTheme="minorHAnsi" w:eastAsiaTheme="minorEastAsia" w:hAnsiTheme="minorHAnsi" w:cstheme="minorBidi"/>
          <w:noProof/>
          <w:sz w:val="20"/>
          <w:szCs w:val="20"/>
        </w:rPr>
      </w:pPr>
      <w:hyperlink w:anchor="_Toc88208633" w:history="1">
        <w:r w:rsidR="00EC30BD" w:rsidRPr="003C6642">
          <w:rPr>
            <w:rStyle w:val="Hyperlink"/>
            <w:noProof/>
            <w:sz w:val="22"/>
            <w:szCs w:val="22"/>
          </w:rPr>
          <w:t>6</w:t>
        </w:r>
        <w:r w:rsidR="00EC30BD" w:rsidRPr="003C6642">
          <w:rPr>
            <w:rFonts w:asciiTheme="minorHAnsi" w:eastAsiaTheme="minorEastAsia" w:hAnsiTheme="minorHAnsi" w:cstheme="minorBidi"/>
            <w:noProof/>
            <w:sz w:val="20"/>
            <w:szCs w:val="20"/>
          </w:rPr>
          <w:tab/>
        </w:r>
        <w:r w:rsidR="00EC30BD" w:rsidRPr="003C6642">
          <w:rPr>
            <w:rStyle w:val="Hyperlink"/>
            <w:noProof/>
            <w:sz w:val="22"/>
            <w:szCs w:val="22"/>
          </w:rPr>
          <w:t>References to other instruments</w:t>
        </w:r>
        <w:r w:rsidR="00EC30BD" w:rsidRPr="003C6642">
          <w:rPr>
            <w:noProof/>
            <w:webHidden/>
            <w:sz w:val="22"/>
            <w:szCs w:val="22"/>
          </w:rPr>
          <w:tab/>
        </w:r>
        <w:r w:rsidR="00EC30BD" w:rsidRPr="003C6642">
          <w:rPr>
            <w:noProof/>
            <w:webHidden/>
            <w:sz w:val="22"/>
            <w:szCs w:val="22"/>
          </w:rPr>
          <w:fldChar w:fldCharType="begin"/>
        </w:r>
        <w:r w:rsidR="00EC30BD" w:rsidRPr="003C6642">
          <w:rPr>
            <w:noProof/>
            <w:webHidden/>
            <w:sz w:val="22"/>
            <w:szCs w:val="22"/>
          </w:rPr>
          <w:instrText xml:space="preserve"> PAGEREF _Toc88208633 \h </w:instrText>
        </w:r>
        <w:r w:rsidR="00EC30BD" w:rsidRPr="003C6642">
          <w:rPr>
            <w:noProof/>
            <w:webHidden/>
            <w:sz w:val="22"/>
            <w:szCs w:val="22"/>
          </w:rPr>
        </w:r>
        <w:r w:rsidR="00EC30BD" w:rsidRPr="003C6642">
          <w:rPr>
            <w:noProof/>
            <w:webHidden/>
            <w:sz w:val="22"/>
            <w:szCs w:val="22"/>
          </w:rPr>
          <w:fldChar w:fldCharType="separate"/>
        </w:r>
        <w:r w:rsidR="003C6642" w:rsidRPr="003C6642">
          <w:rPr>
            <w:noProof/>
            <w:webHidden/>
            <w:sz w:val="22"/>
            <w:szCs w:val="22"/>
          </w:rPr>
          <w:t>3</w:t>
        </w:r>
        <w:r w:rsidR="00EC30BD" w:rsidRPr="003C6642">
          <w:rPr>
            <w:noProof/>
            <w:webHidden/>
            <w:sz w:val="22"/>
            <w:szCs w:val="22"/>
          </w:rPr>
          <w:fldChar w:fldCharType="end"/>
        </w:r>
      </w:hyperlink>
    </w:p>
    <w:p w14:paraId="3E535BE8" w14:textId="53D7011B" w:rsidR="00EC30BD" w:rsidRPr="003C6642" w:rsidRDefault="0016085F">
      <w:pPr>
        <w:pStyle w:val="TOC1"/>
        <w:tabs>
          <w:tab w:val="left" w:pos="440"/>
          <w:tab w:val="right" w:leader="dot" w:pos="9016"/>
        </w:tabs>
        <w:rPr>
          <w:rFonts w:asciiTheme="minorHAnsi" w:eastAsiaTheme="minorEastAsia" w:hAnsiTheme="minorHAnsi" w:cstheme="minorBidi"/>
          <w:noProof/>
          <w:sz w:val="20"/>
          <w:szCs w:val="20"/>
        </w:rPr>
      </w:pPr>
      <w:hyperlink w:anchor="_Toc88208634" w:history="1">
        <w:r w:rsidR="00EC30BD" w:rsidRPr="003C6642">
          <w:rPr>
            <w:rStyle w:val="Hyperlink"/>
            <w:noProof/>
            <w:sz w:val="22"/>
            <w:szCs w:val="22"/>
          </w:rPr>
          <w:t>7</w:t>
        </w:r>
        <w:r w:rsidR="00EC30BD" w:rsidRPr="003C6642">
          <w:rPr>
            <w:rFonts w:asciiTheme="minorHAnsi" w:eastAsiaTheme="minorEastAsia" w:hAnsiTheme="minorHAnsi" w:cstheme="minorBidi"/>
            <w:noProof/>
            <w:sz w:val="20"/>
            <w:szCs w:val="20"/>
          </w:rPr>
          <w:tab/>
        </w:r>
        <w:r w:rsidR="00EC30BD" w:rsidRPr="003C6642">
          <w:rPr>
            <w:rStyle w:val="Hyperlink"/>
            <w:noProof/>
            <w:sz w:val="22"/>
            <w:szCs w:val="22"/>
          </w:rPr>
          <w:t>Introduction</w:t>
        </w:r>
        <w:r w:rsidR="00EC30BD" w:rsidRPr="003C6642">
          <w:rPr>
            <w:noProof/>
            <w:webHidden/>
            <w:sz w:val="22"/>
            <w:szCs w:val="22"/>
          </w:rPr>
          <w:tab/>
        </w:r>
        <w:r w:rsidR="00EC30BD" w:rsidRPr="003C6642">
          <w:rPr>
            <w:noProof/>
            <w:webHidden/>
            <w:sz w:val="22"/>
            <w:szCs w:val="22"/>
          </w:rPr>
          <w:fldChar w:fldCharType="begin"/>
        </w:r>
        <w:r w:rsidR="00EC30BD" w:rsidRPr="003C6642">
          <w:rPr>
            <w:noProof/>
            <w:webHidden/>
            <w:sz w:val="22"/>
            <w:szCs w:val="22"/>
          </w:rPr>
          <w:instrText xml:space="preserve"> PAGEREF _Toc88208634 \h </w:instrText>
        </w:r>
        <w:r w:rsidR="00EC30BD" w:rsidRPr="003C6642">
          <w:rPr>
            <w:noProof/>
            <w:webHidden/>
            <w:sz w:val="22"/>
            <w:szCs w:val="22"/>
          </w:rPr>
        </w:r>
        <w:r w:rsidR="00EC30BD" w:rsidRPr="003C6642">
          <w:rPr>
            <w:noProof/>
            <w:webHidden/>
            <w:sz w:val="22"/>
            <w:szCs w:val="22"/>
          </w:rPr>
          <w:fldChar w:fldCharType="separate"/>
        </w:r>
        <w:r w:rsidR="003C6642" w:rsidRPr="003C6642">
          <w:rPr>
            <w:noProof/>
            <w:webHidden/>
            <w:sz w:val="22"/>
            <w:szCs w:val="22"/>
          </w:rPr>
          <w:t>4</w:t>
        </w:r>
        <w:r w:rsidR="00EC30BD" w:rsidRPr="003C6642">
          <w:rPr>
            <w:noProof/>
            <w:webHidden/>
            <w:sz w:val="22"/>
            <w:szCs w:val="22"/>
          </w:rPr>
          <w:fldChar w:fldCharType="end"/>
        </w:r>
      </w:hyperlink>
    </w:p>
    <w:p w14:paraId="1EF9AD33" w14:textId="4CD150FC" w:rsidR="00EC30BD" w:rsidRPr="003C6642" w:rsidRDefault="0016085F">
      <w:pPr>
        <w:pStyle w:val="TOC1"/>
        <w:tabs>
          <w:tab w:val="left" w:pos="440"/>
          <w:tab w:val="right" w:leader="dot" w:pos="9016"/>
        </w:tabs>
        <w:rPr>
          <w:rFonts w:asciiTheme="minorHAnsi" w:eastAsiaTheme="minorEastAsia" w:hAnsiTheme="minorHAnsi" w:cstheme="minorBidi"/>
          <w:noProof/>
          <w:sz w:val="20"/>
          <w:szCs w:val="20"/>
        </w:rPr>
      </w:pPr>
      <w:hyperlink w:anchor="_Toc88208635" w:history="1">
        <w:r w:rsidR="00EC30BD" w:rsidRPr="003C6642">
          <w:rPr>
            <w:rStyle w:val="Hyperlink"/>
            <w:noProof/>
            <w:sz w:val="22"/>
            <w:szCs w:val="22"/>
          </w:rPr>
          <w:t>8</w:t>
        </w:r>
        <w:r w:rsidR="00EC30BD" w:rsidRPr="003C6642">
          <w:rPr>
            <w:rFonts w:asciiTheme="minorHAnsi" w:eastAsiaTheme="minorEastAsia" w:hAnsiTheme="minorHAnsi" w:cstheme="minorBidi"/>
            <w:noProof/>
            <w:sz w:val="20"/>
            <w:szCs w:val="20"/>
          </w:rPr>
          <w:tab/>
        </w:r>
        <w:r w:rsidR="00EC30BD" w:rsidRPr="003C6642">
          <w:rPr>
            <w:rStyle w:val="Hyperlink"/>
            <w:noProof/>
            <w:sz w:val="22"/>
            <w:szCs w:val="22"/>
          </w:rPr>
          <w:t>Exercising enforcement powers</w:t>
        </w:r>
        <w:r w:rsidR="00EC30BD" w:rsidRPr="003C6642">
          <w:rPr>
            <w:noProof/>
            <w:webHidden/>
            <w:sz w:val="22"/>
            <w:szCs w:val="22"/>
          </w:rPr>
          <w:tab/>
        </w:r>
        <w:r w:rsidR="00EC30BD" w:rsidRPr="003C6642">
          <w:rPr>
            <w:noProof/>
            <w:webHidden/>
            <w:sz w:val="22"/>
            <w:szCs w:val="22"/>
          </w:rPr>
          <w:fldChar w:fldCharType="begin"/>
        </w:r>
        <w:r w:rsidR="00EC30BD" w:rsidRPr="003C6642">
          <w:rPr>
            <w:noProof/>
            <w:webHidden/>
            <w:sz w:val="22"/>
            <w:szCs w:val="22"/>
          </w:rPr>
          <w:instrText xml:space="preserve"> PAGEREF _Toc88208635 \h </w:instrText>
        </w:r>
        <w:r w:rsidR="00EC30BD" w:rsidRPr="003C6642">
          <w:rPr>
            <w:noProof/>
            <w:webHidden/>
            <w:sz w:val="22"/>
            <w:szCs w:val="22"/>
          </w:rPr>
        </w:r>
        <w:r w:rsidR="00EC30BD" w:rsidRPr="003C6642">
          <w:rPr>
            <w:noProof/>
            <w:webHidden/>
            <w:sz w:val="22"/>
            <w:szCs w:val="22"/>
          </w:rPr>
          <w:fldChar w:fldCharType="separate"/>
        </w:r>
        <w:r w:rsidR="003C6642" w:rsidRPr="003C6642">
          <w:rPr>
            <w:noProof/>
            <w:webHidden/>
            <w:sz w:val="22"/>
            <w:szCs w:val="22"/>
          </w:rPr>
          <w:t>4</w:t>
        </w:r>
        <w:r w:rsidR="00EC30BD" w:rsidRPr="003C6642">
          <w:rPr>
            <w:noProof/>
            <w:webHidden/>
            <w:sz w:val="22"/>
            <w:szCs w:val="22"/>
          </w:rPr>
          <w:fldChar w:fldCharType="end"/>
        </w:r>
      </w:hyperlink>
    </w:p>
    <w:p w14:paraId="6B762FCD" w14:textId="54F4A279" w:rsidR="00EC30BD" w:rsidRPr="003C6642" w:rsidRDefault="0016085F">
      <w:pPr>
        <w:pStyle w:val="TOC1"/>
        <w:tabs>
          <w:tab w:val="left" w:pos="440"/>
          <w:tab w:val="right" w:leader="dot" w:pos="9016"/>
        </w:tabs>
        <w:rPr>
          <w:rFonts w:asciiTheme="minorHAnsi" w:eastAsiaTheme="minorEastAsia" w:hAnsiTheme="minorHAnsi" w:cstheme="minorBidi"/>
          <w:noProof/>
          <w:sz w:val="20"/>
          <w:szCs w:val="20"/>
        </w:rPr>
      </w:pPr>
      <w:hyperlink w:anchor="_Toc88208636" w:history="1">
        <w:r w:rsidR="00EC30BD" w:rsidRPr="003C6642">
          <w:rPr>
            <w:rStyle w:val="Hyperlink"/>
            <w:noProof/>
            <w:sz w:val="22"/>
            <w:szCs w:val="22"/>
          </w:rPr>
          <w:t>9</w:t>
        </w:r>
        <w:r w:rsidR="00EC30BD" w:rsidRPr="003C6642">
          <w:rPr>
            <w:rFonts w:asciiTheme="minorHAnsi" w:eastAsiaTheme="minorEastAsia" w:hAnsiTheme="minorHAnsi" w:cstheme="minorBidi"/>
            <w:noProof/>
            <w:sz w:val="20"/>
            <w:szCs w:val="20"/>
          </w:rPr>
          <w:tab/>
        </w:r>
        <w:r w:rsidR="00EC30BD" w:rsidRPr="003C6642">
          <w:rPr>
            <w:rStyle w:val="Hyperlink"/>
            <w:noProof/>
            <w:sz w:val="22"/>
            <w:szCs w:val="22"/>
          </w:rPr>
          <w:t>Infringement notices</w:t>
        </w:r>
        <w:r w:rsidR="00EC30BD" w:rsidRPr="003C6642">
          <w:rPr>
            <w:noProof/>
            <w:webHidden/>
            <w:sz w:val="22"/>
            <w:szCs w:val="22"/>
          </w:rPr>
          <w:tab/>
        </w:r>
        <w:r w:rsidR="00EC30BD" w:rsidRPr="003C6642">
          <w:rPr>
            <w:noProof/>
            <w:webHidden/>
            <w:sz w:val="22"/>
            <w:szCs w:val="22"/>
          </w:rPr>
          <w:fldChar w:fldCharType="begin"/>
        </w:r>
        <w:r w:rsidR="00EC30BD" w:rsidRPr="003C6642">
          <w:rPr>
            <w:noProof/>
            <w:webHidden/>
            <w:sz w:val="22"/>
            <w:szCs w:val="22"/>
          </w:rPr>
          <w:instrText xml:space="preserve"> PAGEREF _Toc88208636 \h </w:instrText>
        </w:r>
        <w:r w:rsidR="00EC30BD" w:rsidRPr="003C6642">
          <w:rPr>
            <w:noProof/>
            <w:webHidden/>
            <w:sz w:val="22"/>
            <w:szCs w:val="22"/>
          </w:rPr>
        </w:r>
        <w:r w:rsidR="00EC30BD" w:rsidRPr="003C6642">
          <w:rPr>
            <w:noProof/>
            <w:webHidden/>
            <w:sz w:val="22"/>
            <w:szCs w:val="22"/>
          </w:rPr>
          <w:fldChar w:fldCharType="separate"/>
        </w:r>
        <w:r w:rsidR="003C6642" w:rsidRPr="003C6642">
          <w:rPr>
            <w:noProof/>
            <w:webHidden/>
            <w:sz w:val="22"/>
            <w:szCs w:val="22"/>
          </w:rPr>
          <w:t>5</w:t>
        </w:r>
        <w:r w:rsidR="00EC30BD" w:rsidRPr="003C6642">
          <w:rPr>
            <w:noProof/>
            <w:webHidden/>
            <w:sz w:val="22"/>
            <w:szCs w:val="22"/>
          </w:rPr>
          <w:fldChar w:fldCharType="end"/>
        </w:r>
      </w:hyperlink>
    </w:p>
    <w:p w14:paraId="459C9C6F" w14:textId="3014C71B" w:rsidR="000D1609" w:rsidRPr="00BC1932" w:rsidRDefault="00164D37" w:rsidP="00174278">
      <w:pPr>
        <w:pStyle w:val="ListParagraph"/>
        <w:ind w:left="1440"/>
        <w:contextualSpacing w:val="0"/>
        <w:rPr>
          <w:b/>
          <w:bCs/>
        </w:rPr>
      </w:pPr>
      <w:r w:rsidRPr="003C6642">
        <w:rPr>
          <w:b/>
          <w:bCs/>
          <w:sz w:val="22"/>
          <w:szCs w:val="22"/>
        </w:rPr>
        <w:fldChar w:fldCharType="end"/>
      </w:r>
    </w:p>
    <w:p w14:paraId="2057BF3E" w14:textId="77777777" w:rsidR="00CB57D8" w:rsidRPr="00BC1932" w:rsidRDefault="00CB57D8" w:rsidP="00CB57D8">
      <w:pPr>
        <w:pBdr>
          <w:bottom w:val="single" w:sz="4" w:space="3" w:color="auto"/>
        </w:pBdr>
        <w:spacing w:before="480"/>
        <w:rPr>
          <w:i/>
          <w:lang w:val="en-US"/>
        </w:rPr>
      </w:pPr>
    </w:p>
    <w:p w14:paraId="61506D70" w14:textId="77777777" w:rsidR="000B5C12" w:rsidRPr="00BC1932" w:rsidRDefault="000B5C12" w:rsidP="000B5C12"/>
    <w:p w14:paraId="2E790EE3" w14:textId="77777777" w:rsidR="005048DA" w:rsidRPr="00BC1932" w:rsidRDefault="005048DA" w:rsidP="00703317">
      <w:pPr>
        <w:pStyle w:val="A1"/>
        <w:ind w:left="709" w:hanging="709"/>
        <w:rPr>
          <w:rStyle w:val="CharSectno"/>
          <w:rFonts w:ascii="Times New Roman" w:hAnsi="Times New Roman"/>
          <w:bCs/>
          <w:sz w:val="28"/>
          <w:szCs w:val="28"/>
        </w:rPr>
        <w:sectPr w:rsidR="005048DA" w:rsidRPr="00BC1932" w:rsidSect="00ED22EE">
          <w:footerReference w:type="default" r:id="rId16"/>
          <w:footerReference w:type="first" r:id="rId17"/>
          <w:pgSz w:w="11906" w:h="16838"/>
          <w:pgMar w:top="1440" w:right="1440" w:bottom="1440" w:left="1440" w:header="708" w:footer="708" w:gutter="0"/>
          <w:cols w:space="708"/>
          <w:titlePg/>
          <w:docGrid w:linePitch="360"/>
        </w:sectPr>
      </w:pPr>
    </w:p>
    <w:p w14:paraId="65833934" w14:textId="6A0DB92E" w:rsidR="00451DFA" w:rsidRPr="00BC1932" w:rsidRDefault="00451DFA" w:rsidP="00164D37">
      <w:pPr>
        <w:pStyle w:val="Heading1"/>
      </w:pPr>
      <w:bookmarkStart w:id="2" w:name="_Toc88208628"/>
      <w:r w:rsidRPr="00BC1932">
        <w:rPr>
          <w:rStyle w:val="CharSectno"/>
        </w:rPr>
        <w:lastRenderedPageBreak/>
        <w:t>1</w:t>
      </w:r>
      <w:r w:rsidRPr="00BC1932">
        <w:tab/>
        <w:t>Name</w:t>
      </w:r>
      <w:bookmarkEnd w:id="2"/>
      <w:r w:rsidRPr="00BC1932">
        <w:t xml:space="preserve"> </w:t>
      </w:r>
    </w:p>
    <w:p w14:paraId="76365FB9" w14:textId="0AEB999B" w:rsidR="00451DFA" w:rsidRPr="00BC1932" w:rsidRDefault="00451DFA" w:rsidP="00703317">
      <w:pPr>
        <w:pStyle w:val="A2"/>
        <w:spacing w:line="240" w:lineRule="atLeast"/>
        <w:ind w:left="709" w:hanging="709"/>
        <w:rPr>
          <w:i/>
          <w:sz w:val="22"/>
          <w:szCs w:val="22"/>
        </w:rPr>
      </w:pPr>
      <w:r w:rsidRPr="00BC1932">
        <w:tab/>
      </w:r>
      <w:r w:rsidR="00725A58" w:rsidRPr="00BC1932">
        <w:rPr>
          <w:sz w:val="22"/>
          <w:szCs w:val="22"/>
        </w:rPr>
        <w:t>Th</w:t>
      </w:r>
      <w:r w:rsidR="0018357B" w:rsidRPr="00BC1932">
        <w:rPr>
          <w:sz w:val="22"/>
          <w:szCs w:val="22"/>
        </w:rPr>
        <w:t>ese</w:t>
      </w:r>
      <w:r w:rsidR="00725A58" w:rsidRPr="00BC1932">
        <w:rPr>
          <w:sz w:val="22"/>
          <w:szCs w:val="22"/>
        </w:rPr>
        <w:t xml:space="preserve"> </w:t>
      </w:r>
      <w:r w:rsidR="0018357B" w:rsidRPr="00BC1932">
        <w:rPr>
          <w:sz w:val="22"/>
          <w:szCs w:val="22"/>
        </w:rPr>
        <w:t>are</w:t>
      </w:r>
      <w:r w:rsidR="00725A58" w:rsidRPr="00BC1932">
        <w:rPr>
          <w:sz w:val="22"/>
          <w:szCs w:val="22"/>
        </w:rPr>
        <w:t xml:space="preserve"> the</w:t>
      </w:r>
      <w:r w:rsidRPr="00BC1932">
        <w:rPr>
          <w:i/>
          <w:sz w:val="22"/>
          <w:szCs w:val="22"/>
        </w:rPr>
        <w:t xml:space="preserve"> </w:t>
      </w:r>
      <w:r w:rsidR="00BE1B34" w:rsidRPr="00BC1932">
        <w:rPr>
          <w:i/>
          <w:sz w:val="22"/>
          <w:szCs w:val="22"/>
        </w:rPr>
        <w:t>Telecommunications (Infringement Notices) Guidelines 2022</w:t>
      </w:r>
      <w:r w:rsidR="00EC0A8A" w:rsidRPr="00BC1932">
        <w:rPr>
          <w:i/>
          <w:sz w:val="22"/>
          <w:szCs w:val="22"/>
        </w:rPr>
        <w:t>.</w:t>
      </w:r>
      <w:r w:rsidRPr="00BC1932">
        <w:rPr>
          <w:i/>
          <w:sz w:val="22"/>
          <w:szCs w:val="22"/>
        </w:rPr>
        <w:t xml:space="preserve"> </w:t>
      </w:r>
    </w:p>
    <w:p w14:paraId="1F032243" w14:textId="77777777" w:rsidR="00451DFA" w:rsidRPr="00BC1932" w:rsidRDefault="00451DFA" w:rsidP="00164D37">
      <w:pPr>
        <w:pStyle w:val="Heading1"/>
      </w:pPr>
      <w:bookmarkStart w:id="3" w:name="_Toc88208629"/>
      <w:r w:rsidRPr="00BC1932">
        <w:rPr>
          <w:rStyle w:val="CharSectno"/>
        </w:rPr>
        <w:t>2</w:t>
      </w:r>
      <w:r w:rsidRPr="00BC1932">
        <w:tab/>
        <w:t>Commencement</w:t>
      </w:r>
      <w:bookmarkEnd w:id="3"/>
    </w:p>
    <w:p w14:paraId="6DE61454" w14:textId="79D22A28" w:rsidR="00884EC4" w:rsidRPr="00BC1932" w:rsidRDefault="00451DFA" w:rsidP="00703317">
      <w:pPr>
        <w:pStyle w:val="A2"/>
        <w:spacing w:after="120" w:line="240" w:lineRule="atLeast"/>
        <w:ind w:left="709" w:hanging="709"/>
      </w:pPr>
      <w:r w:rsidRPr="00BC1932">
        <w:tab/>
      </w:r>
      <w:r w:rsidRPr="00BC1932">
        <w:tab/>
      </w:r>
      <w:r w:rsidRPr="00BC1932">
        <w:rPr>
          <w:sz w:val="22"/>
          <w:szCs w:val="22"/>
        </w:rPr>
        <w:t>Th</w:t>
      </w:r>
      <w:r w:rsidR="00C0736A" w:rsidRPr="00BC1932">
        <w:rPr>
          <w:sz w:val="22"/>
          <w:szCs w:val="22"/>
        </w:rPr>
        <w:t>e</w:t>
      </w:r>
      <w:r w:rsidR="00A45807" w:rsidRPr="00BC1932">
        <w:rPr>
          <w:sz w:val="22"/>
          <w:szCs w:val="22"/>
        </w:rPr>
        <w:t>se</w:t>
      </w:r>
      <w:r w:rsidR="00C0736A" w:rsidRPr="00BC1932">
        <w:rPr>
          <w:sz w:val="22"/>
          <w:szCs w:val="22"/>
        </w:rPr>
        <w:t xml:space="preserve"> </w:t>
      </w:r>
      <w:r w:rsidR="00C65048" w:rsidRPr="00BC1932">
        <w:rPr>
          <w:sz w:val="22"/>
          <w:szCs w:val="22"/>
        </w:rPr>
        <w:t>g</w:t>
      </w:r>
      <w:r w:rsidR="00C0736A" w:rsidRPr="00BC1932">
        <w:rPr>
          <w:sz w:val="22"/>
          <w:szCs w:val="22"/>
        </w:rPr>
        <w:t xml:space="preserve">uidelines </w:t>
      </w:r>
      <w:r w:rsidRPr="00BC1932">
        <w:rPr>
          <w:sz w:val="22"/>
          <w:szCs w:val="22"/>
        </w:rPr>
        <w:t xml:space="preserve">commence </w:t>
      </w:r>
      <w:r w:rsidR="00854F57" w:rsidRPr="00BC1932">
        <w:rPr>
          <w:sz w:val="22"/>
          <w:szCs w:val="22"/>
        </w:rPr>
        <w:t xml:space="preserve">at the start of the day </w:t>
      </w:r>
      <w:r w:rsidRPr="00BC1932">
        <w:rPr>
          <w:sz w:val="22"/>
          <w:szCs w:val="22"/>
        </w:rPr>
        <w:t>after</w:t>
      </w:r>
      <w:r w:rsidR="00F97C8F" w:rsidRPr="00BC1932">
        <w:rPr>
          <w:sz w:val="22"/>
          <w:szCs w:val="22"/>
        </w:rPr>
        <w:t xml:space="preserve"> the day</w:t>
      </w:r>
      <w:r w:rsidRPr="00BC1932">
        <w:rPr>
          <w:sz w:val="22"/>
          <w:szCs w:val="22"/>
        </w:rPr>
        <w:t xml:space="preserve"> </w:t>
      </w:r>
      <w:r w:rsidR="00011E9A" w:rsidRPr="00BC1932">
        <w:rPr>
          <w:sz w:val="22"/>
          <w:szCs w:val="22"/>
        </w:rPr>
        <w:t>they are</w:t>
      </w:r>
      <w:r w:rsidRPr="00BC1932">
        <w:rPr>
          <w:sz w:val="22"/>
          <w:szCs w:val="22"/>
        </w:rPr>
        <w:t xml:space="preserve"> registered on the Federal Register of Legislati</w:t>
      </w:r>
      <w:r w:rsidR="00BE6BE9" w:rsidRPr="00BC1932">
        <w:rPr>
          <w:sz w:val="22"/>
          <w:szCs w:val="22"/>
        </w:rPr>
        <w:t>on</w:t>
      </w:r>
      <w:r w:rsidRPr="00BC1932">
        <w:t>.</w:t>
      </w:r>
    </w:p>
    <w:p w14:paraId="42187C8F" w14:textId="29CD6418" w:rsidR="00884EC4" w:rsidRPr="00BC1932" w:rsidRDefault="00884EC4" w:rsidP="00703317">
      <w:pPr>
        <w:ind w:firstLine="709"/>
      </w:pPr>
      <w:r w:rsidRPr="00BC1932">
        <w:rPr>
          <w:sz w:val="19"/>
          <w:szCs w:val="19"/>
        </w:rPr>
        <w:t xml:space="preserve">Note:          The Federal Register of Legislation may be accessed </w:t>
      </w:r>
      <w:r w:rsidR="00F97C8F" w:rsidRPr="00BC1932">
        <w:rPr>
          <w:sz w:val="19"/>
          <w:szCs w:val="19"/>
        </w:rPr>
        <w:t xml:space="preserve">free of charge </w:t>
      </w:r>
      <w:r w:rsidRPr="00BC1932">
        <w:rPr>
          <w:sz w:val="19"/>
          <w:szCs w:val="19"/>
        </w:rPr>
        <w:t xml:space="preserve">at </w:t>
      </w:r>
      <w:hyperlink r:id="rId18" w:history="1">
        <w:r w:rsidRPr="00BC1932">
          <w:rPr>
            <w:rStyle w:val="Hyperlink"/>
            <w:sz w:val="19"/>
            <w:szCs w:val="19"/>
          </w:rPr>
          <w:t>www.legislation.gov.au</w:t>
        </w:r>
      </w:hyperlink>
      <w:r w:rsidRPr="00BC1932">
        <w:rPr>
          <w:sz w:val="19"/>
          <w:szCs w:val="19"/>
        </w:rPr>
        <w:t>.</w:t>
      </w:r>
    </w:p>
    <w:p w14:paraId="0B369517" w14:textId="4EC29AEB" w:rsidR="00450EB8" w:rsidRPr="00BC1932" w:rsidRDefault="00FB09F9" w:rsidP="00164D37">
      <w:pPr>
        <w:pStyle w:val="Heading1"/>
      </w:pPr>
      <w:bookmarkStart w:id="4" w:name="_Toc88208630"/>
      <w:r w:rsidRPr="00BC1932">
        <w:rPr>
          <w:rStyle w:val="CharSectno"/>
        </w:rPr>
        <w:t>3</w:t>
      </w:r>
      <w:r w:rsidRPr="00BC1932">
        <w:tab/>
        <w:t>Authority</w:t>
      </w:r>
      <w:bookmarkEnd w:id="4"/>
      <w:r w:rsidRPr="00BC1932">
        <w:t xml:space="preserve"> </w:t>
      </w:r>
    </w:p>
    <w:p w14:paraId="10C811C5" w14:textId="646CC4A3" w:rsidR="007A5426" w:rsidRPr="00BC1932" w:rsidRDefault="00450EB8" w:rsidP="00703317">
      <w:pPr>
        <w:spacing w:before="120"/>
        <w:ind w:left="709"/>
        <w:rPr>
          <w:iCs/>
          <w:sz w:val="22"/>
          <w:szCs w:val="22"/>
        </w:rPr>
      </w:pPr>
      <w:r w:rsidRPr="00BC1932">
        <w:rPr>
          <w:sz w:val="22"/>
          <w:szCs w:val="22"/>
        </w:rPr>
        <w:t>Th</w:t>
      </w:r>
      <w:r w:rsidR="002B7A4E" w:rsidRPr="00BC1932">
        <w:rPr>
          <w:sz w:val="22"/>
          <w:szCs w:val="22"/>
        </w:rPr>
        <w:t>e</w:t>
      </w:r>
      <w:r w:rsidR="00A45807" w:rsidRPr="00BC1932">
        <w:rPr>
          <w:sz w:val="22"/>
          <w:szCs w:val="22"/>
        </w:rPr>
        <w:t>se</w:t>
      </w:r>
      <w:r w:rsidRPr="00BC1932">
        <w:rPr>
          <w:sz w:val="22"/>
          <w:szCs w:val="22"/>
        </w:rPr>
        <w:t xml:space="preserve"> </w:t>
      </w:r>
      <w:r w:rsidR="00C65048" w:rsidRPr="00BC1932">
        <w:rPr>
          <w:sz w:val="22"/>
          <w:szCs w:val="22"/>
        </w:rPr>
        <w:t>g</w:t>
      </w:r>
      <w:r w:rsidR="002B7A4E" w:rsidRPr="00BC1932">
        <w:rPr>
          <w:sz w:val="22"/>
          <w:szCs w:val="22"/>
        </w:rPr>
        <w:t xml:space="preserve">uidelines are made under </w:t>
      </w:r>
      <w:r w:rsidR="00361E32" w:rsidRPr="00BC1932">
        <w:rPr>
          <w:sz w:val="22"/>
          <w:szCs w:val="22"/>
        </w:rPr>
        <w:t xml:space="preserve">subsection </w:t>
      </w:r>
      <w:r w:rsidR="0039183A" w:rsidRPr="00BC1932">
        <w:rPr>
          <w:sz w:val="22"/>
          <w:szCs w:val="22"/>
        </w:rPr>
        <w:t>572</w:t>
      </w:r>
      <w:proofErr w:type="gramStart"/>
      <w:r w:rsidR="0039183A" w:rsidRPr="00BC1932">
        <w:rPr>
          <w:sz w:val="22"/>
          <w:szCs w:val="22"/>
        </w:rPr>
        <w:t>M(</w:t>
      </w:r>
      <w:proofErr w:type="gramEnd"/>
      <w:r w:rsidR="0039183A" w:rsidRPr="00BC1932">
        <w:rPr>
          <w:sz w:val="22"/>
          <w:szCs w:val="22"/>
        </w:rPr>
        <w:t>2)</w:t>
      </w:r>
      <w:r w:rsidR="00361E32" w:rsidRPr="00BC1932">
        <w:rPr>
          <w:sz w:val="22"/>
          <w:szCs w:val="22"/>
        </w:rPr>
        <w:t xml:space="preserve"> of the </w:t>
      </w:r>
      <w:r w:rsidR="0039183A" w:rsidRPr="00BC1932">
        <w:rPr>
          <w:i/>
          <w:sz w:val="22"/>
          <w:szCs w:val="22"/>
        </w:rPr>
        <w:t>Telecommunications Act 1997</w:t>
      </w:r>
      <w:r w:rsidR="00562CCE" w:rsidRPr="00BC1932">
        <w:rPr>
          <w:i/>
          <w:sz w:val="22"/>
          <w:szCs w:val="22"/>
        </w:rPr>
        <w:t xml:space="preserve">. </w:t>
      </w:r>
    </w:p>
    <w:p w14:paraId="6732EE15" w14:textId="12242043" w:rsidR="002272AC" w:rsidRPr="00BC1932" w:rsidRDefault="007A5426" w:rsidP="00164D37">
      <w:pPr>
        <w:pStyle w:val="Heading1"/>
        <w:rPr>
          <w:rStyle w:val="CharSectno"/>
        </w:rPr>
      </w:pPr>
      <w:bookmarkStart w:id="5" w:name="_Toc88208631"/>
      <w:r w:rsidRPr="00BC1932">
        <w:rPr>
          <w:rStyle w:val="CharSectno"/>
        </w:rPr>
        <w:t>4</w:t>
      </w:r>
      <w:r w:rsidR="008115ED" w:rsidRPr="00BC1932">
        <w:tab/>
      </w:r>
      <w:r w:rsidR="00242F06" w:rsidRPr="00BC1932">
        <w:t>Repeal</w:t>
      </w:r>
      <w:bookmarkEnd w:id="5"/>
    </w:p>
    <w:p w14:paraId="38F374C2" w14:textId="0B708423" w:rsidR="00CE5C52" w:rsidRPr="00BC1932" w:rsidRDefault="00CE5C52" w:rsidP="006C5AC0">
      <w:pPr>
        <w:spacing w:before="120"/>
        <w:ind w:left="709"/>
        <w:rPr>
          <w:rStyle w:val="CharSectno"/>
          <w:b/>
          <w:sz w:val="22"/>
          <w:szCs w:val="22"/>
        </w:rPr>
      </w:pPr>
      <w:r w:rsidRPr="00BC1932">
        <w:rPr>
          <w:rStyle w:val="CharSectno"/>
          <w:sz w:val="22"/>
          <w:szCs w:val="22"/>
        </w:rPr>
        <w:t xml:space="preserve">The </w:t>
      </w:r>
      <w:r w:rsidR="00AE2E7F" w:rsidRPr="00BC1932">
        <w:rPr>
          <w:rStyle w:val="CharSectno"/>
          <w:bCs/>
          <w:i/>
          <w:iCs/>
          <w:sz w:val="22"/>
          <w:szCs w:val="22"/>
        </w:rPr>
        <w:t>Telecommunications (Infringement Notices) Guidelines 2011</w:t>
      </w:r>
      <w:r w:rsidR="00BC0FC3" w:rsidRPr="00BC1932">
        <w:rPr>
          <w:rStyle w:val="CharSectno"/>
          <w:sz w:val="22"/>
          <w:szCs w:val="22"/>
        </w:rPr>
        <w:t xml:space="preserve"> </w:t>
      </w:r>
      <w:r w:rsidR="003D3C7A" w:rsidRPr="00BC1932">
        <w:rPr>
          <w:rStyle w:val="CharSectno"/>
          <w:sz w:val="22"/>
          <w:szCs w:val="22"/>
        </w:rPr>
        <w:t xml:space="preserve">(Registration No. </w:t>
      </w:r>
      <w:r w:rsidR="00EE5346" w:rsidRPr="00BC1932">
        <w:rPr>
          <w:rStyle w:val="CharSectno"/>
          <w:sz w:val="22"/>
          <w:szCs w:val="22"/>
        </w:rPr>
        <w:t>F2011L0</w:t>
      </w:r>
      <w:r w:rsidR="00116337" w:rsidRPr="00BC1932">
        <w:rPr>
          <w:rStyle w:val="CharSectno"/>
          <w:sz w:val="22"/>
          <w:szCs w:val="22"/>
        </w:rPr>
        <w:t>2380</w:t>
      </w:r>
      <w:r w:rsidR="003D3C7A" w:rsidRPr="00BC1932">
        <w:rPr>
          <w:rStyle w:val="CharSectno"/>
          <w:sz w:val="22"/>
          <w:szCs w:val="22"/>
        </w:rPr>
        <w:t>)</w:t>
      </w:r>
      <w:r w:rsidR="00EE5346" w:rsidRPr="00BC1932">
        <w:rPr>
          <w:rStyle w:val="CharSectno"/>
          <w:sz w:val="22"/>
          <w:szCs w:val="22"/>
        </w:rPr>
        <w:t xml:space="preserve"> </w:t>
      </w:r>
      <w:r w:rsidR="0018357B" w:rsidRPr="00BC1932">
        <w:rPr>
          <w:rStyle w:val="CharSectno"/>
          <w:sz w:val="22"/>
          <w:szCs w:val="22"/>
        </w:rPr>
        <w:t>are</w:t>
      </w:r>
      <w:r w:rsidR="00BC0FC3" w:rsidRPr="00BC1932">
        <w:rPr>
          <w:rStyle w:val="CharSectno"/>
          <w:sz w:val="22"/>
          <w:szCs w:val="22"/>
        </w:rPr>
        <w:t xml:space="preserve"> </w:t>
      </w:r>
      <w:r w:rsidR="00242F06" w:rsidRPr="00BC1932">
        <w:rPr>
          <w:rStyle w:val="CharSectno"/>
          <w:sz w:val="22"/>
          <w:szCs w:val="22"/>
        </w:rPr>
        <w:t>repealed</w:t>
      </w:r>
      <w:r w:rsidR="00BC0FC3" w:rsidRPr="00BC1932">
        <w:rPr>
          <w:rStyle w:val="CharSectno"/>
          <w:sz w:val="22"/>
          <w:szCs w:val="22"/>
        </w:rPr>
        <w:t>.</w:t>
      </w:r>
    </w:p>
    <w:p w14:paraId="40ED0860" w14:textId="26DB0D8F" w:rsidR="00310E6C" w:rsidRPr="00BC1932" w:rsidRDefault="00586A78" w:rsidP="00164D37">
      <w:pPr>
        <w:pStyle w:val="Heading1"/>
      </w:pPr>
      <w:bookmarkStart w:id="6" w:name="_Toc88208632"/>
      <w:r w:rsidRPr="00BC1932">
        <w:rPr>
          <w:rStyle w:val="CharSectno"/>
        </w:rPr>
        <w:t>5</w:t>
      </w:r>
      <w:r w:rsidR="00451DFA" w:rsidRPr="00BC1932">
        <w:rPr>
          <w:rStyle w:val="CharSectno"/>
          <w:b w:val="0"/>
        </w:rPr>
        <w:tab/>
      </w:r>
      <w:r w:rsidR="00451DFA" w:rsidRPr="00BC1932">
        <w:rPr>
          <w:rStyle w:val="CharSectno"/>
        </w:rPr>
        <w:t>Definitions</w:t>
      </w:r>
      <w:r w:rsidR="0031766D" w:rsidRPr="00BC1932">
        <w:rPr>
          <w:rStyle w:val="CharSectno"/>
        </w:rPr>
        <w:t xml:space="preserve"> and interpretation</w:t>
      </w:r>
      <w:bookmarkEnd w:id="6"/>
    </w:p>
    <w:p w14:paraId="0C7DEEAC" w14:textId="62DBB2A5" w:rsidR="00451DFA" w:rsidRPr="00BC1932" w:rsidRDefault="00973CAA" w:rsidP="00164D37">
      <w:pPr>
        <w:pStyle w:val="A2"/>
        <w:spacing w:after="120"/>
        <w:ind w:left="709" w:hanging="709"/>
        <w:rPr>
          <w:sz w:val="22"/>
          <w:szCs w:val="22"/>
        </w:rPr>
      </w:pPr>
      <w:r w:rsidRPr="00BC1932">
        <w:rPr>
          <w:sz w:val="22"/>
          <w:szCs w:val="22"/>
        </w:rPr>
        <w:t>5</w:t>
      </w:r>
      <w:r w:rsidR="00F709CC" w:rsidRPr="00BC1932">
        <w:rPr>
          <w:sz w:val="22"/>
          <w:szCs w:val="22"/>
        </w:rPr>
        <w:t>.1</w:t>
      </w:r>
      <w:r w:rsidR="00831206" w:rsidRPr="00BC1932">
        <w:rPr>
          <w:sz w:val="22"/>
          <w:szCs w:val="22"/>
        </w:rPr>
        <w:tab/>
      </w:r>
      <w:r w:rsidR="00451DFA" w:rsidRPr="00BC1932">
        <w:rPr>
          <w:sz w:val="22"/>
          <w:szCs w:val="22"/>
        </w:rPr>
        <w:t>In th</w:t>
      </w:r>
      <w:r w:rsidR="00264FD6" w:rsidRPr="00BC1932">
        <w:rPr>
          <w:sz w:val="22"/>
          <w:szCs w:val="22"/>
        </w:rPr>
        <w:t>ese</w:t>
      </w:r>
      <w:r w:rsidR="00451DFA" w:rsidRPr="00BC1932">
        <w:rPr>
          <w:sz w:val="22"/>
          <w:szCs w:val="22"/>
        </w:rPr>
        <w:t xml:space="preserve"> </w:t>
      </w:r>
      <w:r w:rsidR="00C65048" w:rsidRPr="00BC1932">
        <w:rPr>
          <w:sz w:val="22"/>
          <w:szCs w:val="22"/>
        </w:rPr>
        <w:t>g</w:t>
      </w:r>
      <w:r w:rsidR="00264FD6" w:rsidRPr="00BC1932">
        <w:rPr>
          <w:sz w:val="22"/>
          <w:szCs w:val="22"/>
        </w:rPr>
        <w:t>uidelines</w:t>
      </w:r>
      <w:r w:rsidR="006B6276" w:rsidRPr="00BC1932">
        <w:rPr>
          <w:sz w:val="22"/>
          <w:szCs w:val="22"/>
        </w:rPr>
        <w:t>, unless the contrary intention appears</w:t>
      </w:r>
      <w:r w:rsidR="00451DFA" w:rsidRPr="00BC1932">
        <w:rPr>
          <w:sz w:val="22"/>
          <w:szCs w:val="22"/>
        </w:rPr>
        <w:t>:</w:t>
      </w:r>
    </w:p>
    <w:p w14:paraId="05EE769B" w14:textId="0FBDD741" w:rsidR="00451DFA" w:rsidRPr="00BC1932" w:rsidRDefault="00451DFA" w:rsidP="00FB4533">
      <w:pPr>
        <w:pStyle w:val="A2"/>
        <w:spacing w:after="120" w:line="240" w:lineRule="atLeast"/>
        <w:ind w:left="709" w:hanging="709"/>
        <w:rPr>
          <w:sz w:val="22"/>
          <w:szCs w:val="22"/>
        </w:rPr>
      </w:pPr>
      <w:r w:rsidRPr="00BC1932">
        <w:rPr>
          <w:sz w:val="22"/>
          <w:szCs w:val="22"/>
        </w:rPr>
        <w:tab/>
      </w:r>
      <w:r w:rsidRPr="00BC1932">
        <w:rPr>
          <w:sz w:val="22"/>
          <w:szCs w:val="22"/>
        </w:rPr>
        <w:tab/>
      </w:r>
      <w:r w:rsidRPr="00BC1932">
        <w:rPr>
          <w:b/>
          <w:i/>
          <w:sz w:val="22"/>
          <w:szCs w:val="22"/>
        </w:rPr>
        <w:t>ACMA</w:t>
      </w:r>
      <w:r w:rsidRPr="00BC1932">
        <w:rPr>
          <w:i/>
          <w:sz w:val="22"/>
          <w:szCs w:val="22"/>
        </w:rPr>
        <w:t xml:space="preserve"> </w:t>
      </w:r>
      <w:r w:rsidRPr="00BC1932">
        <w:rPr>
          <w:sz w:val="22"/>
          <w:szCs w:val="22"/>
        </w:rPr>
        <w:t>means the Australian Communications and Media Authority</w:t>
      </w:r>
      <w:r w:rsidR="00833272" w:rsidRPr="00BC1932">
        <w:rPr>
          <w:sz w:val="22"/>
          <w:szCs w:val="22"/>
        </w:rPr>
        <w:t>.</w:t>
      </w:r>
    </w:p>
    <w:p w14:paraId="2848CE69" w14:textId="3770EA1C" w:rsidR="00451DFA" w:rsidRPr="00BC1932" w:rsidRDefault="00451DFA" w:rsidP="00FB4533">
      <w:pPr>
        <w:spacing w:before="120" w:after="120" w:line="240" w:lineRule="atLeast"/>
        <w:ind w:left="709"/>
        <w:rPr>
          <w:i/>
          <w:sz w:val="22"/>
          <w:szCs w:val="22"/>
        </w:rPr>
      </w:pPr>
      <w:r w:rsidRPr="00BC1932">
        <w:rPr>
          <w:b/>
          <w:i/>
          <w:sz w:val="22"/>
          <w:szCs w:val="22"/>
        </w:rPr>
        <w:t>ACMA Act</w:t>
      </w:r>
      <w:r w:rsidRPr="00BC1932">
        <w:rPr>
          <w:i/>
          <w:sz w:val="22"/>
          <w:szCs w:val="22"/>
        </w:rPr>
        <w:t xml:space="preserve"> </w:t>
      </w:r>
      <w:r w:rsidRPr="00BC1932">
        <w:rPr>
          <w:sz w:val="22"/>
          <w:szCs w:val="22"/>
        </w:rPr>
        <w:t xml:space="preserve">means the </w:t>
      </w:r>
      <w:r w:rsidRPr="00BC1932">
        <w:rPr>
          <w:i/>
          <w:sz w:val="22"/>
          <w:szCs w:val="22"/>
        </w:rPr>
        <w:t>Australian Communications and Media Authority Act 2005</w:t>
      </w:r>
      <w:r w:rsidR="00833272" w:rsidRPr="00BC1932">
        <w:rPr>
          <w:i/>
          <w:sz w:val="22"/>
          <w:szCs w:val="22"/>
        </w:rPr>
        <w:t>.</w:t>
      </w:r>
      <w:r w:rsidRPr="00BC1932">
        <w:rPr>
          <w:i/>
          <w:sz w:val="22"/>
          <w:szCs w:val="22"/>
        </w:rPr>
        <w:t xml:space="preserve"> </w:t>
      </w:r>
    </w:p>
    <w:p w14:paraId="3371ECC3" w14:textId="34AFBBB3" w:rsidR="0005131C" w:rsidRPr="00BC1932" w:rsidRDefault="00B316EE" w:rsidP="00242F06">
      <w:pPr>
        <w:spacing w:before="120" w:after="120" w:line="240" w:lineRule="atLeast"/>
        <w:ind w:left="709"/>
        <w:rPr>
          <w:bCs/>
          <w:i/>
          <w:sz w:val="22"/>
          <w:szCs w:val="22"/>
        </w:rPr>
      </w:pPr>
      <w:r w:rsidRPr="00BC1932">
        <w:rPr>
          <w:b/>
          <w:i/>
          <w:sz w:val="22"/>
          <w:szCs w:val="22"/>
        </w:rPr>
        <w:t xml:space="preserve">TCPSS Act </w:t>
      </w:r>
      <w:r w:rsidRPr="00BC1932">
        <w:rPr>
          <w:bCs/>
          <w:iCs/>
          <w:sz w:val="22"/>
          <w:szCs w:val="22"/>
        </w:rPr>
        <w:t xml:space="preserve">means the </w:t>
      </w:r>
      <w:r w:rsidRPr="00BC1932">
        <w:rPr>
          <w:bCs/>
          <w:i/>
          <w:sz w:val="22"/>
          <w:szCs w:val="22"/>
        </w:rPr>
        <w:t>Telecommunications (Consumer Protection and Service Standards) Act 1999</w:t>
      </w:r>
      <w:r w:rsidR="003D3294" w:rsidRPr="00BC1932">
        <w:rPr>
          <w:bCs/>
          <w:i/>
          <w:sz w:val="22"/>
          <w:szCs w:val="22"/>
        </w:rPr>
        <w:t>.</w:t>
      </w:r>
    </w:p>
    <w:p w14:paraId="54C09C77" w14:textId="254B2476" w:rsidR="003D3294" w:rsidRPr="00BC1932" w:rsidRDefault="003D3294" w:rsidP="00242F06">
      <w:pPr>
        <w:spacing w:before="120" w:after="120" w:line="240" w:lineRule="atLeast"/>
        <w:ind w:left="567" w:firstLine="142"/>
        <w:rPr>
          <w:bCs/>
          <w:iCs/>
          <w:sz w:val="22"/>
          <w:szCs w:val="22"/>
        </w:rPr>
      </w:pPr>
      <w:r w:rsidRPr="00BC1932">
        <w:rPr>
          <w:b/>
          <w:i/>
          <w:sz w:val="22"/>
          <w:szCs w:val="22"/>
        </w:rPr>
        <w:t xml:space="preserve">Telecommunications Act </w:t>
      </w:r>
      <w:r w:rsidRPr="00BC1932">
        <w:rPr>
          <w:bCs/>
          <w:iCs/>
          <w:sz w:val="22"/>
          <w:szCs w:val="22"/>
        </w:rPr>
        <w:t xml:space="preserve">means </w:t>
      </w:r>
      <w:r w:rsidR="00FB4533" w:rsidRPr="00BC1932">
        <w:rPr>
          <w:bCs/>
          <w:iCs/>
          <w:sz w:val="22"/>
          <w:szCs w:val="22"/>
        </w:rPr>
        <w:t xml:space="preserve">the </w:t>
      </w:r>
      <w:r w:rsidR="00FB4533" w:rsidRPr="00BC1932">
        <w:rPr>
          <w:bCs/>
          <w:i/>
          <w:sz w:val="22"/>
          <w:szCs w:val="22"/>
        </w:rPr>
        <w:t>Telecommunications Act 1997</w:t>
      </w:r>
      <w:r w:rsidR="00FB4533" w:rsidRPr="00BC1932">
        <w:rPr>
          <w:bCs/>
          <w:iCs/>
          <w:sz w:val="22"/>
          <w:szCs w:val="22"/>
        </w:rPr>
        <w:t>.</w:t>
      </w:r>
    </w:p>
    <w:p w14:paraId="4EC288B4" w14:textId="5877388D" w:rsidR="00FB4533" w:rsidRPr="00BC1932" w:rsidRDefault="00FB4533" w:rsidP="00242F06">
      <w:pPr>
        <w:spacing w:before="120" w:after="120" w:line="240" w:lineRule="atLeast"/>
        <w:ind w:left="567" w:firstLine="142"/>
        <w:rPr>
          <w:bCs/>
          <w:iCs/>
          <w:sz w:val="22"/>
          <w:szCs w:val="22"/>
        </w:rPr>
      </w:pPr>
      <w:r w:rsidRPr="00BC1932">
        <w:rPr>
          <w:b/>
          <w:i/>
          <w:sz w:val="22"/>
          <w:szCs w:val="22"/>
        </w:rPr>
        <w:t>TIA Act</w:t>
      </w:r>
      <w:r w:rsidRPr="00BC1932">
        <w:rPr>
          <w:bCs/>
          <w:iCs/>
          <w:sz w:val="22"/>
          <w:szCs w:val="22"/>
        </w:rPr>
        <w:t xml:space="preserve"> </w:t>
      </w:r>
      <w:r w:rsidR="009D7E57" w:rsidRPr="00BC1932">
        <w:rPr>
          <w:bCs/>
          <w:iCs/>
          <w:sz w:val="22"/>
          <w:szCs w:val="22"/>
        </w:rPr>
        <w:t xml:space="preserve">means Chapter 5 of the </w:t>
      </w:r>
      <w:r w:rsidR="009D7E57" w:rsidRPr="00BC1932">
        <w:rPr>
          <w:bCs/>
          <w:i/>
          <w:sz w:val="22"/>
          <w:szCs w:val="22"/>
        </w:rPr>
        <w:t>Telecommunications (Interception and Access) Act 1979</w:t>
      </w:r>
      <w:r w:rsidR="009D7E57" w:rsidRPr="00BC1932">
        <w:rPr>
          <w:bCs/>
          <w:iCs/>
          <w:sz w:val="22"/>
          <w:szCs w:val="22"/>
        </w:rPr>
        <w:t>.</w:t>
      </w:r>
    </w:p>
    <w:p w14:paraId="0F52CD25" w14:textId="7CD06344" w:rsidR="00617CE0" w:rsidRPr="00BC1932" w:rsidRDefault="00973CAA" w:rsidP="00703317">
      <w:pPr>
        <w:ind w:left="709" w:hanging="709"/>
        <w:rPr>
          <w:bCs/>
          <w:sz w:val="22"/>
          <w:szCs w:val="22"/>
        </w:rPr>
      </w:pPr>
      <w:r w:rsidRPr="00E97014">
        <w:rPr>
          <w:bCs/>
          <w:iCs/>
          <w:sz w:val="22"/>
          <w:szCs w:val="22"/>
        </w:rPr>
        <w:t>5</w:t>
      </w:r>
      <w:r w:rsidR="00F709CC" w:rsidRPr="00E97014">
        <w:rPr>
          <w:bCs/>
          <w:iCs/>
          <w:sz w:val="22"/>
          <w:szCs w:val="22"/>
        </w:rPr>
        <w:t>.</w:t>
      </w:r>
      <w:r w:rsidR="00617CE0" w:rsidRPr="00E97014">
        <w:rPr>
          <w:bCs/>
          <w:iCs/>
          <w:sz w:val="22"/>
          <w:szCs w:val="22"/>
        </w:rPr>
        <w:t>2</w:t>
      </w:r>
      <w:r w:rsidR="00617CE0" w:rsidRPr="00BC1932">
        <w:rPr>
          <w:bCs/>
          <w:sz w:val="22"/>
          <w:szCs w:val="22"/>
        </w:rPr>
        <w:tab/>
        <w:t>Unless the contrary intention appears, expressions used in th</w:t>
      </w:r>
      <w:r w:rsidR="00264FD6" w:rsidRPr="00BC1932">
        <w:rPr>
          <w:bCs/>
          <w:sz w:val="22"/>
          <w:szCs w:val="22"/>
        </w:rPr>
        <w:t>e</w:t>
      </w:r>
      <w:r w:rsidR="0018357B" w:rsidRPr="00BC1932">
        <w:rPr>
          <w:bCs/>
          <w:sz w:val="22"/>
          <w:szCs w:val="22"/>
        </w:rPr>
        <w:t>se</w:t>
      </w:r>
      <w:r w:rsidR="00DA32F7" w:rsidRPr="00BC1932">
        <w:rPr>
          <w:bCs/>
          <w:sz w:val="22"/>
          <w:szCs w:val="22"/>
        </w:rPr>
        <w:t xml:space="preserve"> </w:t>
      </w:r>
      <w:r w:rsidR="00940149" w:rsidRPr="00BC1932">
        <w:rPr>
          <w:bCs/>
          <w:sz w:val="22"/>
          <w:szCs w:val="22"/>
        </w:rPr>
        <w:t>g</w:t>
      </w:r>
      <w:r w:rsidR="00264FD6" w:rsidRPr="00BC1932">
        <w:rPr>
          <w:bCs/>
          <w:sz w:val="22"/>
          <w:szCs w:val="22"/>
        </w:rPr>
        <w:t xml:space="preserve">uidelines </w:t>
      </w:r>
      <w:r w:rsidR="004966B6" w:rsidRPr="00BC1932">
        <w:rPr>
          <w:bCs/>
          <w:sz w:val="22"/>
          <w:szCs w:val="22"/>
        </w:rPr>
        <w:t xml:space="preserve">and the </w:t>
      </w:r>
      <w:r w:rsidR="009D7E57" w:rsidRPr="00BC1932">
        <w:rPr>
          <w:bCs/>
          <w:sz w:val="22"/>
          <w:szCs w:val="22"/>
        </w:rPr>
        <w:t>Telecommunications Act</w:t>
      </w:r>
      <w:r w:rsidR="004966B6" w:rsidRPr="00BC1932">
        <w:rPr>
          <w:bCs/>
          <w:sz w:val="22"/>
          <w:szCs w:val="22"/>
        </w:rPr>
        <w:t xml:space="preserve"> have the same meaning in th</w:t>
      </w:r>
      <w:r w:rsidR="00264FD6" w:rsidRPr="00BC1932">
        <w:rPr>
          <w:bCs/>
          <w:sz w:val="22"/>
          <w:szCs w:val="22"/>
        </w:rPr>
        <w:t>e</w:t>
      </w:r>
      <w:r w:rsidR="00694236" w:rsidRPr="00BC1932">
        <w:rPr>
          <w:bCs/>
          <w:sz w:val="22"/>
          <w:szCs w:val="22"/>
        </w:rPr>
        <w:t xml:space="preserve"> </w:t>
      </w:r>
      <w:r w:rsidR="00C65048" w:rsidRPr="00BC1932">
        <w:rPr>
          <w:bCs/>
          <w:sz w:val="22"/>
          <w:szCs w:val="22"/>
        </w:rPr>
        <w:t>g</w:t>
      </w:r>
      <w:r w:rsidR="00264FD6" w:rsidRPr="00BC1932">
        <w:rPr>
          <w:bCs/>
          <w:sz w:val="22"/>
          <w:szCs w:val="22"/>
        </w:rPr>
        <w:t xml:space="preserve">uidelines </w:t>
      </w:r>
      <w:r w:rsidR="00DA32F7" w:rsidRPr="00BC1932">
        <w:rPr>
          <w:bCs/>
          <w:sz w:val="22"/>
          <w:szCs w:val="22"/>
        </w:rPr>
        <w:t xml:space="preserve">as they have in </w:t>
      </w:r>
      <w:r w:rsidR="00694236" w:rsidRPr="00BC1932">
        <w:rPr>
          <w:bCs/>
          <w:sz w:val="22"/>
          <w:szCs w:val="22"/>
        </w:rPr>
        <w:t>th</w:t>
      </w:r>
      <w:r w:rsidR="00110D5B" w:rsidRPr="00BC1932">
        <w:rPr>
          <w:bCs/>
          <w:sz w:val="22"/>
          <w:szCs w:val="22"/>
        </w:rPr>
        <w:t>e</w:t>
      </w:r>
      <w:r w:rsidR="00694236" w:rsidRPr="00BC1932">
        <w:rPr>
          <w:bCs/>
          <w:sz w:val="22"/>
          <w:szCs w:val="22"/>
        </w:rPr>
        <w:t xml:space="preserve"> </w:t>
      </w:r>
      <w:r w:rsidR="009D7E57" w:rsidRPr="00BC1932">
        <w:rPr>
          <w:bCs/>
          <w:sz w:val="22"/>
          <w:szCs w:val="22"/>
        </w:rPr>
        <w:t>Telecommunications Act</w:t>
      </w:r>
      <w:r w:rsidR="00694236" w:rsidRPr="00BC1932">
        <w:rPr>
          <w:bCs/>
          <w:sz w:val="22"/>
          <w:szCs w:val="22"/>
        </w:rPr>
        <w:t>.</w:t>
      </w:r>
      <w:r w:rsidR="00DA32F7" w:rsidRPr="00BC1932">
        <w:rPr>
          <w:bCs/>
          <w:sz w:val="22"/>
          <w:szCs w:val="22"/>
        </w:rPr>
        <w:t xml:space="preserve"> </w:t>
      </w:r>
    </w:p>
    <w:p w14:paraId="731883FF" w14:textId="258C38E8" w:rsidR="002A0EB9" w:rsidRPr="00BC1932" w:rsidRDefault="00150A80" w:rsidP="004D4DF5">
      <w:pPr>
        <w:pStyle w:val="Heading1"/>
      </w:pPr>
      <w:bookmarkStart w:id="7" w:name="_Toc88208633"/>
      <w:r w:rsidRPr="00BC1932">
        <w:t>6</w:t>
      </w:r>
      <w:r w:rsidRPr="00BC1932">
        <w:tab/>
        <w:t>References to other instrument</w:t>
      </w:r>
      <w:r w:rsidR="000E32CA" w:rsidRPr="00BC1932">
        <w:t>s</w:t>
      </w:r>
      <w:bookmarkEnd w:id="7"/>
    </w:p>
    <w:p w14:paraId="0C06CA25" w14:textId="486888D2" w:rsidR="00C24D5E" w:rsidRPr="00BC1932" w:rsidRDefault="002A0EB9" w:rsidP="004D4DF5">
      <w:pPr>
        <w:spacing w:before="120" w:after="120"/>
        <w:ind w:left="709" w:hanging="709"/>
        <w:rPr>
          <w:sz w:val="22"/>
          <w:szCs w:val="22"/>
        </w:rPr>
      </w:pPr>
      <w:r w:rsidRPr="00BC1932">
        <w:rPr>
          <w:bCs/>
          <w:sz w:val="22"/>
          <w:szCs w:val="22"/>
        </w:rPr>
        <w:tab/>
      </w:r>
      <w:r w:rsidR="00014A60" w:rsidRPr="00BC1932">
        <w:rPr>
          <w:sz w:val="22"/>
          <w:szCs w:val="22"/>
        </w:rPr>
        <w:t>In the</w:t>
      </w:r>
      <w:r w:rsidR="00F663B9" w:rsidRPr="00BC1932">
        <w:rPr>
          <w:sz w:val="22"/>
          <w:szCs w:val="22"/>
        </w:rPr>
        <w:t>se</w:t>
      </w:r>
      <w:r w:rsidR="00014A60" w:rsidRPr="00BC1932">
        <w:rPr>
          <w:sz w:val="22"/>
          <w:szCs w:val="22"/>
        </w:rPr>
        <w:t xml:space="preserve"> </w:t>
      </w:r>
      <w:r w:rsidR="00C65048" w:rsidRPr="00BC1932">
        <w:rPr>
          <w:sz w:val="22"/>
          <w:szCs w:val="22"/>
        </w:rPr>
        <w:t>g</w:t>
      </w:r>
      <w:r w:rsidR="00014A60" w:rsidRPr="00BC1932">
        <w:rPr>
          <w:sz w:val="22"/>
          <w:szCs w:val="22"/>
        </w:rPr>
        <w:t>uidelines, unless the contrary intention appears</w:t>
      </w:r>
      <w:r w:rsidR="00C24D5E" w:rsidRPr="00BC1932">
        <w:rPr>
          <w:sz w:val="22"/>
          <w:szCs w:val="22"/>
        </w:rPr>
        <w:t>:</w:t>
      </w:r>
    </w:p>
    <w:p w14:paraId="2A4EE8C9" w14:textId="75353202" w:rsidR="00DC34E3" w:rsidRPr="00BC1932" w:rsidRDefault="006D05D2" w:rsidP="00CC7C1A">
      <w:pPr>
        <w:autoSpaceDE w:val="0"/>
        <w:autoSpaceDN w:val="0"/>
        <w:adjustRightInd w:val="0"/>
        <w:spacing w:after="120"/>
        <w:ind w:left="1418" w:hanging="709"/>
        <w:rPr>
          <w:sz w:val="22"/>
          <w:szCs w:val="22"/>
        </w:rPr>
      </w:pPr>
      <w:r w:rsidRPr="00BC1932">
        <w:rPr>
          <w:sz w:val="22"/>
          <w:szCs w:val="22"/>
        </w:rPr>
        <w:t>(a)</w:t>
      </w:r>
      <w:r w:rsidR="00AC318E">
        <w:rPr>
          <w:sz w:val="22"/>
          <w:szCs w:val="22"/>
        </w:rPr>
        <w:tab/>
      </w:r>
      <w:r w:rsidR="00DC34E3" w:rsidRPr="00BC1932">
        <w:rPr>
          <w:sz w:val="22"/>
          <w:szCs w:val="22"/>
        </w:rPr>
        <w:t xml:space="preserve">a reference to </w:t>
      </w:r>
      <w:r w:rsidR="00DC34E3" w:rsidRPr="00BC1932">
        <w:rPr>
          <w:bCs/>
          <w:sz w:val="22"/>
          <w:szCs w:val="22"/>
        </w:rPr>
        <w:t>any</w:t>
      </w:r>
      <w:r w:rsidR="00DC34E3" w:rsidRPr="00BC1932">
        <w:rPr>
          <w:sz w:val="22"/>
          <w:szCs w:val="22"/>
        </w:rPr>
        <w:t xml:space="preserve"> other legislative instrument is a reference to that other legislative instrument as in force from time to time</w:t>
      </w:r>
      <w:r w:rsidRPr="00BC1932">
        <w:rPr>
          <w:sz w:val="22"/>
          <w:szCs w:val="22"/>
        </w:rPr>
        <w:t>; and</w:t>
      </w:r>
    </w:p>
    <w:p w14:paraId="158D01D9" w14:textId="0278DC58" w:rsidR="006D05D2" w:rsidRPr="00BC1932" w:rsidRDefault="006D05D2" w:rsidP="00CC7C1A">
      <w:pPr>
        <w:autoSpaceDE w:val="0"/>
        <w:autoSpaceDN w:val="0"/>
        <w:adjustRightInd w:val="0"/>
        <w:spacing w:after="120"/>
        <w:ind w:left="1418" w:hanging="709"/>
        <w:rPr>
          <w:sz w:val="22"/>
          <w:szCs w:val="22"/>
        </w:rPr>
      </w:pPr>
      <w:r w:rsidRPr="00BC1932">
        <w:rPr>
          <w:sz w:val="22"/>
          <w:szCs w:val="22"/>
        </w:rPr>
        <w:t>(b)</w:t>
      </w:r>
      <w:r w:rsidR="00AC318E">
        <w:rPr>
          <w:sz w:val="22"/>
          <w:szCs w:val="22"/>
        </w:rPr>
        <w:tab/>
      </w:r>
      <w:r w:rsidRPr="00BC1932">
        <w:rPr>
          <w:sz w:val="22"/>
          <w:szCs w:val="22"/>
        </w:rPr>
        <w:t xml:space="preserve">a reference to any other kind of instrument is reference to that other instrument </w:t>
      </w:r>
      <w:r w:rsidR="004F16D2" w:rsidRPr="00BC1932">
        <w:rPr>
          <w:sz w:val="22"/>
          <w:szCs w:val="22"/>
        </w:rPr>
        <w:t xml:space="preserve">as in force </w:t>
      </w:r>
      <w:r w:rsidR="00D9431E" w:rsidRPr="00BC1932">
        <w:rPr>
          <w:sz w:val="22"/>
          <w:szCs w:val="22"/>
        </w:rPr>
        <w:t>from time to time</w:t>
      </w:r>
      <w:r w:rsidR="004F16D2" w:rsidRPr="00BC1932">
        <w:rPr>
          <w:sz w:val="22"/>
          <w:szCs w:val="22"/>
        </w:rPr>
        <w:t>.</w:t>
      </w:r>
    </w:p>
    <w:p w14:paraId="54D2EFFC" w14:textId="6AA05714" w:rsidR="00BC0E25" w:rsidRPr="00BC1932" w:rsidRDefault="00014A60" w:rsidP="00CC7C1A">
      <w:pPr>
        <w:shd w:val="clear" w:color="auto" w:fill="FFFFFF"/>
        <w:spacing w:after="120"/>
        <w:ind w:left="1418" w:hanging="709"/>
        <w:rPr>
          <w:sz w:val="19"/>
          <w:szCs w:val="19"/>
          <w:lang w:val="en-US"/>
        </w:rPr>
      </w:pPr>
      <w:r w:rsidRPr="00BC1932">
        <w:rPr>
          <w:sz w:val="19"/>
          <w:szCs w:val="19"/>
        </w:rPr>
        <w:t xml:space="preserve">Note 1: </w:t>
      </w:r>
      <w:r w:rsidR="00E87046" w:rsidRPr="00BC1932">
        <w:rPr>
          <w:sz w:val="19"/>
          <w:szCs w:val="19"/>
        </w:rPr>
        <w:tab/>
      </w:r>
      <w:r w:rsidR="00BC0E25" w:rsidRPr="00BC1932">
        <w:rPr>
          <w:sz w:val="19"/>
          <w:szCs w:val="19"/>
        </w:rPr>
        <w:t xml:space="preserve">For references to Commonwealth Acts, or any other instruments, see section 589 of the </w:t>
      </w:r>
      <w:r w:rsidR="002D6FD8" w:rsidRPr="00BC1932">
        <w:rPr>
          <w:sz w:val="19"/>
          <w:szCs w:val="19"/>
        </w:rPr>
        <w:t xml:space="preserve">Telecommunications </w:t>
      </w:r>
      <w:r w:rsidR="00BC0E25" w:rsidRPr="00BC1932">
        <w:rPr>
          <w:sz w:val="19"/>
          <w:szCs w:val="19"/>
        </w:rPr>
        <w:t>Act, and section 10 of the </w:t>
      </w:r>
      <w:r w:rsidR="00BC0E25" w:rsidRPr="00BC1932">
        <w:rPr>
          <w:i/>
          <w:iCs/>
          <w:sz w:val="19"/>
          <w:szCs w:val="19"/>
        </w:rPr>
        <w:t>Acts Interpretation Act 1901</w:t>
      </w:r>
      <w:r w:rsidR="00BC0E25" w:rsidRPr="00BC1932">
        <w:rPr>
          <w:sz w:val="19"/>
          <w:szCs w:val="19"/>
        </w:rPr>
        <w:t>; and see also subsection 13(1) of the </w:t>
      </w:r>
      <w:r w:rsidR="00BC0E25" w:rsidRPr="00BC1932">
        <w:rPr>
          <w:i/>
          <w:iCs/>
          <w:sz w:val="19"/>
          <w:szCs w:val="19"/>
        </w:rPr>
        <w:t>Legislation Act 2003</w:t>
      </w:r>
      <w:r w:rsidR="00BC0E25" w:rsidRPr="00BC1932">
        <w:rPr>
          <w:sz w:val="19"/>
          <w:szCs w:val="19"/>
        </w:rPr>
        <w:t> for the application of the </w:t>
      </w:r>
      <w:r w:rsidR="00BC0E25" w:rsidRPr="00BC1932">
        <w:rPr>
          <w:i/>
          <w:iCs/>
          <w:sz w:val="19"/>
          <w:szCs w:val="19"/>
        </w:rPr>
        <w:t>Acts Interpretation Act 1901</w:t>
      </w:r>
      <w:r w:rsidR="00BC0E25" w:rsidRPr="00BC1932">
        <w:rPr>
          <w:sz w:val="19"/>
          <w:szCs w:val="19"/>
        </w:rPr>
        <w:t> to legislative instruments.</w:t>
      </w:r>
    </w:p>
    <w:p w14:paraId="72B71C3A" w14:textId="7A04DCD2" w:rsidR="00014A60" w:rsidRPr="00BC1932" w:rsidRDefault="00014A60" w:rsidP="00CC7C1A">
      <w:pPr>
        <w:shd w:val="clear" w:color="auto" w:fill="FFFFFF"/>
        <w:spacing w:before="122"/>
        <w:ind w:left="1418" w:hanging="709"/>
        <w:rPr>
          <w:color w:val="000000"/>
          <w:sz w:val="19"/>
          <w:szCs w:val="19"/>
        </w:rPr>
      </w:pPr>
      <w:r w:rsidRPr="00BC1932">
        <w:rPr>
          <w:color w:val="000000"/>
          <w:sz w:val="19"/>
          <w:szCs w:val="19"/>
        </w:rPr>
        <w:t xml:space="preserve">Note 2: </w:t>
      </w:r>
      <w:r w:rsidR="00E87046" w:rsidRPr="00BC1932">
        <w:rPr>
          <w:color w:val="000000"/>
          <w:sz w:val="19"/>
          <w:szCs w:val="19"/>
        </w:rPr>
        <w:tab/>
      </w:r>
      <w:r w:rsidRPr="00BC1932">
        <w:rPr>
          <w:color w:val="000000"/>
          <w:sz w:val="19"/>
          <w:szCs w:val="19"/>
        </w:rPr>
        <w:t xml:space="preserve">All Commonwealth Acts and legislative instruments are registered on the Federal Register of Legislation. </w:t>
      </w:r>
    </w:p>
    <w:p w14:paraId="10015FD1" w14:textId="55B67783" w:rsidR="00451DFA" w:rsidRPr="00BC1932" w:rsidRDefault="006D05D2" w:rsidP="004D4DF5">
      <w:pPr>
        <w:pStyle w:val="Heading1"/>
      </w:pPr>
      <w:bookmarkStart w:id="8" w:name="_Toc88208634"/>
      <w:r w:rsidRPr="00BC1932">
        <w:rPr>
          <w:rStyle w:val="CharSectno"/>
        </w:rPr>
        <w:lastRenderedPageBreak/>
        <w:t>7</w:t>
      </w:r>
      <w:r w:rsidR="00451DFA" w:rsidRPr="00BC1932">
        <w:tab/>
        <w:t>Introduction</w:t>
      </w:r>
      <w:bookmarkEnd w:id="8"/>
    </w:p>
    <w:p w14:paraId="1FC5845C" w14:textId="0BC27D7B" w:rsidR="00451DFA" w:rsidRPr="00BC1932" w:rsidRDefault="006D05D2" w:rsidP="004D4DF5">
      <w:pPr>
        <w:spacing w:before="120"/>
        <w:ind w:left="709" w:hanging="709"/>
        <w:rPr>
          <w:color w:val="000000"/>
          <w:sz w:val="22"/>
          <w:szCs w:val="22"/>
        </w:rPr>
      </w:pPr>
      <w:r w:rsidRPr="00BC1932">
        <w:rPr>
          <w:color w:val="000000"/>
          <w:sz w:val="22"/>
          <w:szCs w:val="22"/>
        </w:rPr>
        <w:t>7</w:t>
      </w:r>
      <w:r w:rsidR="00451DFA" w:rsidRPr="00BC1932">
        <w:rPr>
          <w:color w:val="000000"/>
          <w:sz w:val="22"/>
          <w:szCs w:val="22"/>
        </w:rPr>
        <w:t>.1</w:t>
      </w:r>
      <w:r w:rsidR="00451DFA" w:rsidRPr="00BC1932">
        <w:rPr>
          <w:color w:val="000000"/>
          <w:sz w:val="22"/>
          <w:szCs w:val="22"/>
        </w:rPr>
        <w:tab/>
        <w:t xml:space="preserve">The ACMA is an independent statutory authority established under section 6 of the ACMA Act. The ACMA’s </w:t>
      </w:r>
      <w:r w:rsidR="000869E0" w:rsidRPr="00BC1932">
        <w:rPr>
          <w:color w:val="000000"/>
          <w:sz w:val="22"/>
          <w:szCs w:val="22"/>
        </w:rPr>
        <w:t>tele</w:t>
      </w:r>
      <w:r w:rsidR="00176FDB" w:rsidRPr="00BC1932">
        <w:rPr>
          <w:color w:val="000000"/>
          <w:sz w:val="22"/>
          <w:szCs w:val="22"/>
        </w:rPr>
        <w:t xml:space="preserve">communications </w:t>
      </w:r>
      <w:r w:rsidR="00451DFA" w:rsidRPr="00BC1932">
        <w:rPr>
          <w:color w:val="000000"/>
          <w:sz w:val="22"/>
          <w:szCs w:val="22"/>
        </w:rPr>
        <w:t xml:space="preserve">functions are set out </w:t>
      </w:r>
      <w:r w:rsidR="00833272" w:rsidRPr="00BC1932">
        <w:rPr>
          <w:color w:val="000000"/>
          <w:sz w:val="22"/>
          <w:szCs w:val="22"/>
        </w:rPr>
        <w:t xml:space="preserve">in </w:t>
      </w:r>
      <w:r w:rsidR="00451DFA" w:rsidRPr="00BC1932">
        <w:rPr>
          <w:color w:val="000000"/>
          <w:sz w:val="22"/>
          <w:szCs w:val="22"/>
        </w:rPr>
        <w:t xml:space="preserve">section </w:t>
      </w:r>
      <w:r w:rsidR="00176FDB" w:rsidRPr="00BC1932">
        <w:rPr>
          <w:color w:val="000000"/>
          <w:sz w:val="22"/>
          <w:szCs w:val="22"/>
        </w:rPr>
        <w:t>8</w:t>
      </w:r>
      <w:r w:rsidR="00451DFA" w:rsidRPr="00BC1932">
        <w:rPr>
          <w:color w:val="000000"/>
          <w:sz w:val="22"/>
          <w:szCs w:val="22"/>
        </w:rPr>
        <w:t xml:space="preserve"> of that Act. </w:t>
      </w:r>
    </w:p>
    <w:p w14:paraId="416CD7E4" w14:textId="4D17ACF2" w:rsidR="00887958" w:rsidRPr="00BC1932" w:rsidRDefault="006D05D2" w:rsidP="004D4DF5">
      <w:pPr>
        <w:autoSpaceDE w:val="0"/>
        <w:autoSpaceDN w:val="0"/>
        <w:adjustRightInd w:val="0"/>
        <w:spacing w:before="120" w:after="120"/>
        <w:ind w:left="709" w:hanging="709"/>
        <w:rPr>
          <w:color w:val="000000"/>
          <w:sz w:val="22"/>
          <w:szCs w:val="22"/>
        </w:rPr>
      </w:pPr>
      <w:r w:rsidRPr="00BC1932">
        <w:rPr>
          <w:color w:val="000000"/>
          <w:sz w:val="22"/>
          <w:szCs w:val="22"/>
        </w:rPr>
        <w:t>7</w:t>
      </w:r>
      <w:r w:rsidR="00451DFA" w:rsidRPr="00BC1932">
        <w:rPr>
          <w:color w:val="000000"/>
          <w:sz w:val="22"/>
          <w:szCs w:val="22"/>
        </w:rPr>
        <w:t>.2</w:t>
      </w:r>
      <w:r w:rsidR="00451DFA" w:rsidRPr="00BC1932">
        <w:rPr>
          <w:color w:val="000000"/>
          <w:sz w:val="22"/>
          <w:szCs w:val="22"/>
        </w:rPr>
        <w:tab/>
      </w:r>
      <w:r w:rsidR="00855B35" w:rsidRPr="00BC1932">
        <w:rPr>
          <w:color w:val="000000"/>
          <w:sz w:val="22"/>
          <w:szCs w:val="22"/>
        </w:rPr>
        <w:t xml:space="preserve">Section </w:t>
      </w:r>
      <w:r w:rsidR="0087633D" w:rsidRPr="00BC1932">
        <w:rPr>
          <w:color w:val="000000"/>
          <w:sz w:val="22"/>
          <w:szCs w:val="22"/>
        </w:rPr>
        <w:t>4</w:t>
      </w:r>
      <w:r w:rsidR="00855B35" w:rsidRPr="00BC1932">
        <w:rPr>
          <w:color w:val="000000"/>
          <w:sz w:val="22"/>
          <w:szCs w:val="22"/>
        </w:rPr>
        <w:t xml:space="preserve"> of the </w:t>
      </w:r>
      <w:r w:rsidR="0087633D" w:rsidRPr="00BC1932">
        <w:rPr>
          <w:color w:val="000000"/>
          <w:sz w:val="22"/>
          <w:szCs w:val="22"/>
        </w:rPr>
        <w:t>Telecommunications Act</w:t>
      </w:r>
      <w:r w:rsidR="00855B35" w:rsidRPr="00BC1932">
        <w:rPr>
          <w:color w:val="000000"/>
          <w:sz w:val="22"/>
          <w:szCs w:val="22"/>
        </w:rPr>
        <w:t xml:space="preserve"> </w:t>
      </w:r>
      <w:r w:rsidR="0087633D" w:rsidRPr="00BC1932">
        <w:rPr>
          <w:color w:val="000000"/>
          <w:sz w:val="22"/>
          <w:szCs w:val="22"/>
        </w:rPr>
        <w:t xml:space="preserve">states that Parliament </w:t>
      </w:r>
      <w:r w:rsidR="00887958" w:rsidRPr="00BC1932">
        <w:rPr>
          <w:color w:val="000000"/>
          <w:sz w:val="22"/>
          <w:szCs w:val="22"/>
        </w:rPr>
        <w:t xml:space="preserve">intends </w:t>
      </w:r>
      <w:proofErr w:type="gramStart"/>
      <w:r w:rsidR="00887958" w:rsidRPr="00BC1932">
        <w:rPr>
          <w:color w:val="000000"/>
          <w:sz w:val="22"/>
          <w:szCs w:val="22"/>
        </w:rPr>
        <w:t xml:space="preserve">that </w:t>
      </w:r>
      <w:r w:rsidR="0078149D" w:rsidRPr="00BC1932">
        <w:rPr>
          <w:color w:val="000000"/>
          <w:sz w:val="22"/>
          <w:szCs w:val="22"/>
        </w:rPr>
        <w:t>telecommunications</w:t>
      </w:r>
      <w:proofErr w:type="gramEnd"/>
      <w:r w:rsidR="00887958" w:rsidRPr="00BC1932">
        <w:rPr>
          <w:color w:val="000000"/>
          <w:sz w:val="22"/>
          <w:szCs w:val="22"/>
        </w:rPr>
        <w:t xml:space="preserve"> be regulated in a manner that:</w:t>
      </w:r>
    </w:p>
    <w:p w14:paraId="0CEF8DBC" w14:textId="0BC3630F" w:rsidR="00451DFA" w:rsidRPr="00BC1932" w:rsidRDefault="00887958" w:rsidP="00CC7C1A">
      <w:pPr>
        <w:autoSpaceDE w:val="0"/>
        <w:autoSpaceDN w:val="0"/>
        <w:adjustRightInd w:val="0"/>
        <w:spacing w:after="120"/>
        <w:ind w:left="1418" w:hanging="709"/>
        <w:rPr>
          <w:sz w:val="22"/>
          <w:szCs w:val="22"/>
        </w:rPr>
      </w:pPr>
      <w:r w:rsidRPr="00BC1932">
        <w:rPr>
          <w:sz w:val="22"/>
          <w:szCs w:val="22"/>
        </w:rPr>
        <w:t>(a)</w:t>
      </w:r>
      <w:r w:rsidR="004D4DF5" w:rsidRPr="00BC1932">
        <w:rPr>
          <w:sz w:val="22"/>
          <w:szCs w:val="22"/>
        </w:rPr>
        <w:tab/>
      </w:r>
      <w:r w:rsidRPr="00BC1932">
        <w:rPr>
          <w:sz w:val="22"/>
          <w:szCs w:val="22"/>
        </w:rPr>
        <w:t xml:space="preserve">promotes the greatest practicable use </w:t>
      </w:r>
      <w:r w:rsidR="002855DA" w:rsidRPr="00BC1932">
        <w:rPr>
          <w:sz w:val="22"/>
          <w:szCs w:val="22"/>
        </w:rPr>
        <w:t>of industry self-</w:t>
      </w:r>
      <w:proofErr w:type="gramStart"/>
      <w:r w:rsidR="002855DA" w:rsidRPr="00BC1932">
        <w:rPr>
          <w:sz w:val="22"/>
          <w:szCs w:val="22"/>
        </w:rPr>
        <w:t>regulation;</w:t>
      </w:r>
      <w:proofErr w:type="gramEnd"/>
    </w:p>
    <w:p w14:paraId="7B98DDD7" w14:textId="5BEA78BC" w:rsidR="002855DA" w:rsidRPr="00BC1932" w:rsidRDefault="002855DA" w:rsidP="00CC7C1A">
      <w:pPr>
        <w:autoSpaceDE w:val="0"/>
        <w:autoSpaceDN w:val="0"/>
        <w:adjustRightInd w:val="0"/>
        <w:spacing w:after="120"/>
        <w:ind w:left="1418" w:hanging="709"/>
        <w:rPr>
          <w:sz w:val="22"/>
          <w:szCs w:val="22"/>
        </w:rPr>
      </w:pPr>
      <w:r w:rsidRPr="00BC1932">
        <w:rPr>
          <w:sz w:val="22"/>
          <w:szCs w:val="22"/>
        </w:rPr>
        <w:t>(b)</w:t>
      </w:r>
      <w:r w:rsidR="004D4DF5" w:rsidRPr="00BC1932">
        <w:rPr>
          <w:sz w:val="22"/>
          <w:szCs w:val="22"/>
        </w:rPr>
        <w:tab/>
      </w:r>
      <w:r w:rsidRPr="00BC1932">
        <w:rPr>
          <w:sz w:val="22"/>
          <w:szCs w:val="22"/>
        </w:rPr>
        <w:t xml:space="preserve">does not impose undue financial and administrative burdens on participants in the Australian telecommunications </w:t>
      </w:r>
      <w:proofErr w:type="gramStart"/>
      <w:r w:rsidRPr="00BC1932">
        <w:rPr>
          <w:sz w:val="22"/>
          <w:szCs w:val="22"/>
        </w:rPr>
        <w:t>industry;</w:t>
      </w:r>
      <w:proofErr w:type="gramEnd"/>
    </w:p>
    <w:p w14:paraId="3F9FD48E" w14:textId="7619D05B" w:rsidR="009F52DB" w:rsidRPr="00BC1932" w:rsidRDefault="002855DA" w:rsidP="004D4DF5">
      <w:pPr>
        <w:autoSpaceDE w:val="0"/>
        <w:autoSpaceDN w:val="0"/>
        <w:adjustRightInd w:val="0"/>
        <w:spacing w:after="120"/>
        <w:ind w:left="709"/>
        <w:rPr>
          <w:sz w:val="22"/>
          <w:szCs w:val="22"/>
        </w:rPr>
      </w:pPr>
      <w:r w:rsidRPr="00BC1932">
        <w:rPr>
          <w:sz w:val="22"/>
          <w:szCs w:val="22"/>
        </w:rPr>
        <w:t xml:space="preserve">but does not </w:t>
      </w:r>
      <w:r w:rsidR="00BC19F0" w:rsidRPr="00BC1932">
        <w:rPr>
          <w:sz w:val="22"/>
          <w:szCs w:val="22"/>
        </w:rPr>
        <w:t xml:space="preserve">compromise the effectiveness of regulation in achieving the objects of the Act which are set out in section 3 of the Act. </w:t>
      </w:r>
    </w:p>
    <w:p w14:paraId="435FD22B" w14:textId="5BEEF6E6" w:rsidR="00451DFA" w:rsidRPr="00BC1932" w:rsidRDefault="006D05D2" w:rsidP="004D4DF5">
      <w:pPr>
        <w:autoSpaceDE w:val="0"/>
        <w:autoSpaceDN w:val="0"/>
        <w:adjustRightInd w:val="0"/>
        <w:ind w:left="709" w:hanging="709"/>
        <w:rPr>
          <w:sz w:val="22"/>
          <w:szCs w:val="22"/>
        </w:rPr>
      </w:pPr>
      <w:r w:rsidRPr="00BC1932">
        <w:rPr>
          <w:sz w:val="22"/>
          <w:szCs w:val="22"/>
        </w:rPr>
        <w:t>7</w:t>
      </w:r>
      <w:r w:rsidR="00451DFA" w:rsidRPr="00BC1932">
        <w:rPr>
          <w:sz w:val="22"/>
          <w:szCs w:val="22"/>
        </w:rPr>
        <w:t>.3</w:t>
      </w:r>
      <w:r w:rsidR="00451DFA" w:rsidRPr="00BC1932">
        <w:rPr>
          <w:sz w:val="22"/>
          <w:szCs w:val="22"/>
        </w:rPr>
        <w:tab/>
      </w:r>
      <w:r w:rsidR="00380480" w:rsidRPr="00BC1932">
        <w:rPr>
          <w:sz w:val="22"/>
          <w:szCs w:val="22"/>
        </w:rPr>
        <w:t xml:space="preserve">The ACMA has made these </w:t>
      </w:r>
      <w:r w:rsidR="00835A9C" w:rsidRPr="00BC1932">
        <w:rPr>
          <w:sz w:val="22"/>
          <w:szCs w:val="22"/>
        </w:rPr>
        <w:t>g</w:t>
      </w:r>
      <w:r w:rsidR="00380480" w:rsidRPr="00BC1932">
        <w:rPr>
          <w:sz w:val="22"/>
          <w:szCs w:val="22"/>
        </w:rPr>
        <w:t>uidelines under subsection 572</w:t>
      </w:r>
      <w:proofErr w:type="gramStart"/>
      <w:r w:rsidR="00380480" w:rsidRPr="00BC1932">
        <w:rPr>
          <w:sz w:val="22"/>
          <w:szCs w:val="22"/>
        </w:rPr>
        <w:t>M(</w:t>
      </w:r>
      <w:proofErr w:type="gramEnd"/>
      <w:r w:rsidR="00380480" w:rsidRPr="00BC1932">
        <w:rPr>
          <w:sz w:val="22"/>
          <w:szCs w:val="22"/>
        </w:rPr>
        <w:t xml:space="preserve">2) of the Telecommunications Act which provides that the ACMA may formulate guidelines for the purposes of the exercise of </w:t>
      </w:r>
      <w:r w:rsidR="00EA2824" w:rsidRPr="00BC1932">
        <w:rPr>
          <w:sz w:val="22"/>
          <w:szCs w:val="22"/>
        </w:rPr>
        <w:t xml:space="preserve">infringement notice powers under Part 31B of the Telecommunications Act. These are the </w:t>
      </w:r>
      <w:r w:rsidR="00835A9C" w:rsidRPr="00BC1932">
        <w:rPr>
          <w:sz w:val="22"/>
          <w:szCs w:val="22"/>
        </w:rPr>
        <w:t>g</w:t>
      </w:r>
      <w:r w:rsidR="00EA2824" w:rsidRPr="00BC1932">
        <w:rPr>
          <w:sz w:val="22"/>
          <w:szCs w:val="22"/>
        </w:rPr>
        <w:t>uidelines in force for the purposes of subsection 572</w:t>
      </w:r>
      <w:proofErr w:type="gramStart"/>
      <w:r w:rsidR="00EA2824" w:rsidRPr="00BC1932">
        <w:rPr>
          <w:sz w:val="22"/>
          <w:szCs w:val="22"/>
        </w:rPr>
        <w:t>M(</w:t>
      </w:r>
      <w:proofErr w:type="gramEnd"/>
      <w:r w:rsidR="00EA2824" w:rsidRPr="00BC1932">
        <w:rPr>
          <w:sz w:val="22"/>
          <w:szCs w:val="22"/>
        </w:rPr>
        <w:t>3) of the Telecommunications Act.</w:t>
      </w:r>
    </w:p>
    <w:p w14:paraId="1DF93F07" w14:textId="19F1E5E4" w:rsidR="00451DFA" w:rsidRPr="00BC1932" w:rsidRDefault="006D05D2" w:rsidP="004D4DF5">
      <w:pPr>
        <w:autoSpaceDE w:val="0"/>
        <w:autoSpaceDN w:val="0"/>
        <w:adjustRightInd w:val="0"/>
        <w:spacing w:before="120"/>
        <w:ind w:left="709" w:hanging="709"/>
        <w:rPr>
          <w:sz w:val="22"/>
          <w:szCs w:val="22"/>
        </w:rPr>
      </w:pPr>
      <w:r w:rsidRPr="00BC1932">
        <w:rPr>
          <w:sz w:val="22"/>
          <w:szCs w:val="22"/>
        </w:rPr>
        <w:t>7</w:t>
      </w:r>
      <w:r w:rsidR="00451DFA" w:rsidRPr="00BC1932">
        <w:rPr>
          <w:sz w:val="22"/>
          <w:szCs w:val="22"/>
        </w:rPr>
        <w:t>.4</w:t>
      </w:r>
      <w:r w:rsidR="00451DFA" w:rsidRPr="00BC1932">
        <w:rPr>
          <w:sz w:val="22"/>
          <w:szCs w:val="22"/>
        </w:rPr>
        <w:tab/>
        <w:t>The guidelines highlight the discretionary factors which</w:t>
      </w:r>
      <w:r w:rsidR="009A2475" w:rsidRPr="00BC1932">
        <w:rPr>
          <w:sz w:val="22"/>
          <w:szCs w:val="22"/>
        </w:rPr>
        <w:t xml:space="preserve"> </w:t>
      </w:r>
      <w:r w:rsidR="001532E2" w:rsidRPr="00BC1932">
        <w:rPr>
          <w:sz w:val="22"/>
          <w:szCs w:val="22"/>
        </w:rPr>
        <w:t xml:space="preserve">an authorised infringement </w:t>
      </w:r>
      <w:r w:rsidR="003226DF" w:rsidRPr="00BC1932">
        <w:rPr>
          <w:sz w:val="22"/>
          <w:szCs w:val="22"/>
        </w:rPr>
        <w:t xml:space="preserve">notice officer would generally consider in the exercise of </w:t>
      </w:r>
      <w:r w:rsidR="0018357B" w:rsidRPr="00BC1932">
        <w:rPr>
          <w:sz w:val="22"/>
          <w:szCs w:val="22"/>
        </w:rPr>
        <w:t>their</w:t>
      </w:r>
      <w:r w:rsidR="003226DF" w:rsidRPr="00BC1932">
        <w:rPr>
          <w:sz w:val="22"/>
          <w:szCs w:val="22"/>
        </w:rPr>
        <w:t xml:space="preserve"> powers conferred under Part 31B of the Telecommunications Act</w:t>
      </w:r>
      <w:r w:rsidR="004A5530" w:rsidRPr="00BC1932">
        <w:rPr>
          <w:sz w:val="22"/>
          <w:szCs w:val="22"/>
        </w:rPr>
        <w:t>.</w:t>
      </w:r>
    </w:p>
    <w:p w14:paraId="0984E8AD" w14:textId="7614B101" w:rsidR="00451DFA" w:rsidRPr="00BC1932" w:rsidRDefault="006D05D2" w:rsidP="004D4DF5">
      <w:pPr>
        <w:autoSpaceDE w:val="0"/>
        <w:autoSpaceDN w:val="0"/>
        <w:adjustRightInd w:val="0"/>
        <w:spacing w:before="120"/>
        <w:ind w:left="709" w:hanging="709"/>
        <w:rPr>
          <w:sz w:val="22"/>
          <w:szCs w:val="22"/>
        </w:rPr>
      </w:pPr>
      <w:r w:rsidRPr="00BC1932">
        <w:rPr>
          <w:sz w:val="22"/>
          <w:szCs w:val="22"/>
        </w:rPr>
        <w:t>7</w:t>
      </w:r>
      <w:r w:rsidR="00451DFA" w:rsidRPr="00BC1932">
        <w:rPr>
          <w:sz w:val="22"/>
          <w:szCs w:val="22"/>
        </w:rPr>
        <w:t>.5</w:t>
      </w:r>
      <w:r w:rsidR="00451DFA" w:rsidRPr="00BC1932">
        <w:rPr>
          <w:sz w:val="22"/>
          <w:szCs w:val="22"/>
        </w:rPr>
        <w:tab/>
        <w:t xml:space="preserve">The guidelines </w:t>
      </w:r>
      <w:proofErr w:type="gramStart"/>
      <w:r w:rsidR="00451DFA" w:rsidRPr="00BC1932">
        <w:rPr>
          <w:sz w:val="22"/>
          <w:szCs w:val="22"/>
        </w:rPr>
        <w:t>take into account</w:t>
      </w:r>
      <w:proofErr w:type="gramEnd"/>
      <w:r w:rsidR="00451DFA" w:rsidRPr="00BC1932">
        <w:rPr>
          <w:sz w:val="22"/>
          <w:szCs w:val="22"/>
        </w:rPr>
        <w:t xml:space="preserve"> the objects of, and regulatory policy underpinning, the </w:t>
      </w:r>
      <w:r w:rsidR="00BA19ED" w:rsidRPr="00BC1932">
        <w:rPr>
          <w:sz w:val="22"/>
          <w:szCs w:val="22"/>
        </w:rPr>
        <w:t xml:space="preserve">Telecommunications Act </w:t>
      </w:r>
      <w:r w:rsidR="00451DFA" w:rsidRPr="00BC1932">
        <w:rPr>
          <w:sz w:val="22"/>
          <w:szCs w:val="22"/>
        </w:rPr>
        <w:t>(</w:t>
      </w:r>
      <w:r w:rsidR="00AC0C05" w:rsidRPr="00BC1932">
        <w:rPr>
          <w:sz w:val="22"/>
          <w:szCs w:val="22"/>
        </w:rPr>
        <w:t xml:space="preserve">in particular </w:t>
      </w:r>
      <w:r w:rsidR="00451DFA" w:rsidRPr="00BC1932">
        <w:rPr>
          <w:sz w:val="22"/>
          <w:szCs w:val="22"/>
        </w:rPr>
        <w:t>sections 3 and 4</w:t>
      </w:r>
      <w:r w:rsidR="00AC0C05" w:rsidRPr="00BC1932">
        <w:rPr>
          <w:sz w:val="22"/>
          <w:szCs w:val="22"/>
        </w:rPr>
        <w:t xml:space="preserve"> of the Telecommunications Act</w:t>
      </w:r>
      <w:r w:rsidR="00451DFA" w:rsidRPr="00BC1932">
        <w:rPr>
          <w:sz w:val="22"/>
          <w:szCs w:val="22"/>
        </w:rPr>
        <w:t>)</w:t>
      </w:r>
      <w:r w:rsidR="00AC0C05" w:rsidRPr="00BC1932">
        <w:rPr>
          <w:sz w:val="22"/>
          <w:szCs w:val="22"/>
        </w:rPr>
        <w:t>, the TCPSS Act and the TIA Act</w:t>
      </w:r>
      <w:r w:rsidR="00451DFA" w:rsidRPr="00BC1932">
        <w:rPr>
          <w:sz w:val="22"/>
          <w:szCs w:val="22"/>
        </w:rPr>
        <w:t>.</w:t>
      </w:r>
    </w:p>
    <w:p w14:paraId="34825D8E" w14:textId="46FA34DF" w:rsidR="00451DFA" w:rsidRPr="00BC1932" w:rsidRDefault="006D05D2" w:rsidP="004D4DF5">
      <w:pPr>
        <w:pStyle w:val="Default"/>
        <w:spacing w:before="120" w:line="240" w:lineRule="atLeast"/>
        <w:ind w:left="709" w:hanging="709"/>
        <w:rPr>
          <w:sz w:val="22"/>
          <w:szCs w:val="22"/>
        </w:rPr>
      </w:pPr>
      <w:r w:rsidRPr="00BC1932">
        <w:rPr>
          <w:sz w:val="22"/>
          <w:szCs w:val="22"/>
        </w:rPr>
        <w:t>7</w:t>
      </w:r>
      <w:r w:rsidR="0088173D" w:rsidRPr="00BC1932">
        <w:rPr>
          <w:sz w:val="22"/>
          <w:szCs w:val="22"/>
        </w:rPr>
        <w:t>.6</w:t>
      </w:r>
      <w:r w:rsidR="00451DFA" w:rsidRPr="00BC1932">
        <w:rPr>
          <w:sz w:val="22"/>
          <w:szCs w:val="22"/>
        </w:rPr>
        <w:tab/>
        <w:t xml:space="preserve">While the guidelines seek to provide guidance to the regulated community, the ACMA retains the discretion to impose or seek remedies and sanctions which it considers appropriate in the light of the </w:t>
      </w:r>
      <w:proofErr w:type="gramStart"/>
      <w:r w:rsidR="00451DFA" w:rsidRPr="00BC1932">
        <w:rPr>
          <w:sz w:val="22"/>
          <w:szCs w:val="22"/>
        </w:rPr>
        <w:t>particular circumstances</w:t>
      </w:r>
      <w:proofErr w:type="gramEnd"/>
      <w:r w:rsidR="00451DFA" w:rsidRPr="00BC1932">
        <w:rPr>
          <w:sz w:val="22"/>
          <w:szCs w:val="22"/>
        </w:rPr>
        <w:t xml:space="preserve"> of each case.</w:t>
      </w:r>
    </w:p>
    <w:p w14:paraId="2BD6C0F8" w14:textId="4D114E44" w:rsidR="00451DFA" w:rsidRPr="00BC1932" w:rsidRDefault="006D05D2" w:rsidP="00562DAC">
      <w:pPr>
        <w:pStyle w:val="Heading1"/>
      </w:pPr>
      <w:bookmarkStart w:id="9" w:name="_Toc88208635"/>
      <w:r w:rsidRPr="00BC1932">
        <w:t>8</w:t>
      </w:r>
      <w:r w:rsidR="00451DFA" w:rsidRPr="00BC1932">
        <w:tab/>
        <w:t>Exercising enforcement powers</w:t>
      </w:r>
      <w:bookmarkEnd w:id="9"/>
    </w:p>
    <w:p w14:paraId="0F12DCC0" w14:textId="7721FDEB" w:rsidR="00451DFA" w:rsidRPr="00BC1932" w:rsidRDefault="006D05D2" w:rsidP="00562DAC">
      <w:pPr>
        <w:tabs>
          <w:tab w:val="left" w:pos="709"/>
          <w:tab w:val="left" w:pos="1134"/>
        </w:tabs>
        <w:autoSpaceDE w:val="0"/>
        <w:autoSpaceDN w:val="0"/>
        <w:adjustRightInd w:val="0"/>
        <w:spacing w:before="120" w:after="120"/>
        <w:ind w:left="709" w:hanging="709"/>
        <w:rPr>
          <w:sz w:val="22"/>
          <w:szCs w:val="22"/>
        </w:rPr>
      </w:pPr>
      <w:r w:rsidRPr="00BC1932">
        <w:rPr>
          <w:sz w:val="22"/>
          <w:szCs w:val="22"/>
        </w:rPr>
        <w:t>8</w:t>
      </w:r>
      <w:r w:rsidR="00182FFA" w:rsidRPr="00BC1932">
        <w:rPr>
          <w:sz w:val="22"/>
          <w:szCs w:val="22"/>
        </w:rPr>
        <w:t>.1</w:t>
      </w:r>
      <w:r w:rsidR="00451DFA" w:rsidRPr="00BC1932">
        <w:rPr>
          <w:sz w:val="22"/>
          <w:szCs w:val="22"/>
        </w:rPr>
        <w:tab/>
        <w:t>The ACMA’s compliance and enforcement approach is to take action that is commensurate with the seriousness of the conduct</w:t>
      </w:r>
      <w:r w:rsidR="00B65477" w:rsidRPr="00BC1932">
        <w:rPr>
          <w:sz w:val="22"/>
          <w:szCs w:val="22"/>
        </w:rPr>
        <w:t xml:space="preserve">. This approach </w:t>
      </w:r>
      <w:r w:rsidR="00451DFA" w:rsidRPr="00BC1932">
        <w:rPr>
          <w:sz w:val="22"/>
          <w:szCs w:val="22"/>
        </w:rPr>
        <w:t>includes consideration of the nature and consequences of the conduc</w:t>
      </w:r>
      <w:r w:rsidR="00B65477" w:rsidRPr="00BC1932">
        <w:rPr>
          <w:sz w:val="22"/>
          <w:szCs w:val="22"/>
        </w:rPr>
        <w:t>t, while seeking to avoid the imposition of undue financial and administrative burdens on the telecommunications industry</w:t>
      </w:r>
      <w:r w:rsidR="00451DFA" w:rsidRPr="00BC1932">
        <w:rPr>
          <w:sz w:val="22"/>
          <w:szCs w:val="22"/>
        </w:rPr>
        <w:t xml:space="preserve">. There </w:t>
      </w:r>
      <w:r w:rsidR="00E67914" w:rsidRPr="00BC1932">
        <w:rPr>
          <w:sz w:val="22"/>
          <w:szCs w:val="22"/>
        </w:rPr>
        <w:t>are</w:t>
      </w:r>
      <w:r w:rsidR="00451DFA" w:rsidRPr="00BC1932">
        <w:rPr>
          <w:sz w:val="22"/>
          <w:szCs w:val="22"/>
        </w:rPr>
        <w:t xml:space="preserve"> a range of factors which may be considered by the ACMA in determining the appropriate enforcement response including</w:t>
      </w:r>
      <w:r w:rsidR="00E67914" w:rsidRPr="00BC1932">
        <w:rPr>
          <w:sz w:val="22"/>
          <w:szCs w:val="22"/>
        </w:rPr>
        <w:t>, but not limited to</w:t>
      </w:r>
      <w:r w:rsidR="00451DFA" w:rsidRPr="00BC1932">
        <w:rPr>
          <w:sz w:val="22"/>
          <w:szCs w:val="22"/>
        </w:rPr>
        <w:t>:</w:t>
      </w:r>
    </w:p>
    <w:p w14:paraId="61AB75EF" w14:textId="63BB8E0E" w:rsidR="00451DFA" w:rsidRPr="00BC1932" w:rsidRDefault="00451DFA" w:rsidP="00562DAC">
      <w:pPr>
        <w:pStyle w:val="ListParagraph"/>
        <w:numPr>
          <w:ilvl w:val="0"/>
          <w:numId w:val="5"/>
        </w:numPr>
        <w:tabs>
          <w:tab w:val="clear" w:pos="1072"/>
        </w:tabs>
        <w:autoSpaceDE w:val="0"/>
        <w:autoSpaceDN w:val="0"/>
        <w:adjustRightInd w:val="0"/>
        <w:spacing w:after="120"/>
        <w:ind w:left="1418" w:hanging="709"/>
        <w:rPr>
          <w:sz w:val="22"/>
          <w:szCs w:val="22"/>
        </w:rPr>
      </w:pPr>
      <w:r w:rsidRPr="00BC1932">
        <w:rPr>
          <w:sz w:val="22"/>
          <w:szCs w:val="22"/>
        </w:rPr>
        <w:t xml:space="preserve">whether the conduct was deliberate, reckless or </w:t>
      </w:r>
      <w:proofErr w:type="gramStart"/>
      <w:r w:rsidRPr="00BC1932">
        <w:rPr>
          <w:sz w:val="22"/>
          <w:szCs w:val="22"/>
        </w:rPr>
        <w:t>inadvertent</w:t>
      </w:r>
      <w:r w:rsidR="0018357B" w:rsidRPr="00BC1932">
        <w:rPr>
          <w:sz w:val="22"/>
          <w:szCs w:val="22"/>
        </w:rPr>
        <w:t>;</w:t>
      </w:r>
      <w:proofErr w:type="gramEnd"/>
    </w:p>
    <w:p w14:paraId="09D836E8" w14:textId="2D459763" w:rsidR="00451DFA" w:rsidRPr="00BC1932" w:rsidRDefault="00451DFA" w:rsidP="00562DAC">
      <w:pPr>
        <w:numPr>
          <w:ilvl w:val="0"/>
          <w:numId w:val="5"/>
        </w:numPr>
        <w:tabs>
          <w:tab w:val="clear" w:pos="1072"/>
        </w:tabs>
        <w:autoSpaceDE w:val="0"/>
        <w:autoSpaceDN w:val="0"/>
        <w:adjustRightInd w:val="0"/>
        <w:spacing w:after="120"/>
        <w:ind w:left="1418" w:hanging="709"/>
        <w:rPr>
          <w:sz w:val="22"/>
          <w:szCs w:val="22"/>
        </w:rPr>
      </w:pPr>
      <w:r w:rsidRPr="00BC1932">
        <w:rPr>
          <w:sz w:val="22"/>
          <w:szCs w:val="22"/>
        </w:rPr>
        <w:t>whether the conduct has caused, or may cause, detriment to another person and the nature,</w:t>
      </w:r>
      <w:r w:rsidR="00787E2B" w:rsidRPr="00BC1932">
        <w:rPr>
          <w:sz w:val="22"/>
          <w:szCs w:val="22"/>
        </w:rPr>
        <w:t xml:space="preserve"> </w:t>
      </w:r>
      <w:r w:rsidRPr="00BC1932">
        <w:rPr>
          <w:sz w:val="22"/>
          <w:szCs w:val="22"/>
        </w:rPr>
        <w:t xml:space="preserve">seriousness and extent of that </w:t>
      </w:r>
      <w:proofErr w:type="gramStart"/>
      <w:r w:rsidRPr="00BC1932">
        <w:rPr>
          <w:sz w:val="22"/>
          <w:szCs w:val="22"/>
        </w:rPr>
        <w:t>detriment</w:t>
      </w:r>
      <w:r w:rsidR="0018357B" w:rsidRPr="00BC1932">
        <w:rPr>
          <w:sz w:val="22"/>
          <w:szCs w:val="22"/>
        </w:rPr>
        <w:t>;</w:t>
      </w:r>
      <w:proofErr w:type="gramEnd"/>
    </w:p>
    <w:p w14:paraId="46BF1708" w14:textId="61CD84CF" w:rsidR="00451DFA" w:rsidRPr="00BC1932" w:rsidRDefault="00451DFA" w:rsidP="00562DAC">
      <w:pPr>
        <w:numPr>
          <w:ilvl w:val="0"/>
          <w:numId w:val="5"/>
        </w:numPr>
        <w:tabs>
          <w:tab w:val="clear" w:pos="1072"/>
        </w:tabs>
        <w:autoSpaceDE w:val="0"/>
        <w:autoSpaceDN w:val="0"/>
        <w:adjustRightInd w:val="0"/>
        <w:spacing w:after="120"/>
        <w:ind w:left="1418" w:hanging="709"/>
        <w:rPr>
          <w:sz w:val="22"/>
          <w:szCs w:val="22"/>
        </w:rPr>
      </w:pPr>
      <w:r w:rsidRPr="00BC1932">
        <w:rPr>
          <w:sz w:val="22"/>
          <w:szCs w:val="22"/>
        </w:rPr>
        <w:t xml:space="preserve">whether the conduct involved indicates systemic issues which may pose ongoing compliance or enforcement </w:t>
      </w:r>
      <w:proofErr w:type="gramStart"/>
      <w:r w:rsidRPr="00BC1932">
        <w:rPr>
          <w:sz w:val="22"/>
          <w:szCs w:val="22"/>
        </w:rPr>
        <w:t>issues</w:t>
      </w:r>
      <w:r w:rsidR="0018357B" w:rsidRPr="00BC1932">
        <w:rPr>
          <w:sz w:val="22"/>
          <w:szCs w:val="22"/>
        </w:rPr>
        <w:t>;</w:t>
      </w:r>
      <w:proofErr w:type="gramEnd"/>
    </w:p>
    <w:p w14:paraId="2BE362F4" w14:textId="246CDCDB" w:rsidR="00451DFA" w:rsidRPr="00BC1932" w:rsidRDefault="00451DFA" w:rsidP="00562DAC">
      <w:pPr>
        <w:numPr>
          <w:ilvl w:val="0"/>
          <w:numId w:val="5"/>
        </w:numPr>
        <w:tabs>
          <w:tab w:val="clear" w:pos="1072"/>
        </w:tabs>
        <w:autoSpaceDE w:val="0"/>
        <w:autoSpaceDN w:val="0"/>
        <w:adjustRightInd w:val="0"/>
        <w:spacing w:after="120"/>
        <w:ind w:left="1418" w:hanging="709"/>
        <w:rPr>
          <w:sz w:val="22"/>
          <w:szCs w:val="22"/>
        </w:rPr>
      </w:pPr>
      <w:r w:rsidRPr="00BC1932">
        <w:rPr>
          <w:sz w:val="22"/>
          <w:szCs w:val="22"/>
        </w:rPr>
        <w:t>whether the regulated entity</w:t>
      </w:r>
      <w:r w:rsidR="001927A0" w:rsidRPr="00BC1932">
        <w:rPr>
          <w:sz w:val="22"/>
          <w:szCs w:val="22"/>
        </w:rPr>
        <w:t xml:space="preserve"> or </w:t>
      </w:r>
      <w:r w:rsidRPr="00BC1932">
        <w:rPr>
          <w:sz w:val="22"/>
          <w:szCs w:val="22"/>
        </w:rPr>
        <w:t xml:space="preserve">person has been the subject of prior compliance or enforcement action and the outcome of that </w:t>
      </w:r>
      <w:proofErr w:type="gramStart"/>
      <w:r w:rsidRPr="00BC1932">
        <w:rPr>
          <w:sz w:val="22"/>
          <w:szCs w:val="22"/>
        </w:rPr>
        <w:t>action</w:t>
      </w:r>
      <w:r w:rsidR="0018357B" w:rsidRPr="00BC1932">
        <w:rPr>
          <w:sz w:val="22"/>
          <w:szCs w:val="22"/>
        </w:rPr>
        <w:t>;</w:t>
      </w:r>
      <w:proofErr w:type="gramEnd"/>
    </w:p>
    <w:p w14:paraId="4D57E456" w14:textId="7F61875C" w:rsidR="00451DFA" w:rsidRPr="00BC1932" w:rsidRDefault="00451DFA" w:rsidP="00562DAC">
      <w:pPr>
        <w:numPr>
          <w:ilvl w:val="0"/>
          <w:numId w:val="5"/>
        </w:numPr>
        <w:tabs>
          <w:tab w:val="clear" w:pos="1072"/>
        </w:tabs>
        <w:autoSpaceDE w:val="0"/>
        <w:autoSpaceDN w:val="0"/>
        <w:adjustRightInd w:val="0"/>
        <w:spacing w:after="120"/>
        <w:ind w:left="1418" w:hanging="709"/>
        <w:rPr>
          <w:sz w:val="22"/>
          <w:szCs w:val="22"/>
        </w:rPr>
      </w:pPr>
      <w:r w:rsidRPr="00BC1932">
        <w:rPr>
          <w:sz w:val="22"/>
          <w:szCs w:val="22"/>
        </w:rPr>
        <w:t xml:space="preserve">the compliance history and culture of the regulated </w:t>
      </w:r>
      <w:proofErr w:type="gramStart"/>
      <w:r w:rsidRPr="00BC1932">
        <w:rPr>
          <w:sz w:val="22"/>
          <w:szCs w:val="22"/>
        </w:rPr>
        <w:t>entity</w:t>
      </w:r>
      <w:r w:rsidR="0018357B" w:rsidRPr="00BC1932">
        <w:rPr>
          <w:sz w:val="22"/>
          <w:szCs w:val="22"/>
        </w:rPr>
        <w:t>;</w:t>
      </w:r>
      <w:proofErr w:type="gramEnd"/>
    </w:p>
    <w:p w14:paraId="3FDF8BD6" w14:textId="5B92D167" w:rsidR="00451DFA" w:rsidRPr="00BC1932" w:rsidRDefault="00451DFA" w:rsidP="00562DAC">
      <w:pPr>
        <w:numPr>
          <w:ilvl w:val="0"/>
          <w:numId w:val="5"/>
        </w:numPr>
        <w:tabs>
          <w:tab w:val="clear" w:pos="1072"/>
        </w:tabs>
        <w:autoSpaceDE w:val="0"/>
        <w:autoSpaceDN w:val="0"/>
        <w:adjustRightInd w:val="0"/>
        <w:spacing w:after="120"/>
        <w:ind w:left="1418" w:hanging="709"/>
        <w:rPr>
          <w:sz w:val="22"/>
          <w:szCs w:val="22"/>
        </w:rPr>
      </w:pPr>
      <w:r w:rsidRPr="00BC1932">
        <w:rPr>
          <w:sz w:val="22"/>
          <w:szCs w:val="22"/>
        </w:rPr>
        <w:t>the specific</w:t>
      </w:r>
      <w:r w:rsidR="00C72C0D" w:rsidRPr="00BC1932">
        <w:rPr>
          <w:sz w:val="22"/>
          <w:szCs w:val="22"/>
        </w:rPr>
        <w:t xml:space="preserve"> </w:t>
      </w:r>
      <w:r w:rsidRPr="00BC1932">
        <w:rPr>
          <w:sz w:val="22"/>
          <w:szCs w:val="22"/>
        </w:rPr>
        <w:t>and general educative</w:t>
      </w:r>
      <w:r w:rsidR="001927A0" w:rsidRPr="00BC1932">
        <w:rPr>
          <w:sz w:val="22"/>
          <w:szCs w:val="22"/>
        </w:rPr>
        <w:t xml:space="preserve"> </w:t>
      </w:r>
      <w:r w:rsidR="0011601A" w:rsidRPr="00BC1932">
        <w:rPr>
          <w:sz w:val="22"/>
          <w:szCs w:val="22"/>
        </w:rPr>
        <w:t>and/</w:t>
      </w:r>
      <w:r w:rsidR="001927A0" w:rsidRPr="00BC1932">
        <w:rPr>
          <w:sz w:val="22"/>
          <w:szCs w:val="22"/>
        </w:rPr>
        <w:t xml:space="preserve">or </w:t>
      </w:r>
      <w:r w:rsidRPr="00BC1932">
        <w:rPr>
          <w:sz w:val="22"/>
          <w:szCs w:val="22"/>
        </w:rPr>
        <w:t xml:space="preserve">deterrent effect of taking </w:t>
      </w:r>
      <w:proofErr w:type="gramStart"/>
      <w:r w:rsidRPr="00BC1932">
        <w:rPr>
          <w:sz w:val="22"/>
          <w:szCs w:val="22"/>
        </w:rPr>
        <w:t>action</w:t>
      </w:r>
      <w:r w:rsidR="0018357B" w:rsidRPr="00BC1932">
        <w:rPr>
          <w:sz w:val="22"/>
          <w:szCs w:val="22"/>
        </w:rPr>
        <w:t>;</w:t>
      </w:r>
      <w:proofErr w:type="gramEnd"/>
    </w:p>
    <w:p w14:paraId="7E046D5A" w14:textId="3274568D" w:rsidR="00451DFA" w:rsidRPr="00BC1932" w:rsidRDefault="00451DFA" w:rsidP="00562DAC">
      <w:pPr>
        <w:numPr>
          <w:ilvl w:val="0"/>
          <w:numId w:val="5"/>
        </w:numPr>
        <w:tabs>
          <w:tab w:val="clear" w:pos="1072"/>
        </w:tabs>
        <w:autoSpaceDE w:val="0"/>
        <w:autoSpaceDN w:val="0"/>
        <w:adjustRightInd w:val="0"/>
        <w:spacing w:after="120"/>
        <w:ind w:left="1418" w:hanging="709"/>
        <w:rPr>
          <w:sz w:val="22"/>
          <w:szCs w:val="22"/>
        </w:rPr>
      </w:pPr>
      <w:r w:rsidRPr="00BC1932">
        <w:rPr>
          <w:sz w:val="22"/>
          <w:szCs w:val="22"/>
        </w:rPr>
        <w:t>the seniority and level of experience of the person</w:t>
      </w:r>
      <w:r w:rsidR="001927A0" w:rsidRPr="00BC1932">
        <w:rPr>
          <w:sz w:val="22"/>
          <w:szCs w:val="22"/>
        </w:rPr>
        <w:t>(</w:t>
      </w:r>
      <w:r w:rsidRPr="00BC1932">
        <w:rPr>
          <w:sz w:val="22"/>
          <w:szCs w:val="22"/>
        </w:rPr>
        <w:t>s</w:t>
      </w:r>
      <w:r w:rsidR="001927A0" w:rsidRPr="00BC1932">
        <w:rPr>
          <w:sz w:val="22"/>
          <w:szCs w:val="22"/>
        </w:rPr>
        <w:t>)</w:t>
      </w:r>
      <w:r w:rsidRPr="00BC1932">
        <w:rPr>
          <w:sz w:val="22"/>
          <w:szCs w:val="22"/>
        </w:rPr>
        <w:t xml:space="preserve"> involved in the </w:t>
      </w:r>
      <w:proofErr w:type="gramStart"/>
      <w:r w:rsidRPr="00E97014">
        <w:rPr>
          <w:sz w:val="22"/>
          <w:szCs w:val="22"/>
        </w:rPr>
        <w:t>conduct</w:t>
      </w:r>
      <w:r w:rsidR="009E4180" w:rsidRPr="00E97014">
        <w:rPr>
          <w:sz w:val="22"/>
          <w:szCs w:val="22"/>
        </w:rPr>
        <w:t>;</w:t>
      </w:r>
      <w:proofErr w:type="gramEnd"/>
    </w:p>
    <w:p w14:paraId="0AE40305" w14:textId="2A78355C" w:rsidR="00451DFA" w:rsidRPr="00BC1932" w:rsidRDefault="00451DFA" w:rsidP="00562DAC">
      <w:pPr>
        <w:numPr>
          <w:ilvl w:val="0"/>
          <w:numId w:val="5"/>
        </w:numPr>
        <w:tabs>
          <w:tab w:val="clear" w:pos="1072"/>
        </w:tabs>
        <w:autoSpaceDE w:val="0"/>
        <w:autoSpaceDN w:val="0"/>
        <w:adjustRightInd w:val="0"/>
        <w:spacing w:after="120"/>
        <w:ind w:left="1418" w:hanging="709"/>
        <w:rPr>
          <w:sz w:val="22"/>
          <w:szCs w:val="22"/>
        </w:rPr>
      </w:pPr>
      <w:r w:rsidRPr="00BC1932">
        <w:rPr>
          <w:sz w:val="22"/>
          <w:szCs w:val="22"/>
        </w:rPr>
        <w:t xml:space="preserve">what, if any, action has been taken to remedy and address the consequences of the </w:t>
      </w:r>
      <w:proofErr w:type="gramStart"/>
      <w:r w:rsidRPr="00BC1932">
        <w:rPr>
          <w:sz w:val="22"/>
          <w:szCs w:val="22"/>
        </w:rPr>
        <w:t>conduct</w:t>
      </w:r>
      <w:r w:rsidR="0018357B" w:rsidRPr="00BC1932">
        <w:rPr>
          <w:sz w:val="22"/>
          <w:szCs w:val="22"/>
        </w:rPr>
        <w:t>;</w:t>
      </w:r>
      <w:proofErr w:type="gramEnd"/>
    </w:p>
    <w:p w14:paraId="68548AE4" w14:textId="60A3D533" w:rsidR="00451DFA" w:rsidRPr="00BC1932" w:rsidRDefault="00451DFA" w:rsidP="00562DAC">
      <w:pPr>
        <w:numPr>
          <w:ilvl w:val="0"/>
          <w:numId w:val="5"/>
        </w:numPr>
        <w:tabs>
          <w:tab w:val="clear" w:pos="1072"/>
        </w:tabs>
        <w:autoSpaceDE w:val="0"/>
        <w:autoSpaceDN w:val="0"/>
        <w:adjustRightInd w:val="0"/>
        <w:spacing w:after="120"/>
        <w:ind w:left="1418" w:hanging="709"/>
        <w:rPr>
          <w:sz w:val="22"/>
          <w:szCs w:val="22"/>
        </w:rPr>
      </w:pPr>
      <w:r w:rsidRPr="00BC1932">
        <w:rPr>
          <w:sz w:val="22"/>
          <w:szCs w:val="22"/>
        </w:rPr>
        <w:t xml:space="preserve">whether the subject of the investigation has co-operated with the </w:t>
      </w:r>
      <w:proofErr w:type="gramStart"/>
      <w:r w:rsidRPr="00BC1932">
        <w:rPr>
          <w:sz w:val="22"/>
          <w:szCs w:val="22"/>
        </w:rPr>
        <w:t>ACMA</w:t>
      </w:r>
      <w:r w:rsidR="0018357B" w:rsidRPr="00BC1932">
        <w:rPr>
          <w:sz w:val="22"/>
          <w:szCs w:val="22"/>
        </w:rPr>
        <w:t>;</w:t>
      </w:r>
      <w:proofErr w:type="gramEnd"/>
    </w:p>
    <w:p w14:paraId="0E612FE3" w14:textId="78C40B22" w:rsidR="00451DFA" w:rsidRPr="00BC1932" w:rsidRDefault="00451DFA" w:rsidP="00562DAC">
      <w:pPr>
        <w:numPr>
          <w:ilvl w:val="0"/>
          <w:numId w:val="5"/>
        </w:numPr>
        <w:tabs>
          <w:tab w:val="clear" w:pos="1072"/>
        </w:tabs>
        <w:autoSpaceDE w:val="0"/>
        <w:autoSpaceDN w:val="0"/>
        <w:adjustRightInd w:val="0"/>
        <w:ind w:left="1418" w:hanging="709"/>
        <w:rPr>
          <w:sz w:val="22"/>
          <w:szCs w:val="22"/>
        </w:rPr>
      </w:pPr>
      <w:r w:rsidRPr="00BC1932">
        <w:rPr>
          <w:sz w:val="22"/>
          <w:szCs w:val="22"/>
        </w:rPr>
        <w:lastRenderedPageBreak/>
        <w:t>whether the issues involved require urgent action</w:t>
      </w:r>
      <w:r w:rsidR="00327412" w:rsidRPr="00BC1932">
        <w:rPr>
          <w:sz w:val="22"/>
          <w:szCs w:val="22"/>
        </w:rPr>
        <w:t xml:space="preserve"> or </w:t>
      </w:r>
      <w:r w:rsidRPr="00BC1932">
        <w:rPr>
          <w:sz w:val="22"/>
          <w:szCs w:val="22"/>
        </w:rPr>
        <w:t>intervention by the ACMA.</w:t>
      </w:r>
    </w:p>
    <w:p w14:paraId="65B0EA59" w14:textId="36E6B866" w:rsidR="00451DFA" w:rsidRPr="00BC1932" w:rsidRDefault="006D05D2" w:rsidP="00562DAC">
      <w:pPr>
        <w:pStyle w:val="Heading1"/>
      </w:pPr>
      <w:bookmarkStart w:id="10" w:name="_Toc88208636"/>
      <w:r w:rsidRPr="00BC1932">
        <w:rPr>
          <w:rStyle w:val="CharSectno"/>
        </w:rPr>
        <w:t>9</w:t>
      </w:r>
      <w:r w:rsidR="00451DFA" w:rsidRPr="00BC1932">
        <w:tab/>
        <w:t>Infringement notices</w:t>
      </w:r>
      <w:bookmarkEnd w:id="10"/>
    </w:p>
    <w:p w14:paraId="6711F216" w14:textId="57AC0AB6" w:rsidR="00451DFA" w:rsidRPr="00BC1932" w:rsidRDefault="006D05D2" w:rsidP="00562DAC">
      <w:pPr>
        <w:spacing w:before="120"/>
        <w:ind w:left="720" w:hanging="720"/>
        <w:rPr>
          <w:sz w:val="22"/>
          <w:szCs w:val="22"/>
        </w:rPr>
      </w:pPr>
      <w:r w:rsidRPr="00BC1932">
        <w:rPr>
          <w:sz w:val="22"/>
          <w:szCs w:val="22"/>
        </w:rPr>
        <w:t>9</w:t>
      </w:r>
      <w:r w:rsidR="00451DFA" w:rsidRPr="00BC1932">
        <w:rPr>
          <w:sz w:val="22"/>
          <w:szCs w:val="22"/>
        </w:rPr>
        <w:t>.1</w:t>
      </w:r>
      <w:r w:rsidR="00451DFA" w:rsidRPr="00BC1932">
        <w:rPr>
          <w:sz w:val="22"/>
          <w:szCs w:val="22"/>
        </w:rPr>
        <w:tab/>
        <w:t xml:space="preserve">Infringement notices are designed to provide a timely, cost-efficient enforcement outcome and an alternative to court proceedings. </w:t>
      </w:r>
      <w:r w:rsidR="00295D29" w:rsidRPr="00BC1932">
        <w:rPr>
          <w:sz w:val="22"/>
          <w:szCs w:val="22"/>
        </w:rPr>
        <w:t xml:space="preserve">An authorised infringement notice officer may, if </w:t>
      </w:r>
      <w:r w:rsidR="0018357B" w:rsidRPr="00BC1932">
        <w:rPr>
          <w:sz w:val="22"/>
          <w:szCs w:val="22"/>
        </w:rPr>
        <w:t xml:space="preserve">they have </w:t>
      </w:r>
      <w:r w:rsidR="00295D29" w:rsidRPr="00BC1932">
        <w:rPr>
          <w:sz w:val="22"/>
          <w:szCs w:val="22"/>
        </w:rPr>
        <w:t>reasonable grounds to believe that a person has contravened a particular civil penalty provision in the Telecommunications Act</w:t>
      </w:r>
      <w:r w:rsidR="002C7F80" w:rsidRPr="00BC1932">
        <w:rPr>
          <w:sz w:val="22"/>
          <w:szCs w:val="22"/>
        </w:rPr>
        <w:t>, TCPSS Act or the TIA Act, give the person an infringement notice relating to the contravention</w:t>
      </w:r>
      <w:r w:rsidR="002D5DDB" w:rsidRPr="00BC1932">
        <w:rPr>
          <w:sz w:val="22"/>
          <w:szCs w:val="22"/>
        </w:rPr>
        <w:t>(s)</w:t>
      </w:r>
      <w:r w:rsidR="002C7F80" w:rsidRPr="00BC1932">
        <w:rPr>
          <w:sz w:val="22"/>
          <w:szCs w:val="22"/>
        </w:rPr>
        <w:t>. However, in the case of certain civil penalty provisions</w:t>
      </w:r>
      <w:r w:rsidR="00B22CDA" w:rsidRPr="00BC1932">
        <w:rPr>
          <w:sz w:val="22"/>
          <w:szCs w:val="22"/>
        </w:rPr>
        <w:t>, namely sections 68 and 101 of the Telecommunications Act, an infringement notice may only be given in respect of certain kinds of contraventions of those provisions</w:t>
      </w:r>
      <w:r w:rsidR="006522EF" w:rsidRPr="00BC1932">
        <w:rPr>
          <w:sz w:val="22"/>
          <w:szCs w:val="22"/>
        </w:rPr>
        <w:t xml:space="preserve"> (see subsections 572</w:t>
      </w:r>
      <w:proofErr w:type="gramStart"/>
      <w:r w:rsidR="006522EF" w:rsidRPr="00BC1932">
        <w:rPr>
          <w:sz w:val="22"/>
          <w:szCs w:val="22"/>
        </w:rPr>
        <w:t>E(</w:t>
      </w:r>
      <w:proofErr w:type="gramEnd"/>
      <w:r w:rsidR="006522EF" w:rsidRPr="00BC1932">
        <w:rPr>
          <w:sz w:val="22"/>
          <w:szCs w:val="22"/>
        </w:rPr>
        <w:t xml:space="preserve">5) and (6 ) of the Telecommunications Act and the </w:t>
      </w:r>
      <w:r w:rsidR="00B55924" w:rsidRPr="00BC1932">
        <w:rPr>
          <w:sz w:val="22"/>
          <w:szCs w:val="22"/>
        </w:rPr>
        <w:t xml:space="preserve"> instrument listing infringement notice provisions which is made for the purposes of </w:t>
      </w:r>
      <w:r w:rsidR="00E33FFF" w:rsidRPr="00BC1932">
        <w:rPr>
          <w:sz w:val="22"/>
          <w:szCs w:val="22"/>
        </w:rPr>
        <w:t>subsection</w:t>
      </w:r>
      <w:r w:rsidR="00592A83" w:rsidRPr="00BC1932">
        <w:rPr>
          <w:sz w:val="22"/>
          <w:szCs w:val="22"/>
        </w:rPr>
        <w:t xml:space="preserve"> </w:t>
      </w:r>
      <w:r w:rsidR="00E33FFF" w:rsidRPr="00BC1932">
        <w:rPr>
          <w:sz w:val="22"/>
          <w:szCs w:val="22"/>
        </w:rPr>
        <w:t>572E(7)</w:t>
      </w:r>
      <w:r w:rsidR="00B55924" w:rsidRPr="00BC1932">
        <w:rPr>
          <w:sz w:val="22"/>
          <w:szCs w:val="22"/>
        </w:rPr>
        <w:t xml:space="preserve"> of the Telecommunications Act</w:t>
      </w:r>
      <w:r w:rsidR="008F551D" w:rsidRPr="00BC1932">
        <w:rPr>
          <w:rStyle w:val="FootnoteReference"/>
          <w:sz w:val="22"/>
          <w:szCs w:val="22"/>
        </w:rPr>
        <w:footnoteReference w:id="1"/>
      </w:r>
      <w:r w:rsidR="008C310C" w:rsidRPr="00BC1932">
        <w:rPr>
          <w:sz w:val="22"/>
          <w:szCs w:val="22"/>
        </w:rPr>
        <w:t>)</w:t>
      </w:r>
      <w:r w:rsidR="006411F0" w:rsidRPr="00BC1932">
        <w:rPr>
          <w:sz w:val="22"/>
          <w:szCs w:val="22"/>
        </w:rPr>
        <w:t>.</w:t>
      </w:r>
      <w:r w:rsidR="00B55924" w:rsidRPr="00BC1932">
        <w:rPr>
          <w:sz w:val="22"/>
          <w:szCs w:val="22"/>
        </w:rPr>
        <w:t xml:space="preserve">  </w:t>
      </w:r>
    </w:p>
    <w:p w14:paraId="368123FD" w14:textId="0CF983FF" w:rsidR="00451DFA" w:rsidRPr="00BC1932" w:rsidRDefault="006D05D2" w:rsidP="00562DAC">
      <w:pPr>
        <w:pStyle w:val="ACMABodyText"/>
        <w:spacing w:before="120" w:line="240" w:lineRule="atLeast"/>
        <w:ind w:left="720" w:hanging="720"/>
        <w:rPr>
          <w:sz w:val="22"/>
          <w:szCs w:val="22"/>
        </w:rPr>
      </w:pPr>
      <w:r w:rsidRPr="00BC1932">
        <w:rPr>
          <w:sz w:val="22"/>
          <w:szCs w:val="22"/>
        </w:rPr>
        <w:t>9</w:t>
      </w:r>
      <w:r w:rsidR="00451DFA" w:rsidRPr="00BC1932">
        <w:rPr>
          <w:sz w:val="22"/>
          <w:szCs w:val="22"/>
        </w:rPr>
        <w:t>.2</w:t>
      </w:r>
      <w:r w:rsidR="00451DFA" w:rsidRPr="00BC1932">
        <w:rPr>
          <w:sz w:val="22"/>
          <w:szCs w:val="22"/>
        </w:rPr>
        <w:tab/>
        <w:t xml:space="preserve">There is no obligation on the ACMA to </w:t>
      </w:r>
      <w:r w:rsidR="00F407F8" w:rsidRPr="00BC1932">
        <w:rPr>
          <w:sz w:val="22"/>
          <w:szCs w:val="22"/>
        </w:rPr>
        <w:t>give</w:t>
      </w:r>
      <w:r w:rsidR="00451DFA" w:rsidRPr="00BC1932">
        <w:rPr>
          <w:sz w:val="22"/>
          <w:szCs w:val="22"/>
        </w:rPr>
        <w:t xml:space="preserve"> an infringement notice (section</w:t>
      </w:r>
      <w:r w:rsidR="00043B2D" w:rsidRPr="00BC1932">
        <w:rPr>
          <w:sz w:val="22"/>
          <w:szCs w:val="22"/>
        </w:rPr>
        <w:t xml:space="preserve"> 572K of the Telecommunications Act</w:t>
      </w:r>
      <w:r w:rsidR="00451DFA" w:rsidRPr="00BC1932">
        <w:rPr>
          <w:sz w:val="22"/>
          <w:szCs w:val="22"/>
        </w:rPr>
        <w:t>)</w:t>
      </w:r>
      <w:r w:rsidR="00043B2D" w:rsidRPr="00BC1932">
        <w:rPr>
          <w:sz w:val="22"/>
          <w:szCs w:val="22"/>
        </w:rPr>
        <w:t xml:space="preserve"> in relation to an alleged contravention</w:t>
      </w:r>
      <w:r w:rsidR="00451DFA" w:rsidRPr="00BC1932">
        <w:rPr>
          <w:sz w:val="22"/>
          <w:szCs w:val="22"/>
        </w:rPr>
        <w:t xml:space="preserve">. There </w:t>
      </w:r>
      <w:r w:rsidR="00813F85" w:rsidRPr="00BC1932">
        <w:rPr>
          <w:sz w:val="22"/>
          <w:szCs w:val="22"/>
        </w:rPr>
        <w:t>are</w:t>
      </w:r>
      <w:r w:rsidR="00451DFA" w:rsidRPr="00BC1932">
        <w:rPr>
          <w:sz w:val="22"/>
          <w:szCs w:val="22"/>
        </w:rPr>
        <w:t xml:space="preserve"> a range of factors which the ACMA may consider in determining whether an infringement notice should be given (see </w:t>
      </w:r>
      <w:r w:rsidR="002D6F64" w:rsidRPr="00BC1932">
        <w:rPr>
          <w:sz w:val="22"/>
          <w:szCs w:val="22"/>
        </w:rPr>
        <w:t xml:space="preserve">section </w:t>
      </w:r>
      <w:r w:rsidR="00750660" w:rsidRPr="00BC1932">
        <w:rPr>
          <w:sz w:val="22"/>
          <w:szCs w:val="22"/>
        </w:rPr>
        <w:t>8</w:t>
      </w:r>
      <w:r w:rsidR="00973AC4" w:rsidRPr="00BC1932">
        <w:rPr>
          <w:sz w:val="22"/>
          <w:szCs w:val="22"/>
        </w:rPr>
        <w:t xml:space="preserve"> of these Guidelines</w:t>
      </w:r>
      <w:r w:rsidR="00451DFA" w:rsidRPr="00BC1932">
        <w:rPr>
          <w:sz w:val="22"/>
          <w:szCs w:val="22"/>
        </w:rPr>
        <w:t xml:space="preserve">). </w:t>
      </w:r>
      <w:r w:rsidR="00D87441" w:rsidRPr="00BC1932">
        <w:rPr>
          <w:sz w:val="22"/>
          <w:szCs w:val="22"/>
        </w:rPr>
        <w:t>Examples of m</w:t>
      </w:r>
      <w:r w:rsidR="00451DFA" w:rsidRPr="00BC1932">
        <w:rPr>
          <w:sz w:val="22"/>
          <w:szCs w:val="22"/>
        </w:rPr>
        <w:t>atters</w:t>
      </w:r>
      <w:r w:rsidR="00FE6F51" w:rsidRPr="00BC1932">
        <w:rPr>
          <w:sz w:val="22"/>
          <w:szCs w:val="22"/>
        </w:rPr>
        <w:t xml:space="preserve"> </w:t>
      </w:r>
      <w:r w:rsidR="00451DFA" w:rsidRPr="00BC1932">
        <w:rPr>
          <w:sz w:val="22"/>
          <w:szCs w:val="22"/>
        </w:rPr>
        <w:t xml:space="preserve">where an infringement notice may not be appropriate </w:t>
      </w:r>
      <w:r w:rsidR="00400938" w:rsidRPr="00BC1932">
        <w:rPr>
          <w:sz w:val="22"/>
          <w:szCs w:val="22"/>
        </w:rPr>
        <w:t xml:space="preserve">may </w:t>
      </w:r>
      <w:r w:rsidR="00451DFA" w:rsidRPr="00BC1932">
        <w:rPr>
          <w:sz w:val="22"/>
          <w:szCs w:val="22"/>
        </w:rPr>
        <w:t>include where:</w:t>
      </w:r>
    </w:p>
    <w:p w14:paraId="134E6D44" w14:textId="5B4994F8" w:rsidR="00451DFA" w:rsidRPr="00BC1932" w:rsidRDefault="00451DFA" w:rsidP="00562DAC">
      <w:pPr>
        <w:pStyle w:val="bulletthebluesky"/>
        <w:numPr>
          <w:ilvl w:val="0"/>
          <w:numId w:val="13"/>
        </w:numPr>
        <w:spacing w:after="120" w:line="240" w:lineRule="atLeast"/>
        <w:ind w:left="1418" w:hanging="709"/>
        <w:rPr>
          <w:sz w:val="22"/>
          <w:szCs w:val="22"/>
        </w:rPr>
      </w:pPr>
      <w:r w:rsidRPr="00BC1932">
        <w:rPr>
          <w:sz w:val="22"/>
          <w:szCs w:val="22"/>
        </w:rPr>
        <w:t xml:space="preserve">the ACMA has previously taken action against the </w:t>
      </w:r>
      <w:r w:rsidR="00400938" w:rsidRPr="00BC1932">
        <w:rPr>
          <w:sz w:val="22"/>
          <w:szCs w:val="22"/>
        </w:rPr>
        <w:t xml:space="preserve">relevant person or entity </w:t>
      </w:r>
      <w:r w:rsidRPr="00BC1932">
        <w:rPr>
          <w:sz w:val="22"/>
          <w:szCs w:val="22"/>
        </w:rPr>
        <w:t xml:space="preserve">for similar </w:t>
      </w:r>
      <w:proofErr w:type="gramStart"/>
      <w:r w:rsidRPr="00BC1932">
        <w:rPr>
          <w:sz w:val="22"/>
          <w:szCs w:val="22"/>
        </w:rPr>
        <w:t>contraventions</w:t>
      </w:r>
      <w:r w:rsidR="0018357B" w:rsidRPr="00BC1932">
        <w:rPr>
          <w:sz w:val="22"/>
          <w:szCs w:val="22"/>
        </w:rPr>
        <w:t>;</w:t>
      </w:r>
      <w:proofErr w:type="gramEnd"/>
    </w:p>
    <w:p w14:paraId="42C280B3" w14:textId="7FB44CC5" w:rsidR="00451DFA" w:rsidRPr="00BC1932" w:rsidRDefault="00451DFA" w:rsidP="00562DAC">
      <w:pPr>
        <w:pStyle w:val="bulletthebluesky"/>
        <w:numPr>
          <w:ilvl w:val="0"/>
          <w:numId w:val="13"/>
        </w:numPr>
        <w:spacing w:after="120" w:line="240" w:lineRule="atLeast"/>
        <w:ind w:left="1418" w:hanging="709"/>
        <w:rPr>
          <w:sz w:val="22"/>
          <w:szCs w:val="22"/>
        </w:rPr>
      </w:pPr>
      <w:r w:rsidRPr="00BC1932">
        <w:rPr>
          <w:sz w:val="22"/>
          <w:szCs w:val="22"/>
        </w:rPr>
        <w:t xml:space="preserve">the contraventions have occurred over an extended period of </w:t>
      </w:r>
      <w:proofErr w:type="gramStart"/>
      <w:r w:rsidRPr="00BC1932">
        <w:rPr>
          <w:sz w:val="22"/>
          <w:szCs w:val="22"/>
        </w:rPr>
        <w:t>time</w:t>
      </w:r>
      <w:r w:rsidR="0018357B" w:rsidRPr="00BC1932">
        <w:rPr>
          <w:sz w:val="22"/>
          <w:szCs w:val="22"/>
        </w:rPr>
        <w:t>;</w:t>
      </w:r>
      <w:proofErr w:type="gramEnd"/>
    </w:p>
    <w:p w14:paraId="3AD0394E" w14:textId="30E4C4F0" w:rsidR="00451DFA" w:rsidRPr="00BC1932" w:rsidRDefault="00451DFA" w:rsidP="00562DAC">
      <w:pPr>
        <w:pStyle w:val="bulletthebluesky"/>
        <w:numPr>
          <w:ilvl w:val="0"/>
          <w:numId w:val="13"/>
        </w:numPr>
        <w:spacing w:after="120" w:line="240" w:lineRule="atLeast"/>
        <w:ind w:left="1418" w:hanging="709"/>
        <w:rPr>
          <w:sz w:val="22"/>
          <w:szCs w:val="22"/>
        </w:rPr>
      </w:pPr>
      <w:r w:rsidRPr="00BC1932">
        <w:rPr>
          <w:sz w:val="22"/>
          <w:szCs w:val="22"/>
        </w:rPr>
        <w:t xml:space="preserve">the </w:t>
      </w:r>
      <w:r w:rsidR="00400938" w:rsidRPr="00BC1932">
        <w:rPr>
          <w:sz w:val="22"/>
          <w:szCs w:val="22"/>
        </w:rPr>
        <w:t xml:space="preserve">person or entity </w:t>
      </w:r>
      <w:r w:rsidRPr="00BC1932">
        <w:rPr>
          <w:sz w:val="22"/>
          <w:szCs w:val="22"/>
        </w:rPr>
        <w:t xml:space="preserve">has, as a consequence of the contraventions, obtained a financial or other advantage, to the detriment of </w:t>
      </w:r>
      <w:proofErr w:type="gramStart"/>
      <w:r w:rsidRPr="00BC1932">
        <w:rPr>
          <w:sz w:val="22"/>
          <w:szCs w:val="22"/>
        </w:rPr>
        <w:t>others</w:t>
      </w:r>
      <w:r w:rsidR="0018357B" w:rsidRPr="00BC1932">
        <w:rPr>
          <w:sz w:val="22"/>
          <w:szCs w:val="22"/>
        </w:rPr>
        <w:t>;</w:t>
      </w:r>
      <w:proofErr w:type="gramEnd"/>
    </w:p>
    <w:p w14:paraId="6A32ACC5" w14:textId="5CCC3E1D" w:rsidR="00FC3E28" w:rsidRPr="00BC1932" w:rsidRDefault="00451DFA" w:rsidP="00562DAC">
      <w:pPr>
        <w:pStyle w:val="bulletthebluesky"/>
        <w:numPr>
          <w:ilvl w:val="0"/>
          <w:numId w:val="13"/>
        </w:numPr>
        <w:spacing w:line="240" w:lineRule="atLeast"/>
        <w:ind w:left="1418" w:hanging="709"/>
        <w:rPr>
          <w:sz w:val="22"/>
          <w:szCs w:val="22"/>
        </w:rPr>
      </w:pPr>
      <w:r w:rsidRPr="00BC1932">
        <w:rPr>
          <w:sz w:val="22"/>
          <w:szCs w:val="22"/>
        </w:rPr>
        <w:t xml:space="preserve">the conduct </w:t>
      </w:r>
      <w:r w:rsidR="005415FB" w:rsidRPr="00BC1932">
        <w:rPr>
          <w:sz w:val="22"/>
          <w:szCs w:val="22"/>
        </w:rPr>
        <w:t>should more properly be</w:t>
      </w:r>
      <w:r w:rsidRPr="00BC1932">
        <w:rPr>
          <w:sz w:val="22"/>
          <w:szCs w:val="22"/>
        </w:rPr>
        <w:t xml:space="preserve"> the subject of other compliance or enforcement action by the ACMA</w:t>
      </w:r>
      <w:r w:rsidR="005415FB" w:rsidRPr="00BC1932">
        <w:rPr>
          <w:sz w:val="22"/>
          <w:szCs w:val="22"/>
        </w:rPr>
        <w:t xml:space="preserve"> because, for example</w:t>
      </w:r>
      <w:r w:rsidR="00365761" w:rsidRPr="00BC1932">
        <w:rPr>
          <w:sz w:val="22"/>
          <w:szCs w:val="22"/>
        </w:rPr>
        <w:t>, it is not serious enough to warrant the issue of an infringement notice or because it is too serio</w:t>
      </w:r>
      <w:r w:rsidR="006F1262" w:rsidRPr="00BC1932">
        <w:rPr>
          <w:sz w:val="22"/>
          <w:szCs w:val="22"/>
        </w:rPr>
        <w:t>u</w:t>
      </w:r>
      <w:r w:rsidR="00365761" w:rsidRPr="00BC1932">
        <w:rPr>
          <w:sz w:val="22"/>
          <w:szCs w:val="22"/>
        </w:rPr>
        <w:t>s to be adequately dealt with by an infringement notice</w:t>
      </w:r>
      <w:r w:rsidR="005F217E" w:rsidRPr="00BC1932">
        <w:rPr>
          <w:sz w:val="22"/>
          <w:szCs w:val="22"/>
        </w:rPr>
        <w:t>.</w:t>
      </w:r>
    </w:p>
    <w:p w14:paraId="61333CDA" w14:textId="026848BB" w:rsidR="00451DFA" w:rsidRPr="00BC1932" w:rsidRDefault="005F217E" w:rsidP="00562DAC">
      <w:pPr>
        <w:pStyle w:val="bulletthebluesky"/>
        <w:numPr>
          <w:ilvl w:val="0"/>
          <w:numId w:val="0"/>
        </w:numPr>
        <w:spacing w:before="120" w:line="240" w:lineRule="atLeast"/>
        <w:ind w:left="720"/>
        <w:rPr>
          <w:sz w:val="22"/>
          <w:szCs w:val="22"/>
        </w:rPr>
      </w:pPr>
      <w:r w:rsidRPr="00BC1932">
        <w:rPr>
          <w:sz w:val="22"/>
          <w:szCs w:val="22"/>
        </w:rPr>
        <w:t xml:space="preserve">In each </w:t>
      </w:r>
      <w:r w:rsidR="00636076" w:rsidRPr="00BC1932">
        <w:rPr>
          <w:sz w:val="22"/>
          <w:szCs w:val="22"/>
        </w:rPr>
        <w:t xml:space="preserve">case all the relevant facts and circumstances will be </w:t>
      </w:r>
      <w:proofErr w:type="gramStart"/>
      <w:r w:rsidR="00636076" w:rsidRPr="00BC1932">
        <w:rPr>
          <w:sz w:val="22"/>
          <w:szCs w:val="22"/>
        </w:rPr>
        <w:t>taken into account</w:t>
      </w:r>
      <w:proofErr w:type="gramEnd"/>
      <w:r w:rsidR="00636076" w:rsidRPr="00BC1932">
        <w:rPr>
          <w:sz w:val="22"/>
          <w:szCs w:val="22"/>
        </w:rPr>
        <w:t xml:space="preserve"> in determining whether an infringement notice should be given. </w:t>
      </w:r>
    </w:p>
    <w:p w14:paraId="7FB6BD0A" w14:textId="27788093" w:rsidR="002D4CBB" w:rsidRPr="00BC1932" w:rsidRDefault="006D05D2" w:rsidP="00562DAC">
      <w:pPr>
        <w:pStyle w:val="ACMABodyTextnumpara2"/>
        <w:tabs>
          <w:tab w:val="clear" w:pos="1440"/>
          <w:tab w:val="left" w:pos="540"/>
        </w:tabs>
        <w:spacing w:before="120" w:after="0" w:line="240" w:lineRule="atLeast"/>
        <w:ind w:left="720"/>
        <w:rPr>
          <w:sz w:val="22"/>
          <w:szCs w:val="22"/>
        </w:rPr>
      </w:pPr>
      <w:r w:rsidRPr="00BC1932">
        <w:rPr>
          <w:sz w:val="22"/>
          <w:szCs w:val="22"/>
        </w:rPr>
        <w:t>9</w:t>
      </w:r>
      <w:r w:rsidR="00451DFA" w:rsidRPr="00BC1932">
        <w:rPr>
          <w:sz w:val="22"/>
          <w:szCs w:val="22"/>
        </w:rPr>
        <w:t>.3</w:t>
      </w:r>
      <w:r w:rsidR="00451DFA" w:rsidRPr="00BC1932">
        <w:rPr>
          <w:sz w:val="22"/>
          <w:szCs w:val="22"/>
        </w:rPr>
        <w:tab/>
      </w:r>
      <w:r w:rsidR="00451DFA" w:rsidRPr="00BC1932">
        <w:rPr>
          <w:sz w:val="22"/>
          <w:szCs w:val="22"/>
        </w:rPr>
        <w:tab/>
      </w:r>
      <w:r w:rsidR="004D753A" w:rsidRPr="00BC1932">
        <w:rPr>
          <w:sz w:val="22"/>
          <w:szCs w:val="22"/>
        </w:rPr>
        <w:t xml:space="preserve">The decision to give an infringement notice must be made by the Chair </w:t>
      </w:r>
      <w:r w:rsidR="00CD3A88" w:rsidRPr="00BC1932">
        <w:rPr>
          <w:sz w:val="22"/>
          <w:szCs w:val="22"/>
        </w:rPr>
        <w:t xml:space="preserve">of the ACMA </w:t>
      </w:r>
      <w:r w:rsidR="004D753A" w:rsidRPr="00BC1932">
        <w:rPr>
          <w:sz w:val="22"/>
          <w:szCs w:val="22"/>
        </w:rPr>
        <w:t xml:space="preserve">or a </w:t>
      </w:r>
      <w:r w:rsidR="00F57B46" w:rsidRPr="00BC1932">
        <w:rPr>
          <w:sz w:val="22"/>
          <w:szCs w:val="22"/>
        </w:rPr>
        <w:t xml:space="preserve">member of </w:t>
      </w:r>
      <w:r w:rsidR="00606F1E" w:rsidRPr="00BC1932">
        <w:rPr>
          <w:sz w:val="22"/>
          <w:szCs w:val="22"/>
        </w:rPr>
        <w:t>the staff of the ACMA</w:t>
      </w:r>
      <w:r w:rsidR="00F57B46" w:rsidRPr="00BC1932">
        <w:rPr>
          <w:sz w:val="22"/>
          <w:szCs w:val="22"/>
        </w:rPr>
        <w:t xml:space="preserve"> </w:t>
      </w:r>
      <w:r w:rsidR="003E4093" w:rsidRPr="00BC1932">
        <w:rPr>
          <w:sz w:val="22"/>
          <w:szCs w:val="22"/>
        </w:rPr>
        <w:t xml:space="preserve">appointed </w:t>
      </w:r>
      <w:r w:rsidR="004D753A" w:rsidRPr="00BC1932">
        <w:rPr>
          <w:sz w:val="22"/>
          <w:szCs w:val="22"/>
        </w:rPr>
        <w:t>by the ACMA</w:t>
      </w:r>
      <w:r w:rsidR="008757FC" w:rsidRPr="00BC1932">
        <w:rPr>
          <w:sz w:val="22"/>
          <w:szCs w:val="22"/>
        </w:rPr>
        <w:t xml:space="preserve"> as an authorised infringement notice officer</w:t>
      </w:r>
      <w:r w:rsidR="004D753A" w:rsidRPr="00BC1932">
        <w:rPr>
          <w:sz w:val="22"/>
          <w:szCs w:val="22"/>
        </w:rPr>
        <w:t xml:space="preserve"> under section 572L of the Telecommunications Act. </w:t>
      </w:r>
    </w:p>
    <w:p w14:paraId="0D61E932" w14:textId="725866AC" w:rsidR="00451DFA" w:rsidRPr="00BC1932" w:rsidRDefault="002D4CBB" w:rsidP="00562DAC">
      <w:pPr>
        <w:pStyle w:val="ACMABodyTextnumpara2"/>
        <w:tabs>
          <w:tab w:val="clear" w:pos="1440"/>
          <w:tab w:val="left" w:pos="540"/>
        </w:tabs>
        <w:spacing w:before="120" w:after="0" w:line="240" w:lineRule="atLeast"/>
        <w:ind w:left="720"/>
        <w:rPr>
          <w:sz w:val="22"/>
          <w:szCs w:val="22"/>
        </w:rPr>
      </w:pPr>
      <w:r w:rsidRPr="00BC1932">
        <w:rPr>
          <w:sz w:val="22"/>
          <w:szCs w:val="22"/>
        </w:rPr>
        <w:t>9.</w:t>
      </w:r>
      <w:r w:rsidR="00632B11" w:rsidRPr="00BC1932">
        <w:rPr>
          <w:sz w:val="22"/>
          <w:szCs w:val="22"/>
        </w:rPr>
        <w:t>4</w:t>
      </w:r>
      <w:r w:rsidR="00632B11" w:rsidRPr="00BC1932">
        <w:rPr>
          <w:sz w:val="22"/>
          <w:szCs w:val="22"/>
        </w:rPr>
        <w:tab/>
      </w:r>
      <w:r w:rsidR="00632B11" w:rsidRPr="00BC1932">
        <w:rPr>
          <w:sz w:val="22"/>
          <w:szCs w:val="22"/>
        </w:rPr>
        <w:tab/>
        <w:t>An infringement notice must be given within 12 months after the day on which the contravention is alleged to have taken place (subsection 572</w:t>
      </w:r>
      <w:proofErr w:type="gramStart"/>
      <w:r w:rsidR="00632B11" w:rsidRPr="00BC1932">
        <w:rPr>
          <w:sz w:val="22"/>
          <w:szCs w:val="22"/>
        </w:rPr>
        <w:t>E(</w:t>
      </w:r>
      <w:proofErr w:type="gramEnd"/>
      <w:r w:rsidR="00632B11" w:rsidRPr="00BC1932">
        <w:rPr>
          <w:sz w:val="22"/>
          <w:szCs w:val="22"/>
        </w:rPr>
        <w:t>2) of the Telecommunications Act)</w:t>
      </w:r>
      <w:r w:rsidR="00AA689B" w:rsidRPr="00BC1932">
        <w:rPr>
          <w:sz w:val="22"/>
          <w:szCs w:val="22"/>
        </w:rPr>
        <w:t>.</w:t>
      </w:r>
    </w:p>
    <w:p w14:paraId="15666391" w14:textId="57221DB2" w:rsidR="00451DFA" w:rsidRPr="00BC1932" w:rsidRDefault="006D05D2" w:rsidP="00562DAC">
      <w:pPr>
        <w:autoSpaceDE w:val="0"/>
        <w:autoSpaceDN w:val="0"/>
        <w:adjustRightInd w:val="0"/>
        <w:spacing w:before="120"/>
        <w:ind w:left="720" w:hanging="720"/>
        <w:rPr>
          <w:sz w:val="22"/>
          <w:szCs w:val="22"/>
        </w:rPr>
      </w:pPr>
      <w:r w:rsidRPr="00BC1932">
        <w:rPr>
          <w:sz w:val="22"/>
          <w:szCs w:val="22"/>
        </w:rPr>
        <w:t>9</w:t>
      </w:r>
      <w:r w:rsidR="00451DFA" w:rsidRPr="00BC1932">
        <w:rPr>
          <w:sz w:val="22"/>
          <w:szCs w:val="22"/>
        </w:rPr>
        <w:t>.</w:t>
      </w:r>
      <w:r w:rsidR="005B32C5" w:rsidRPr="00BC1932">
        <w:rPr>
          <w:sz w:val="22"/>
          <w:szCs w:val="22"/>
        </w:rPr>
        <w:t>5</w:t>
      </w:r>
      <w:r w:rsidR="00451DFA" w:rsidRPr="00BC1932">
        <w:rPr>
          <w:sz w:val="22"/>
          <w:szCs w:val="22"/>
        </w:rPr>
        <w:tab/>
      </w:r>
      <w:r w:rsidR="00F24217" w:rsidRPr="00BC1932">
        <w:rPr>
          <w:sz w:val="22"/>
          <w:szCs w:val="22"/>
        </w:rPr>
        <w:t xml:space="preserve">Payment of the penalty in accordance with the infringement notice, or </w:t>
      </w:r>
      <w:r w:rsidR="00CD3A88" w:rsidRPr="00BC1932">
        <w:rPr>
          <w:sz w:val="22"/>
          <w:szCs w:val="22"/>
        </w:rPr>
        <w:t xml:space="preserve">within </w:t>
      </w:r>
      <w:r w:rsidR="00F24217" w:rsidRPr="00BC1932">
        <w:rPr>
          <w:sz w:val="22"/>
          <w:szCs w:val="22"/>
        </w:rPr>
        <w:t>such other period agreed to by the ACMA</w:t>
      </w:r>
      <w:r w:rsidR="00230B78" w:rsidRPr="00BC1932">
        <w:rPr>
          <w:sz w:val="22"/>
          <w:szCs w:val="22"/>
        </w:rPr>
        <w:t xml:space="preserve">, </w:t>
      </w:r>
      <w:r w:rsidR="00451DFA" w:rsidRPr="00BC1932">
        <w:rPr>
          <w:sz w:val="22"/>
          <w:szCs w:val="22"/>
        </w:rPr>
        <w:t xml:space="preserve">prevents the ACMA from commencing proceedings </w:t>
      </w:r>
      <w:r w:rsidR="00901934" w:rsidRPr="00BC1932">
        <w:rPr>
          <w:sz w:val="22"/>
          <w:szCs w:val="22"/>
        </w:rPr>
        <w:t xml:space="preserve">under Part 31 of the Telecommunications Act </w:t>
      </w:r>
      <w:r w:rsidR="00451DFA" w:rsidRPr="00BC1932">
        <w:rPr>
          <w:sz w:val="22"/>
          <w:szCs w:val="22"/>
        </w:rPr>
        <w:t>for the imposition of a civil penalty for the alleged contravention</w:t>
      </w:r>
      <w:r w:rsidR="00901934" w:rsidRPr="00BC1932">
        <w:rPr>
          <w:sz w:val="22"/>
          <w:szCs w:val="22"/>
        </w:rPr>
        <w:t xml:space="preserve"> (section 572J of the Telecommunications Act)</w:t>
      </w:r>
      <w:r w:rsidR="00451DFA" w:rsidRPr="00BC1932">
        <w:rPr>
          <w:sz w:val="22"/>
          <w:szCs w:val="22"/>
        </w:rPr>
        <w:t xml:space="preserve">. </w:t>
      </w:r>
      <w:r w:rsidR="00901934" w:rsidRPr="00BC1932">
        <w:rPr>
          <w:sz w:val="22"/>
          <w:szCs w:val="22"/>
        </w:rPr>
        <w:t>Upo</w:t>
      </w:r>
      <w:r w:rsidR="00451DFA" w:rsidRPr="00BC1932">
        <w:rPr>
          <w:sz w:val="22"/>
          <w:szCs w:val="22"/>
        </w:rPr>
        <w:t>n payment, the liability of the person for that alleged contravention is discharged.</w:t>
      </w:r>
    </w:p>
    <w:p w14:paraId="14067EDB" w14:textId="6073F3DB" w:rsidR="00451DFA" w:rsidRPr="00BC1932" w:rsidRDefault="006D05D2" w:rsidP="00562DAC">
      <w:pPr>
        <w:pStyle w:val="ACMABodyTextnumpara2"/>
        <w:tabs>
          <w:tab w:val="clear" w:pos="1440"/>
          <w:tab w:val="left" w:pos="540"/>
        </w:tabs>
        <w:spacing w:before="120" w:after="0" w:line="240" w:lineRule="atLeast"/>
        <w:ind w:left="720"/>
        <w:rPr>
          <w:sz w:val="22"/>
          <w:szCs w:val="22"/>
        </w:rPr>
      </w:pPr>
      <w:r w:rsidRPr="00BC1932">
        <w:rPr>
          <w:sz w:val="22"/>
          <w:szCs w:val="22"/>
        </w:rPr>
        <w:t>9</w:t>
      </w:r>
      <w:r w:rsidR="00451DFA" w:rsidRPr="00BC1932">
        <w:rPr>
          <w:sz w:val="22"/>
          <w:szCs w:val="22"/>
        </w:rPr>
        <w:t>.</w:t>
      </w:r>
      <w:r w:rsidR="00820DC3" w:rsidRPr="00BC1932">
        <w:rPr>
          <w:sz w:val="22"/>
          <w:szCs w:val="22"/>
        </w:rPr>
        <w:t>6</w:t>
      </w:r>
      <w:r w:rsidR="00451DFA" w:rsidRPr="00BC1932">
        <w:rPr>
          <w:sz w:val="22"/>
          <w:szCs w:val="22"/>
        </w:rPr>
        <w:tab/>
      </w:r>
      <w:r w:rsidR="00451DFA" w:rsidRPr="00BC1932">
        <w:rPr>
          <w:sz w:val="22"/>
          <w:szCs w:val="22"/>
        </w:rPr>
        <w:tab/>
      </w:r>
      <w:r w:rsidR="00230B78" w:rsidRPr="00BC1932">
        <w:rPr>
          <w:sz w:val="22"/>
          <w:szCs w:val="22"/>
        </w:rPr>
        <w:t>In the event that payment is not made in accordance with the infringement notice, or the longer period (if any) agreed to by the ACMA</w:t>
      </w:r>
      <w:r w:rsidR="00451DFA" w:rsidRPr="00BC1932">
        <w:rPr>
          <w:sz w:val="22"/>
          <w:szCs w:val="22"/>
        </w:rPr>
        <w:t xml:space="preserve">, the ACMA may </w:t>
      </w:r>
      <w:proofErr w:type="gramStart"/>
      <w:r w:rsidR="00451DFA" w:rsidRPr="00BC1932">
        <w:rPr>
          <w:sz w:val="22"/>
          <w:szCs w:val="22"/>
        </w:rPr>
        <w:t>take action</w:t>
      </w:r>
      <w:proofErr w:type="gramEnd"/>
      <w:r w:rsidR="00451DFA" w:rsidRPr="00BC1932">
        <w:rPr>
          <w:sz w:val="22"/>
          <w:szCs w:val="22"/>
        </w:rPr>
        <w:t xml:space="preserve">, including commencing proceedings for the imposition of a </w:t>
      </w:r>
      <w:r w:rsidR="008708D0" w:rsidRPr="00BC1932">
        <w:rPr>
          <w:sz w:val="22"/>
          <w:szCs w:val="22"/>
        </w:rPr>
        <w:t>pecuniary</w:t>
      </w:r>
      <w:r w:rsidR="00451DFA" w:rsidRPr="00BC1932">
        <w:rPr>
          <w:sz w:val="22"/>
          <w:szCs w:val="22"/>
        </w:rPr>
        <w:t xml:space="preserve"> penalty</w:t>
      </w:r>
      <w:r w:rsidR="00E40331" w:rsidRPr="00BC1932">
        <w:rPr>
          <w:sz w:val="22"/>
          <w:szCs w:val="22"/>
        </w:rPr>
        <w:t xml:space="preserve"> under Part 31 of the Telecommunication</w:t>
      </w:r>
      <w:r w:rsidR="002C6FF9" w:rsidRPr="00BC1932">
        <w:rPr>
          <w:sz w:val="22"/>
          <w:szCs w:val="22"/>
        </w:rPr>
        <w:t>s</w:t>
      </w:r>
      <w:r w:rsidR="00E40331" w:rsidRPr="00BC1932">
        <w:rPr>
          <w:sz w:val="22"/>
          <w:szCs w:val="22"/>
        </w:rPr>
        <w:t xml:space="preserve"> Act</w:t>
      </w:r>
      <w:r w:rsidR="00451DFA" w:rsidRPr="00BC1932">
        <w:rPr>
          <w:sz w:val="22"/>
          <w:szCs w:val="22"/>
        </w:rPr>
        <w:t>.</w:t>
      </w:r>
    </w:p>
    <w:p w14:paraId="583D5CD9" w14:textId="77777777" w:rsidR="00451DFA" w:rsidRPr="00BC1932" w:rsidRDefault="00451DFA" w:rsidP="00451DFA">
      <w:pPr>
        <w:pStyle w:val="ACMABodyTextnumpara2"/>
        <w:tabs>
          <w:tab w:val="clear" w:pos="1440"/>
          <w:tab w:val="left" w:pos="540"/>
        </w:tabs>
        <w:spacing w:before="0" w:after="0" w:line="240" w:lineRule="atLeast"/>
        <w:ind w:left="720"/>
        <w:rPr>
          <w:sz w:val="22"/>
          <w:szCs w:val="22"/>
        </w:rPr>
      </w:pPr>
    </w:p>
    <w:p w14:paraId="5016076D" w14:textId="1F31898E" w:rsidR="00451DFA" w:rsidRPr="00BC1932" w:rsidRDefault="00451DFA" w:rsidP="00562DAC">
      <w:pPr>
        <w:pStyle w:val="ACMABodyTextnumpara2"/>
        <w:tabs>
          <w:tab w:val="clear" w:pos="1440"/>
          <w:tab w:val="left" w:pos="540"/>
        </w:tabs>
        <w:spacing w:before="0" w:after="0" w:line="240" w:lineRule="atLeast"/>
        <w:ind w:left="540" w:hanging="540"/>
        <w:rPr>
          <w:bCs/>
          <w:i/>
          <w:iCs/>
          <w:sz w:val="22"/>
          <w:szCs w:val="22"/>
        </w:rPr>
      </w:pPr>
      <w:r w:rsidRPr="00BC1932">
        <w:rPr>
          <w:bCs/>
          <w:i/>
          <w:iCs/>
          <w:sz w:val="22"/>
          <w:szCs w:val="22"/>
        </w:rPr>
        <w:lastRenderedPageBreak/>
        <w:t>Content of an infringement notice</w:t>
      </w:r>
    </w:p>
    <w:p w14:paraId="7827CB38" w14:textId="670707E3" w:rsidR="00451DFA" w:rsidRPr="00BC1932" w:rsidRDefault="006D05D2" w:rsidP="00562DAC">
      <w:pPr>
        <w:pStyle w:val="ACMABodyTextnumpara2"/>
        <w:tabs>
          <w:tab w:val="clear" w:pos="1440"/>
          <w:tab w:val="left" w:pos="540"/>
        </w:tabs>
        <w:spacing w:before="120" w:line="240" w:lineRule="atLeast"/>
        <w:ind w:left="720"/>
        <w:rPr>
          <w:sz w:val="22"/>
          <w:szCs w:val="22"/>
        </w:rPr>
      </w:pPr>
      <w:r w:rsidRPr="00BC1932">
        <w:rPr>
          <w:sz w:val="22"/>
          <w:szCs w:val="22"/>
        </w:rPr>
        <w:t>9</w:t>
      </w:r>
      <w:r w:rsidR="00B103E4" w:rsidRPr="00BC1932">
        <w:rPr>
          <w:sz w:val="22"/>
          <w:szCs w:val="22"/>
        </w:rPr>
        <w:t>.</w:t>
      </w:r>
      <w:r w:rsidR="00820DC3" w:rsidRPr="00BC1932">
        <w:rPr>
          <w:sz w:val="22"/>
          <w:szCs w:val="22"/>
        </w:rPr>
        <w:t>7</w:t>
      </w:r>
      <w:r w:rsidR="00451DFA" w:rsidRPr="00BC1932">
        <w:rPr>
          <w:sz w:val="22"/>
          <w:szCs w:val="22"/>
        </w:rPr>
        <w:tab/>
      </w:r>
      <w:r w:rsidR="00451DFA" w:rsidRPr="00BC1932">
        <w:rPr>
          <w:sz w:val="22"/>
          <w:szCs w:val="22"/>
        </w:rPr>
        <w:tab/>
        <w:t xml:space="preserve">An infringement notice issued by the ACMA under </w:t>
      </w:r>
      <w:r w:rsidR="00CF1BA6" w:rsidRPr="00BC1932">
        <w:rPr>
          <w:sz w:val="22"/>
          <w:szCs w:val="22"/>
        </w:rPr>
        <w:t>Part 31B of the Telecommunications Act</w:t>
      </w:r>
      <w:r w:rsidR="00451DFA" w:rsidRPr="00BC1932">
        <w:rPr>
          <w:sz w:val="22"/>
          <w:szCs w:val="22"/>
        </w:rPr>
        <w:t xml:space="preserve"> will, among other things:</w:t>
      </w:r>
    </w:p>
    <w:p w14:paraId="647B606B" w14:textId="3496D218" w:rsidR="008E3098" w:rsidRPr="00BC1932" w:rsidRDefault="00451DFA" w:rsidP="00562DAC">
      <w:pPr>
        <w:pStyle w:val="bulletthebluesky"/>
        <w:numPr>
          <w:ilvl w:val="0"/>
          <w:numId w:val="14"/>
        </w:numPr>
        <w:spacing w:after="120" w:line="240" w:lineRule="atLeast"/>
        <w:ind w:left="1418" w:hanging="709"/>
        <w:rPr>
          <w:sz w:val="22"/>
          <w:szCs w:val="22"/>
        </w:rPr>
      </w:pPr>
      <w:r w:rsidRPr="00BC1932">
        <w:rPr>
          <w:sz w:val="22"/>
          <w:szCs w:val="22"/>
        </w:rPr>
        <w:t xml:space="preserve">state the </w:t>
      </w:r>
      <w:r w:rsidR="008E0523" w:rsidRPr="00BC1932">
        <w:rPr>
          <w:sz w:val="22"/>
          <w:szCs w:val="22"/>
        </w:rPr>
        <w:t xml:space="preserve">name of the </w:t>
      </w:r>
      <w:r w:rsidR="008E3098" w:rsidRPr="00BC1932">
        <w:rPr>
          <w:sz w:val="22"/>
          <w:szCs w:val="22"/>
        </w:rPr>
        <w:t xml:space="preserve">person to whom the notice is </w:t>
      </w:r>
      <w:proofErr w:type="gramStart"/>
      <w:r w:rsidR="008E3098" w:rsidRPr="00BC1932">
        <w:rPr>
          <w:sz w:val="22"/>
          <w:szCs w:val="22"/>
        </w:rPr>
        <w:t>given</w:t>
      </w:r>
      <w:r w:rsidR="00CD3A88" w:rsidRPr="00BC1932">
        <w:rPr>
          <w:sz w:val="22"/>
          <w:szCs w:val="22"/>
        </w:rPr>
        <w:t>;</w:t>
      </w:r>
      <w:proofErr w:type="gramEnd"/>
    </w:p>
    <w:p w14:paraId="29AC0F64" w14:textId="1906A5DB" w:rsidR="00451DFA" w:rsidRPr="00BC1932" w:rsidRDefault="008E3098" w:rsidP="00562DAC">
      <w:pPr>
        <w:pStyle w:val="bulletthebluesky"/>
        <w:numPr>
          <w:ilvl w:val="0"/>
          <w:numId w:val="14"/>
        </w:numPr>
        <w:spacing w:after="120" w:line="240" w:lineRule="atLeast"/>
        <w:ind w:left="1418" w:hanging="709"/>
        <w:rPr>
          <w:sz w:val="22"/>
          <w:szCs w:val="22"/>
        </w:rPr>
      </w:pPr>
      <w:r w:rsidRPr="00BC1932">
        <w:rPr>
          <w:sz w:val="22"/>
          <w:szCs w:val="22"/>
        </w:rPr>
        <w:t xml:space="preserve">state the </w:t>
      </w:r>
      <w:r w:rsidR="00451DFA" w:rsidRPr="00BC1932">
        <w:rPr>
          <w:sz w:val="22"/>
          <w:szCs w:val="22"/>
        </w:rPr>
        <w:t xml:space="preserve">date on which the notice is </w:t>
      </w:r>
      <w:proofErr w:type="gramStart"/>
      <w:r w:rsidRPr="00BC1932">
        <w:rPr>
          <w:sz w:val="22"/>
          <w:szCs w:val="22"/>
        </w:rPr>
        <w:t>given</w:t>
      </w:r>
      <w:r w:rsidR="00CD3A88" w:rsidRPr="00BC1932">
        <w:rPr>
          <w:sz w:val="22"/>
          <w:szCs w:val="22"/>
        </w:rPr>
        <w:t>;</w:t>
      </w:r>
      <w:proofErr w:type="gramEnd"/>
    </w:p>
    <w:p w14:paraId="48D74678" w14:textId="2F1592CF" w:rsidR="00451DFA" w:rsidRPr="00BC1932" w:rsidRDefault="00451DFA" w:rsidP="00562DAC">
      <w:pPr>
        <w:pStyle w:val="bulletthebluesky"/>
        <w:numPr>
          <w:ilvl w:val="0"/>
          <w:numId w:val="14"/>
        </w:numPr>
        <w:spacing w:after="120" w:line="240" w:lineRule="atLeast"/>
        <w:ind w:left="1418" w:hanging="709"/>
        <w:rPr>
          <w:sz w:val="22"/>
          <w:szCs w:val="22"/>
        </w:rPr>
      </w:pPr>
      <w:r w:rsidRPr="00BC1932">
        <w:rPr>
          <w:sz w:val="22"/>
          <w:szCs w:val="22"/>
        </w:rPr>
        <w:t>set out brief details of the alleged contravention</w:t>
      </w:r>
      <w:r w:rsidR="008E3098" w:rsidRPr="00BC1932">
        <w:rPr>
          <w:sz w:val="22"/>
          <w:szCs w:val="22"/>
        </w:rPr>
        <w:t xml:space="preserve">, including the date of the alleged contravention and the civil penalty provision that was allegedly </w:t>
      </w:r>
      <w:proofErr w:type="gramStart"/>
      <w:r w:rsidR="008E3098" w:rsidRPr="00BC1932">
        <w:rPr>
          <w:sz w:val="22"/>
          <w:szCs w:val="22"/>
        </w:rPr>
        <w:t>contravened</w:t>
      </w:r>
      <w:r w:rsidR="00CD3A88" w:rsidRPr="00BC1932">
        <w:rPr>
          <w:sz w:val="22"/>
          <w:szCs w:val="22"/>
        </w:rPr>
        <w:t>;</w:t>
      </w:r>
      <w:proofErr w:type="gramEnd"/>
    </w:p>
    <w:p w14:paraId="074D0505" w14:textId="69ADD747" w:rsidR="000F56B6" w:rsidRPr="00BC1932" w:rsidRDefault="000F56B6" w:rsidP="00562DAC">
      <w:pPr>
        <w:pStyle w:val="bulletthebluesky"/>
        <w:numPr>
          <w:ilvl w:val="0"/>
          <w:numId w:val="14"/>
        </w:numPr>
        <w:spacing w:after="120" w:line="240" w:lineRule="atLeast"/>
        <w:ind w:left="1418" w:hanging="709"/>
        <w:rPr>
          <w:sz w:val="22"/>
          <w:szCs w:val="22"/>
        </w:rPr>
      </w:pPr>
      <w:r w:rsidRPr="00BC1932">
        <w:rPr>
          <w:sz w:val="22"/>
          <w:szCs w:val="22"/>
        </w:rPr>
        <w:t xml:space="preserve">if the alleged contravention of a civil penalty provision </w:t>
      </w:r>
      <w:r w:rsidR="008005B2" w:rsidRPr="00BC1932">
        <w:rPr>
          <w:sz w:val="22"/>
          <w:szCs w:val="22"/>
        </w:rPr>
        <w:t xml:space="preserve">consists of a breach of a provision of another Act or instrument – identify that provision and set out brief details of the alleged </w:t>
      </w:r>
      <w:proofErr w:type="gramStart"/>
      <w:r w:rsidR="008005B2" w:rsidRPr="00BC1932">
        <w:rPr>
          <w:sz w:val="22"/>
          <w:szCs w:val="22"/>
        </w:rPr>
        <w:t>breach</w:t>
      </w:r>
      <w:r w:rsidR="00CD3A88" w:rsidRPr="00BC1932">
        <w:rPr>
          <w:sz w:val="22"/>
          <w:szCs w:val="22"/>
        </w:rPr>
        <w:t>;</w:t>
      </w:r>
      <w:proofErr w:type="gramEnd"/>
    </w:p>
    <w:p w14:paraId="52815C54" w14:textId="4D28B4F4" w:rsidR="009377A5" w:rsidRPr="00BC1932" w:rsidRDefault="00B103E4" w:rsidP="00562DAC">
      <w:pPr>
        <w:pStyle w:val="bulletthebluesky"/>
        <w:numPr>
          <w:ilvl w:val="0"/>
          <w:numId w:val="14"/>
        </w:numPr>
        <w:spacing w:after="120" w:line="240" w:lineRule="atLeast"/>
        <w:ind w:left="1418" w:hanging="709"/>
        <w:rPr>
          <w:sz w:val="22"/>
          <w:szCs w:val="22"/>
        </w:rPr>
      </w:pPr>
      <w:r w:rsidRPr="00BC1932">
        <w:rPr>
          <w:sz w:val="22"/>
          <w:szCs w:val="22"/>
        </w:rPr>
        <w:t xml:space="preserve">state the </w:t>
      </w:r>
      <w:r w:rsidR="00417754" w:rsidRPr="00BC1932">
        <w:rPr>
          <w:sz w:val="22"/>
          <w:szCs w:val="22"/>
        </w:rPr>
        <w:t xml:space="preserve">relevant penalty units and the amount of the penalty </w:t>
      </w:r>
      <w:proofErr w:type="gramStart"/>
      <w:r w:rsidR="00417754" w:rsidRPr="00BC1932">
        <w:rPr>
          <w:sz w:val="22"/>
          <w:szCs w:val="22"/>
        </w:rPr>
        <w:t>imposed</w:t>
      </w:r>
      <w:r w:rsidR="00CD3A88" w:rsidRPr="00BC1932">
        <w:rPr>
          <w:sz w:val="22"/>
          <w:szCs w:val="22"/>
        </w:rPr>
        <w:t>;</w:t>
      </w:r>
      <w:proofErr w:type="gramEnd"/>
    </w:p>
    <w:p w14:paraId="640FDA92" w14:textId="2DB2DFA4" w:rsidR="00451DFA" w:rsidRPr="00BC1932" w:rsidRDefault="00451DFA" w:rsidP="00562DAC">
      <w:pPr>
        <w:pStyle w:val="bulletthebluesky"/>
        <w:numPr>
          <w:ilvl w:val="0"/>
          <w:numId w:val="14"/>
        </w:numPr>
        <w:spacing w:after="120" w:line="240" w:lineRule="atLeast"/>
        <w:ind w:left="1418" w:hanging="709"/>
        <w:rPr>
          <w:sz w:val="22"/>
          <w:szCs w:val="22"/>
        </w:rPr>
      </w:pPr>
      <w:r w:rsidRPr="00BC1932">
        <w:rPr>
          <w:sz w:val="22"/>
          <w:szCs w:val="22"/>
        </w:rPr>
        <w:t>set out the date by which payment is due</w:t>
      </w:r>
      <w:r w:rsidR="00946268" w:rsidRPr="00BC1932">
        <w:rPr>
          <w:sz w:val="22"/>
          <w:szCs w:val="22"/>
        </w:rPr>
        <w:t>, how the payment is to be made</w:t>
      </w:r>
      <w:r w:rsidRPr="00BC1932">
        <w:rPr>
          <w:sz w:val="22"/>
          <w:szCs w:val="22"/>
        </w:rPr>
        <w:t xml:space="preserve"> and to whom payment should be addressed (see discussion below concerning requests for extensions of time</w:t>
      </w:r>
      <w:proofErr w:type="gramStart"/>
      <w:r w:rsidRPr="00BC1932">
        <w:rPr>
          <w:sz w:val="22"/>
          <w:szCs w:val="22"/>
        </w:rPr>
        <w:t>)</w:t>
      </w:r>
      <w:r w:rsidR="00CD3A88" w:rsidRPr="00BC1932">
        <w:rPr>
          <w:sz w:val="22"/>
          <w:szCs w:val="22"/>
        </w:rPr>
        <w:t>;</w:t>
      </w:r>
      <w:proofErr w:type="gramEnd"/>
    </w:p>
    <w:p w14:paraId="4F40FA24" w14:textId="423A58BD" w:rsidR="00451DFA" w:rsidRPr="00BC1932" w:rsidRDefault="00451DFA" w:rsidP="00562DAC">
      <w:pPr>
        <w:pStyle w:val="bulletthebluesky"/>
        <w:numPr>
          <w:ilvl w:val="0"/>
          <w:numId w:val="14"/>
        </w:numPr>
        <w:spacing w:after="120" w:line="240" w:lineRule="atLeast"/>
        <w:ind w:left="1418" w:hanging="709"/>
        <w:rPr>
          <w:sz w:val="22"/>
          <w:szCs w:val="22"/>
        </w:rPr>
      </w:pPr>
      <w:r w:rsidRPr="00BC1932">
        <w:rPr>
          <w:sz w:val="22"/>
          <w:szCs w:val="22"/>
        </w:rPr>
        <w:t xml:space="preserve">state that the person to whom a notice is given has the right to request an extension of time to </w:t>
      </w:r>
      <w:proofErr w:type="gramStart"/>
      <w:r w:rsidRPr="00BC1932">
        <w:rPr>
          <w:sz w:val="22"/>
          <w:szCs w:val="22"/>
        </w:rPr>
        <w:t>pay</w:t>
      </w:r>
      <w:r w:rsidR="00CD3A88" w:rsidRPr="00BC1932">
        <w:rPr>
          <w:sz w:val="22"/>
          <w:szCs w:val="22"/>
        </w:rPr>
        <w:t>;</w:t>
      </w:r>
      <w:proofErr w:type="gramEnd"/>
    </w:p>
    <w:p w14:paraId="1B7C92E4" w14:textId="536B3369" w:rsidR="00EA09DE" w:rsidRPr="00BC1932" w:rsidRDefault="00451DFA" w:rsidP="00562DAC">
      <w:pPr>
        <w:pStyle w:val="bulletthebluesky"/>
        <w:numPr>
          <w:ilvl w:val="0"/>
          <w:numId w:val="14"/>
        </w:numPr>
        <w:spacing w:after="120" w:line="240" w:lineRule="atLeast"/>
        <w:ind w:left="1418" w:hanging="709"/>
        <w:rPr>
          <w:sz w:val="22"/>
          <w:szCs w:val="22"/>
        </w:rPr>
      </w:pPr>
      <w:r w:rsidRPr="00BC1932">
        <w:rPr>
          <w:sz w:val="22"/>
          <w:szCs w:val="22"/>
        </w:rPr>
        <w:t xml:space="preserve">state that, following payment of the penalty, further proceedings will not be taken with respect to the alleged contravention, and that the liability of the person for that alleged contravention is </w:t>
      </w:r>
      <w:proofErr w:type="gramStart"/>
      <w:r w:rsidRPr="00BC1932">
        <w:rPr>
          <w:sz w:val="22"/>
          <w:szCs w:val="22"/>
        </w:rPr>
        <w:t>discharged</w:t>
      </w:r>
      <w:r w:rsidR="00CD3A88" w:rsidRPr="00BC1932">
        <w:rPr>
          <w:sz w:val="22"/>
          <w:szCs w:val="22"/>
        </w:rPr>
        <w:t>;</w:t>
      </w:r>
      <w:proofErr w:type="gramEnd"/>
    </w:p>
    <w:p w14:paraId="2CB817E3" w14:textId="52A01A6F" w:rsidR="00451DFA" w:rsidRPr="00BC1932" w:rsidRDefault="00451DFA" w:rsidP="00562DAC">
      <w:pPr>
        <w:pStyle w:val="bulletthebluesky"/>
        <w:numPr>
          <w:ilvl w:val="0"/>
          <w:numId w:val="14"/>
        </w:numPr>
        <w:spacing w:after="120" w:line="240" w:lineRule="atLeast"/>
        <w:ind w:left="1418" w:hanging="709"/>
        <w:rPr>
          <w:sz w:val="22"/>
          <w:szCs w:val="22"/>
        </w:rPr>
      </w:pPr>
      <w:r w:rsidRPr="00BC1932">
        <w:rPr>
          <w:sz w:val="22"/>
          <w:szCs w:val="22"/>
        </w:rPr>
        <w:t>explain that the ACMA may withdraw the infringement notice within 28 days of giving the notice and</w:t>
      </w:r>
      <w:r w:rsidR="00903C30" w:rsidRPr="00BC1932">
        <w:rPr>
          <w:sz w:val="22"/>
          <w:szCs w:val="22"/>
        </w:rPr>
        <w:t xml:space="preserve"> must</w:t>
      </w:r>
      <w:r w:rsidRPr="00BC1932">
        <w:rPr>
          <w:sz w:val="22"/>
          <w:szCs w:val="22"/>
        </w:rPr>
        <w:t>, if the penalty has already been paid, refund the penalty (see discussion below concerning applications for withdrawal</w:t>
      </w:r>
      <w:proofErr w:type="gramStart"/>
      <w:r w:rsidRPr="00BC1932">
        <w:rPr>
          <w:sz w:val="22"/>
          <w:szCs w:val="22"/>
        </w:rPr>
        <w:t>)</w:t>
      </w:r>
      <w:r w:rsidR="00CD3A88" w:rsidRPr="00BC1932">
        <w:rPr>
          <w:sz w:val="22"/>
          <w:szCs w:val="22"/>
        </w:rPr>
        <w:t>;</w:t>
      </w:r>
      <w:proofErr w:type="gramEnd"/>
    </w:p>
    <w:p w14:paraId="2D7921B4" w14:textId="6927E3E0" w:rsidR="00451DFA" w:rsidRPr="00BC1932" w:rsidRDefault="00451DFA" w:rsidP="00562DAC">
      <w:pPr>
        <w:pStyle w:val="bulletthebluesky"/>
        <w:numPr>
          <w:ilvl w:val="0"/>
          <w:numId w:val="14"/>
        </w:numPr>
        <w:spacing w:line="240" w:lineRule="atLeast"/>
        <w:ind w:left="1418" w:hanging="709"/>
        <w:rPr>
          <w:sz w:val="22"/>
          <w:szCs w:val="22"/>
        </w:rPr>
      </w:pPr>
      <w:r w:rsidRPr="00BC1932">
        <w:rPr>
          <w:sz w:val="22"/>
          <w:szCs w:val="22"/>
        </w:rPr>
        <w:t xml:space="preserve">set out the name of the authorised infringement notice officer who </w:t>
      </w:r>
      <w:r w:rsidR="00D02CF3" w:rsidRPr="00BC1932">
        <w:rPr>
          <w:sz w:val="22"/>
          <w:szCs w:val="22"/>
        </w:rPr>
        <w:t>gave</w:t>
      </w:r>
      <w:r w:rsidRPr="00BC1932">
        <w:rPr>
          <w:sz w:val="22"/>
          <w:szCs w:val="22"/>
        </w:rPr>
        <w:t xml:space="preserve"> the notice and the contact details of the person to whom enquiries concerning the notice may be directed.</w:t>
      </w:r>
    </w:p>
    <w:p w14:paraId="1B0EBFBF" w14:textId="4324300E" w:rsidR="00451DFA" w:rsidRPr="00BC1932" w:rsidRDefault="00451DFA" w:rsidP="00451DFA">
      <w:pPr>
        <w:pStyle w:val="ACMABodyTextnumpara2"/>
        <w:tabs>
          <w:tab w:val="clear" w:pos="1440"/>
        </w:tabs>
        <w:spacing w:before="0" w:after="0" w:line="240" w:lineRule="atLeast"/>
        <w:ind w:left="709" w:firstLine="0"/>
        <w:rPr>
          <w:sz w:val="22"/>
          <w:szCs w:val="22"/>
        </w:rPr>
      </w:pPr>
    </w:p>
    <w:p w14:paraId="1FDED58F" w14:textId="342C854B" w:rsidR="00451DFA" w:rsidRPr="00BC1932" w:rsidRDefault="00451DFA" w:rsidP="00451DFA">
      <w:pPr>
        <w:rPr>
          <w:bCs/>
          <w:i/>
          <w:iCs/>
          <w:sz w:val="22"/>
          <w:szCs w:val="22"/>
        </w:rPr>
      </w:pPr>
      <w:r w:rsidRPr="00BC1932">
        <w:rPr>
          <w:bCs/>
          <w:i/>
          <w:iCs/>
          <w:sz w:val="22"/>
          <w:szCs w:val="22"/>
        </w:rPr>
        <w:t>Request for an extension of time in which to pay the penalty</w:t>
      </w:r>
    </w:p>
    <w:p w14:paraId="27DAF6B0" w14:textId="1D77005B" w:rsidR="00451DFA" w:rsidRPr="00BC1932" w:rsidRDefault="006D05D2" w:rsidP="00562DAC">
      <w:pPr>
        <w:tabs>
          <w:tab w:val="left" w:pos="540"/>
        </w:tabs>
        <w:spacing w:before="120"/>
        <w:ind w:left="720" w:hanging="720"/>
        <w:rPr>
          <w:sz w:val="22"/>
          <w:szCs w:val="22"/>
        </w:rPr>
      </w:pPr>
      <w:r w:rsidRPr="00BC1932">
        <w:rPr>
          <w:sz w:val="22"/>
          <w:szCs w:val="22"/>
        </w:rPr>
        <w:t>9</w:t>
      </w:r>
      <w:r w:rsidR="005A49FA" w:rsidRPr="00BC1932">
        <w:rPr>
          <w:sz w:val="22"/>
          <w:szCs w:val="22"/>
        </w:rPr>
        <w:t>.</w:t>
      </w:r>
      <w:r w:rsidR="008A15FA" w:rsidRPr="00BC1932">
        <w:rPr>
          <w:sz w:val="22"/>
          <w:szCs w:val="22"/>
        </w:rPr>
        <w:t>8</w:t>
      </w:r>
      <w:r w:rsidR="00451DFA" w:rsidRPr="00BC1932">
        <w:rPr>
          <w:sz w:val="22"/>
          <w:szCs w:val="22"/>
        </w:rPr>
        <w:t xml:space="preserve"> </w:t>
      </w:r>
      <w:r w:rsidR="00451DFA" w:rsidRPr="00BC1932">
        <w:rPr>
          <w:sz w:val="22"/>
          <w:szCs w:val="22"/>
        </w:rPr>
        <w:tab/>
      </w:r>
      <w:r w:rsidR="00451DFA" w:rsidRPr="00BC1932">
        <w:rPr>
          <w:sz w:val="22"/>
          <w:szCs w:val="22"/>
        </w:rPr>
        <w:tab/>
        <w:t>Generally, the penalty is required to be paid within 28 days after the notice is given. However, the ACMA may extend the time for payment (</w:t>
      </w:r>
      <w:r w:rsidR="00D80569" w:rsidRPr="00BC1932">
        <w:rPr>
          <w:sz w:val="22"/>
          <w:szCs w:val="22"/>
        </w:rPr>
        <w:t>paragraph</w:t>
      </w:r>
      <w:r w:rsidR="00451DFA" w:rsidRPr="00BC1932">
        <w:rPr>
          <w:sz w:val="22"/>
          <w:szCs w:val="22"/>
        </w:rPr>
        <w:t xml:space="preserve"> </w:t>
      </w:r>
      <w:r w:rsidR="00182C38" w:rsidRPr="00BC1932">
        <w:rPr>
          <w:sz w:val="22"/>
          <w:szCs w:val="22"/>
        </w:rPr>
        <w:t>572F</w:t>
      </w:r>
      <w:r w:rsidR="00D80569" w:rsidRPr="00BC1932">
        <w:rPr>
          <w:sz w:val="22"/>
          <w:szCs w:val="22"/>
        </w:rPr>
        <w:t>(1)(d)</w:t>
      </w:r>
      <w:r w:rsidR="00182C38" w:rsidRPr="00BC1932">
        <w:rPr>
          <w:sz w:val="22"/>
          <w:szCs w:val="22"/>
        </w:rPr>
        <w:t xml:space="preserve"> of the Telecommunications Act</w:t>
      </w:r>
      <w:r w:rsidR="00451DFA" w:rsidRPr="00BC1932">
        <w:rPr>
          <w:sz w:val="22"/>
          <w:szCs w:val="22"/>
        </w:rPr>
        <w:t>).</w:t>
      </w:r>
    </w:p>
    <w:p w14:paraId="16369049" w14:textId="5FF4753E" w:rsidR="00451DFA" w:rsidRPr="00BC1932" w:rsidRDefault="006D05D2" w:rsidP="00562DAC">
      <w:pPr>
        <w:tabs>
          <w:tab w:val="left" w:pos="540"/>
        </w:tabs>
        <w:spacing w:before="120"/>
        <w:ind w:left="720" w:hanging="720"/>
        <w:rPr>
          <w:sz w:val="22"/>
          <w:szCs w:val="22"/>
        </w:rPr>
      </w:pPr>
      <w:r w:rsidRPr="00BC1932">
        <w:rPr>
          <w:sz w:val="22"/>
          <w:szCs w:val="22"/>
        </w:rPr>
        <w:t>9</w:t>
      </w:r>
      <w:r w:rsidR="002168E1" w:rsidRPr="00BC1932">
        <w:rPr>
          <w:sz w:val="22"/>
          <w:szCs w:val="22"/>
        </w:rPr>
        <w:t>.</w:t>
      </w:r>
      <w:r w:rsidR="008A15FA" w:rsidRPr="00BC1932">
        <w:rPr>
          <w:sz w:val="22"/>
          <w:szCs w:val="22"/>
        </w:rPr>
        <w:t>9</w:t>
      </w:r>
      <w:r w:rsidR="0042137D" w:rsidRPr="00BC1932">
        <w:rPr>
          <w:sz w:val="22"/>
          <w:szCs w:val="22"/>
        </w:rPr>
        <w:tab/>
      </w:r>
      <w:r w:rsidR="00044E6C" w:rsidRPr="00BC1932">
        <w:rPr>
          <w:sz w:val="22"/>
          <w:szCs w:val="22"/>
        </w:rPr>
        <w:tab/>
      </w:r>
      <w:r w:rsidR="00451DFA" w:rsidRPr="00BC1932">
        <w:rPr>
          <w:sz w:val="22"/>
          <w:szCs w:val="22"/>
        </w:rPr>
        <w:t>Requests for extensions of time must be received before the due date for payment and will be considered on a case-by-case basis. Requests should be directed to the contact officer specified in the infringement notice in the first instance.</w:t>
      </w:r>
    </w:p>
    <w:p w14:paraId="464A0BE6" w14:textId="77777777" w:rsidR="00451DFA" w:rsidRPr="00BC1932" w:rsidRDefault="00451DFA" w:rsidP="00451DFA">
      <w:pPr>
        <w:tabs>
          <w:tab w:val="left" w:pos="540"/>
        </w:tabs>
        <w:rPr>
          <w:sz w:val="22"/>
          <w:szCs w:val="22"/>
        </w:rPr>
      </w:pPr>
    </w:p>
    <w:p w14:paraId="0F075637" w14:textId="5993ABCE" w:rsidR="00451DFA" w:rsidRPr="00BC1932" w:rsidRDefault="00451DFA" w:rsidP="00562DAC">
      <w:pPr>
        <w:rPr>
          <w:bCs/>
          <w:i/>
          <w:iCs/>
          <w:sz w:val="22"/>
          <w:szCs w:val="22"/>
        </w:rPr>
      </w:pPr>
      <w:r w:rsidRPr="00BC1932">
        <w:rPr>
          <w:bCs/>
          <w:i/>
          <w:iCs/>
          <w:sz w:val="22"/>
          <w:szCs w:val="22"/>
        </w:rPr>
        <w:t>Withdrawal of an infringement notice</w:t>
      </w:r>
    </w:p>
    <w:p w14:paraId="6DAC7997" w14:textId="536974D8" w:rsidR="00451DFA" w:rsidRPr="00BC1932" w:rsidRDefault="006D05D2" w:rsidP="00562DAC">
      <w:pPr>
        <w:pStyle w:val="ACMABodyText"/>
        <w:spacing w:before="120" w:after="0" w:line="240" w:lineRule="atLeast"/>
        <w:ind w:left="720" w:hanging="720"/>
        <w:rPr>
          <w:sz w:val="22"/>
          <w:szCs w:val="22"/>
        </w:rPr>
      </w:pPr>
      <w:r w:rsidRPr="00BC1932">
        <w:rPr>
          <w:sz w:val="22"/>
          <w:szCs w:val="22"/>
        </w:rPr>
        <w:t>9</w:t>
      </w:r>
      <w:r w:rsidR="002168E1" w:rsidRPr="00BC1932">
        <w:rPr>
          <w:sz w:val="22"/>
          <w:szCs w:val="22"/>
        </w:rPr>
        <w:t>.</w:t>
      </w:r>
      <w:r w:rsidR="008A15FA" w:rsidRPr="00BC1932">
        <w:rPr>
          <w:sz w:val="22"/>
          <w:szCs w:val="22"/>
        </w:rPr>
        <w:t>10</w:t>
      </w:r>
      <w:r w:rsidR="00451DFA" w:rsidRPr="00BC1932">
        <w:rPr>
          <w:sz w:val="22"/>
          <w:szCs w:val="22"/>
        </w:rPr>
        <w:t xml:space="preserve"> </w:t>
      </w:r>
      <w:r w:rsidR="00451DFA" w:rsidRPr="00BC1932">
        <w:rPr>
          <w:sz w:val="22"/>
          <w:szCs w:val="22"/>
        </w:rPr>
        <w:tab/>
      </w:r>
      <w:r w:rsidR="00D9542E" w:rsidRPr="00BC1932">
        <w:rPr>
          <w:sz w:val="22"/>
          <w:szCs w:val="22"/>
        </w:rPr>
        <w:t>A</w:t>
      </w:r>
      <w:r w:rsidR="00451DFA" w:rsidRPr="00BC1932">
        <w:rPr>
          <w:sz w:val="22"/>
          <w:szCs w:val="22"/>
        </w:rPr>
        <w:t xml:space="preserve">n infringement notice may be withdrawn by the ACMA of its own volition or following a request for withdrawal from the recipient of the notice. To be effective, the withdrawal must occur within 28 days after the notice was given (subsection </w:t>
      </w:r>
      <w:r w:rsidR="00D9542E" w:rsidRPr="00BC1932">
        <w:rPr>
          <w:sz w:val="22"/>
          <w:szCs w:val="22"/>
        </w:rPr>
        <w:t>572</w:t>
      </w:r>
      <w:proofErr w:type="gramStart"/>
      <w:r w:rsidR="008C12E4" w:rsidRPr="00BC1932">
        <w:rPr>
          <w:sz w:val="22"/>
          <w:szCs w:val="22"/>
        </w:rPr>
        <w:t>H</w:t>
      </w:r>
      <w:r w:rsidR="00D9542E" w:rsidRPr="00BC1932">
        <w:rPr>
          <w:sz w:val="22"/>
          <w:szCs w:val="22"/>
        </w:rPr>
        <w:t>(</w:t>
      </w:r>
      <w:proofErr w:type="gramEnd"/>
      <w:r w:rsidR="00D9542E" w:rsidRPr="00BC1932">
        <w:rPr>
          <w:sz w:val="22"/>
          <w:szCs w:val="22"/>
        </w:rPr>
        <w:t>3) of the Telecommunications Act</w:t>
      </w:r>
      <w:r w:rsidR="00451DFA" w:rsidRPr="00BC1932">
        <w:rPr>
          <w:sz w:val="22"/>
          <w:szCs w:val="22"/>
        </w:rPr>
        <w:t>).</w:t>
      </w:r>
      <w:r w:rsidR="00F15BBC" w:rsidRPr="00BC1932">
        <w:rPr>
          <w:sz w:val="22"/>
          <w:szCs w:val="22"/>
        </w:rPr>
        <w:t xml:space="preserve"> A</w:t>
      </w:r>
      <w:r w:rsidR="002D50E2" w:rsidRPr="00BC1932">
        <w:rPr>
          <w:sz w:val="22"/>
          <w:szCs w:val="22"/>
        </w:rPr>
        <w:t xml:space="preserve"> request for withdrawal should be made as early as possible to allo</w:t>
      </w:r>
      <w:r w:rsidR="000C223C" w:rsidRPr="00BC1932">
        <w:rPr>
          <w:sz w:val="22"/>
          <w:szCs w:val="22"/>
        </w:rPr>
        <w:t xml:space="preserve">w sufficient time for the request to be considered and a decision made </w:t>
      </w:r>
      <w:r w:rsidR="00BB3AF4" w:rsidRPr="00BC1932">
        <w:rPr>
          <w:sz w:val="22"/>
          <w:szCs w:val="22"/>
        </w:rPr>
        <w:t xml:space="preserve">within </w:t>
      </w:r>
      <w:r w:rsidR="001F55EC" w:rsidRPr="00BC1932">
        <w:rPr>
          <w:sz w:val="22"/>
          <w:szCs w:val="22"/>
        </w:rPr>
        <w:t xml:space="preserve">the </w:t>
      </w:r>
      <w:r w:rsidR="00BB3AF4" w:rsidRPr="00BC1932">
        <w:rPr>
          <w:sz w:val="22"/>
          <w:szCs w:val="22"/>
        </w:rPr>
        <w:t>28 days after the notice was given</w:t>
      </w:r>
      <w:r w:rsidR="000C223C" w:rsidRPr="00BC1932">
        <w:rPr>
          <w:sz w:val="22"/>
          <w:szCs w:val="22"/>
        </w:rPr>
        <w:t xml:space="preserve">. </w:t>
      </w:r>
    </w:p>
    <w:p w14:paraId="0CC17B3D" w14:textId="5CD8C1E3" w:rsidR="00451DFA" w:rsidRPr="00BC1932" w:rsidRDefault="006D05D2" w:rsidP="00562DAC">
      <w:pPr>
        <w:pStyle w:val="ACMABodyText"/>
        <w:spacing w:before="120" w:line="240" w:lineRule="atLeast"/>
        <w:ind w:left="720" w:hanging="720"/>
        <w:rPr>
          <w:sz w:val="22"/>
          <w:szCs w:val="22"/>
        </w:rPr>
      </w:pPr>
      <w:r w:rsidRPr="00BC1932">
        <w:rPr>
          <w:sz w:val="22"/>
          <w:szCs w:val="22"/>
        </w:rPr>
        <w:t>9</w:t>
      </w:r>
      <w:r w:rsidR="00091320" w:rsidRPr="00BC1932">
        <w:rPr>
          <w:sz w:val="22"/>
          <w:szCs w:val="22"/>
        </w:rPr>
        <w:t>.1</w:t>
      </w:r>
      <w:r w:rsidR="008A15FA" w:rsidRPr="00BC1932">
        <w:rPr>
          <w:sz w:val="22"/>
          <w:szCs w:val="22"/>
        </w:rPr>
        <w:t>1</w:t>
      </w:r>
      <w:r w:rsidR="00451DFA" w:rsidRPr="00BC1932">
        <w:rPr>
          <w:sz w:val="22"/>
          <w:szCs w:val="22"/>
        </w:rPr>
        <w:tab/>
        <w:t xml:space="preserve">Factors that may have a bearing on whether a notice should be withdrawn </w:t>
      </w:r>
      <w:r w:rsidR="00CD3A88" w:rsidRPr="00BC1932">
        <w:rPr>
          <w:sz w:val="22"/>
          <w:szCs w:val="22"/>
        </w:rPr>
        <w:t xml:space="preserve">may </w:t>
      </w:r>
      <w:r w:rsidR="00451DFA" w:rsidRPr="00BC1932">
        <w:rPr>
          <w:sz w:val="22"/>
          <w:szCs w:val="22"/>
        </w:rPr>
        <w:t>include whether there is further information or evidence which suggests that:</w:t>
      </w:r>
    </w:p>
    <w:p w14:paraId="75A17D7E" w14:textId="744D8248" w:rsidR="00451DFA" w:rsidRPr="00BC1932" w:rsidRDefault="00451DFA" w:rsidP="00562DAC">
      <w:pPr>
        <w:pStyle w:val="ACMABodyTextnumpara2"/>
        <w:numPr>
          <w:ilvl w:val="0"/>
          <w:numId w:val="15"/>
        </w:numPr>
        <w:tabs>
          <w:tab w:val="clear" w:pos="1440"/>
        </w:tabs>
        <w:spacing w:before="0" w:line="240" w:lineRule="atLeast"/>
        <w:ind w:left="1418" w:hanging="709"/>
        <w:rPr>
          <w:sz w:val="22"/>
          <w:szCs w:val="22"/>
        </w:rPr>
      </w:pPr>
      <w:r w:rsidRPr="00BC1932">
        <w:rPr>
          <w:sz w:val="22"/>
          <w:szCs w:val="22"/>
        </w:rPr>
        <w:t xml:space="preserve">the recipient of the notice did not breach the </w:t>
      </w:r>
      <w:r w:rsidR="00D9542E" w:rsidRPr="00BC1932">
        <w:rPr>
          <w:sz w:val="22"/>
          <w:szCs w:val="22"/>
        </w:rPr>
        <w:t>relevant civil penalty provision</w:t>
      </w:r>
      <w:r w:rsidR="009B29BA" w:rsidRPr="00BC1932">
        <w:rPr>
          <w:sz w:val="22"/>
          <w:szCs w:val="22"/>
        </w:rPr>
        <w:t>; or</w:t>
      </w:r>
      <w:r w:rsidR="00CA4931" w:rsidRPr="00BC1932">
        <w:rPr>
          <w:sz w:val="22"/>
          <w:szCs w:val="22"/>
        </w:rPr>
        <w:t xml:space="preserve"> </w:t>
      </w:r>
    </w:p>
    <w:p w14:paraId="4F583CAA" w14:textId="2F2D47A6" w:rsidR="00451DFA" w:rsidRPr="00BC1932" w:rsidRDefault="00451DFA" w:rsidP="00562DAC">
      <w:pPr>
        <w:pStyle w:val="ACMABodyTextnumpara2"/>
        <w:numPr>
          <w:ilvl w:val="0"/>
          <w:numId w:val="15"/>
        </w:numPr>
        <w:tabs>
          <w:tab w:val="clear" w:pos="1440"/>
        </w:tabs>
        <w:spacing w:before="0" w:after="0" w:line="240" w:lineRule="atLeast"/>
        <w:ind w:left="1418" w:hanging="709"/>
        <w:rPr>
          <w:sz w:val="22"/>
          <w:szCs w:val="22"/>
        </w:rPr>
      </w:pPr>
      <w:r w:rsidRPr="00BC1932">
        <w:rPr>
          <w:sz w:val="22"/>
          <w:szCs w:val="22"/>
        </w:rPr>
        <w:t xml:space="preserve">the conduct is more serious than initially believed and, </w:t>
      </w:r>
      <w:proofErr w:type="gramStart"/>
      <w:r w:rsidRPr="00BC1932">
        <w:rPr>
          <w:sz w:val="22"/>
          <w:szCs w:val="22"/>
        </w:rPr>
        <w:t>as a consequence</w:t>
      </w:r>
      <w:proofErr w:type="gramEnd"/>
      <w:r w:rsidRPr="00BC1932">
        <w:rPr>
          <w:sz w:val="22"/>
          <w:szCs w:val="22"/>
        </w:rPr>
        <w:t>, the matter would be more appropriately dealt with by the court.</w:t>
      </w:r>
    </w:p>
    <w:p w14:paraId="071C2332" w14:textId="77777777" w:rsidR="00451DFA" w:rsidRPr="00567604" w:rsidRDefault="00451DFA" w:rsidP="00451DFA">
      <w:pPr>
        <w:pStyle w:val="ACMABodyTextnumpara2"/>
        <w:spacing w:before="0" w:after="0" w:line="240" w:lineRule="atLeast"/>
        <w:ind w:left="720" w:firstLine="0"/>
        <w:rPr>
          <w:sz w:val="22"/>
          <w:szCs w:val="22"/>
        </w:rPr>
      </w:pPr>
    </w:p>
    <w:p w14:paraId="6B982BC1" w14:textId="5ABBA8A6" w:rsidR="00451DFA" w:rsidRPr="00BC1932" w:rsidRDefault="006D05D2" w:rsidP="00562DAC">
      <w:pPr>
        <w:spacing w:before="120"/>
        <w:ind w:left="720" w:hanging="720"/>
        <w:rPr>
          <w:sz w:val="22"/>
          <w:szCs w:val="22"/>
        </w:rPr>
      </w:pPr>
      <w:r w:rsidRPr="00BC1932">
        <w:rPr>
          <w:sz w:val="22"/>
          <w:szCs w:val="22"/>
        </w:rPr>
        <w:lastRenderedPageBreak/>
        <w:t>9</w:t>
      </w:r>
      <w:r w:rsidR="00EB4607" w:rsidRPr="00BC1932">
        <w:rPr>
          <w:sz w:val="22"/>
          <w:szCs w:val="22"/>
        </w:rPr>
        <w:t>.1</w:t>
      </w:r>
      <w:r w:rsidR="008A15FA" w:rsidRPr="00BC1932">
        <w:rPr>
          <w:sz w:val="22"/>
          <w:szCs w:val="22"/>
        </w:rPr>
        <w:t>2</w:t>
      </w:r>
      <w:r w:rsidR="00451DFA" w:rsidRPr="00BC1932">
        <w:rPr>
          <w:sz w:val="22"/>
          <w:szCs w:val="22"/>
        </w:rPr>
        <w:tab/>
      </w:r>
      <w:r w:rsidR="0042137D" w:rsidRPr="00BC1932">
        <w:rPr>
          <w:sz w:val="22"/>
          <w:szCs w:val="22"/>
        </w:rPr>
        <w:t xml:space="preserve">The decision as to who should consider an application for withdrawal of a notice will be made </w:t>
      </w:r>
      <w:proofErr w:type="gramStart"/>
      <w:r w:rsidR="0042137D" w:rsidRPr="00BC1932">
        <w:rPr>
          <w:sz w:val="22"/>
          <w:szCs w:val="22"/>
        </w:rPr>
        <w:t>in light of</w:t>
      </w:r>
      <w:proofErr w:type="gramEnd"/>
      <w:r w:rsidR="0042137D" w:rsidRPr="00BC1932">
        <w:rPr>
          <w:sz w:val="22"/>
          <w:szCs w:val="22"/>
        </w:rPr>
        <w:t xml:space="preserve"> the facts of the case including the basis/reasons for the request. </w:t>
      </w:r>
      <w:r w:rsidR="00CC321B" w:rsidRPr="00BC1932">
        <w:rPr>
          <w:sz w:val="22"/>
          <w:szCs w:val="22"/>
        </w:rPr>
        <w:t xml:space="preserve">In most cases </w:t>
      </w:r>
      <w:r w:rsidR="0042137D" w:rsidRPr="00BC1932">
        <w:rPr>
          <w:sz w:val="22"/>
          <w:szCs w:val="22"/>
        </w:rPr>
        <w:t xml:space="preserve">it will be </w:t>
      </w:r>
      <w:r w:rsidR="00451DFA" w:rsidRPr="00BC1932">
        <w:rPr>
          <w:sz w:val="22"/>
          <w:szCs w:val="22"/>
        </w:rPr>
        <w:t xml:space="preserve">the authorised infringement notice officer who gave the notice </w:t>
      </w:r>
      <w:r w:rsidR="0042137D" w:rsidRPr="00BC1932">
        <w:rPr>
          <w:sz w:val="22"/>
          <w:szCs w:val="22"/>
        </w:rPr>
        <w:t>who will</w:t>
      </w:r>
      <w:r w:rsidR="00451DFA" w:rsidRPr="00BC1932">
        <w:rPr>
          <w:sz w:val="22"/>
          <w:szCs w:val="22"/>
        </w:rPr>
        <w:t xml:space="preserve"> be best placed to consider </w:t>
      </w:r>
      <w:r w:rsidR="0042137D" w:rsidRPr="00BC1932">
        <w:rPr>
          <w:sz w:val="22"/>
          <w:szCs w:val="22"/>
        </w:rPr>
        <w:t>the request. A</w:t>
      </w:r>
      <w:r w:rsidR="00451DFA" w:rsidRPr="00BC1932">
        <w:rPr>
          <w:sz w:val="22"/>
          <w:szCs w:val="22"/>
        </w:rPr>
        <w:t xml:space="preserve">s the issuing officer, </w:t>
      </w:r>
      <w:r w:rsidR="00A27F81" w:rsidRPr="00BC1932">
        <w:rPr>
          <w:sz w:val="22"/>
          <w:szCs w:val="22"/>
        </w:rPr>
        <w:t xml:space="preserve">they </w:t>
      </w:r>
      <w:r w:rsidR="00451DFA" w:rsidRPr="00BC1932">
        <w:rPr>
          <w:sz w:val="22"/>
          <w:szCs w:val="22"/>
        </w:rPr>
        <w:t xml:space="preserve">will be aware of the factual issues and </w:t>
      </w:r>
      <w:r w:rsidR="0042137D" w:rsidRPr="00BC1932">
        <w:rPr>
          <w:sz w:val="22"/>
          <w:szCs w:val="22"/>
        </w:rPr>
        <w:t xml:space="preserve">will </w:t>
      </w:r>
      <w:r w:rsidR="00CC321B" w:rsidRPr="00BC1932">
        <w:rPr>
          <w:sz w:val="22"/>
          <w:szCs w:val="22"/>
        </w:rPr>
        <w:t xml:space="preserve">be </w:t>
      </w:r>
      <w:proofErr w:type="gramStart"/>
      <w:r w:rsidR="00CC321B" w:rsidRPr="00BC1932">
        <w:rPr>
          <w:sz w:val="22"/>
          <w:szCs w:val="22"/>
        </w:rPr>
        <w:t>in a position</w:t>
      </w:r>
      <w:proofErr w:type="gramEnd"/>
      <w:r w:rsidR="00CC321B" w:rsidRPr="00BC1932">
        <w:rPr>
          <w:sz w:val="22"/>
          <w:szCs w:val="22"/>
        </w:rPr>
        <w:t xml:space="preserve"> to </w:t>
      </w:r>
      <w:r w:rsidR="00451DFA" w:rsidRPr="00BC1932">
        <w:rPr>
          <w:sz w:val="22"/>
          <w:szCs w:val="22"/>
        </w:rPr>
        <w:t>make an informed decision</w:t>
      </w:r>
      <w:r w:rsidR="0042137D" w:rsidRPr="00BC1932">
        <w:rPr>
          <w:sz w:val="22"/>
          <w:szCs w:val="22"/>
        </w:rPr>
        <w:t xml:space="preserve"> within </w:t>
      </w:r>
      <w:r w:rsidR="00CA4931" w:rsidRPr="00BC1932">
        <w:rPr>
          <w:sz w:val="22"/>
          <w:szCs w:val="22"/>
        </w:rPr>
        <w:t xml:space="preserve">the </w:t>
      </w:r>
      <w:r w:rsidR="0042137D" w:rsidRPr="00BC1932">
        <w:rPr>
          <w:sz w:val="22"/>
          <w:szCs w:val="22"/>
        </w:rPr>
        <w:t>28 days</w:t>
      </w:r>
      <w:r w:rsidR="00451DFA" w:rsidRPr="00BC1932">
        <w:rPr>
          <w:sz w:val="22"/>
          <w:szCs w:val="22"/>
        </w:rPr>
        <w:t xml:space="preserve">, taking into account the reasons for the request and any new information or </w:t>
      </w:r>
      <w:r w:rsidR="0042137D" w:rsidRPr="00BC1932">
        <w:rPr>
          <w:sz w:val="22"/>
          <w:szCs w:val="22"/>
        </w:rPr>
        <w:t>facts presented</w:t>
      </w:r>
      <w:r w:rsidR="00451DFA" w:rsidRPr="00BC1932">
        <w:rPr>
          <w:sz w:val="22"/>
          <w:szCs w:val="22"/>
        </w:rPr>
        <w:t xml:space="preserve">, </w:t>
      </w:r>
      <w:r w:rsidR="0042137D" w:rsidRPr="00BC1932">
        <w:rPr>
          <w:sz w:val="22"/>
          <w:szCs w:val="22"/>
        </w:rPr>
        <w:t xml:space="preserve">as to whether the information presented alters </w:t>
      </w:r>
      <w:r w:rsidR="00CA4931" w:rsidRPr="00BC1932">
        <w:rPr>
          <w:sz w:val="22"/>
          <w:szCs w:val="22"/>
        </w:rPr>
        <w:t>their</w:t>
      </w:r>
      <w:r w:rsidR="0042137D" w:rsidRPr="00BC1932">
        <w:rPr>
          <w:sz w:val="22"/>
          <w:szCs w:val="22"/>
        </w:rPr>
        <w:t xml:space="preserve"> belief that the person has contravened the relevant </w:t>
      </w:r>
      <w:r w:rsidR="00C833FA" w:rsidRPr="00BC1932">
        <w:rPr>
          <w:sz w:val="22"/>
          <w:szCs w:val="22"/>
        </w:rPr>
        <w:t>civil penalty</w:t>
      </w:r>
      <w:r w:rsidR="0042137D" w:rsidRPr="00BC1932">
        <w:rPr>
          <w:sz w:val="22"/>
          <w:szCs w:val="22"/>
        </w:rPr>
        <w:t xml:space="preserve"> provision</w:t>
      </w:r>
      <w:r w:rsidR="00451DFA" w:rsidRPr="00BC1932">
        <w:rPr>
          <w:sz w:val="22"/>
          <w:szCs w:val="22"/>
        </w:rPr>
        <w:t>.</w:t>
      </w:r>
    </w:p>
    <w:p w14:paraId="47D36B52" w14:textId="4F46CF6E" w:rsidR="00451DFA" w:rsidRPr="00BC1932" w:rsidRDefault="006D05D2" w:rsidP="00562DAC">
      <w:pPr>
        <w:spacing w:before="120"/>
        <w:ind w:left="720" w:hanging="720"/>
        <w:rPr>
          <w:sz w:val="22"/>
          <w:szCs w:val="22"/>
        </w:rPr>
      </w:pPr>
      <w:r w:rsidRPr="00BC1932">
        <w:rPr>
          <w:sz w:val="22"/>
          <w:szCs w:val="22"/>
        </w:rPr>
        <w:t>9</w:t>
      </w:r>
      <w:r w:rsidR="009A310F" w:rsidRPr="00BC1932">
        <w:rPr>
          <w:sz w:val="22"/>
          <w:szCs w:val="22"/>
        </w:rPr>
        <w:t>.1</w:t>
      </w:r>
      <w:r w:rsidR="00A76E64" w:rsidRPr="00BC1932">
        <w:rPr>
          <w:sz w:val="22"/>
          <w:szCs w:val="22"/>
        </w:rPr>
        <w:t>3</w:t>
      </w:r>
      <w:r w:rsidR="00451DFA" w:rsidRPr="00BC1932">
        <w:rPr>
          <w:sz w:val="22"/>
          <w:szCs w:val="22"/>
        </w:rPr>
        <w:tab/>
        <w:t xml:space="preserve">Requests for withdrawal should therefore be directed </w:t>
      </w:r>
      <w:r w:rsidR="009A310F" w:rsidRPr="00BC1932">
        <w:rPr>
          <w:sz w:val="22"/>
          <w:szCs w:val="22"/>
        </w:rPr>
        <w:t>in the first instance to the authorised infringement notice officer named in the notice</w:t>
      </w:r>
      <w:r w:rsidR="00451DFA" w:rsidRPr="00BC1932">
        <w:rPr>
          <w:sz w:val="22"/>
          <w:szCs w:val="22"/>
        </w:rPr>
        <w:t>.</w:t>
      </w:r>
    </w:p>
    <w:p w14:paraId="14C90B53" w14:textId="4DED7FED" w:rsidR="00451DFA" w:rsidRPr="00BC1932" w:rsidRDefault="00451DFA" w:rsidP="00451DFA">
      <w:pPr>
        <w:rPr>
          <w:sz w:val="22"/>
          <w:szCs w:val="22"/>
        </w:rPr>
      </w:pPr>
    </w:p>
    <w:p w14:paraId="219F759A" w14:textId="77D205E0" w:rsidR="00451DFA" w:rsidRPr="00BC1932" w:rsidRDefault="00451DFA" w:rsidP="00562DAC">
      <w:pPr>
        <w:rPr>
          <w:bCs/>
          <w:i/>
          <w:iCs/>
          <w:sz w:val="22"/>
          <w:szCs w:val="22"/>
        </w:rPr>
      </w:pPr>
      <w:r w:rsidRPr="00BC1932">
        <w:rPr>
          <w:bCs/>
          <w:i/>
          <w:iCs/>
          <w:sz w:val="22"/>
          <w:szCs w:val="22"/>
        </w:rPr>
        <w:t xml:space="preserve">Effect of withdrawal of an infringement notice </w:t>
      </w:r>
    </w:p>
    <w:p w14:paraId="3602B1D0" w14:textId="626A06E4" w:rsidR="00451DFA" w:rsidRPr="00BC1932" w:rsidRDefault="006D05D2" w:rsidP="00562DAC">
      <w:pPr>
        <w:spacing w:before="120"/>
        <w:ind w:left="720" w:hanging="720"/>
        <w:rPr>
          <w:sz w:val="22"/>
          <w:szCs w:val="22"/>
        </w:rPr>
      </w:pPr>
      <w:r w:rsidRPr="00BC1932">
        <w:rPr>
          <w:sz w:val="22"/>
          <w:szCs w:val="22"/>
        </w:rPr>
        <w:t>9</w:t>
      </w:r>
      <w:r w:rsidR="009A310F" w:rsidRPr="00BC1932">
        <w:rPr>
          <w:sz w:val="22"/>
          <w:szCs w:val="22"/>
        </w:rPr>
        <w:t>.1</w:t>
      </w:r>
      <w:r w:rsidR="00D64DF8" w:rsidRPr="00BC1932">
        <w:rPr>
          <w:sz w:val="22"/>
          <w:szCs w:val="22"/>
        </w:rPr>
        <w:t>4</w:t>
      </w:r>
      <w:r w:rsidR="00451DFA" w:rsidRPr="00BC1932">
        <w:rPr>
          <w:sz w:val="22"/>
          <w:szCs w:val="22"/>
        </w:rPr>
        <w:tab/>
        <w:t>If the infringement notice is withdrawn after payment of the penalty, the penalty paid will be refunded.</w:t>
      </w:r>
    </w:p>
    <w:p w14:paraId="206C5B18" w14:textId="0903F1A8" w:rsidR="00451DFA" w:rsidRPr="00BC1932" w:rsidRDefault="006D05D2" w:rsidP="00562DAC">
      <w:pPr>
        <w:pStyle w:val="ACMABodyText"/>
        <w:spacing w:before="120" w:after="0" w:line="240" w:lineRule="atLeast"/>
        <w:ind w:left="720" w:hanging="720"/>
        <w:rPr>
          <w:sz w:val="22"/>
          <w:szCs w:val="22"/>
        </w:rPr>
      </w:pPr>
      <w:r w:rsidRPr="00BC1932">
        <w:rPr>
          <w:sz w:val="22"/>
          <w:szCs w:val="22"/>
        </w:rPr>
        <w:t>9</w:t>
      </w:r>
      <w:r w:rsidR="009A310F" w:rsidRPr="00BC1932">
        <w:rPr>
          <w:sz w:val="22"/>
          <w:szCs w:val="22"/>
        </w:rPr>
        <w:t>.1</w:t>
      </w:r>
      <w:r w:rsidR="005E642D" w:rsidRPr="00BC1932">
        <w:rPr>
          <w:sz w:val="22"/>
          <w:szCs w:val="22"/>
        </w:rPr>
        <w:t>5</w:t>
      </w:r>
      <w:r w:rsidR="00451DFA" w:rsidRPr="00BC1932">
        <w:rPr>
          <w:sz w:val="22"/>
          <w:szCs w:val="22"/>
        </w:rPr>
        <w:tab/>
        <w:t xml:space="preserve">If an infringement notice is withdrawn, the ACMA will consider whether further action is appropriate. That action may include the institution of civil penalty proceedings </w:t>
      </w:r>
      <w:r w:rsidR="007532D1" w:rsidRPr="00BC1932">
        <w:rPr>
          <w:sz w:val="22"/>
          <w:szCs w:val="22"/>
        </w:rPr>
        <w:t>with respect to the alleged contravention or contraventions that were the subject of the infringement notice (subparagraph 572K(b)(iii) of the Telecommunications Act</w:t>
      </w:r>
      <w:r w:rsidR="00451DFA" w:rsidRPr="00BC1932">
        <w:rPr>
          <w:sz w:val="22"/>
          <w:szCs w:val="22"/>
        </w:rPr>
        <w:t>). What further action is appropriate, if any, will turn on the facts of the case.</w:t>
      </w:r>
    </w:p>
    <w:p w14:paraId="77EF7C16" w14:textId="77777777" w:rsidR="00451DFA" w:rsidRPr="00BC1932" w:rsidRDefault="00451DFA" w:rsidP="00451DFA">
      <w:pPr>
        <w:pStyle w:val="ACMABodyText"/>
        <w:spacing w:before="0" w:after="0" w:line="240" w:lineRule="atLeast"/>
        <w:ind w:left="720" w:hanging="720"/>
        <w:rPr>
          <w:sz w:val="22"/>
          <w:szCs w:val="22"/>
        </w:rPr>
      </w:pPr>
    </w:p>
    <w:p w14:paraId="5624A735" w14:textId="1F50FB28" w:rsidR="00451DFA" w:rsidRPr="00BC1932" w:rsidRDefault="00451DFA" w:rsidP="00562DAC">
      <w:pPr>
        <w:pStyle w:val="ACMABodyText"/>
        <w:spacing w:before="0" w:after="0" w:line="240" w:lineRule="atLeast"/>
        <w:ind w:left="720" w:hanging="720"/>
        <w:rPr>
          <w:bCs/>
          <w:i/>
          <w:iCs/>
          <w:sz w:val="22"/>
          <w:szCs w:val="22"/>
        </w:rPr>
      </w:pPr>
      <w:r w:rsidRPr="00BC1932">
        <w:rPr>
          <w:bCs/>
          <w:i/>
          <w:iCs/>
          <w:sz w:val="22"/>
          <w:szCs w:val="22"/>
        </w:rPr>
        <w:t xml:space="preserve">Publication  </w:t>
      </w:r>
    </w:p>
    <w:p w14:paraId="572F7C76" w14:textId="46CF6C34" w:rsidR="00451DFA" w:rsidRPr="00BC1932" w:rsidRDefault="006D05D2" w:rsidP="00562DAC">
      <w:pPr>
        <w:pStyle w:val="ACMABodyText"/>
        <w:spacing w:before="120" w:line="240" w:lineRule="atLeast"/>
        <w:ind w:left="720" w:hanging="720"/>
        <w:rPr>
          <w:sz w:val="22"/>
          <w:szCs w:val="22"/>
        </w:rPr>
      </w:pPr>
      <w:r w:rsidRPr="00BC1932">
        <w:rPr>
          <w:sz w:val="22"/>
          <w:szCs w:val="22"/>
        </w:rPr>
        <w:t>9</w:t>
      </w:r>
      <w:r w:rsidR="007532D1" w:rsidRPr="00BC1932">
        <w:rPr>
          <w:sz w:val="22"/>
          <w:szCs w:val="22"/>
        </w:rPr>
        <w:t>.1</w:t>
      </w:r>
      <w:r w:rsidR="00B833C3" w:rsidRPr="00BC1932">
        <w:rPr>
          <w:sz w:val="22"/>
          <w:szCs w:val="22"/>
        </w:rPr>
        <w:t>6</w:t>
      </w:r>
      <w:r w:rsidR="00451DFA" w:rsidRPr="00BC1932">
        <w:rPr>
          <w:sz w:val="22"/>
          <w:szCs w:val="22"/>
        </w:rPr>
        <w:tab/>
        <w:t xml:space="preserve">The ACMA’s </w:t>
      </w:r>
      <w:r w:rsidR="00404550" w:rsidRPr="00BC1932">
        <w:rPr>
          <w:sz w:val="22"/>
          <w:szCs w:val="22"/>
        </w:rPr>
        <w:t xml:space="preserve">general </w:t>
      </w:r>
      <w:r w:rsidR="00451DFA" w:rsidRPr="00BC1932">
        <w:rPr>
          <w:sz w:val="22"/>
          <w:szCs w:val="22"/>
        </w:rPr>
        <w:t xml:space="preserve">approach to publication of infringement notices given under </w:t>
      </w:r>
      <w:r w:rsidR="00115294" w:rsidRPr="00BC1932">
        <w:rPr>
          <w:sz w:val="22"/>
          <w:szCs w:val="22"/>
        </w:rPr>
        <w:t>Part 31B of the Telecommunications Act</w:t>
      </w:r>
      <w:r w:rsidR="00451DFA" w:rsidRPr="00BC1932">
        <w:rPr>
          <w:sz w:val="22"/>
          <w:szCs w:val="22"/>
        </w:rPr>
        <w:t xml:space="preserve"> is</w:t>
      </w:r>
      <w:r w:rsidR="009C4C33" w:rsidRPr="00BC1932">
        <w:rPr>
          <w:sz w:val="22"/>
          <w:szCs w:val="22"/>
        </w:rPr>
        <w:t>:</w:t>
      </w:r>
    </w:p>
    <w:p w14:paraId="0D24E0E5" w14:textId="0292F77D" w:rsidR="008F1027" w:rsidRPr="00BC1932" w:rsidRDefault="00E65C33" w:rsidP="00562DAC">
      <w:pPr>
        <w:pStyle w:val="ACMABodyText"/>
        <w:numPr>
          <w:ilvl w:val="0"/>
          <w:numId w:val="16"/>
        </w:numPr>
        <w:tabs>
          <w:tab w:val="clear" w:pos="1080"/>
        </w:tabs>
        <w:spacing w:before="0" w:line="240" w:lineRule="atLeast"/>
        <w:ind w:left="1418" w:hanging="698"/>
        <w:rPr>
          <w:sz w:val="22"/>
          <w:szCs w:val="22"/>
        </w:rPr>
      </w:pPr>
      <w:r w:rsidRPr="00BC1932">
        <w:rPr>
          <w:sz w:val="22"/>
          <w:szCs w:val="22"/>
        </w:rPr>
        <w:t xml:space="preserve">it will not publicise the </w:t>
      </w:r>
      <w:r w:rsidR="00451DFA" w:rsidRPr="00BC1932">
        <w:rPr>
          <w:sz w:val="22"/>
          <w:szCs w:val="22"/>
        </w:rPr>
        <w:t>giv</w:t>
      </w:r>
      <w:r w:rsidR="00A65755" w:rsidRPr="00BC1932">
        <w:rPr>
          <w:sz w:val="22"/>
          <w:szCs w:val="22"/>
        </w:rPr>
        <w:t xml:space="preserve">ing of the infringement notice </w:t>
      </w:r>
      <w:r w:rsidR="00451DFA" w:rsidRPr="00BC1932">
        <w:rPr>
          <w:sz w:val="22"/>
          <w:szCs w:val="22"/>
        </w:rPr>
        <w:t xml:space="preserve">to an identified </w:t>
      </w:r>
      <w:proofErr w:type="gramStart"/>
      <w:r w:rsidR="00451DFA" w:rsidRPr="00BC1932">
        <w:rPr>
          <w:sz w:val="22"/>
          <w:szCs w:val="22"/>
        </w:rPr>
        <w:t>person</w:t>
      </w:r>
      <w:r w:rsidR="00CD3A88" w:rsidRPr="00BC1932">
        <w:rPr>
          <w:sz w:val="22"/>
          <w:szCs w:val="22"/>
        </w:rPr>
        <w:t>;</w:t>
      </w:r>
      <w:proofErr w:type="gramEnd"/>
      <w:r w:rsidR="00F45F4F" w:rsidRPr="00BC1932">
        <w:rPr>
          <w:sz w:val="22"/>
          <w:szCs w:val="22"/>
        </w:rPr>
        <w:t xml:space="preserve"> </w:t>
      </w:r>
    </w:p>
    <w:p w14:paraId="56F15DFC" w14:textId="51EE97C6" w:rsidR="00221978" w:rsidRPr="00BC1932" w:rsidRDefault="00EF3073" w:rsidP="00562DAC">
      <w:pPr>
        <w:pStyle w:val="ACMABodyText"/>
        <w:numPr>
          <w:ilvl w:val="0"/>
          <w:numId w:val="16"/>
        </w:numPr>
        <w:tabs>
          <w:tab w:val="clear" w:pos="1080"/>
        </w:tabs>
        <w:spacing w:before="0" w:line="240" w:lineRule="atLeast"/>
        <w:ind w:left="1418" w:hanging="698"/>
        <w:rPr>
          <w:sz w:val="22"/>
          <w:szCs w:val="22"/>
        </w:rPr>
      </w:pPr>
      <w:r w:rsidRPr="00BC1932">
        <w:rPr>
          <w:sz w:val="22"/>
          <w:szCs w:val="22"/>
        </w:rPr>
        <w:t xml:space="preserve">it will not publicise </w:t>
      </w:r>
      <w:r w:rsidR="001E0756" w:rsidRPr="00BC1932">
        <w:rPr>
          <w:sz w:val="22"/>
          <w:szCs w:val="22"/>
        </w:rPr>
        <w:t xml:space="preserve">that </w:t>
      </w:r>
      <w:r w:rsidR="00451DFA" w:rsidRPr="00BC1932">
        <w:rPr>
          <w:sz w:val="22"/>
          <w:szCs w:val="22"/>
        </w:rPr>
        <w:t xml:space="preserve">an identified person </w:t>
      </w:r>
      <w:r w:rsidR="001E0756" w:rsidRPr="00BC1932">
        <w:rPr>
          <w:sz w:val="22"/>
          <w:szCs w:val="22"/>
        </w:rPr>
        <w:t xml:space="preserve">did </w:t>
      </w:r>
      <w:r w:rsidR="00451DFA" w:rsidRPr="00BC1932">
        <w:rPr>
          <w:sz w:val="22"/>
          <w:szCs w:val="22"/>
        </w:rPr>
        <w:t xml:space="preserve">not </w:t>
      </w:r>
      <w:r w:rsidR="00C2153C" w:rsidRPr="00BC1932">
        <w:rPr>
          <w:sz w:val="22"/>
          <w:szCs w:val="22"/>
        </w:rPr>
        <w:t>pa</w:t>
      </w:r>
      <w:r w:rsidR="001E0756" w:rsidRPr="00BC1932">
        <w:rPr>
          <w:sz w:val="22"/>
          <w:szCs w:val="22"/>
        </w:rPr>
        <w:t>y</w:t>
      </w:r>
      <w:r w:rsidR="00C2153C" w:rsidRPr="00BC1932">
        <w:rPr>
          <w:sz w:val="22"/>
          <w:szCs w:val="22"/>
        </w:rPr>
        <w:t xml:space="preserve"> the </w:t>
      </w:r>
      <w:r w:rsidR="00221978" w:rsidRPr="00BC1932">
        <w:rPr>
          <w:sz w:val="22"/>
          <w:szCs w:val="22"/>
        </w:rPr>
        <w:t>penalty</w:t>
      </w:r>
      <w:r w:rsidR="00760E90" w:rsidRPr="00BC1932">
        <w:rPr>
          <w:sz w:val="22"/>
          <w:szCs w:val="22"/>
        </w:rPr>
        <w:t xml:space="preserve"> specified in the infringement </w:t>
      </w:r>
      <w:proofErr w:type="gramStart"/>
      <w:r w:rsidR="00760E90" w:rsidRPr="00BC1932">
        <w:rPr>
          <w:sz w:val="22"/>
          <w:szCs w:val="22"/>
        </w:rPr>
        <w:t>notice</w:t>
      </w:r>
      <w:r w:rsidR="007D1D8D" w:rsidRPr="00BC1932">
        <w:rPr>
          <w:sz w:val="22"/>
          <w:szCs w:val="22"/>
        </w:rPr>
        <w:t>;</w:t>
      </w:r>
      <w:proofErr w:type="gramEnd"/>
    </w:p>
    <w:p w14:paraId="29FA6CCA" w14:textId="616B114F" w:rsidR="00451DFA" w:rsidRPr="00BC1932" w:rsidRDefault="00286534" w:rsidP="00562DAC">
      <w:pPr>
        <w:pStyle w:val="ACMABodyText"/>
        <w:numPr>
          <w:ilvl w:val="0"/>
          <w:numId w:val="16"/>
        </w:numPr>
        <w:tabs>
          <w:tab w:val="clear" w:pos="1080"/>
        </w:tabs>
        <w:spacing w:before="0" w:after="0" w:line="240" w:lineRule="atLeast"/>
        <w:ind w:left="1418" w:hanging="698"/>
        <w:rPr>
          <w:sz w:val="22"/>
          <w:szCs w:val="22"/>
        </w:rPr>
      </w:pPr>
      <w:r w:rsidRPr="00BC1932">
        <w:rPr>
          <w:sz w:val="22"/>
          <w:szCs w:val="22"/>
        </w:rPr>
        <w:t xml:space="preserve">it will </w:t>
      </w:r>
      <w:r w:rsidR="005A64D6" w:rsidRPr="00BC1932">
        <w:rPr>
          <w:sz w:val="22"/>
          <w:szCs w:val="22"/>
        </w:rPr>
        <w:t xml:space="preserve">publicise </w:t>
      </w:r>
      <w:r w:rsidR="00AA7DB7" w:rsidRPr="00BC1932">
        <w:rPr>
          <w:sz w:val="22"/>
          <w:szCs w:val="22"/>
        </w:rPr>
        <w:t>an outcome where a person has paid the penalty specified in an infringement notice given by the ACMA</w:t>
      </w:r>
      <w:r w:rsidR="00A85A57" w:rsidRPr="00BC1932">
        <w:rPr>
          <w:rStyle w:val="FootnoteReference"/>
          <w:sz w:val="22"/>
          <w:szCs w:val="22"/>
        </w:rPr>
        <w:footnoteReference w:id="2"/>
      </w:r>
      <w:r w:rsidR="002900D6" w:rsidRPr="00BC1932">
        <w:rPr>
          <w:sz w:val="22"/>
          <w:szCs w:val="22"/>
        </w:rPr>
        <w:t>.</w:t>
      </w:r>
    </w:p>
    <w:p w14:paraId="119ED415" w14:textId="50B241F3" w:rsidR="004E51F9" w:rsidRPr="00BC1932" w:rsidRDefault="006D05D2" w:rsidP="00562DAC">
      <w:pPr>
        <w:pStyle w:val="ACMABodyText"/>
        <w:spacing w:before="120" w:line="240" w:lineRule="atLeast"/>
        <w:ind w:left="720" w:hanging="720"/>
        <w:rPr>
          <w:sz w:val="22"/>
          <w:szCs w:val="22"/>
        </w:rPr>
      </w:pPr>
      <w:r w:rsidRPr="00BC1932">
        <w:rPr>
          <w:sz w:val="22"/>
          <w:szCs w:val="22"/>
        </w:rPr>
        <w:t>9</w:t>
      </w:r>
      <w:r w:rsidR="001A3424" w:rsidRPr="00BC1932">
        <w:rPr>
          <w:sz w:val="22"/>
          <w:szCs w:val="22"/>
        </w:rPr>
        <w:t>.1</w:t>
      </w:r>
      <w:r w:rsidR="00B833C3" w:rsidRPr="00BC1932">
        <w:rPr>
          <w:sz w:val="22"/>
          <w:szCs w:val="22"/>
        </w:rPr>
        <w:t>7</w:t>
      </w:r>
      <w:r w:rsidR="001A3424" w:rsidRPr="00BC1932">
        <w:rPr>
          <w:sz w:val="22"/>
          <w:szCs w:val="22"/>
        </w:rPr>
        <w:t xml:space="preserve"> </w:t>
      </w:r>
      <w:r w:rsidR="001A3424" w:rsidRPr="00BC1932">
        <w:rPr>
          <w:sz w:val="22"/>
          <w:szCs w:val="22"/>
        </w:rPr>
        <w:tab/>
      </w:r>
      <w:r w:rsidR="004E51F9" w:rsidRPr="00BC1932">
        <w:rPr>
          <w:sz w:val="22"/>
          <w:szCs w:val="22"/>
        </w:rPr>
        <w:t>In the ACMA’s view, publication of the fact that an identified person has paid the penalty specified in an infringement notice may have an educative and deterrent effect.</w:t>
      </w:r>
    </w:p>
    <w:p w14:paraId="575A3EB6" w14:textId="29EE26ED" w:rsidR="00745543" w:rsidRPr="00BC1932" w:rsidRDefault="006D05D2" w:rsidP="00562DAC">
      <w:pPr>
        <w:pStyle w:val="ACMABodyText"/>
        <w:spacing w:before="0" w:after="0" w:line="240" w:lineRule="atLeast"/>
        <w:ind w:left="720" w:hanging="720"/>
        <w:rPr>
          <w:sz w:val="22"/>
          <w:szCs w:val="22"/>
        </w:rPr>
      </w:pPr>
      <w:r w:rsidRPr="00BC1932">
        <w:rPr>
          <w:sz w:val="22"/>
          <w:szCs w:val="22"/>
        </w:rPr>
        <w:t>9</w:t>
      </w:r>
      <w:r w:rsidR="001A3424" w:rsidRPr="00BC1932">
        <w:rPr>
          <w:sz w:val="22"/>
          <w:szCs w:val="22"/>
        </w:rPr>
        <w:t>.1</w:t>
      </w:r>
      <w:r w:rsidR="00B833C3" w:rsidRPr="00BC1932">
        <w:rPr>
          <w:sz w:val="22"/>
          <w:szCs w:val="22"/>
        </w:rPr>
        <w:t>8</w:t>
      </w:r>
      <w:r w:rsidR="001A3424" w:rsidRPr="00BC1932">
        <w:rPr>
          <w:sz w:val="22"/>
          <w:szCs w:val="22"/>
        </w:rPr>
        <w:tab/>
      </w:r>
      <w:r w:rsidR="00745543" w:rsidRPr="00BC1932">
        <w:rPr>
          <w:sz w:val="22"/>
          <w:szCs w:val="22"/>
        </w:rPr>
        <w:t xml:space="preserve">In determining whether publication should occur, the ACMA considers a </w:t>
      </w:r>
      <w:r w:rsidR="00E555F4" w:rsidRPr="00BC1932">
        <w:rPr>
          <w:sz w:val="22"/>
          <w:szCs w:val="22"/>
        </w:rPr>
        <w:t>r</w:t>
      </w:r>
      <w:r w:rsidR="00745543" w:rsidRPr="00BC1932">
        <w:rPr>
          <w:sz w:val="22"/>
          <w:szCs w:val="22"/>
        </w:rPr>
        <w:t>ange of factors including:</w:t>
      </w:r>
    </w:p>
    <w:p w14:paraId="68AE6642" w14:textId="5B2D179A" w:rsidR="00745543" w:rsidRPr="00BC1932" w:rsidRDefault="00745543" w:rsidP="00562DAC">
      <w:pPr>
        <w:pStyle w:val="ACMABodyText"/>
        <w:numPr>
          <w:ilvl w:val="1"/>
          <w:numId w:val="21"/>
        </w:numPr>
        <w:spacing w:before="120" w:line="240" w:lineRule="atLeast"/>
        <w:ind w:left="1418" w:hanging="709"/>
        <w:rPr>
          <w:sz w:val="22"/>
          <w:szCs w:val="22"/>
        </w:rPr>
      </w:pPr>
      <w:r w:rsidRPr="00BC1932">
        <w:rPr>
          <w:sz w:val="22"/>
          <w:szCs w:val="22"/>
        </w:rPr>
        <w:t xml:space="preserve">the seriousness and significance of the </w:t>
      </w:r>
      <w:proofErr w:type="gramStart"/>
      <w:r w:rsidRPr="00BC1932">
        <w:rPr>
          <w:sz w:val="22"/>
          <w:szCs w:val="22"/>
        </w:rPr>
        <w:t>contravention</w:t>
      </w:r>
      <w:r w:rsidR="00CD3A88" w:rsidRPr="00BC1932">
        <w:rPr>
          <w:sz w:val="22"/>
          <w:szCs w:val="22"/>
        </w:rPr>
        <w:t>;</w:t>
      </w:r>
      <w:proofErr w:type="gramEnd"/>
    </w:p>
    <w:p w14:paraId="502066C3" w14:textId="6BEF5AB1" w:rsidR="00745543" w:rsidRPr="00BC1932" w:rsidRDefault="001F7932" w:rsidP="00562DAC">
      <w:pPr>
        <w:pStyle w:val="ACMABodyText"/>
        <w:numPr>
          <w:ilvl w:val="1"/>
          <w:numId w:val="21"/>
        </w:numPr>
        <w:spacing w:before="0" w:line="240" w:lineRule="atLeast"/>
        <w:ind w:left="1418" w:hanging="709"/>
        <w:rPr>
          <w:sz w:val="22"/>
          <w:szCs w:val="22"/>
        </w:rPr>
      </w:pPr>
      <w:r w:rsidRPr="00BC1932">
        <w:rPr>
          <w:sz w:val="22"/>
          <w:szCs w:val="22"/>
        </w:rPr>
        <w:t xml:space="preserve">whether the conduct resulting in the infringement notice raised novel </w:t>
      </w:r>
      <w:proofErr w:type="gramStart"/>
      <w:r w:rsidRPr="00BC1932">
        <w:rPr>
          <w:sz w:val="22"/>
          <w:szCs w:val="22"/>
        </w:rPr>
        <w:t>issues</w:t>
      </w:r>
      <w:r w:rsidR="00CD3A88" w:rsidRPr="00BC1932">
        <w:rPr>
          <w:sz w:val="22"/>
          <w:szCs w:val="22"/>
        </w:rPr>
        <w:t>;</w:t>
      </w:r>
      <w:proofErr w:type="gramEnd"/>
    </w:p>
    <w:p w14:paraId="12AF4A26" w14:textId="2A7172FB" w:rsidR="001F7932" w:rsidRPr="00BC1932" w:rsidRDefault="001F7932" w:rsidP="00562DAC">
      <w:pPr>
        <w:pStyle w:val="ACMABodyText"/>
        <w:numPr>
          <w:ilvl w:val="1"/>
          <w:numId w:val="21"/>
        </w:numPr>
        <w:spacing w:before="0" w:line="240" w:lineRule="atLeast"/>
        <w:ind w:left="1418" w:hanging="709"/>
        <w:rPr>
          <w:sz w:val="22"/>
          <w:szCs w:val="22"/>
        </w:rPr>
      </w:pPr>
      <w:r w:rsidRPr="00BC1932">
        <w:rPr>
          <w:sz w:val="22"/>
          <w:szCs w:val="22"/>
        </w:rPr>
        <w:t>whether the conduct res</w:t>
      </w:r>
      <w:r w:rsidR="00CB2E83" w:rsidRPr="00BC1932">
        <w:rPr>
          <w:sz w:val="22"/>
          <w:szCs w:val="22"/>
        </w:rPr>
        <w:t>ulting in the infringement notice has identified systematic or industry-wide issues.</w:t>
      </w:r>
    </w:p>
    <w:p w14:paraId="072C4965" w14:textId="78986D9B" w:rsidR="00451DFA" w:rsidRPr="00567604" w:rsidRDefault="006D05D2" w:rsidP="00FA4B4D">
      <w:pPr>
        <w:pStyle w:val="ACMABodyText"/>
        <w:spacing w:before="0" w:line="240" w:lineRule="atLeast"/>
        <w:ind w:left="720" w:hanging="720"/>
        <w:rPr>
          <w:sz w:val="22"/>
          <w:szCs w:val="22"/>
        </w:rPr>
      </w:pPr>
      <w:r w:rsidRPr="00BC1932">
        <w:rPr>
          <w:sz w:val="22"/>
          <w:szCs w:val="22"/>
        </w:rPr>
        <w:t>9</w:t>
      </w:r>
      <w:r w:rsidR="00FA4B4D" w:rsidRPr="00BC1932">
        <w:rPr>
          <w:sz w:val="22"/>
          <w:szCs w:val="22"/>
        </w:rPr>
        <w:t>.1</w:t>
      </w:r>
      <w:r w:rsidR="00B833C3" w:rsidRPr="00BC1932">
        <w:rPr>
          <w:sz w:val="22"/>
          <w:szCs w:val="22"/>
        </w:rPr>
        <w:t>9</w:t>
      </w:r>
      <w:r w:rsidR="00FA4B4D" w:rsidRPr="00BC1932">
        <w:rPr>
          <w:sz w:val="22"/>
          <w:szCs w:val="22"/>
        </w:rPr>
        <w:tab/>
      </w:r>
      <w:r w:rsidR="00451DFA" w:rsidRPr="00BC1932">
        <w:rPr>
          <w:sz w:val="22"/>
          <w:szCs w:val="22"/>
        </w:rPr>
        <w:t xml:space="preserve">The ACMA may also </w:t>
      </w:r>
      <w:r w:rsidR="00301851" w:rsidRPr="00BC1932">
        <w:rPr>
          <w:sz w:val="22"/>
          <w:szCs w:val="22"/>
        </w:rPr>
        <w:t xml:space="preserve">publish </w:t>
      </w:r>
      <w:r w:rsidR="00C4425C" w:rsidRPr="00BC1932">
        <w:rPr>
          <w:sz w:val="22"/>
          <w:szCs w:val="22"/>
        </w:rPr>
        <w:t>aggregated information from time to time concerning the giving of, and compliance with, infringement notices given under Part 31B of the Telecommunications Act, without identification of the recipients of the notices</w:t>
      </w:r>
      <w:r w:rsidR="00BE3BBB" w:rsidRPr="00BC1932">
        <w:rPr>
          <w:rStyle w:val="DefaultChar"/>
          <w:sz w:val="22"/>
          <w:szCs w:val="22"/>
        </w:rPr>
        <w:t>.</w:t>
      </w:r>
      <w:r w:rsidR="00BE3BBB" w:rsidRPr="00567604">
        <w:rPr>
          <w:rStyle w:val="DefaultChar"/>
          <w:sz w:val="22"/>
          <w:szCs w:val="22"/>
        </w:rPr>
        <w:t xml:space="preserve"> </w:t>
      </w:r>
    </w:p>
    <w:sectPr w:rsidR="00451DFA" w:rsidRPr="00567604" w:rsidSect="00ED22EE">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0116" w14:textId="77777777" w:rsidR="0007052D" w:rsidRDefault="0007052D" w:rsidP="001F3FB7">
      <w:r>
        <w:separator/>
      </w:r>
    </w:p>
  </w:endnote>
  <w:endnote w:type="continuationSeparator" w:id="0">
    <w:p w14:paraId="5AC941A7" w14:textId="77777777" w:rsidR="0007052D" w:rsidRDefault="0007052D" w:rsidP="001F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810E" w14:textId="64545011" w:rsidR="00F9060E" w:rsidRPr="00A42BEF" w:rsidRDefault="00A36E9D" w:rsidP="00310E6C">
    <w:pPr>
      <w:pStyle w:val="Footer"/>
      <w:jc w:val="center"/>
    </w:pPr>
    <w:r>
      <w:rPr>
        <w:rFonts w:asciiTheme="majorHAnsi" w:hAnsiTheme="majorHAnsi" w:cstheme="majorHAnsi"/>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2DEA" w14:textId="77777777" w:rsidR="006F5D77" w:rsidRPr="008F47AA" w:rsidRDefault="006F5D77" w:rsidP="006F5D77">
    <w:pPr>
      <w:pStyle w:val="Footer"/>
      <w:pBdr>
        <w:top w:val="single" w:sz="4" w:space="1" w:color="auto"/>
      </w:pBdr>
      <w:jc w:val="center"/>
      <w:rPr>
        <w:i/>
        <w:iCs/>
        <w:sz w:val="20"/>
        <w:szCs w:val="20"/>
      </w:rPr>
    </w:pPr>
    <w:r w:rsidRPr="008F47AA">
      <w:rPr>
        <w:i/>
        <w:iCs/>
        <w:sz w:val="20"/>
        <w:szCs w:val="20"/>
      </w:rPr>
      <w:t>Telecommunications (Infringement Notices) Guidelines 2022</w:t>
    </w:r>
  </w:p>
  <w:p w14:paraId="65AB1CD7" w14:textId="1429E471" w:rsidR="00ED22EE" w:rsidRPr="008F47AA" w:rsidRDefault="006F5D77" w:rsidP="006F5D77">
    <w:pPr>
      <w:pStyle w:val="Footer"/>
      <w:pBdr>
        <w:top w:val="single" w:sz="4" w:space="1" w:color="auto"/>
      </w:pBdr>
      <w:jc w:val="right"/>
      <w:rPr>
        <w:sz w:val="20"/>
        <w:szCs w:val="20"/>
      </w:rPr>
    </w:pPr>
    <w:r w:rsidRPr="008F47AA">
      <w:rPr>
        <w:sz w:val="20"/>
        <w:szCs w:val="20"/>
      </w:rPr>
      <w:fldChar w:fldCharType="begin"/>
    </w:r>
    <w:r w:rsidRPr="008F47AA">
      <w:rPr>
        <w:sz w:val="20"/>
        <w:szCs w:val="20"/>
      </w:rPr>
      <w:instrText xml:space="preserve"> PAGE   \* MERGEFORMAT </w:instrText>
    </w:r>
    <w:r w:rsidRPr="008F47AA">
      <w:rPr>
        <w:sz w:val="20"/>
        <w:szCs w:val="20"/>
      </w:rPr>
      <w:fldChar w:fldCharType="separate"/>
    </w:r>
    <w:r w:rsidRPr="008F47AA">
      <w:rPr>
        <w:sz w:val="20"/>
        <w:szCs w:val="20"/>
      </w:rPr>
      <w:t>3</w:t>
    </w:r>
    <w:r w:rsidRPr="008F47AA">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F2F1" w14:textId="3728BB95" w:rsidR="00773FE5" w:rsidRPr="003C6642" w:rsidRDefault="009F48E5" w:rsidP="00C62C36">
    <w:pPr>
      <w:pStyle w:val="Footer"/>
      <w:pBdr>
        <w:top w:val="single" w:sz="4" w:space="1" w:color="auto"/>
      </w:pBdr>
      <w:jc w:val="center"/>
      <w:rPr>
        <w:i/>
        <w:iCs/>
        <w:sz w:val="20"/>
        <w:szCs w:val="20"/>
      </w:rPr>
    </w:pPr>
    <w:r w:rsidRPr="003C6642">
      <w:rPr>
        <w:i/>
        <w:iCs/>
        <w:sz w:val="20"/>
        <w:szCs w:val="20"/>
      </w:rPr>
      <w:t>Telecommunications (Infringement Notices) Guidelines 202</w:t>
    </w:r>
    <w:r w:rsidR="00236028" w:rsidRPr="003C6642">
      <w:rPr>
        <w:i/>
        <w:iCs/>
        <w:sz w:val="20"/>
        <w:szCs w:val="20"/>
      </w:rPr>
      <w:t>2</w:t>
    </w:r>
  </w:p>
  <w:p w14:paraId="30B1224A" w14:textId="259353B2" w:rsidR="00C62C36" w:rsidRPr="003C6642" w:rsidRDefault="00C62C36" w:rsidP="00C62C36">
    <w:pPr>
      <w:pStyle w:val="Footer"/>
      <w:pBdr>
        <w:top w:val="single" w:sz="4" w:space="1" w:color="auto"/>
      </w:pBdr>
      <w:jc w:val="right"/>
      <w:rPr>
        <w:sz w:val="20"/>
        <w:szCs w:val="20"/>
      </w:rPr>
    </w:pPr>
    <w:r w:rsidRPr="003C6642">
      <w:rPr>
        <w:sz w:val="20"/>
        <w:szCs w:val="20"/>
      </w:rPr>
      <w:fldChar w:fldCharType="begin"/>
    </w:r>
    <w:r w:rsidRPr="003C6642">
      <w:rPr>
        <w:sz w:val="20"/>
        <w:szCs w:val="20"/>
      </w:rPr>
      <w:instrText xml:space="preserve"> PAGE   \* MERGEFORMAT </w:instrText>
    </w:r>
    <w:r w:rsidRPr="003C6642">
      <w:rPr>
        <w:sz w:val="20"/>
        <w:szCs w:val="20"/>
      </w:rPr>
      <w:fldChar w:fldCharType="separate"/>
    </w:r>
    <w:r w:rsidRPr="003C6642">
      <w:rPr>
        <w:noProof/>
        <w:sz w:val="20"/>
        <w:szCs w:val="20"/>
      </w:rPr>
      <w:t>1</w:t>
    </w:r>
    <w:r w:rsidRPr="003C664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A2C8" w14:textId="77777777" w:rsidR="0007052D" w:rsidRDefault="0007052D" w:rsidP="001F3FB7">
      <w:r>
        <w:separator/>
      </w:r>
    </w:p>
  </w:footnote>
  <w:footnote w:type="continuationSeparator" w:id="0">
    <w:p w14:paraId="53CA0C3D" w14:textId="77777777" w:rsidR="0007052D" w:rsidRDefault="0007052D" w:rsidP="001F3FB7">
      <w:r>
        <w:continuationSeparator/>
      </w:r>
    </w:p>
  </w:footnote>
  <w:footnote w:id="1">
    <w:p w14:paraId="4EF440DA" w14:textId="68FC6B3C" w:rsidR="008F551D" w:rsidRDefault="008F551D">
      <w:pPr>
        <w:pStyle w:val="FootnoteText"/>
      </w:pPr>
      <w:r>
        <w:rPr>
          <w:rStyle w:val="FootnoteReference"/>
        </w:rPr>
        <w:footnoteRef/>
      </w:r>
      <w:r>
        <w:t xml:space="preserve"> </w:t>
      </w:r>
      <w:r w:rsidRPr="00A51575">
        <w:rPr>
          <w:sz w:val="20"/>
        </w:rPr>
        <w:t xml:space="preserve">As at the date these </w:t>
      </w:r>
      <w:r w:rsidR="00B558EE">
        <w:rPr>
          <w:sz w:val="20"/>
        </w:rPr>
        <w:t>g</w:t>
      </w:r>
      <w:r w:rsidRPr="00A51575">
        <w:rPr>
          <w:sz w:val="20"/>
        </w:rPr>
        <w:t>uidelines were made that instrument made for the purposes of s</w:t>
      </w:r>
      <w:r w:rsidR="00592A83" w:rsidRPr="00A51575">
        <w:rPr>
          <w:sz w:val="20"/>
        </w:rPr>
        <w:t>ubs</w:t>
      </w:r>
      <w:r w:rsidRPr="00A51575">
        <w:rPr>
          <w:sz w:val="20"/>
        </w:rPr>
        <w:t xml:space="preserve">ection </w:t>
      </w:r>
      <w:r w:rsidR="00592A83" w:rsidRPr="00A51575">
        <w:rPr>
          <w:sz w:val="20"/>
        </w:rPr>
        <w:t>572</w:t>
      </w:r>
      <w:r w:rsidR="00FA24DC">
        <w:rPr>
          <w:sz w:val="20"/>
        </w:rPr>
        <w:t>E</w:t>
      </w:r>
      <w:r w:rsidR="00592A83" w:rsidRPr="00A51575">
        <w:rPr>
          <w:sz w:val="20"/>
        </w:rPr>
        <w:t>(7)</w:t>
      </w:r>
      <w:r w:rsidR="00DD606D">
        <w:rPr>
          <w:sz w:val="20"/>
        </w:rPr>
        <w:t xml:space="preserve"> of the Telecommunications Act</w:t>
      </w:r>
      <w:r w:rsidRPr="00A51575">
        <w:rPr>
          <w:sz w:val="20"/>
        </w:rPr>
        <w:t xml:space="preserve"> was the </w:t>
      </w:r>
      <w:r w:rsidR="00340317" w:rsidRPr="00A51575">
        <w:rPr>
          <w:i/>
          <w:iCs/>
          <w:sz w:val="20"/>
        </w:rPr>
        <w:t xml:space="preserve">Telecommunications (Listed </w:t>
      </w:r>
      <w:r w:rsidR="00877A7C">
        <w:rPr>
          <w:i/>
          <w:iCs/>
          <w:sz w:val="20"/>
        </w:rPr>
        <w:t>I</w:t>
      </w:r>
      <w:r w:rsidR="00340317" w:rsidRPr="00A51575">
        <w:rPr>
          <w:i/>
          <w:iCs/>
          <w:sz w:val="20"/>
        </w:rPr>
        <w:t>nfringement Notice Provisions) Declaration 2011</w:t>
      </w:r>
      <w:r w:rsidR="00F10981">
        <w:rPr>
          <w:i/>
          <w:iCs/>
          <w:sz w:val="20"/>
        </w:rPr>
        <w:t>.</w:t>
      </w:r>
    </w:p>
  </w:footnote>
  <w:footnote w:id="2">
    <w:p w14:paraId="1D4F9473" w14:textId="5AE28D94" w:rsidR="00A85A57" w:rsidRDefault="00A85A57">
      <w:pPr>
        <w:pStyle w:val="FootnoteText"/>
      </w:pPr>
      <w:r w:rsidRPr="00E97014">
        <w:rPr>
          <w:rStyle w:val="FootnoteReference"/>
        </w:rPr>
        <w:footnoteRef/>
      </w:r>
      <w:r w:rsidRPr="00E97014">
        <w:t xml:space="preserve"> </w:t>
      </w:r>
      <w:r w:rsidRPr="00E97014">
        <w:rPr>
          <w:sz w:val="20"/>
        </w:rPr>
        <w:t xml:space="preserve">See also </w:t>
      </w:r>
      <w:r w:rsidR="002500CB" w:rsidRPr="00E97014">
        <w:rPr>
          <w:sz w:val="20"/>
        </w:rPr>
        <w:t>the ACMA Regulatory guide – No.6 – Publication of investigations and enforcement actions</w:t>
      </w:r>
      <w:r w:rsidR="00052718" w:rsidRPr="00E97014">
        <w:rPr>
          <w:sz w:val="20"/>
        </w:rPr>
        <w:t xml:space="preserve"> available at:</w:t>
      </w:r>
      <w:r w:rsidR="002500CB" w:rsidRPr="00E97014">
        <w:rPr>
          <w:sz w:val="20"/>
        </w:rPr>
        <w:t xml:space="preserve"> </w:t>
      </w:r>
      <w:hyperlink r:id="rId1" w:history="1">
        <w:r w:rsidR="00052718" w:rsidRPr="00E97014">
          <w:rPr>
            <w:rStyle w:val="Hyperlink"/>
            <w:sz w:val="20"/>
          </w:rPr>
          <w:t>https://www.acma.gov.au/regulatory-guides</w:t>
        </w:r>
      </w:hyperlink>
      <w:r w:rsidR="0005271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320284"/>
      <w:docPartObj>
        <w:docPartGallery w:val="Watermarks"/>
        <w:docPartUnique/>
      </w:docPartObj>
    </w:sdtPr>
    <w:sdtEndPr/>
    <w:sdtContent>
      <w:p w14:paraId="3BA2EAE1" w14:textId="188DB8B9" w:rsidR="00FB6F3C" w:rsidRDefault="0016085F">
        <w:pPr>
          <w:pStyle w:val="Header"/>
        </w:pPr>
        <w:r>
          <w:rPr>
            <w:noProof/>
          </w:rPr>
          <w:pict w14:anchorId="4B555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4E1C" w14:textId="56BCFE22" w:rsidR="00D54B38" w:rsidRPr="003C6642" w:rsidRDefault="00D54B38" w:rsidP="00D54B38">
    <w:pPr>
      <w:pStyle w:val="Header"/>
      <w:pBdr>
        <w:bottom w:val="single" w:sz="4" w:space="1" w:color="auto"/>
      </w:pBdr>
      <w:rPr>
        <w:sz w:val="20"/>
        <w:szCs w:val="20"/>
        <w:lang w:val="en-US"/>
      </w:rPr>
    </w:pPr>
    <w:r w:rsidRPr="003C6642">
      <w:rPr>
        <w:sz w:val="20"/>
        <w:szCs w:val="20"/>
        <w:lang w:val="en-US"/>
      </w:rPr>
      <w:t xml:space="preserve">Section </w:t>
    </w:r>
    <w:r w:rsidRPr="003C6642">
      <w:rPr>
        <w:sz w:val="20"/>
        <w:szCs w:val="20"/>
        <w:lang w:val="en-US"/>
      </w:rPr>
      <w:fldChar w:fldCharType="begin"/>
    </w:r>
    <w:r w:rsidRPr="003C6642">
      <w:rPr>
        <w:sz w:val="20"/>
        <w:szCs w:val="20"/>
        <w:lang w:val="en-US"/>
      </w:rPr>
      <w:instrText xml:space="preserve"> STYLEREF  CharSectno  \* MERGEFORMAT </w:instrText>
    </w:r>
    <w:r w:rsidRPr="003C6642">
      <w:rPr>
        <w:sz w:val="20"/>
        <w:szCs w:val="20"/>
        <w:lang w:val="en-US"/>
      </w:rPr>
      <w:fldChar w:fldCharType="separate"/>
    </w:r>
    <w:r w:rsidR="0016085F">
      <w:rPr>
        <w:noProof/>
        <w:sz w:val="20"/>
        <w:szCs w:val="20"/>
        <w:lang w:val="en-US"/>
      </w:rPr>
      <w:t>9</w:t>
    </w:r>
    <w:r w:rsidRPr="003C6642">
      <w:rPr>
        <w:sz w:val="20"/>
        <w:szCs w:val="20"/>
        <w:lang w:val="en-US"/>
      </w:rPr>
      <w:fldChar w:fldCharType="end"/>
    </w:r>
  </w:p>
  <w:p w14:paraId="4299DD10" w14:textId="77777777" w:rsidR="00440724" w:rsidRDefault="00440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D895" w14:textId="6248316B" w:rsidR="006F5D77" w:rsidRPr="003C6642" w:rsidRDefault="006F5D77" w:rsidP="00440724">
    <w:pPr>
      <w:pStyle w:val="Header"/>
      <w:pBdr>
        <w:bottom w:val="single" w:sz="4" w:space="1" w:color="auto"/>
      </w:pBdr>
      <w:rPr>
        <w:sz w:val="20"/>
        <w:szCs w:val="20"/>
        <w:lang w:val="en-US"/>
      </w:rPr>
    </w:pPr>
    <w:r w:rsidRPr="003C6642">
      <w:rPr>
        <w:sz w:val="20"/>
        <w:szCs w:val="20"/>
        <w:lang w:val="en-US"/>
      </w:rPr>
      <w:t xml:space="preserve">Section </w:t>
    </w:r>
    <w:r w:rsidRPr="003C6642">
      <w:rPr>
        <w:sz w:val="20"/>
        <w:szCs w:val="20"/>
        <w:lang w:val="en-US"/>
      </w:rPr>
      <w:fldChar w:fldCharType="begin"/>
    </w:r>
    <w:r w:rsidRPr="003C6642">
      <w:rPr>
        <w:sz w:val="20"/>
        <w:szCs w:val="20"/>
        <w:lang w:val="en-US"/>
      </w:rPr>
      <w:instrText xml:space="preserve"> STYLEREF  CharSectno  \* MERGEFORMAT </w:instrText>
    </w:r>
    <w:r w:rsidRPr="003C6642">
      <w:rPr>
        <w:sz w:val="20"/>
        <w:szCs w:val="20"/>
        <w:lang w:val="en-US"/>
      </w:rPr>
      <w:fldChar w:fldCharType="separate"/>
    </w:r>
    <w:r w:rsidR="0016085F">
      <w:rPr>
        <w:noProof/>
        <w:sz w:val="20"/>
        <w:szCs w:val="20"/>
        <w:lang w:val="en-US"/>
      </w:rPr>
      <w:t>1</w:t>
    </w:r>
    <w:r w:rsidRPr="003C6642">
      <w:rPr>
        <w:sz w:val="20"/>
        <w:szCs w:val="2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563"/>
    <w:multiLevelType w:val="hybridMultilevel"/>
    <w:tmpl w:val="25881F10"/>
    <w:lvl w:ilvl="0" w:tplc="604CD0CE">
      <w:start w:val="1"/>
      <w:numFmt w:val="bullet"/>
      <w:lvlText w:val=""/>
      <w:lvlJc w:val="left"/>
      <w:pPr>
        <w:tabs>
          <w:tab w:val="num" w:pos="-30966"/>
        </w:tabs>
        <w:ind w:left="1071" w:hanging="357"/>
      </w:pPr>
      <w:rPr>
        <w:rFonts w:ascii="Symbol" w:hAnsi="Symbol" w:hint="default"/>
      </w:rPr>
    </w:lvl>
    <w:lvl w:ilvl="1" w:tplc="04090003" w:tentative="1">
      <w:start w:val="1"/>
      <w:numFmt w:val="bullet"/>
      <w:lvlText w:val="o"/>
      <w:lvlJc w:val="left"/>
      <w:pPr>
        <w:tabs>
          <w:tab w:val="num" w:pos="2442"/>
        </w:tabs>
        <w:ind w:left="2442" w:hanging="360"/>
      </w:pPr>
      <w:rPr>
        <w:rFonts w:ascii="Courier New" w:hAnsi="Courier New" w:hint="default"/>
      </w:rPr>
    </w:lvl>
    <w:lvl w:ilvl="2" w:tplc="04090005" w:tentative="1">
      <w:start w:val="1"/>
      <w:numFmt w:val="bullet"/>
      <w:lvlText w:val=""/>
      <w:lvlJc w:val="left"/>
      <w:pPr>
        <w:tabs>
          <w:tab w:val="num" w:pos="3162"/>
        </w:tabs>
        <w:ind w:left="3162" w:hanging="360"/>
      </w:pPr>
      <w:rPr>
        <w:rFonts w:ascii="Wingdings" w:hAnsi="Wingdings" w:hint="default"/>
      </w:rPr>
    </w:lvl>
    <w:lvl w:ilvl="3" w:tplc="04090001" w:tentative="1">
      <w:start w:val="1"/>
      <w:numFmt w:val="bullet"/>
      <w:lvlText w:val=""/>
      <w:lvlJc w:val="left"/>
      <w:pPr>
        <w:tabs>
          <w:tab w:val="num" w:pos="3882"/>
        </w:tabs>
        <w:ind w:left="3882" w:hanging="360"/>
      </w:pPr>
      <w:rPr>
        <w:rFonts w:ascii="Symbol" w:hAnsi="Symbol" w:hint="default"/>
      </w:rPr>
    </w:lvl>
    <w:lvl w:ilvl="4" w:tplc="04090003" w:tentative="1">
      <w:start w:val="1"/>
      <w:numFmt w:val="bullet"/>
      <w:lvlText w:val="o"/>
      <w:lvlJc w:val="left"/>
      <w:pPr>
        <w:tabs>
          <w:tab w:val="num" w:pos="4602"/>
        </w:tabs>
        <w:ind w:left="4602" w:hanging="360"/>
      </w:pPr>
      <w:rPr>
        <w:rFonts w:ascii="Courier New" w:hAnsi="Courier New" w:hint="default"/>
      </w:rPr>
    </w:lvl>
    <w:lvl w:ilvl="5" w:tplc="04090005" w:tentative="1">
      <w:start w:val="1"/>
      <w:numFmt w:val="bullet"/>
      <w:lvlText w:val=""/>
      <w:lvlJc w:val="left"/>
      <w:pPr>
        <w:tabs>
          <w:tab w:val="num" w:pos="5322"/>
        </w:tabs>
        <w:ind w:left="5322" w:hanging="360"/>
      </w:pPr>
      <w:rPr>
        <w:rFonts w:ascii="Wingdings" w:hAnsi="Wingdings" w:hint="default"/>
      </w:rPr>
    </w:lvl>
    <w:lvl w:ilvl="6" w:tplc="04090001" w:tentative="1">
      <w:start w:val="1"/>
      <w:numFmt w:val="bullet"/>
      <w:lvlText w:val=""/>
      <w:lvlJc w:val="left"/>
      <w:pPr>
        <w:tabs>
          <w:tab w:val="num" w:pos="6042"/>
        </w:tabs>
        <w:ind w:left="6042" w:hanging="360"/>
      </w:pPr>
      <w:rPr>
        <w:rFonts w:ascii="Symbol" w:hAnsi="Symbol" w:hint="default"/>
      </w:rPr>
    </w:lvl>
    <w:lvl w:ilvl="7" w:tplc="04090003" w:tentative="1">
      <w:start w:val="1"/>
      <w:numFmt w:val="bullet"/>
      <w:lvlText w:val="o"/>
      <w:lvlJc w:val="left"/>
      <w:pPr>
        <w:tabs>
          <w:tab w:val="num" w:pos="6762"/>
        </w:tabs>
        <w:ind w:left="6762" w:hanging="360"/>
      </w:pPr>
      <w:rPr>
        <w:rFonts w:ascii="Courier New" w:hAnsi="Courier New" w:hint="default"/>
      </w:rPr>
    </w:lvl>
    <w:lvl w:ilvl="8" w:tplc="04090005" w:tentative="1">
      <w:start w:val="1"/>
      <w:numFmt w:val="bullet"/>
      <w:lvlText w:val=""/>
      <w:lvlJc w:val="left"/>
      <w:pPr>
        <w:tabs>
          <w:tab w:val="num" w:pos="7482"/>
        </w:tabs>
        <w:ind w:left="7482" w:hanging="360"/>
      </w:pPr>
      <w:rPr>
        <w:rFonts w:ascii="Wingdings" w:hAnsi="Wingdings" w:hint="default"/>
      </w:rPr>
    </w:lvl>
  </w:abstractNum>
  <w:abstractNum w:abstractNumId="1" w15:restartNumberingAfterBreak="0">
    <w:nsid w:val="080B4407"/>
    <w:multiLevelType w:val="multilevel"/>
    <w:tmpl w:val="7FE63940"/>
    <w:lvl w:ilvl="0">
      <w:start w:val="1"/>
      <w:numFmt w:val="decimal"/>
      <w:lvlText w:val="%1"/>
      <w:lvlJc w:val="left"/>
      <w:pPr>
        <w:ind w:left="1288" w:hanging="720"/>
      </w:pPr>
      <w:rPr>
        <w:rFonts w:hint="default"/>
      </w:rPr>
    </w:lvl>
    <w:lvl w:ilvl="1">
      <w:start w:val="1"/>
      <w:numFmt w:val="lowerLetter"/>
      <w:lvlText w:val="(%2)"/>
      <w:lvlJc w:val="left"/>
      <w:pPr>
        <w:ind w:left="1288" w:hanging="720"/>
      </w:pPr>
      <w:rPr>
        <w:rFonts w:ascii="Times New Roman" w:eastAsia="Times New Roman" w:hAnsi="Times New Roman" w:cs="Times New Roman"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149831CA"/>
    <w:multiLevelType w:val="hybridMultilevel"/>
    <w:tmpl w:val="7B562246"/>
    <w:lvl w:ilvl="0" w:tplc="604CD0CE">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8A81D5F"/>
    <w:multiLevelType w:val="hybridMultilevel"/>
    <w:tmpl w:val="C47ECF1E"/>
    <w:lvl w:ilvl="0" w:tplc="6924032C">
      <w:start w:val="1"/>
      <w:numFmt w:val="bullet"/>
      <w:pStyle w:val="ACMAHeading1"/>
      <w:lvlText w:val=""/>
      <w:lvlJc w:val="left"/>
      <w:pPr>
        <w:tabs>
          <w:tab w:val="num" w:pos="-31680"/>
        </w:tabs>
        <w:ind w:left="709" w:hanging="352"/>
      </w:pPr>
      <w:rPr>
        <w:rFonts w:ascii="Symbol" w:hAnsi="Symbol" w:hint="default"/>
        <w:sz w:val="22"/>
        <w:effect w:val="none"/>
      </w:rPr>
    </w:lvl>
    <w:lvl w:ilvl="1" w:tplc="0C090001">
      <w:start w:val="1"/>
      <w:numFmt w:val="bullet"/>
      <w:lvlText w:val=""/>
      <w:lvlJc w:val="left"/>
      <w:pPr>
        <w:tabs>
          <w:tab w:val="num" w:pos="1440"/>
        </w:tabs>
        <w:ind w:left="1440" w:hanging="360"/>
      </w:pPr>
      <w:rPr>
        <w:rFonts w:ascii="Symbol" w:hAnsi="Symbol" w:hint="default"/>
        <w:sz w:val="22"/>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503AE"/>
    <w:multiLevelType w:val="hybridMultilevel"/>
    <w:tmpl w:val="B0043E5A"/>
    <w:lvl w:ilvl="0" w:tplc="E62243DC">
      <w:start w:val="1"/>
      <w:numFmt w:val="bullet"/>
      <w:lvlText w:val="&gt;"/>
      <w:lvlJc w:val="left"/>
      <w:pPr>
        <w:ind w:left="1440" w:hanging="360"/>
      </w:pPr>
      <w:rPr>
        <w:rFonts w:ascii="HelveticaNeueLT Std Lt" w:hAnsi="HelveticaNeueLT Std Lt" w:hint="default"/>
        <w:sz w:val="2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0D9532D"/>
    <w:multiLevelType w:val="hybridMultilevel"/>
    <w:tmpl w:val="A154B8B2"/>
    <w:lvl w:ilvl="0" w:tplc="1F86BF3E">
      <w:start w:val="1"/>
      <w:numFmt w:val="bullet"/>
      <w:lvlRestart w:val="0"/>
      <w:pStyle w:val="bulletthebluesky"/>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64A54"/>
    <w:multiLevelType w:val="hybridMultilevel"/>
    <w:tmpl w:val="5CAA6F2C"/>
    <w:lvl w:ilvl="0" w:tplc="604CD0C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5B1F10"/>
    <w:multiLevelType w:val="hybridMultilevel"/>
    <w:tmpl w:val="9686FE88"/>
    <w:lvl w:ilvl="0" w:tplc="E62243DC">
      <w:start w:val="1"/>
      <w:numFmt w:val="bullet"/>
      <w:lvlText w:val="&gt;"/>
      <w:lvlJc w:val="left"/>
      <w:pPr>
        <w:ind w:left="927" w:hanging="360"/>
      </w:pPr>
      <w:rPr>
        <w:rFonts w:ascii="HelveticaNeueLT Std Lt" w:hAnsi="HelveticaNeueLT Std Lt" w:hint="default"/>
        <w:sz w:val="20"/>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2F5A5080"/>
    <w:multiLevelType w:val="hybridMultilevel"/>
    <w:tmpl w:val="32ECDDDA"/>
    <w:lvl w:ilvl="0" w:tplc="72F81E86">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2FC41BFE"/>
    <w:multiLevelType w:val="hybridMultilevel"/>
    <w:tmpl w:val="DDAA7B64"/>
    <w:lvl w:ilvl="0" w:tplc="42147CCA">
      <w:start w:val="1"/>
      <w:numFmt w:val="lowerLetter"/>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C606E0D"/>
    <w:multiLevelType w:val="hybridMultilevel"/>
    <w:tmpl w:val="42620614"/>
    <w:lvl w:ilvl="0" w:tplc="A3D47AE6">
      <w:start w:val="1"/>
      <w:numFmt w:val="lowerLetter"/>
      <w:lvlText w:val="(%1)"/>
      <w:lvlJc w:val="left"/>
      <w:pPr>
        <w:tabs>
          <w:tab w:val="num" w:pos="1072"/>
        </w:tabs>
        <w:ind w:left="1072" w:hanging="363"/>
      </w:pPr>
      <w:rPr>
        <w:rFonts w:ascii="Times New Roman" w:eastAsia="Times New Roman" w:hAnsi="Times New Roman" w:cs="Times New Roman" w:hint="default"/>
      </w:rPr>
    </w:lvl>
    <w:lvl w:ilvl="1" w:tplc="0C090003" w:tentative="1">
      <w:start w:val="1"/>
      <w:numFmt w:val="bullet"/>
      <w:lvlText w:val="o"/>
      <w:lvlJc w:val="left"/>
      <w:pPr>
        <w:tabs>
          <w:tab w:val="num" w:pos="1792"/>
        </w:tabs>
        <w:ind w:left="1792" w:hanging="360"/>
      </w:pPr>
      <w:rPr>
        <w:rFonts w:ascii="Courier New" w:hAnsi="Courier New" w:cs="Courier New" w:hint="default"/>
      </w:rPr>
    </w:lvl>
    <w:lvl w:ilvl="2" w:tplc="0C090005" w:tentative="1">
      <w:start w:val="1"/>
      <w:numFmt w:val="bullet"/>
      <w:lvlText w:val=""/>
      <w:lvlJc w:val="left"/>
      <w:pPr>
        <w:tabs>
          <w:tab w:val="num" w:pos="2512"/>
        </w:tabs>
        <w:ind w:left="2512" w:hanging="360"/>
      </w:pPr>
      <w:rPr>
        <w:rFonts w:ascii="Wingdings" w:hAnsi="Wingdings" w:hint="default"/>
      </w:rPr>
    </w:lvl>
    <w:lvl w:ilvl="3" w:tplc="0C090001" w:tentative="1">
      <w:start w:val="1"/>
      <w:numFmt w:val="bullet"/>
      <w:lvlText w:val=""/>
      <w:lvlJc w:val="left"/>
      <w:pPr>
        <w:tabs>
          <w:tab w:val="num" w:pos="3232"/>
        </w:tabs>
        <w:ind w:left="3232" w:hanging="360"/>
      </w:pPr>
      <w:rPr>
        <w:rFonts w:ascii="Symbol" w:hAnsi="Symbol" w:hint="default"/>
      </w:rPr>
    </w:lvl>
    <w:lvl w:ilvl="4" w:tplc="0C090003" w:tentative="1">
      <w:start w:val="1"/>
      <w:numFmt w:val="bullet"/>
      <w:lvlText w:val="o"/>
      <w:lvlJc w:val="left"/>
      <w:pPr>
        <w:tabs>
          <w:tab w:val="num" w:pos="3952"/>
        </w:tabs>
        <w:ind w:left="3952" w:hanging="360"/>
      </w:pPr>
      <w:rPr>
        <w:rFonts w:ascii="Courier New" w:hAnsi="Courier New" w:cs="Courier New" w:hint="default"/>
      </w:rPr>
    </w:lvl>
    <w:lvl w:ilvl="5" w:tplc="0C090005" w:tentative="1">
      <w:start w:val="1"/>
      <w:numFmt w:val="bullet"/>
      <w:lvlText w:val=""/>
      <w:lvlJc w:val="left"/>
      <w:pPr>
        <w:tabs>
          <w:tab w:val="num" w:pos="4672"/>
        </w:tabs>
        <w:ind w:left="4672" w:hanging="360"/>
      </w:pPr>
      <w:rPr>
        <w:rFonts w:ascii="Wingdings" w:hAnsi="Wingdings" w:hint="default"/>
      </w:rPr>
    </w:lvl>
    <w:lvl w:ilvl="6" w:tplc="0C090001" w:tentative="1">
      <w:start w:val="1"/>
      <w:numFmt w:val="bullet"/>
      <w:lvlText w:val=""/>
      <w:lvlJc w:val="left"/>
      <w:pPr>
        <w:tabs>
          <w:tab w:val="num" w:pos="5392"/>
        </w:tabs>
        <w:ind w:left="5392" w:hanging="360"/>
      </w:pPr>
      <w:rPr>
        <w:rFonts w:ascii="Symbol" w:hAnsi="Symbol" w:hint="default"/>
      </w:rPr>
    </w:lvl>
    <w:lvl w:ilvl="7" w:tplc="0C090003" w:tentative="1">
      <w:start w:val="1"/>
      <w:numFmt w:val="bullet"/>
      <w:lvlText w:val="o"/>
      <w:lvlJc w:val="left"/>
      <w:pPr>
        <w:tabs>
          <w:tab w:val="num" w:pos="6112"/>
        </w:tabs>
        <w:ind w:left="6112" w:hanging="360"/>
      </w:pPr>
      <w:rPr>
        <w:rFonts w:ascii="Courier New" w:hAnsi="Courier New" w:cs="Courier New" w:hint="default"/>
      </w:rPr>
    </w:lvl>
    <w:lvl w:ilvl="8" w:tplc="0C090005" w:tentative="1">
      <w:start w:val="1"/>
      <w:numFmt w:val="bullet"/>
      <w:lvlText w:val=""/>
      <w:lvlJc w:val="left"/>
      <w:pPr>
        <w:tabs>
          <w:tab w:val="num" w:pos="6832"/>
        </w:tabs>
        <w:ind w:left="6832" w:hanging="360"/>
      </w:pPr>
      <w:rPr>
        <w:rFonts w:ascii="Wingdings" w:hAnsi="Wingdings" w:hint="default"/>
      </w:rPr>
    </w:lvl>
  </w:abstractNum>
  <w:abstractNum w:abstractNumId="12" w15:restartNumberingAfterBreak="0">
    <w:nsid w:val="4DEF1BFE"/>
    <w:multiLevelType w:val="hybridMultilevel"/>
    <w:tmpl w:val="37C87AFA"/>
    <w:lvl w:ilvl="0" w:tplc="604CD0C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1E16D5A"/>
    <w:multiLevelType w:val="hybridMultilevel"/>
    <w:tmpl w:val="00E8356A"/>
    <w:lvl w:ilvl="0" w:tplc="856C2054">
      <w:start w:val="1"/>
      <w:numFmt w:val="lowerLetter"/>
      <w:lvlText w:val="(%1)"/>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67622FA"/>
    <w:multiLevelType w:val="hybridMultilevel"/>
    <w:tmpl w:val="55BA147A"/>
    <w:lvl w:ilvl="0" w:tplc="D764D14C">
      <w:start w:val="1"/>
      <w:numFmt w:val="lowerLetter"/>
      <w:lvlText w:val="(%1)"/>
      <w:lvlJc w:val="left"/>
      <w:pPr>
        <w:tabs>
          <w:tab w:val="num" w:pos="1080"/>
        </w:tabs>
        <w:ind w:left="1080" w:hanging="360"/>
      </w:pPr>
      <w:rPr>
        <w:rFonts w:ascii="Times New Roman" w:eastAsia="Times New Roman" w:hAnsi="Times New Roman" w:cs="Times New Roman"/>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9A67ADD"/>
    <w:multiLevelType w:val="hybridMultilevel"/>
    <w:tmpl w:val="A3208910"/>
    <w:lvl w:ilvl="0" w:tplc="604CD0C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E007754"/>
    <w:multiLevelType w:val="hybridMultilevel"/>
    <w:tmpl w:val="4A88B1A8"/>
    <w:lvl w:ilvl="0" w:tplc="604CD0C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3767C5F"/>
    <w:multiLevelType w:val="hybridMultilevel"/>
    <w:tmpl w:val="39BAFB76"/>
    <w:lvl w:ilvl="0" w:tplc="604CD0CE">
      <w:start w:val="1"/>
      <w:numFmt w:val="bullet"/>
      <w:lvlText w:val=""/>
      <w:lvlJc w:val="left"/>
      <w:pPr>
        <w:tabs>
          <w:tab w:val="num" w:pos="-30970"/>
        </w:tabs>
        <w:ind w:left="1067" w:hanging="357"/>
      </w:pPr>
      <w:rPr>
        <w:rFonts w:ascii="Symbol" w:hAnsi="Symbol" w:hint="default"/>
      </w:rPr>
    </w:lvl>
    <w:lvl w:ilvl="1" w:tplc="04090003" w:tentative="1">
      <w:start w:val="1"/>
      <w:numFmt w:val="bullet"/>
      <w:lvlText w:val="o"/>
      <w:lvlJc w:val="left"/>
      <w:pPr>
        <w:tabs>
          <w:tab w:val="num" w:pos="2438"/>
        </w:tabs>
        <w:ind w:left="2438" w:hanging="360"/>
      </w:pPr>
      <w:rPr>
        <w:rFonts w:ascii="Courier New" w:hAnsi="Courier New" w:hint="default"/>
      </w:rPr>
    </w:lvl>
    <w:lvl w:ilvl="2" w:tplc="04090005" w:tentative="1">
      <w:start w:val="1"/>
      <w:numFmt w:val="bullet"/>
      <w:lvlText w:val=""/>
      <w:lvlJc w:val="left"/>
      <w:pPr>
        <w:tabs>
          <w:tab w:val="num" w:pos="3158"/>
        </w:tabs>
        <w:ind w:left="3158" w:hanging="360"/>
      </w:pPr>
      <w:rPr>
        <w:rFonts w:ascii="Wingdings" w:hAnsi="Wingdings" w:hint="default"/>
      </w:rPr>
    </w:lvl>
    <w:lvl w:ilvl="3" w:tplc="04090001" w:tentative="1">
      <w:start w:val="1"/>
      <w:numFmt w:val="bullet"/>
      <w:lvlText w:val=""/>
      <w:lvlJc w:val="left"/>
      <w:pPr>
        <w:tabs>
          <w:tab w:val="num" w:pos="3878"/>
        </w:tabs>
        <w:ind w:left="3878" w:hanging="360"/>
      </w:pPr>
      <w:rPr>
        <w:rFonts w:ascii="Symbol" w:hAnsi="Symbol" w:hint="default"/>
      </w:rPr>
    </w:lvl>
    <w:lvl w:ilvl="4" w:tplc="04090003" w:tentative="1">
      <w:start w:val="1"/>
      <w:numFmt w:val="bullet"/>
      <w:lvlText w:val="o"/>
      <w:lvlJc w:val="left"/>
      <w:pPr>
        <w:tabs>
          <w:tab w:val="num" w:pos="4598"/>
        </w:tabs>
        <w:ind w:left="4598" w:hanging="360"/>
      </w:pPr>
      <w:rPr>
        <w:rFonts w:ascii="Courier New" w:hAnsi="Courier New" w:hint="default"/>
      </w:rPr>
    </w:lvl>
    <w:lvl w:ilvl="5" w:tplc="04090005" w:tentative="1">
      <w:start w:val="1"/>
      <w:numFmt w:val="bullet"/>
      <w:lvlText w:val=""/>
      <w:lvlJc w:val="left"/>
      <w:pPr>
        <w:tabs>
          <w:tab w:val="num" w:pos="5318"/>
        </w:tabs>
        <w:ind w:left="5318" w:hanging="360"/>
      </w:pPr>
      <w:rPr>
        <w:rFonts w:ascii="Wingdings" w:hAnsi="Wingdings" w:hint="default"/>
      </w:rPr>
    </w:lvl>
    <w:lvl w:ilvl="6" w:tplc="04090001" w:tentative="1">
      <w:start w:val="1"/>
      <w:numFmt w:val="bullet"/>
      <w:lvlText w:val=""/>
      <w:lvlJc w:val="left"/>
      <w:pPr>
        <w:tabs>
          <w:tab w:val="num" w:pos="6038"/>
        </w:tabs>
        <w:ind w:left="6038" w:hanging="360"/>
      </w:pPr>
      <w:rPr>
        <w:rFonts w:ascii="Symbol" w:hAnsi="Symbol" w:hint="default"/>
      </w:rPr>
    </w:lvl>
    <w:lvl w:ilvl="7" w:tplc="04090003" w:tentative="1">
      <w:start w:val="1"/>
      <w:numFmt w:val="bullet"/>
      <w:lvlText w:val="o"/>
      <w:lvlJc w:val="left"/>
      <w:pPr>
        <w:tabs>
          <w:tab w:val="num" w:pos="6758"/>
        </w:tabs>
        <w:ind w:left="6758" w:hanging="360"/>
      </w:pPr>
      <w:rPr>
        <w:rFonts w:ascii="Courier New" w:hAnsi="Courier New" w:hint="default"/>
      </w:rPr>
    </w:lvl>
    <w:lvl w:ilvl="8" w:tplc="04090005" w:tentative="1">
      <w:start w:val="1"/>
      <w:numFmt w:val="bullet"/>
      <w:lvlText w:val=""/>
      <w:lvlJc w:val="left"/>
      <w:pPr>
        <w:tabs>
          <w:tab w:val="num" w:pos="7478"/>
        </w:tabs>
        <w:ind w:left="7478" w:hanging="360"/>
      </w:pPr>
      <w:rPr>
        <w:rFonts w:ascii="Wingdings" w:hAnsi="Wingdings" w:hint="default"/>
      </w:rPr>
    </w:lvl>
  </w:abstractNum>
  <w:abstractNum w:abstractNumId="18" w15:restartNumberingAfterBreak="0">
    <w:nsid w:val="6F223453"/>
    <w:multiLevelType w:val="hybridMultilevel"/>
    <w:tmpl w:val="DC7E6DB2"/>
    <w:lvl w:ilvl="0" w:tplc="D8248A60">
      <w:start w:val="1"/>
      <w:numFmt w:val="lowerLetter"/>
      <w:lvlText w:val="(%1)"/>
      <w:lvlJc w:val="left"/>
      <w:pPr>
        <w:ind w:left="1080" w:hanging="360"/>
      </w:pPr>
      <w:rPr>
        <w:rFonts w:ascii="Times New Roman" w:eastAsia="Times New Roman"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F874C5B"/>
    <w:multiLevelType w:val="hybridMultilevel"/>
    <w:tmpl w:val="2DFC745E"/>
    <w:lvl w:ilvl="0" w:tplc="604CD0C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5B56C6E"/>
    <w:multiLevelType w:val="multilevel"/>
    <w:tmpl w:val="B450FD58"/>
    <w:lvl w:ilvl="0">
      <w:start w:val="1"/>
      <w:numFmt w:val="decimal"/>
      <w:lvlText w:val="%1."/>
      <w:lvlJc w:val="left"/>
      <w:pPr>
        <w:ind w:left="360" w:hanging="360"/>
      </w:pPr>
      <w:rPr>
        <w:rFonts w:hint="default"/>
      </w:rPr>
    </w:lvl>
    <w:lvl w:ilvl="1">
      <w:start w:val="1"/>
      <w:numFmt w:val="decimal"/>
      <w:lvlText w:val="%1.%2."/>
      <w:lvlJc w:val="left"/>
      <w:pPr>
        <w:ind w:left="998" w:hanging="43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7"/>
  </w:num>
  <w:num w:numId="3">
    <w:abstractNumId w:val="3"/>
  </w:num>
  <w:num w:numId="4">
    <w:abstractNumId w:val="9"/>
  </w:num>
  <w:num w:numId="5">
    <w:abstractNumId w:val="11"/>
  </w:num>
  <w:num w:numId="6">
    <w:abstractNumId w:val="17"/>
  </w:num>
  <w:num w:numId="7">
    <w:abstractNumId w:val="0"/>
  </w:num>
  <w:num w:numId="8">
    <w:abstractNumId w:val="19"/>
  </w:num>
  <w:num w:numId="9">
    <w:abstractNumId w:val="12"/>
  </w:num>
  <w:num w:numId="10">
    <w:abstractNumId w:val="16"/>
  </w:num>
  <w:num w:numId="11">
    <w:abstractNumId w:val="6"/>
  </w:num>
  <w:num w:numId="12">
    <w:abstractNumId w:val="2"/>
  </w:num>
  <w:num w:numId="13">
    <w:abstractNumId w:val="10"/>
  </w:num>
  <w:num w:numId="14">
    <w:abstractNumId w:val="18"/>
  </w:num>
  <w:num w:numId="15">
    <w:abstractNumId w:val="13"/>
  </w:num>
  <w:num w:numId="16">
    <w:abstractNumId w:val="14"/>
  </w:num>
  <w:num w:numId="17">
    <w:abstractNumId w:val="15"/>
  </w:num>
  <w:num w:numId="18">
    <w:abstractNumId w:val="4"/>
  </w:num>
  <w:num w:numId="19">
    <w:abstractNumId w:val="20"/>
  </w:num>
  <w:num w:numId="20">
    <w:abstractNumId w:val="8"/>
  </w:num>
  <w:num w:numId="2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B7"/>
    <w:rsid w:val="000014E6"/>
    <w:rsid w:val="00007A43"/>
    <w:rsid w:val="00011742"/>
    <w:rsid w:val="00011E9A"/>
    <w:rsid w:val="0001429D"/>
    <w:rsid w:val="00014A60"/>
    <w:rsid w:val="000151CE"/>
    <w:rsid w:val="000161A9"/>
    <w:rsid w:val="00016A2A"/>
    <w:rsid w:val="00017097"/>
    <w:rsid w:val="00021CF8"/>
    <w:rsid w:val="00022835"/>
    <w:rsid w:val="00022AE2"/>
    <w:rsid w:val="000246E3"/>
    <w:rsid w:val="00027287"/>
    <w:rsid w:val="00030099"/>
    <w:rsid w:val="00030984"/>
    <w:rsid w:val="00030F3F"/>
    <w:rsid w:val="00031518"/>
    <w:rsid w:val="00033DC9"/>
    <w:rsid w:val="00035816"/>
    <w:rsid w:val="0004326B"/>
    <w:rsid w:val="00043B2D"/>
    <w:rsid w:val="00044C55"/>
    <w:rsid w:val="00044E6C"/>
    <w:rsid w:val="000452A6"/>
    <w:rsid w:val="00046B86"/>
    <w:rsid w:val="00047F3F"/>
    <w:rsid w:val="00050969"/>
    <w:rsid w:val="0005131C"/>
    <w:rsid w:val="000522FB"/>
    <w:rsid w:val="00052718"/>
    <w:rsid w:val="000540EE"/>
    <w:rsid w:val="0006076E"/>
    <w:rsid w:val="00060E64"/>
    <w:rsid w:val="00061EF5"/>
    <w:rsid w:val="00063D9F"/>
    <w:rsid w:val="00064042"/>
    <w:rsid w:val="00066E60"/>
    <w:rsid w:val="0007052D"/>
    <w:rsid w:val="00071395"/>
    <w:rsid w:val="000721F2"/>
    <w:rsid w:val="00073FAD"/>
    <w:rsid w:val="0007402B"/>
    <w:rsid w:val="00077A69"/>
    <w:rsid w:val="00080834"/>
    <w:rsid w:val="000819DF"/>
    <w:rsid w:val="00083221"/>
    <w:rsid w:val="000869E0"/>
    <w:rsid w:val="00091320"/>
    <w:rsid w:val="00093966"/>
    <w:rsid w:val="00096A38"/>
    <w:rsid w:val="000A05AA"/>
    <w:rsid w:val="000A1088"/>
    <w:rsid w:val="000A4D1C"/>
    <w:rsid w:val="000A79E4"/>
    <w:rsid w:val="000B0742"/>
    <w:rsid w:val="000B1637"/>
    <w:rsid w:val="000B1EE7"/>
    <w:rsid w:val="000B2D42"/>
    <w:rsid w:val="000B3A6D"/>
    <w:rsid w:val="000B5C12"/>
    <w:rsid w:val="000C001D"/>
    <w:rsid w:val="000C0B2C"/>
    <w:rsid w:val="000C223C"/>
    <w:rsid w:val="000C38EF"/>
    <w:rsid w:val="000C3AEC"/>
    <w:rsid w:val="000D1609"/>
    <w:rsid w:val="000D2465"/>
    <w:rsid w:val="000D2A6E"/>
    <w:rsid w:val="000D416B"/>
    <w:rsid w:val="000D4E31"/>
    <w:rsid w:val="000D523F"/>
    <w:rsid w:val="000E06A3"/>
    <w:rsid w:val="000E2600"/>
    <w:rsid w:val="000E32CA"/>
    <w:rsid w:val="000E3B1F"/>
    <w:rsid w:val="000E3CDE"/>
    <w:rsid w:val="000E3F18"/>
    <w:rsid w:val="000E5FFA"/>
    <w:rsid w:val="000E6CFB"/>
    <w:rsid w:val="000E6D6D"/>
    <w:rsid w:val="000E7229"/>
    <w:rsid w:val="000F1D4E"/>
    <w:rsid w:val="000F2E71"/>
    <w:rsid w:val="000F3DF8"/>
    <w:rsid w:val="000F56B6"/>
    <w:rsid w:val="000F76F0"/>
    <w:rsid w:val="000F7B33"/>
    <w:rsid w:val="00102F0B"/>
    <w:rsid w:val="0010302D"/>
    <w:rsid w:val="00104753"/>
    <w:rsid w:val="0010520E"/>
    <w:rsid w:val="001065AE"/>
    <w:rsid w:val="00110D5B"/>
    <w:rsid w:val="001134DC"/>
    <w:rsid w:val="0011353B"/>
    <w:rsid w:val="00114CC6"/>
    <w:rsid w:val="00115294"/>
    <w:rsid w:val="0011601A"/>
    <w:rsid w:val="00116337"/>
    <w:rsid w:val="00120E1D"/>
    <w:rsid w:val="00122D2F"/>
    <w:rsid w:val="00124AF1"/>
    <w:rsid w:val="00125404"/>
    <w:rsid w:val="001260A9"/>
    <w:rsid w:val="001263E0"/>
    <w:rsid w:val="001266BD"/>
    <w:rsid w:val="0012690D"/>
    <w:rsid w:val="00131636"/>
    <w:rsid w:val="0013481D"/>
    <w:rsid w:val="001350AD"/>
    <w:rsid w:val="001358DE"/>
    <w:rsid w:val="00135B3F"/>
    <w:rsid w:val="00141D4A"/>
    <w:rsid w:val="0014342D"/>
    <w:rsid w:val="001434B1"/>
    <w:rsid w:val="001435EC"/>
    <w:rsid w:val="00144659"/>
    <w:rsid w:val="0014601E"/>
    <w:rsid w:val="001462BF"/>
    <w:rsid w:val="00150A80"/>
    <w:rsid w:val="0015325E"/>
    <w:rsid w:val="001532E2"/>
    <w:rsid w:val="00154550"/>
    <w:rsid w:val="00154B18"/>
    <w:rsid w:val="00155633"/>
    <w:rsid w:val="00157A0B"/>
    <w:rsid w:val="00157D1F"/>
    <w:rsid w:val="0016085F"/>
    <w:rsid w:val="00160C69"/>
    <w:rsid w:val="001639FE"/>
    <w:rsid w:val="00164D37"/>
    <w:rsid w:val="00166AF6"/>
    <w:rsid w:val="001736D5"/>
    <w:rsid w:val="001739B7"/>
    <w:rsid w:val="00174278"/>
    <w:rsid w:val="00174FA0"/>
    <w:rsid w:val="00175426"/>
    <w:rsid w:val="00176FDB"/>
    <w:rsid w:val="00177EF8"/>
    <w:rsid w:val="0018165F"/>
    <w:rsid w:val="00182C38"/>
    <w:rsid w:val="00182FFA"/>
    <w:rsid w:val="0018357B"/>
    <w:rsid w:val="00184BE3"/>
    <w:rsid w:val="00185EF0"/>
    <w:rsid w:val="001927A0"/>
    <w:rsid w:val="00194E1F"/>
    <w:rsid w:val="001A05A1"/>
    <w:rsid w:val="001A096B"/>
    <w:rsid w:val="001A098F"/>
    <w:rsid w:val="001A1800"/>
    <w:rsid w:val="001A3372"/>
    <w:rsid w:val="001A3424"/>
    <w:rsid w:val="001A43C2"/>
    <w:rsid w:val="001A4901"/>
    <w:rsid w:val="001A69FF"/>
    <w:rsid w:val="001A7358"/>
    <w:rsid w:val="001B1BB2"/>
    <w:rsid w:val="001B6D18"/>
    <w:rsid w:val="001C22A2"/>
    <w:rsid w:val="001C3F6B"/>
    <w:rsid w:val="001C4E5D"/>
    <w:rsid w:val="001C5250"/>
    <w:rsid w:val="001D0DB4"/>
    <w:rsid w:val="001D12ED"/>
    <w:rsid w:val="001D2A01"/>
    <w:rsid w:val="001D37B4"/>
    <w:rsid w:val="001D705E"/>
    <w:rsid w:val="001E0756"/>
    <w:rsid w:val="001E126A"/>
    <w:rsid w:val="001E135C"/>
    <w:rsid w:val="001E3BCD"/>
    <w:rsid w:val="001E50CD"/>
    <w:rsid w:val="001E568F"/>
    <w:rsid w:val="001E57C0"/>
    <w:rsid w:val="001E6A2F"/>
    <w:rsid w:val="001E7BAE"/>
    <w:rsid w:val="001F26D2"/>
    <w:rsid w:val="001F3FB7"/>
    <w:rsid w:val="001F4882"/>
    <w:rsid w:val="001F500A"/>
    <w:rsid w:val="001F55EC"/>
    <w:rsid w:val="001F60B6"/>
    <w:rsid w:val="001F7932"/>
    <w:rsid w:val="00200DAA"/>
    <w:rsid w:val="00204990"/>
    <w:rsid w:val="00205F82"/>
    <w:rsid w:val="002067D9"/>
    <w:rsid w:val="00207B61"/>
    <w:rsid w:val="00210BC6"/>
    <w:rsid w:val="00215C6D"/>
    <w:rsid w:val="00216656"/>
    <w:rsid w:val="002168E1"/>
    <w:rsid w:val="0021723C"/>
    <w:rsid w:val="002218ED"/>
    <w:rsid w:val="00221978"/>
    <w:rsid w:val="00222655"/>
    <w:rsid w:val="00222C45"/>
    <w:rsid w:val="0022322E"/>
    <w:rsid w:val="00225867"/>
    <w:rsid w:val="002272AC"/>
    <w:rsid w:val="002301B9"/>
    <w:rsid w:val="00230B78"/>
    <w:rsid w:val="00230CFC"/>
    <w:rsid w:val="00232319"/>
    <w:rsid w:val="0023375D"/>
    <w:rsid w:val="00234C78"/>
    <w:rsid w:val="00236028"/>
    <w:rsid w:val="0023687E"/>
    <w:rsid w:val="00242F06"/>
    <w:rsid w:val="0024304D"/>
    <w:rsid w:val="00243A8A"/>
    <w:rsid w:val="0024428A"/>
    <w:rsid w:val="0024524E"/>
    <w:rsid w:val="002453ED"/>
    <w:rsid w:val="00247DF2"/>
    <w:rsid w:val="002500CB"/>
    <w:rsid w:val="0025171A"/>
    <w:rsid w:val="00252026"/>
    <w:rsid w:val="00255BFC"/>
    <w:rsid w:val="00255CBD"/>
    <w:rsid w:val="00263BAC"/>
    <w:rsid w:val="00263D84"/>
    <w:rsid w:val="002640FD"/>
    <w:rsid w:val="00264FD6"/>
    <w:rsid w:val="00271A23"/>
    <w:rsid w:val="00274E3B"/>
    <w:rsid w:val="00275A14"/>
    <w:rsid w:val="0027617A"/>
    <w:rsid w:val="00276CB0"/>
    <w:rsid w:val="00277506"/>
    <w:rsid w:val="002776CB"/>
    <w:rsid w:val="00281777"/>
    <w:rsid w:val="00284AF5"/>
    <w:rsid w:val="002855DA"/>
    <w:rsid w:val="00286534"/>
    <w:rsid w:val="00286F99"/>
    <w:rsid w:val="00287D50"/>
    <w:rsid w:val="002900D6"/>
    <w:rsid w:val="00290C0A"/>
    <w:rsid w:val="00293218"/>
    <w:rsid w:val="0029427C"/>
    <w:rsid w:val="00295D29"/>
    <w:rsid w:val="002A0EB9"/>
    <w:rsid w:val="002A54DB"/>
    <w:rsid w:val="002B21FE"/>
    <w:rsid w:val="002B4815"/>
    <w:rsid w:val="002B52F1"/>
    <w:rsid w:val="002B7A4E"/>
    <w:rsid w:val="002B7DD8"/>
    <w:rsid w:val="002C1D03"/>
    <w:rsid w:val="002C4614"/>
    <w:rsid w:val="002C6FF9"/>
    <w:rsid w:val="002C7F80"/>
    <w:rsid w:val="002D3020"/>
    <w:rsid w:val="002D4CBB"/>
    <w:rsid w:val="002D50E2"/>
    <w:rsid w:val="002D5DDB"/>
    <w:rsid w:val="002D6F64"/>
    <w:rsid w:val="002D6FD8"/>
    <w:rsid w:val="002E06FB"/>
    <w:rsid w:val="002E22FA"/>
    <w:rsid w:val="002E2EAE"/>
    <w:rsid w:val="002E5322"/>
    <w:rsid w:val="002E5356"/>
    <w:rsid w:val="002E5799"/>
    <w:rsid w:val="002F0032"/>
    <w:rsid w:val="002F1AD3"/>
    <w:rsid w:val="002F3B07"/>
    <w:rsid w:val="002F40A0"/>
    <w:rsid w:val="002F438D"/>
    <w:rsid w:val="002F471D"/>
    <w:rsid w:val="002F4F4B"/>
    <w:rsid w:val="002F500A"/>
    <w:rsid w:val="002F50D8"/>
    <w:rsid w:val="002F5EEE"/>
    <w:rsid w:val="002F7583"/>
    <w:rsid w:val="00300D69"/>
    <w:rsid w:val="003017A3"/>
    <w:rsid w:val="00301851"/>
    <w:rsid w:val="00302B31"/>
    <w:rsid w:val="00310E6C"/>
    <w:rsid w:val="003114F0"/>
    <w:rsid w:val="00311FAD"/>
    <w:rsid w:val="0031201C"/>
    <w:rsid w:val="00312D76"/>
    <w:rsid w:val="0031609F"/>
    <w:rsid w:val="00316303"/>
    <w:rsid w:val="0031766D"/>
    <w:rsid w:val="00320615"/>
    <w:rsid w:val="0032175D"/>
    <w:rsid w:val="00321E71"/>
    <w:rsid w:val="003226DF"/>
    <w:rsid w:val="00322A6B"/>
    <w:rsid w:val="003250EE"/>
    <w:rsid w:val="003273BD"/>
    <w:rsid w:val="00327412"/>
    <w:rsid w:val="00327E3D"/>
    <w:rsid w:val="003320D2"/>
    <w:rsid w:val="00332C6C"/>
    <w:rsid w:val="00333D6A"/>
    <w:rsid w:val="00334929"/>
    <w:rsid w:val="00334E33"/>
    <w:rsid w:val="00336029"/>
    <w:rsid w:val="00340317"/>
    <w:rsid w:val="00340BC2"/>
    <w:rsid w:val="00340D07"/>
    <w:rsid w:val="003415EE"/>
    <w:rsid w:val="00341BE7"/>
    <w:rsid w:val="00342FC9"/>
    <w:rsid w:val="003438B2"/>
    <w:rsid w:val="00343CA5"/>
    <w:rsid w:val="003466E8"/>
    <w:rsid w:val="00346CE3"/>
    <w:rsid w:val="00354B18"/>
    <w:rsid w:val="003550F5"/>
    <w:rsid w:val="00355E1E"/>
    <w:rsid w:val="00357D33"/>
    <w:rsid w:val="003612B6"/>
    <w:rsid w:val="003614FB"/>
    <w:rsid w:val="00361E32"/>
    <w:rsid w:val="00365761"/>
    <w:rsid w:val="00366A38"/>
    <w:rsid w:val="00372C0C"/>
    <w:rsid w:val="003738E9"/>
    <w:rsid w:val="00373980"/>
    <w:rsid w:val="003739F1"/>
    <w:rsid w:val="00375A73"/>
    <w:rsid w:val="00376CC6"/>
    <w:rsid w:val="00377473"/>
    <w:rsid w:val="00380480"/>
    <w:rsid w:val="00382A53"/>
    <w:rsid w:val="00386DB5"/>
    <w:rsid w:val="00387F09"/>
    <w:rsid w:val="003914A8"/>
    <w:rsid w:val="0039183A"/>
    <w:rsid w:val="003924A8"/>
    <w:rsid w:val="00393AD4"/>
    <w:rsid w:val="00397374"/>
    <w:rsid w:val="003A0903"/>
    <w:rsid w:val="003A0F8F"/>
    <w:rsid w:val="003A2D92"/>
    <w:rsid w:val="003A45B2"/>
    <w:rsid w:val="003A59EC"/>
    <w:rsid w:val="003A607A"/>
    <w:rsid w:val="003B068D"/>
    <w:rsid w:val="003B0987"/>
    <w:rsid w:val="003B2124"/>
    <w:rsid w:val="003B2599"/>
    <w:rsid w:val="003B43BD"/>
    <w:rsid w:val="003B6354"/>
    <w:rsid w:val="003B65D1"/>
    <w:rsid w:val="003B6F65"/>
    <w:rsid w:val="003B7AA9"/>
    <w:rsid w:val="003C15D0"/>
    <w:rsid w:val="003C1C60"/>
    <w:rsid w:val="003C4F92"/>
    <w:rsid w:val="003C6642"/>
    <w:rsid w:val="003C776A"/>
    <w:rsid w:val="003D03E6"/>
    <w:rsid w:val="003D1F53"/>
    <w:rsid w:val="003D3294"/>
    <w:rsid w:val="003D3C7A"/>
    <w:rsid w:val="003D6CDE"/>
    <w:rsid w:val="003D6E58"/>
    <w:rsid w:val="003D6F6E"/>
    <w:rsid w:val="003E22B6"/>
    <w:rsid w:val="003E3173"/>
    <w:rsid w:val="003E4093"/>
    <w:rsid w:val="00400938"/>
    <w:rsid w:val="0040150A"/>
    <w:rsid w:val="0040248E"/>
    <w:rsid w:val="004032B1"/>
    <w:rsid w:val="00404550"/>
    <w:rsid w:val="004045DD"/>
    <w:rsid w:val="0041017A"/>
    <w:rsid w:val="00410D4F"/>
    <w:rsid w:val="00412585"/>
    <w:rsid w:val="00415917"/>
    <w:rsid w:val="00417754"/>
    <w:rsid w:val="0042137D"/>
    <w:rsid w:val="00421E2A"/>
    <w:rsid w:val="004242F0"/>
    <w:rsid w:val="00431E0D"/>
    <w:rsid w:val="004337F9"/>
    <w:rsid w:val="0043582D"/>
    <w:rsid w:val="00440724"/>
    <w:rsid w:val="004479BC"/>
    <w:rsid w:val="004505FC"/>
    <w:rsid w:val="004507E6"/>
    <w:rsid w:val="00450CD9"/>
    <w:rsid w:val="00450EB8"/>
    <w:rsid w:val="00451DFA"/>
    <w:rsid w:val="0045318C"/>
    <w:rsid w:val="00454D3B"/>
    <w:rsid w:val="00455231"/>
    <w:rsid w:val="0046772F"/>
    <w:rsid w:val="0047159A"/>
    <w:rsid w:val="00471E4D"/>
    <w:rsid w:val="004724BF"/>
    <w:rsid w:val="0047483E"/>
    <w:rsid w:val="00477924"/>
    <w:rsid w:val="00480689"/>
    <w:rsid w:val="0048085B"/>
    <w:rsid w:val="004818B7"/>
    <w:rsid w:val="00481BEE"/>
    <w:rsid w:val="0048375E"/>
    <w:rsid w:val="00483823"/>
    <w:rsid w:val="00484452"/>
    <w:rsid w:val="004863F3"/>
    <w:rsid w:val="004938BE"/>
    <w:rsid w:val="004966B6"/>
    <w:rsid w:val="00497E0C"/>
    <w:rsid w:val="004A0B78"/>
    <w:rsid w:val="004A1C9F"/>
    <w:rsid w:val="004A475F"/>
    <w:rsid w:val="004A5530"/>
    <w:rsid w:val="004A6438"/>
    <w:rsid w:val="004A6447"/>
    <w:rsid w:val="004B0EF6"/>
    <w:rsid w:val="004B1DD6"/>
    <w:rsid w:val="004B3212"/>
    <w:rsid w:val="004B4866"/>
    <w:rsid w:val="004B59E7"/>
    <w:rsid w:val="004B6CD4"/>
    <w:rsid w:val="004B779A"/>
    <w:rsid w:val="004C12B2"/>
    <w:rsid w:val="004C25B0"/>
    <w:rsid w:val="004C4640"/>
    <w:rsid w:val="004C4CD1"/>
    <w:rsid w:val="004C5665"/>
    <w:rsid w:val="004C690D"/>
    <w:rsid w:val="004C79A5"/>
    <w:rsid w:val="004D0591"/>
    <w:rsid w:val="004D121D"/>
    <w:rsid w:val="004D18CB"/>
    <w:rsid w:val="004D3F7B"/>
    <w:rsid w:val="004D426C"/>
    <w:rsid w:val="004D4DF5"/>
    <w:rsid w:val="004D64D0"/>
    <w:rsid w:val="004D753A"/>
    <w:rsid w:val="004E214E"/>
    <w:rsid w:val="004E23E5"/>
    <w:rsid w:val="004E38BB"/>
    <w:rsid w:val="004E3BB0"/>
    <w:rsid w:val="004E51F9"/>
    <w:rsid w:val="004E7919"/>
    <w:rsid w:val="004F16D2"/>
    <w:rsid w:val="004F46DC"/>
    <w:rsid w:val="004F5BD7"/>
    <w:rsid w:val="004F6E12"/>
    <w:rsid w:val="004F762D"/>
    <w:rsid w:val="00500BCD"/>
    <w:rsid w:val="00502FF8"/>
    <w:rsid w:val="00503AD5"/>
    <w:rsid w:val="00504850"/>
    <w:rsid w:val="005048DA"/>
    <w:rsid w:val="00505344"/>
    <w:rsid w:val="005063E3"/>
    <w:rsid w:val="00506A43"/>
    <w:rsid w:val="005076F4"/>
    <w:rsid w:val="00511D1E"/>
    <w:rsid w:val="0051283A"/>
    <w:rsid w:val="00513AF6"/>
    <w:rsid w:val="005145A5"/>
    <w:rsid w:val="00514641"/>
    <w:rsid w:val="0051739E"/>
    <w:rsid w:val="00517C3A"/>
    <w:rsid w:val="005202EE"/>
    <w:rsid w:val="00521A75"/>
    <w:rsid w:val="00521F06"/>
    <w:rsid w:val="00524F58"/>
    <w:rsid w:val="00524FAC"/>
    <w:rsid w:val="00525B9A"/>
    <w:rsid w:val="00526926"/>
    <w:rsid w:val="005300DE"/>
    <w:rsid w:val="0053123A"/>
    <w:rsid w:val="0053251C"/>
    <w:rsid w:val="00532A6C"/>
    <w:rsid w:val="0053435C"/>
    <w:rsid w:val="00534BAB"/>
    <w:rsid w:val="0053660E"/>
    <w:rsid w:val="005415FB"/>
    <w:rsid w:val="00541FCA"/>
    <w:rsid w:val="005421C3"/>
    <w:rsid w:val="00544A15"/>
    <w:rsid w:val="0054529F"/>
    <w:rsid w:val="005517A8"/>
    <w:rsid w:val="00551CD9"/>
    <w:rsid w:val="005534B5"/>
    <w:rsid w:val="005552D9"/>
    <w:rsid w:val="00556339"/>
    <w:rsid w:val="00561A0E"/>
    <w:rsid w:val="00562575"/>
    <w:rsid w:val="005626ED"/>
    <w:rsid w:val="00562CCE"/>
    <w:rsid w:val="00562DAC"/>
    <w:rsid w:val="00563AAA"/>
    <w:rsid w:val="005649E8"/>
    <w:rsid w:val="005661E5"/>
    <w:rsid w:val="00567604"/>
    <w:rsid w:val="00567CE5"/>
    <w:rsid w:val="00570593"/>
    <w:rsid w:val="0057091E"/>
    <w:rsid w:val="00571087"/>
    <w:rsid w:val="005723DF"/>
    <w:rsid w:val="00572788"/>
    <w:rsid w:val="005764DF"/>
    <w:rsid w:val="00577663"/>
    <w:rsid w:val="0058204F"/>
    <w:rsid w:val="005840A7"/>
    <w:rsid w:val="005858D4"/>
    <w:rsid w:val="00586A78"/>
    <w:rsid w:val="005901EF"/>
    <w:rsid w:val="005912CC"/>
    <w:rsid w:val="00592A83"/>
    <w:rsid w:val="00596A23"/>
    <w:rsid w:val="005A2F24"/>
    <w:rsid w:val="005A3281"/>
    <w:rsid w:val="005A49FA"/>
    <w:rsid w:val="005A5421"/>
    <w:rsid w:val="005A64D6"/>
    <w:rsid w:val="005A673B"/>
    <w:rsid w:val="005B1505"/>
    <w:rsid w:val="005B1B68"/>
    <w:rsid w:val="005B1DCD"/>
    <w:rsid w:val="005B32C5"/>
    <w:rsid w:val="005B4639"/>
    <w:rsid w:val="005B524C"/>
    <w:rsid w:val="005B780B"/>
    <w:rsid w:val="005B7F67"/>
    <w:rsid w:val="005C4809"/>
    <w:rsid w:val="005D0219"/>
    <w:rsid w:val="005D05F1"/>
    <w:rsid w:val="005D066A"/>
    <w:rsid w:val="005D3606"/>
    <w:rsid w:val="005D5141"/>
    <w:rsid w:val="005D73FB"/>
    <w:rsid w:val="005D74A3"/>
    <w:rsid w:val="005E0C7F"/>
    <w:rsid w:val="005E2B6D"/>
    <w:rsid w:val="005E4107"/>
    <w:rsid w:val="005E423D"/>
    <w:rsid w:val="005E642D"/>
    <w:rsid w:val="005E7ABB"/>
    <w:rsid w:val="005F217E"/>
    <w:rsid w:val="005F3BA5"/>
    <w:rsid w:val="005F4F7B"/>
    <w:rsid w:val="005F6035"/>
    <w:rsid w:val="005F61ED"/>
    <w:rsid w:val="00600160"/>
    <w:rsid w:val="00601564"/>
    <w:rsid w:val="00603BF5"/>
    <w:rsid w:val="0060541D"/>
    <w:rsid w:val="00606CA9"/>
    <w:rsid w:val="00606F1E"/>
    <w:rsid w:val="0060789F"/>
    <w:rsid w:val="0061282B"/>
    <w:rsid w:val="006134EB"/>
    <w:rsid w:val="00614677"/>
    <w:rsid w:val="00615107"/>
    <w:rsid w:val="00617CE0"/>
    <w:rsid w:val="00620258"/>
    <w:rsid w:val="00623236"/>
    <w:rsid w:val="0062592A"/>
    <w:rsid w:val="0063075C"/>
    <w:rsid w:val="0063098D"/>
    <w:rsid w:val="0063202A"/>
    <w:rsid w:val="00632333"/>
    <w:rsid w:val="00632B11"/>
    <w:rsid w:val="00635AF5"/>
    <w:rsid w:val="00636076"/>
    <w:rsid w:val="006364B6"/>
    <w:rsid w:val="00636571"/>
    <w:rsid w:val="00637220"/>
    <w:rsid w:val="00640481"/>
    <w:rsid w:val="006411F0"/>
    <w:rsid w:val="006412BE"/>
    <w:rsid w:val="006414EB"/>
    <w:rsid w:val="006418FB"/>
    <w:rsid w:val="006431D5"/>
    <w:rsid w:val="00644D8B"/>
    <w:rsid w:val="00646001"/>
    <w:rsid w:val="00646536"/>
    <w:rsid w:val="0065101E"/>
    <w:rsid w:val="006522EF"/>
    <w:rsid w:val="00653352"/>
    <w:rsid w:val="0065538C"/>
    <w:rsid w:val="00656C88"/>
    <w:rsid w:val="00657C21"/>
    <w:rsid w:val="00660170"/>
    <w:rsid w:val="006601E1"/>
    <w:rsid w:val="00662FE2"/>
    <w:rsid w:val="00664B4D"/>
    <w:rsid w:val="00665F9C"/>
    <w:rsid w:val="00667991"/>
    <w:rsid w:val="00670881"/>
    <w:rsid w:val="006802D5"/>
    <w:rsid w:val="006857C5"/>
    <w:rsid w:val="00692286"/>
    <w:rsid w:val="0069228C"/>
    <w:rsid w:val="006925B0"/>
    <w:rsid w:val="006934E3"/>
    <w:rsid w:val="00693FEE"/>
    <w:rsid w:val="00694236"/>
    <w:rsid w:val="00694728"/>
    <w:rsid w:val="00697528"/>
    <w:rsid w:val="006A4FD6"/>
    <w:rsid w:val="006B1FB3"/>
    <w:rsid w:val="006B4985"/>
    <w:rsid w:val="006B6276"/>
    <w:rsid w:val="006B7B02"/>
    <w:rsid w:val="006C1F0F"/>
    <w:rsid w:val="006C1F16"/>
    <w:rsid w:val="006C2C11"/>
    <w:rsid w:val="006C2DA3"/>
    <w:rsid w:val="006C36CA"/>
    <w:rsid w:val="006C4C89"/>
    <w:rsid w:val="006C5317"/>
    <w:rsid w:val="006C5AC0"/>
    <w:rsid w:val="006D05D2"/>
    <w:rsid w:val="006D0A53"/>
    <w:rsid w:val="006D133E"/>
    <w:rsid w:val="006D16E4"/>
    <w:rsid w:val="006D1A16"/>
    <w:rsid w:val="006D3F04"/>
    <w:rsid w:val="006D4250"/>
    <w:rsid w:val="006D4BE5"/>
    <w:rsid w:val="006D6F81"/>
    <w:rsid w:val="006D76CA"/>
    <w:rsid w:val="006E0054"/>
    <w:rsid w:val="006E048E"/>
    <w:rsid w:val="006E3C70"/>
    <w:rsid w:val="006E696E"/>
    <w:rsid w:val="006E7262"/>
    <w:rsid w:val="006E7710"/>
    <w:rsid w:val="006F0F51"/>
    <w:rsid w:val="006F1262"/>
    <w:rsid w:val="006F1617"/>
    <w:rsid w:val="006F2046"/>
    <w:rsid w:val="006F53BB"/>
    <w:rsid w:val="006F5D77"/>
    <w:rsid w:val="006F7762"/>
    <w:rsid w:val="007005A9"/>
    <w:rsid w:val="00702DDD"/>
    <w:rsid w:val="00703317"/>
    <w:rsid w:val="00703B01"/>
    <w:rsid w:val="0070458F"/>
    <w:rsid w:val="0070788C"/>
    <w:rsid w:val="007101A5"/>
    <w:rsid w:val="007104C8"/>
    <w:rsid w:val="007114BA"/>
    <w:rsid w:val="0071282E"/>
    <w:rsid w:val="0072043C"/>
    <w:rsid w:val="00720E8E"/>
    <w:rsid w:val="00721922"/>
    <w:rsid w:val="00721CE9"/>
    <w:rsid w:val="0072211D"/>
    <w:rsid w:val="007227F5"/>
    <w:rsid w:val="00722935"/>
    <w:rsid w:val="007245C1"/>
    <w:rsid w:val="00724A4D"/>
    <w:rsid w:val="00725A58"/>
    <w:rsid w:val="00726083"/>
    <w:rsid w:val="007271C5"/>
    <w:rsid w:val="00731DF9"/>
    <w:rsid w:val="0073270A"/>
    <w:rsid w:val="00745543"/>
    <w:rsid w:val="00746515"/>
    <w:rsid w:val="00747837"/>
    <w:rsid w:val="00747C18"/>
    <w:rsid w:val="00750660"/>
    <w:rsid w:val="00752554"/>
    <w:rsid w:val="00752D86"/>
    <w:rsid w:val="007532D1"/>
    <w:rsid w:val="00753F3D"/>
    <w:rsid w:val="007554F5"/>
    <w:rsid w:val="00757999"/>
    <w:rsid w:val="00757CC8"/>
    <w:rsid w:val="0076002C"/>
    <w:rsid w:val="00760539"/>
    <w:rsid w:val="00760E90"/>
    <w:rsid w:val="007614F0"/>
    <w:rsid w:val="007623EC"/>
    <w:rsid w:val="00765775"/>
    <w:rsid w:val="00767B6A"/>
    <w:rsid w:val="007713D0"/>
    <w:rsid w:val="00772186"/>
    <w:rsid w:val="00772811"/>
    <w:rsid w:val="0077307E"/>
    <w:rsid w:val="00773EB0"/>
    <w:rsid w:val="00773FE5"/>
    <w:rsid w:val="00777B50"/>
    <w:rsid w:val="0078149D"/>
    <w:rsid w:val="00781536"/>
    <w:rsid w:val="00782268"/>
    <w:rsid w:val="007837E1"/>
    <w:rsid w:val="00783B0D"/>
    <w:rsid w:val="00787E2B"/>
    <w:rsid w:val="00790931"/>
    <w:rsid w:val="00790FA7"/>
    <w:rsid w:val="0079192A"/>
    <w:rsid w:val="007929B5"/>
    <w:rsid w:val="00792BC5"/>
    <w:rsid w:val="0079348B"/>
    <w:rsid w:val="00793F30"/>
    <w:rsid w:val="00793F99"/>
    <w:rsid w:val="00794B46"/>
    <w:rsid w:val="0079532C"/>
    <w:rsid w:val="0079571A"/>
    <w:rsid w:val="007A1BBF"/>
    <w:rsid w:val="007A26BE"/>
    <w:rsid w:val="007A3A9B"/>
    <w:rsid w:val="007A3C97"/>
    <w:rsid w:val="007A5426"/>
    <w:rsid w:val="007B0AC6"/>
    <w:rsid w:val="007B1B5F"/>
    <w:rsid w:val="007B234A"/>
    <w:rsid w:val="007B2ECA"/>
    <w:rsid w:val="007B39B9"/>
    <w:rsid w:val="007B69CC"/>
    <w:rsid w:val="007C10CD"/>
    <w:rsid w:val="007C1CB6"/>
    <w:rsid w:val="007C1CCE"/>
    <w:rsid w:val="007C597E"/>
    <w:rsid w:val="007C5D90"/>
    <w:rsid w:val="007D0092"/>
    <w:rsid w:val="007D1D8D"/>
    <w:rsid w:val="007D39E3"/>
    <w:rsid w:val="007D5EB4"/>
    <w:rsid w:val="007E409B"/>
    <w:rsid w:val="007E4DBB"/>
    <w:rsid w:val="007F01BB"/>
    <w:rsid w:val="007F061E"/>
    <w:rsid w:val="007F1A8D"/>
    <w:rsid w:val="007F34DB"/>
    <w:rsid w:val="007F4495"/>
    <w:rsid w:val="007F485F"/>
    <w:rsid w:val="007F6328"/>
    <w:rsid w:val="008005B2"/>
    <w:rsid w:val="00800FF3"/>
    <w:rsid w:val="008036AE"/>
    <w:rsid w:val="008040CA"/>
    <w:rsid w:val="008060CC"/>
    <w:rsid w:val="00806208"/>
    <w:rsid w:val="008115ED"/>
    <w:rsid w:val="00811756"/>
    <w:rsid w:val="00811F1C"/>
    <w:rsid w:val="008131CB"/>
    <w:rsid w:val="00813F85"/>
    <w:rsid w:val="008156E7"/>
    <w:rsid w:val="008163F4"/>
    <w:rsid w:val="00820875"/>
    <w:rsid w:val="00820DC3"/>
    <w:rsid w:val="00821447"/>
    <w:rsid w:val="0082443F"/>
    <w:rsid w:val="0082494D"/>
    <w:rsid w:val="00824BAD"/>
    <w:rsid w:val="00825D53"/>
    <w:rsid w:val="00826B43"/>
    <w:rsid w:val="00826FC4"/>
    <w:rsid w:val="00827143"/>
    <w:rsid w:val="008276F1"/>
    <w:rsid w:val="00830E9E"/>
    <w:rsid w:val="00831206"/>
    <w:rsid w:val="00832AEF"/>
    <w:rsid w:val="00832B0E"/>
    <w:rsid w:val="00833272"/>
    <w:rsid w:val="00834C6E"/>
    <w:rsid w:val="00835A9C"/>
    <w:rsid w:val="00835D38"/>
    <w:rsid w:val="0083620B"/>
    <w:rsid w:val="00837D81"/>
    <w:rsid w:val="00841B16"/>
    <w:rsid w:val="00841FB9"/>
    <w:rsid w:val="00843E40"/>
    <w:rsid w:val="0084770D"/>
    <w:rsid w:val="008531B7"/>
    <w:rsid w:val="0085380C"/>
    <w:rsid w:val="00854F57"/>
    <w:rsid w:val="00855B35"/>
    <w:rsid w:val="0085777D"/>
    <w:rsid w:val="00857BDC"/>
    <w:rsid w:val="00860659"/>
    <w:rsid w:val="008611A5"/>
    <w:rsid w:val="00862915"/>
    <w:rsid w:val="00862C71"/>
    <w:rsid w:val="00864AB7"/>
    <w:rsid w:val="00865875"/>
    <w:rsid w:val="00866D3C"/>
    <w:rsid w:val="00867EA3"/>
    <w:rsid w:val="008708D0"/>
    <w:rsid w:val="008757FC"/>
    <w:rsid w:val="0087633D"/>
    <w:rsid w:val="00876CCC"/>
    <w:rsid w:val="00877A7C"/>
    <w:rsid w:val="008806B4"/>
    <w:rsid w:val="0088173D"/>
    <w:rsid w:val="00881E0A"/>
    <w:rsid w:val="0088403D"/>
    <w:rsid w:val="00884279"/>
    <w:rsid w:val="00884EC4"/>
    <w:rsid w:val="0088652A"/>
    <w:rsid w:val="00887958"/>
    <w:rsid w:val="00890708"/>
    <w:rsid w:val="00890E79"/>
    <w:rsid w:val="00895B24"/>
    <w:rsid w:val="00896D80"/>
    <w:rsid w:val="0089733B"/>
    <w:rsid w:val="00897A0F"/>
    <w:rsid w:val="008A030E"/>
    <w:rsid w:val="008A15FA"/>
    <w:rsid w:val="008A36AD"/>
    <w:rsid w:val="008A59D5"/>
    <w:rsid w:val="008A74AF"/>
    <w:rsid w:val="008B177D"/>
    <w:rsid w:val="008B396F"/>
    <w:rsid w:val="008B4062"/>
    <w:rsid w:val="008B58A1"/>
    <w:rsid w:val="008B78D9"/>
    <w:rsid w:val="008C030C"/>
    <w:rsid w:val="008C0393"/>
    <w:rsid w:val="008C12E4"/>
    <w:rsid w:val="008C2A96"/>
    <w:rsid w:val="008C310C"/>
    <w:rsid w:val="008C4C7B"/>
    <w:rsid w:val="008D1EBB"/>
    <w:rsid w:val="008D201C"/>
    <w:rsid w:val="008D34C1"/>
    <w:rsid w:val="008D6601"/>
    <w:rsid w:val="008E0523"/>
    <w:rsid w:val="008E25BD"/>
    <w:rsid w:val="008E2F29"/>
    <w:rsid w:val="008E3098"/>
    <w:rsid w:val="008E31B0"/>
    <w:rsid w:val="008E499E"/>
    <w:rsid w:val="008E6021"/>
    <w:rsid w:val="008F1027"/>
    <w:rsid w:val="008F2E07"/>
    <w:rsid w:val="008F3264"/>
    <w:rsid w:val="008F47AA"/>
    <w:rsid w:val="008F5334"/>
    <w:rsid w:val="008F551D"/>
    <w:rsid w:val="008F5797"/>
    <w:rsid w:val="008F5D65"/>
    <w:rsid w:val="008F6A6A"/>
    <w:rsid w:val="00901934"/>
    <w:rsid w:val="00903C30"/>
    <w:rsid w:val="00905CF6"/>
    <w:rsid w:val="00906711"/>
    <w:rsid w:val="0090779A"/>
    <w:rsid w:val="009078C9"/>
    <w:rsid w:val="00911CAC"/>
    <w:rsid w:val="00912175"/>
    <w:rsid w:val="00913569"/>
    <w:rsid w:val="009138D4"/>
    <w:rsid w:val="009164F4"/>
    <w:rsid w:val="00921B7F"/>
    <w:rsid w:val="00924CE2"/>
    <w:rsid w:val="0092570B"/>
    <w:rsid w:val="00931802"/>
    <w:rsid w:val="00934138"/>
    <w:rsid w:val="00934A5B"/>
    <w:rsid w:val="0093701F"/>
    <w:rsid w:val="009377A5"/>
    <w:rsid w:val="00937BF5"/>
    <w:rsid w:val="00940149"/>
    <w:rsid w:val="00946219"/>
    <w:rsid w:val="00946268"/>
    <w:rsid w:val="00946705"/>
    <w:rsid w:val="00950A92"/>
    <w:rsid w:val="0095385F"/>
    <w:rsid w:val="00961E86"/>
    <w:rsid w:val="009628A6"/>
    <w:rsid w:val="00965C20"/>
    <w:rsid w:val="00972413"/>
    <w:rsid w:val="00972CCE"/>
    <w:rsid w:val="009734DD"/>
    <w:rsid w:val="00973AC4"/>
    <w:rsid w:val="00973CAA"/>
    <w:rsid w:val="00973DF3"/>
    <w:rsid w:val="00974DC0"/>
    <w:rsid w:val="0098272F"/>
    <w:rsid w:val="009831FA"/>
    <w:rsid w:val="009878C2"/>
    <w:rsid w:val="00987C4F"/>
    <w:rsid w:val="00991171"/>
    <w:rsid w:val="00991278"/>
    <w:rsid w:val="009917D7"/>
    <w:rsid w:val="0099273F"/>
    <w:rsid w:val="00995AF7"/>
    <w:rsid w:val="00996733"/>
    <w:rsid w:val="009A2475"/>
    <w:rsid w:val="009A310F"/>
    <w:rsid w:val="009A7F31"/>
    <w:rsid w:val="009B0241"/>
    <w:rsid w:val="009B0FA1"/>
    <w:rsid w:val="009B1A8A"/>
    <w:rsid w:val="009B29BA"/>
    <w:rsid w:val="009B359D"/>
    <w:rsid w:val="009B3E73"/>
    <w:rsid w:val="009C0531"/>
    <w:rsid w:val="009C26A2"/>
    <w:rsid w:val="009C3E92"/>
    <w:rsid w:val="009C42CB"/>
    <w:rsid w:val="009C4C33"/>
    <w:rsid w:val="009C4DE5"/>
    <w:rsid w:val="009C5769"/>
    <w:rsid w:val="009C6460"/>
    <w:rsid w:val="009C73BB"/>
    <w:rsid w:val="009D0A07"/>
    <w:rsid w:val="009D345B"/>
    <w:rsid w:val="009D47F3"/>
    <w:rsid w:val="009D519D"/>
    <w:rsid w:val="009D7E57"/>
    <w:rsid w:val="009E04BA"/>
    <w:rsid w:val="009E083F"/>
    <w:rsid w:val="009E4180"/>
    <w:rsid w:val="009E74B0"/>
    <w:rsid w:val="009E7897"/>
    <w:rsid w:val="009E799F"/>
    <w:rsid w:val="009E7F82"/>
    <w:rsid w:val="009F1573"/>
    <w:rsid w:val="009F158F"/>
    <w:rsid w:val="009F1645"/>
    <w:rsid w:val="009F1A5B"/>
    <w:rsid w:val="009F48E5"/>
    <w:rsid w:val="009F505E"/>
    <w:rsid w:val="009F52DB"/>
    <w:rsid w:val="009F5803"/>
    <w:rsid w:val="00A00969"/>
    <w:rsid w:val="00A00D69"/>
    <w:rsid w:val="00A05AF5"/>
    <w:rsid w:val="00A05B9D"/>
    <w:rsid w:val="00A06126"/>
    <w:rsid w:val="00A10BFE"/>
    <w:rsid w:val="00A111AE"/>
    <w:rsid w:val="00A16F8A"/>
    <w:rsid w:val="00A20568"/>
    <w:rsid w:val="00A21FAD"/>
    <w:rsid w:val="00A2214C"/>
    <w:rsid w:val="00A22672"/>
    <w:rsid w:val="00A23CC4"/>
    <w:rsid w:val="00A25173"/>
    <w:rsid w:val="00A27F81"/>
    <w:rsid w:val="00A301FA"/>
    <w:rsid w:val="00A30939"/>
    <w:rsid w:val="00A317C3"/>
    <w:rsid w:val="00A34B62"/>
    <w:rsid w:val="00A36E9D"/>
    <w:rsid w:val="00A37A93"/>
    <w:rsid w:val="00A4154D"/>
    <w:rsid w:val="00A42BEF"/>
    <w:rsid w:val="00A44B38"/>
    <w:rsid w:val="00A44B57"/>
    <w:rsid w:val="00A45807"/>
    <w:rsid w:val="00A51575"/>
    <w:rsid w:val="00A52B16"/>
    <w:rsid w:val="00A5449D"/>
    <w:rsid w:val="00A55823"/>
    <w:rsid w:val="00A562F9"/>
    <w:rsid w:val="00A602BF"/>
    <w:rsid w:val="00A621CE"/>
    <w:rsid w:val="00A62989"/>
    <w:rsid w:val="00A64F31"/>
    <w:rsid w:val="00A65755"/>
    <w:rsid w:val="00A67AF3"/>
    <w:rsid w:val="00A731F2"/>
    <w:rsid w:val="00A73754"/>
    <w:rsid w:val="00A75950"/>
    <w:rsid w:val="00A768D1"/>
    <w:rsid w:val="00A76E64"/>
    <w:rsid w:val="00A7755C"/>
    <w:rsid w:val="00A82DBC"/>
    <w:rsid w:val="00A836DB"/>
    <w:rsid w:val="00A85A57"/>
    <w:rsid w:val="00A92208"/>
    <w:rsid w:val="00A969E0"/>
    <w:rsid w:val="00A97FDD"/>
    <w:rsid w:val="00AA1037"/>
    <w:rsid w:val="00AA1402"/>
    <w:rsid w:val="00AA2CC5"/>
    <w:rsid w:val="00AA4544"/>
    <w:rsid w:val="00AA58DC"/>
    <w:rsid w:val="00AA633C"/>
    <w:rsid w:val="00AA689B"/>
    <w:rsid w:val="00AA70CE"/>
    <w:rsid w:val="00AA7DB7"/>
    <w:rsid w:val="00AB30C3"/>
    <w:rsid w:val="00AB35EE"/>
    <w:rsid w:val="00AB3DA8"/>
    <w:rsid w:val="00AB4DF6"/>
    <w:rsid w:val="00AB5331"/>
    <w:rsid w:val="00AC0B43"/>
    <w:rsid w:val="00AC0C05"/>
    <w:rsid w:val="00AC24A2"/>
    <w:rsid w:val="00AC318E"/>
    <w:rsid w:val="00AC3813"/>
    <w:rsid w:val="00AC4299"/>
    <w:rsid w:val="00AC5FF2"/>
    <w:rsid w:val="00AC7251"/>
    <w:rsid w:val="00AC79AD"/>
    <w:rsid w:val="00AD1445"/>
    <w:rsid w:val="00AD1FF0"/>
    <w:rsid w:val="00AD2274"/>
    <w:rsid w:val="00AD3FA6"/>
    <w:rsid w:val="00AD5467"/>
    <w:rsid w:val="00AD7A7D"/>
    <w:rsid w:val="00AE1B0D"/>
    <w:rsid w:val="00AE2E7F"/>
    <w:rsid w:val="00AE43B4"/>
    <w:rsid w:val="00AE569F"/>
    <w:rsid w:val="00AE610A"/>
    <w:rsid w:val="00AF1296"/>
    <w:rsid w:val="00AF26BC"/>
    <w:rsid w:val="00AF36EC"/>
    <w:rsid w:val="00AF4123"/>
    <w:rsid w:val="00AF5D6C"/>
    <w:rsid w:val="00AF6AAB"/>
    <w:rsid w:val="00AF6F45"/>
    <w:rsid w:val="00B01681"/>
    <w:rsid w:val="00B01781"/>
    <w:rsid w:val="00B0287C"/>
    <w:rsid w:val="00B103E4"/>
    <w:rsid w:val="00B12A09"/>
    <w:rsid w:val="00B12F27"/>
    <w:rsid w:val="00B151E3"/>
    <w:rsid w:val="00B161D3"/>
    <w:rsid w:val="00B17158"/>
    <w:rsid w:val="00B22CDA"/>
    <w:rsid w:val="00B2481B"/>
    <w:rsid w:val="00B255E3"/>
    <w:rsid w:val="00B26CD9"/>
    <w:rsid w:val="00B316EE"/>
    <w:rsid w:val="00B31B51"/>
    <w:rsid w:val="00B32304"/>
    <w:rsid w:val="00B32590"/>
    <w:rsid w:val="00B33B9E"/>
    <w:rsid w:val="00B36E54"/>
    <w:rsid w:val="00B3743E"/>
    <w:rsid w:val="00B40FF3"/>
    <w:rsid w:val="00B437C5"/>
    <w:rsid w:val="00B45016"/>
    <w:rsid w:val="00B51605"/>
    <w:rsid w:val="00B53390"/>
    <w:rsid w:val="00B53907"/>
    <w:rsid w:val="00B53B59"/>
    <w:rsid w:val="00B552FB"/>
    <w:rsid w:val="00B558EE"/>
    <w:rsid w:val="00B55924"/>
    <w:rsid w:val="00B55F3E"/>
    <w:rsid w:val="00B578E3"/>
    <w:rsid w:val="00B6248D"/>
    <w:rsid w:val="00B63DFB"/>
    <w:rsid w:val="00B65477"/>
    <w:rsid w:val="00B6612C"/>
    <w:rsid w:val="00B67AD5"/>
    <w:rsid w:val="00B67B05"/>
    <w:rsid w:val="00B72099"/>
    <w:rsid w:val="00B72405"/>
    <w:rsid w:val="00B72895"/>
    <w:rsid w:val="00B72E1D"/>
    <w:rsid w:val="00B74B53"/>
    <w:rsid w:val="00B75721"/>
    <w:rsid w:val="00B80C1C"/>
    <w:rsid w:val="00B833C3"/>
    <w:rsid w:val="00B86CD3"/>
    <w:rsid w:val="00B9025A"/>
    <w:rsid w:val="00B90434"/>
    <w:rsid w:val="00B90D66"/>
    <w:rsid w:val="00B92DEC"/>
    <w:rsid w:val="00B9679B"/>
    <w:rsid w:val="00B96B95"/>
    <w:rsid w:val="00B9707C"/>
    <w:rsid w:val="00BA02B0"/>
    <w:rsid w:val="00BA094A"/>
    <w:rsid w:val="00BA19ED"/>
    <w:rsid w:val="00BA3E28"/>
    <w:rsid w:val="00BA469F"/>
    <w:rsid w:val="00BA4F0B"/>
    <w:rsid w:val="00BA5852"/>
    <w:rsid w:val="00BA7E5D"/>
    <w:rsid w:val="00BB32EA"/>
    <w:rsid w:val="00BB3AF4"/>
    <w:rsid w:val="00BB78AB"/>
    <w:rsid w:val="00BC057D"/>
    <w:rsid w:val="00BC0E25"/>
    <w:rsid w:val="00BC0FC3"/>
    <w:rsid w:val="00BC1932"/>
    <w:rsid w:val="00BC19F0"/>
    <w:rsid w:val="00BC3304"/>
    <w:rsid w:val="00BD0007"/>
    <w:rsid w:val="00BD0C8D"/>
    <w:rsid w:val="00BD1E24"/>
    <w:rsid w:val="00BD4008"/>
    <w:rsid w:val="00BD4E11"/>
    <w:rsid w:val="00BD5A60"/>
    <w:rsid w:val="00BD5CAC"/>
    <w:rsid w:val="00BD7DF3"/>
    <w:rsid w:val="00BE1872"/>
    <w:rsid w:val="00BE1B34"/>
    <w:rsid w:val="00BE1DAA"/>
    <w:rsid w:val="00BE2863"/>
    <w:rsid w:val="00BE396F"/>
    <w:rsid w:val="00BE3BBB"/>
    <w:rsid w:val="00BE6BE9"/>
    <w:rsid w:val="00BE7B1A"/>
    <w:rsid w:val="00BE7ECA"/>
    <w:rsid w:val="00BF0A34"/>
    <w:rsid w:val="00BF2EB8"/>
    <w:rsid w:val="00BF31DB"/>
    <w:rsid w:val="00BF6E26"/>
    <w:rsid w:val="00BF7432"/>
    <w:rsid w:val="00BF77AB"/>
    <w:rsid w:val="00C00104"/>
    <w:rsid w:val="00C0044F"/>
    <w:rsid w:val="00C0077C"/>
    <w:rsid w:val="00C04209"/>
    <w:rsid w:val="00C043C5"/>
    <w:rsid w:val="00C05213"/>
    <w:rsid w:val="00C0580F"/>
    <w:rsid w:val="00C0736A"/>
    <w:rsid w:val="00C1357A"/>
    <w:rsid w:val="00C14D8A"/>
    <w:rsid w:val="00C17729"/>
    <w:rsid w:val="00C2153C"/>
    <w:rsid w:val="00C22553"/>
    <w:rsid w:val="00C242BE"/>
    <w:rsid w:val="00C24D1F"/>
    <w:rsid w:val="00C24D5E"/>
    <w:rsid w:val="00C2704C"/>
    <w:rsid w:val="00C30E23"/>
    <w:rsid w:val="00C32528"/>
    <w:rsid w:val="00C331B6"/>
    <w:rsid w:val="00C357B7"/>
    <w:rsid w:val="00C35900"/>
    <w:rsid w:val="00C4167D"/>
    <w:rsid w:val="00C421D6"/>
    <w:rsid w:val="00C4425C"/>
    <w:rsid w:val="00C46755"/>
    <w:rsid w:val="00C46DE6"/>
    <w:rsid w:val="00C47414"/>
    <w:rsid w:val="00C47748"/>
    <w:rsid w:val="00C51336"/>
    <w:rsid w:val="00C5153C"/>
    <w:rsid w:val="00C53B56"/>
    <w:rsid w:val="00C54004"/>
    <w:rsid w:val="00C557B4"/>
    <w:rsid w:val="00C600A1"/>
    <w:rsid w:val="00C628D4"/>
    <w:rsid w:val="00C62C36"/>
    <w:rsid w:val="00C64FFA"/>
    <w:rsid w:val="00C65048"/>
    <w:rsid w:val="00C66E6F"/>
    <w:rsid w:val="00C67598"/>
    <w:rsid w:val="00C701CD"/>
    <w:rsid w:val="00C70EE3"/>
    <w:rsid w:val="00C71120"/>
    <w:rsid w:val="00C72C0D"/>
    <w:rsid w:val="00C833FA"/>
    <w:rsid w:val="00C8532E"/>
    <w:rsid w:val="00C8685B"/>
    <w:rsid w:val="00C87A56"/>
    <w:rsid w:val="00C87EF8"/>
    <w:rsid w:val="00C905F6"/>
    <w:rsid w:val="00C90900"/>
    <w:rsid w:val="00C93344"/>
    <w:rsid w:val="00C945D4"/>
    <w:rsid w:val="00C96455"/>
    <w:rsid w:val="00CA4931"/>
    <w:rsid w:val="00CA4C87"/>
    <w:rsid w:val="00CA6E90"/>
    <w:rsid w:val="00CB02F9"/>
    <w:rsid w:val="00CB1BFD"/>
    <w:rsid w:val="00CB2E83"/>
    <w:rsid w:val="00CB41D1"/>
    <w:rsid w:val="00CB57D8"/>
    <w:rsid w:val="00CB59BE"/>
    <w:rsid w:val="00CB5A24"/>
    <w:rsid w:val="00CB6D8B"/>
    <w:rsid w:val="00CC1166"/>
    <w:rsid w:val="00CC23D9"/>
    <w:rsid w:val="00CC2C9B"/>
    <w:rsid w:val="00CC321B"/>
    <w:rsid w:val="00CC426F"/>
    <w:rsid w:val="00CC47DD"/>
    <w:rsid w:val="00CC669E"/>
    <w:rsid w:val="00CC77A9"/>
    <w:rsid w:val="00CC7C1A"/>
    <w:rsid w:val="00CD0F20"/>
    <w:rsid w:val="00CD14F5"/>
    <w:rsid w:val="00CD239F"/>
    <w:rsid w:val="00CD3A88"/>
    <w:rsid w:val="00CD46BE"/>
    <w:rsid w:val="00CE3B7A"/>
    <w:rsid w:val="00CE42DB"/>
    <w:rsid w:val="00CE464F"/>
    <w:rsid w:val="00CE5C52"/>
    <w:rsid w:val="00CE6696"/>
    <w:rsid w:val="00CE7400"/>
    <w:rsid w:val="00CF142C"/>
    <w:rsid w:val="00CF1BA6"/>
    <w:rsid w:val="00CF6E16"/>
    <w:rsid w:val="00D006D5"/>
    <w:rsid w:val="00D01503"/>
    <w:rsid w:val="00D01AF8"/>
    <w:rsid w:val="00D02946"/>
    <w:rsid w:val="00D02CF3"/>
    <w:rsid w:val="00D03A8C"/>
    <w:rsid w:val="00D0546A"/>
    <w:rsid w:val="00D06527"/>
    <w:rsid w:val="00D07B76"/>
    <w:rsid w:val="00D1068B"/>
    <w:rsid w:val="00D114E1"/>
    <w:rsid w:val="00D11C6A"/>
    <w:rsid w:val="00D12CCA"/>
    <w:rsid w:val="00D1432C"/>
    <w:rsid w:val="00D14E3C"/>
    <w:rsid w:val="00D1678C"/>
    <w:rsid w:val="00D22DAF"/>
    <w:rsid w:val="00D2633E"/>
    <w:rsid w:val="00D26C73"/>
    <w:rsid w:val="00D26EF3"/>
    <w:rsid w:val="00D27025"/>
    <w:rsid w:val="00D3052C"/>
    <w:rsid w:val="00D32446"/>
    <w:rsid w:val="00D3249B"/>
    <w:rsid w:val="00D32941"/>
    <w:rsid w:val="00D33332"/>
    <w:rsid w:val="00D33BF5"/>
    <w:rsid w:val="00D34C6D"/>
    <w:rsid w:val="00D35C36"/>
    <w:rsid w:val="00D367BB"/>
    <w:rsid w:val="00D369F0"/>
    <w:rsid w:val="00D370EE"/>
    <w:rsid w:val="00D4111B"/>
    <w:rsid w:val="00D441B3"/>
    <w:rsid w:val="00D454B5"/>
    <w:rsid w:val="00D47DC4"/>
    <w:rsid w:val="00D47EC5"/>
    <w:rsid w:val="00D52369"/>
    <w:rsid w:val="00D526D1"/>
    <w:rsid w:val="00D54190"/>
    <w:rsid w:val="00D54B38"/>
    <w:rsid w:val="00D55100"/>
    <w:rsid w:val="00D573BD"/>
    <w:rsid w:val="00D57E96"/>
    <w:rsid w:val="00D60DE0"/>
    <w:rsid w:val="00D617E4"/>
    <w:rsid w:val="00D64DF8"/>
    <w:rsid w:val="00D64F3F"/>
    <w:rsid w:val="00D65948"/>
    <w:rsid w:val="00D66B49"/>
    <w:rsid w:val="00D66BA9"/>
    <w:rsid w:val="00D71532"/>
    <w:rsid w:val="00D71DE1"/>
    <w:rsid w:val="00D72A65"/>
    <w:rsid w:val="00D740BA"/>
    <w:rsid w:val="00D765F3"/>
    <w:rsid w:val="00D80569"/>
    <w:rsid w:val="00D80F51"/>
    <w:rsid w:val="00D8327F"/>
    <w:rsid w:val="00D8677C"/>
    <w:rsid w:val="00D86A95"/>
    <w:rsid w:val="00D86D9C"/>
    <w:rsid w:val="00D870D0"/>
    <w:rsid w:val="00D87441"/>
    <w:rsid w:val="00D900A7"/>
    <w:rsid w:val="00D91A28"/>
    <w:rsid w:val="00D91F17"/>
    <w:rsid w:val="00D92C22"/>
    <w:rsid w:val="00D9431E"/>
    <w:rsid w:val="00D9542E"/>
    <w:rsid w:val="00D96CD4"/>
    <w:rsid w:val="00DA0918"/>
    <w:rsid w:val="00DA1E4B"/>
    <w:rsid w:val="00DA205F"/>
    <w:rsid w:val="00DA2919"/>
    <w:rsid w:val="00DA32F7"/>
    <w:rsid w:val="00DA62AC"/>
    <w:rsid w:val="00DA6887"/>
    <w:rsid w:val="00DB0303"/>
    <w:rsid w:val="00DB18E3"/>
    <w:rsid w:val="00DB1AF9"/>
    <w:rsid w:val="00DB2A11"/>
    <w:rsid w:val="00DB2AD6"/>
    <w:rsid w:val="00DB3E10"/>
    <w:rsid w:val="00DB4266"/>
    <w:rsid w:val="00DB4FDC"/>
    <w:rsid w:val="00DB5804"/>
    <w:rsid w:val="00DB722A"/>
    <w:rsid w:val="00DC042C"/>
    <w:rsid w:val="00DC0CBA"/>
    <w:rsid w:val="00DC34E3"/>
    <w:rsid w:val="00DC4E86"/>
    <w:rsid w:val="00DC5771"/>
    <w:rsid w:val="00DC5E28"/>
    <w:rsid w:val="00DC6C84"/>
    <w:rsid w:val="00DD255C"/>
    <w:rsid w:val="00DD2AED"/>
    <w:rsid w:val="00DD525A"/>
    <w:rsid w:val="00DD526D"/>
    <w:rsid w:val="00DD52C8"/>
    <w:rsid w:val="00DD5A48"/>
    <w:rsid w:val="00DD606D"/>
    <w:rsid w:val="00DE2AF7"/>
    <w:rsid w:val="00DE3A73"/>
    <w:rsid w:val="00DE5108"/>
    <w:rsid w:val="00DE5537"/>
    <w:rsid w:val="00DF08A7"/>
    <w:rsid w:val="00DF11CD"/>
    <w:rsid w:val="00DF17E5"/>
    <w:rsid w:val="00DF20E2"/>
    <w:rsid w:val="00DF2FAE"/>
    <w:rsid w:val="00DF4B26"/>
    <w:rsid w:val="00DF707C"/>
    <w:rsid w:val="00E0045F"/>
    <w:rsid w:val="00E0090D"/>
    <w:rsid w:val="00E02606"/>
    <w:rsid w:val="00E03354"/>
    <w:rsid w:val="00E0448F"/>
    <w:rsid w:val="00E1098E"/>
    <w:rsid w:val="00E121BC"/>
    <w:rsid w:val="00E1370F"/>
    <w:rsid w:val="00E13890"/>
    <w:rsid w:val="00E13998"/>
    <w:rsid w:val="00E14CAB"/>
    <w:rsid w:val="00E16BAE"/>
    <w:rsid w:val="00E215F9"/>
    <w:rsid w:val="00E22DC7"/>
    <w:rsid w:val="00E24EA4"/>
    <w:rsid w:val="00E276CA"/>
    <w:rsid w:val="00E304E7"/>
    <w:rsid w:val="00E314D6"/>
    <w:rsid w:val="00E31917"/>
    <w:rsid w:val="00E32549"/>
    <w:rsid w:val="00E3344B"/>
    <w:rsid w:val="00E338F1"/>
    <w:rsid w:val="00E33FFF"/>
    <w:rsid w:val="00E36A67"/>
    <w:rsid w:val="00E40331"/>
    <w:rsid w:val="00E42CD7"/>
    <w:rsid w:val="00E43D79"/>
    <w:rsid w:val="00E450C8"/>
    <w:rsid w:val="00E555F4"/>
    <w:rsid w:val="00E57D38"/>
    <w:rsid w:val="00E61C37"/>
    <w:rsid w:val="00E61D61"/>
    <w:rsid w:val="00E62EE8"/>
    <w:rsid w:val="00E63D3C"/>
    <w:rsid w:val="00E649B7"/>
    <w:rsid w:val="00E65B14"/>
    <w:rsid w:val="00E65C33"/>
    <w:rsid w:val="00E67914"/>
    <w:rsid w:val="00E7255A"/>
    <w:rsid w:val="00E7265C"/>
    <w:rsid w:val="00E72E49"/>
    <w:rsid w:val="00E739DC"/>
    <w:rsid w:val="00E81151"/>
    <w:rsid w:val="00E8369A"/>
    <w:rsid w:val="00E84A3A"/>
    <w:rsid w:val="00E84B5A"/>
    <w:rsid w:val="00E8664F"/>
    <w:rsid w:val="00E87046"/>
    <w:rsid w:val="00E8746D"/>
    <w:rsid w:val="00E87697"/>
    <w:rsid w:val="00E90A54"/>
    <w:rsid w:val="00E917C4"/>
    <w:rsid w:val="00E91C15"/>
    <w:rsid w:val="00E92CAF"/>
    <w:rsid w:val="00E95838"/>
    <w:rsid w:val="00E96324"/>
    <w:rsid w:val="00E97014"/>
    <w:rsid w:val="00EA09DE"/>
    <w:rsid w:val="00EA1B65"/>
    <w:rsid w:val="00EA2824"/>
    <w:rsid w:val="00EA7835"/>
    <w:rsid w:val="00EA7977"/>
    <w:rsid w:val="00EB36EF"/>
    <w:rsid w:val="00EB3C5F"/>
    <w:rsid w:val="00EB4607"/>
    <w:rsid w:val="00EB49EE"/>
    <w:rsid w:val="00EB5CDB"/>
    <w:rsid w:val="00EB7107"/>
    <w:rsid w:val="00EB77A6"/>
    <w:rsid w:val="00EB7B80"/>
    <w:rsid w:val="00EC0A8A"/>
    <w:rsid w:val="00EC15C6"/>
    <w:rsid w:val="00EC2DE3"/>
    <w:rsid w:val="00EC30BD"/>
    <w:rsid w:val="00EC791E"/>
    <w:rsid w:val="00ED0612"/>
    <w:rsid w:val="00ED0848"/>
    <w:rsid w:val="00ED14AF"/>
    <w:rsid w:val="00ED22EE"/>
    <w:rsid w:val="00ED238B"/>
    <w:rsid w:val="00ED33A3"/>
    <w:rsid w:val="00ED3867"/>
    <w:rsid w:val="00ED6D60"/>
    <w:rsid w:val="00ED723A"/>
    <w:rsid w:val="00EE0C71"/>
    <w:rsid w:val="00EE5346"/>
    <w:rsid w:val="00EE68BE"/>
    <w:rsid w:val="00EF3073"/>
    <w:rsid w:val="00EF5E53"/>
    <w:rsid w:val="00EF74B8"/>
    <w:rsid w:val="00F003AB"/>
    <w:rsid w:val="00F032CA"/>
    <w:rsid w:val="00F03FA0"/>
    <w:rsid w:val="00F061E1"/>
    <w:rsid w:val="00F078CC"/>
    <w:rsid w:val="00F10981"/>
    <w:rsid w:val="00F10EE5"/>
    <w:rsid w:val="00F147FE"/>
    <w:rsid w:val="00F15BBC"/>
    <w:rsid w:val="00F20694"/>
    <w:rsid w:val="00F21CC0"/>
    <w:rsid w:val="00F23CF7"/>
    <w:rsid w:val="00F24217"/>
    <w:rsid w:val="00F254EE"/>
    <w:rsid w:val="00F27134"/>
    <w:rsid w:val="00F274C2"/>
    <w:rsid w:val="00F2795B"/>
    <w:rsid w:val="00F3272C"/>
    <w:rsid w:val="00F329C2"/>
    <w:rsid w:val="00F34F41"/>
    <w:rsid w:val="00F36905"/>
    <w:rsid w:val="00F36C2C"/>
    <w:rsid w:val="00F407F8"/>
    <w:rsid w:val="00F4092F"/>
    <w:rsid w:val="00F414DC"/>
    <w:rsid w:val="00F4264A"/>
    <w:rsid w:val="00F451CF"/>
    <w:rsid w:val="00F45F4F"/>
    <w:rsid w:val="00F46855"/>
    <w:rsid w:val="00F46A13"/>
    <w:rsid w:val="00F53507"/>
    <w:rsid w:val="00F555D8"/>
    <w:rsid w:val="00F5698F"/>
    <w:rsid w:val="00F57B46"/>
    <w:rsid w:val="00F60D9A"/>
    <w:rsid w:val="00F63FA8"/>
    <w:rsid w:val="00F663B9"/>
    <w:rsid w:val="00F709CC"/>
    <w:rsid w:val="00F7102E"/>
    <w:rsid w:val="00F71157"/>
    <w:rsid w:val="00F717D8"/>
    <w:rsid w:val="00F73508"/>
    <w:rsid w:val="00F743EA"/>
    <w:rsid w:val="00F758E0"/>
    <w:rsid w:val="00F75DBD"/>
    <w:rsid w:val="00F75E6D"/>
    <w:rsid w:val="00F75EE4"/>
    <w:rsid w:val="00F767C7"/>
    <w:rsid w:val="00F825F8"/>
    <w:rsid w:val="00F828D4"/>
    <w:rsid w:val="00F8336D"/>
    <w:rsid w:val="00F8701C"/>
    <w:rsid w:val="00F9060E"/>
    <w:rsid w:val="00F930D3"/>
    <w:rsid w:val="00F945D0"/>
    <w:rsid w:val="00F94CC2"/>
    <w:rsid w:val="00F9636C"/>
    <w:rsid w:val="00F965CF"/>
    <w:rsid w:val="00F9744C"/>
    <w:rsid w:val="00F97C8F"/>
    <w:rsid w:val="00FA24DC"/>
    <w:rsid w:val="00FA3E25"/>
    <w:rsid w:val="00FA4B4D"/>
    <w:rsid w:val="00FA50DE"/>
    <w:rsid w:val="00FA62FF"/>
    <w:rsid w:val="00FA7596"/>
    <w:rsid w:val="00FA78A0"/>
    <w:rsid w:val="00FB05AF"/>
    <w:rsid w:val="00FB065F"/>
    <w:rsid w:val="00FB09F9"/>
    <w:rsid w:val="00FB0D02"/>
    <w:rsid w:val="00FB0ED9"/>
    <w:rsid w:val="00FB2508"/>
    <w:rsid w:val="00FB4533"/>
    <w:rsid w:val="00FB6681"/>
    <w:rsid w:val="00FB6F3C"/>
    <w:rsid w:val="00FC1169"/>
    <w:rsid w:val="00FC19EA"/>
    <w:rsid w:val="00FC1BCA"/>
    <w:rsid w:val="00FC1D1D"/>
    <w:rsid w:val="00FC3E28"/>
    <w:rsid w:val="00FC417F"/>
    <w:rsid w:val="00FC763E"/>
    <w:rsid w:val="00FD0DEA"/>
    <w:rsid w:val="00FD5F3F"/>
    <w:rsid w:val="00FD660C"/>
    <w:rsid w:val="00FD7A6E"/>
    <w:rsid w:val="00FE1FF9"/>
    <w:rsid w:val="00FE3B39"/>
    <w:rsid w:val="00FE44FD"/>
    <w:rsid w:val="00FE5D08"/>
    <w:rsid w:val="00FE6F51"/>
    <w:rsid w:val="00FE76C9"/>
    <w:rsid w:val="00FF1951"/>
    <w:rsid w:val="00FF23AB"/>
    <w:rsid w:val="00FF6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1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B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A1"/>
    <w:next w:val="Normal"/>
    <w:link w:val="Heading1Char"/>
    <w:uiPriority w:val="9"/>
    <w:qFormat/>
    <w:rsid w:val="00164D37"/>
    <w:pPr>
      <w:ind w:left="709" w:hanging="709"/>
      <w:outlineLvl w:val="0"/>
    </w:pPr>
    <w:rPr>
      <w:rFonts w:ascii="Times New Roman" w:hAnsi="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F3FB7"/>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FootnoteText">
    <w:name w:val="footnote text"/>
    <w:aliases w:val="ACMA Footnote Text"/>
    <w:basedOn w:val="Normal"/>
    <w:link w:val="FootnoteTextChar"/>
    <w:rsid w:val="001F3FB7"/>
    <w:rPr>
      <w:szCs w:val="20"/>
    </w:rPr>
  </w:style>
  <w:style w:type="character" w:customStyle="1" w:styleId="FootnoteTextChar">
    <w:name w:val="Footnote Text Char"/>
    <w:aliases w:val="ACMA Footnote Text Char"/>
    <w:basedOn w:val="DefaultParagraphFont"/>
    <w:link w:val="FootnoteText"/>
    <w:rsid w:val="001F3FB7"/>
    <w:rPr>
      <w:rFonts w:ascii="Times New Roman" w:eastAsia="Times New Roman" w:hAnsi="Times New Roman" w:cs="Times New Roman"/>
      <w:sz w:val="24"/>
      <w:szCs w:val="20"/>
      <w:lang w:eastAsia="en-AU"/>
    </w:rPr>
  </w:style>
  <w:style w:type="character" w:styleId="FootnoteReference">
    <w:name w:val="footnote reference"/>
    <w:basedOn w:val="DefaultParagraphFont"/>
    <w:rsid w:val="001F3FB7"/>
    <w:rPr>
      <w:vertAlign w:val="superscript"/>
    </w:rPr>
  </w:style>
  <w:style w:type="paragraph" w:styleId="Header">
    <w:name w:val="header"/>
    <w:basedOn w:val="Normal"/>
    <w:link w:val="HeaderChar"/>
    <w:uiPriority w:val="99"/>
    <w:rsid w:val="001F3FB7"/>
    <w:pPr>
      <w:tabs>
        <w:tab w:val="center" w:pos="4153"/>
        <w:tab w:val="right" w:pos="8306"/>
      </w:tabs>
    </w:pPr>
  </w:style>
  <w:style w:type="character" w:customStyle="1" w:styleId="HeaderChar">
    <w:name w:val="Header Char"/>
    <w:basedOn w:val="DefaultParagraphFont"/>
    <w:link w:val="Header"/>
    <w:uiPriority w:val="99"/>
    <w:rsid w:val="001F3FB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1F3FB7"/>
    <w:pPr>
      <w:tabs>
        <w:tab w:val="center" w:pos="4153"/>
        <w:tab w:val="right" w:pos="8306"/>
      </w:tabs>
    </w:pPr>
  </w:style>
  <w:style w:type="character" w:customStyle="1" w:styleId="FooterChar">
    <w:name w:val="Footer Char"/>
    <w:basedOn w:val="DefaultParagraphFont"/>
    <w:link w:val="Footer"/>
    <w:uiPriority w:val="99"/>
    <w:rsid w:val="001F3FB7"/>
    <w:rPr>
      <w:rFonts w:ascii="Times New Roman" w:eastAsia="Times New Roman" w:hAnsi="Times New Roman" w:cs="Times New Roman"/>
      <w:sz w:val="24"/>
      <w:szCs w:val="24"/>
      <w:lang w:eastAsia="en-AU"/>
    </w:rPr>
  </w:style>
  <w:style w:type="character" w:styleId="Hyperlink">
    <w:name w:val="Hyperlink"/>
    <w:basedOn w:val="DefaultParagraphFont"/>
    <w:uiPriority w:val="99"/>
    <w:rsid w:val="001F3FB7"/>
    <w:rPr>
      <w:color w:val="0000FF"/>
      <w:u w:val="single"/>
    </w:rPr>
  </w:style>
  <w:style w:type="paragraph" w:customStyle="1" w:styleId="ACMANumberedList">
    <w:name w:val="ACMA Numbered List"/>
    <w:rsid w:val="001F3FB7"/>
    <w:pPr>
      <w:numPr>
        <w:numId w:val="2"/>
      </w:numPr>
      <w:spacing w:before="20" w:after="20" w:line="240" w:lineRule="auto"/>
    </w:pPr>
    <w:rPr>
      <w:rFonts w:ascii="Times New Roman" w:eastAsia="Times New Roman" w:hAnsi="Times New Roman" w:cs="Times New Roman"/>
      <w:sz w:val="24"/>
      <w:szCs w:val="20"/>
    </w:rPr>
  </w:style>
  <w:style w:type="character" w:customStyle="1" w:styleId="DefaultChar">
    <w:name w:val="Default Char"/>
    <w:basedOn w:val="DefaultParagraphFont"/>
    <w:link w:val="Default"/>
    <w:rsid w:val="001F3FB7"/>
    <w:rPr>
      <w:rFonts w:ascii="Times New Roman" w:eastAsia="Times New Roman" w:hAnsi="Times New Roman" w:cs="Times New Roman"/>
      <w:color w:val="000000"/>
      <w:sz w:val="24"/>
      <w:szCs w:val="24"/>
      <w:lang w:eastAsia="en-AU"/>
    </w:rPr>
  </w:style>
  <w:style w:type="character" w:styleId="PageNumber">
    <w:name w:val="page number"/>
    <w:basedOn w:val="DefaultParagraphFont"/>
    <w:rsid w:val="001F3FB7"/>
  </w:style>
  <w:style w:type="paragraph" w:customStyle="1" w:styleId="FooterLegalAdvFirst">
    <w:name w:val="Footer Legal Adv (First)"/>
    <w:basedOn w:val="Normal"/>
    <w:rsid w:val="001F3FB7"/>
    <w:pPr>
      <w:pBdr>
        <w:top w:val="single" w:sz="2" w:space="4" w:color="auto"/>
      </w:pBdr>
      <w:tabs>
        <w:tab w:val="right" w:pos="7938"/>
      </w:tabs>
    </w:pPr>
    <w:rPr>
      <w:sz w:val="20"/>
      <w:szCs w:val="20"/>
      <w:lang w:val="en-US" w:eastAsia="en-US"/>
    </w:rPr>
  </w:style>
  <w:style w:type="paragraph" w:customStyle="1" w:styleId="ACMABodyText">
    <w:name w:val="ACMA Body Text"/>
    <w:link w:val="ACMABodyTextChar"/>
    <w:rsid w:val="001F3FB7"/>
    <w:pPr>
      <w:suppressAutoHyphens/>
      <w:spacing w:before="80" w:after="120" w:line="280" w:lineRule="atLeast"/>
    </w:pPr>
    <w:rPr>
      <w:rFonts w:ascii="Times New Roman" w:eastAsia="Times New Roman" w:hAnsi="Times New Roman" w:cs="Times New Roman"/>
      <w:snapToGrid w:val="0"/>
      <w:sz w:val="24"/>
      <w:szCs w:val="20"/>
    </w:rPr>
  </w:style>
  <w:style w:type="paragraph" w:customStyle="1" w:styleId="Spacer">
    <w:name w:val="Spacer"/>
    <w:basedOn w:val="Normal"/>
    <w:next w:val="Normal"/>
    <w:rsid w:val="001F3FB7"/>
    <w:pPr>
      <w:spacing w:before="1260"/>
    </w:pPr>
  </w:style>
  <w:style w:type="paragraph" w:customStyle="1" w:styleId="bulletthebluesky">
    <w:name w:val="bullet the blue sky"/>
    <w:basedOn w:val="Normal"/>
    <w:rsid w:val="001F3FB7"/>
    <w:pPr>
      <w:numPr>
        <w:numId w:val="1"/>
      </w:numPr>
      <w:tabs>
        <w:tab w:val="clear" w:pos="720"/>
        <w:tab w:val="num" w:pos="1440"/>
      </w:tabs>
      <w:autoSpaceDE w:val="0"/>
      <w:autoSpaceDN w:val="0"/>
      <w:adjustRightInd w:val="0"/>
      <w:ind w:left="1440" w:hanging="540"/>
    </w:pPr>
  </w:style>
  <w:style w:type="character" w:customStyle="1" w:styleId="ABABodyTextChar">
    <w:name w:val="ABA Body Text Char"/>
    <w:basedOn w:val="DefaultParagraphFont"/>
    <w:link w:val="ABABodyText"/>
    <w:locked/>
    <w:rsid w:val="001F3FB7"/>
    <w:rPr>
      <w:snapToGrid w:val="0"/>
      <w:sz w:val="24"/>
    </w:rPr>
  </w:style>
  <w:style w:type="paragraph" w:customStyle="1" w:styleId="ABABodyText">
    <w:name w:val="ABA Body Text"/>
    <w:link w:val="ABABodyTextChar"/>
    <w:rsid w:val="001F3FB7"/>
    <w:pPr>
      <w:suppressAutoHyphens/>
      <w:snapToGrid w:val="0"/>
      <w:spacing w:before="80" w:after="120" w:line="280" w:lineRule="atLeast"/>
    </w:pPr>
    <w:rPr>
      <w:snapToGrid w:val="0"/>
      <w:sz w:val="24"/>
    </w:rPr>
  </w:style>
  <w:style w:type="paragraph" w:customStyle="1" w:styleId="Normalspace">
    <w:name w:val="Normal + space"/>
    <w:basedOn w:val="Normal"/>
    <w:rsid w:val="001F3FB7"/>
    <w:pPr>
      <w:spacing w:before="80" w:after="240"/>
      <w:ind w:right="431"/>
    </w:pPr>
    <w:rPr>
      <w:rFonts w:ascii="Tms Rmn" w:eastAsia="MS Mincho" w:hAnsi="Tms Rmn"/>
      <w:bCs/>
      <w:i/>
      <w:iCs/>
      <w:szCs w:val="20"/>
      <w:lang w:eastAsia="en-US"/>
    </w:rPr>
  </w:style>
  <w:style w:type="character" w:customStyle="1" w:styleId="ACMABodyTextChar">
    <w:name w:val="ACMA Body Text Char"/>
    <w:basedOn w:val="DefaultParagraphFont"/>
    <w:link w:val="ACMABodyText"/>
    <w:rsid w:val="001F3FB7"/>
    <w:rPr>
      <w:rFonts w:ascii="Times New Roman" w:eastAsia="Times New Roman" w:hAnsi="Times New Roman" w:cs="Times New Roman"/>
      <w:snapToGrid w:val="0"/>
      <w:sz w:val="24"/>
      <w:szCs w:val="20"/>
    </w:rPr>
  </w:style>
  <w:style w:type="paragraph" w:customStyle="1" w:styleId="ACMAHeading1">
    <w:name w:val="ACMA Heading 1"/>
    <w:next w:val="ACMABodyText"/>
    <w:rsid w:val="001F3FB7"/>
    <w:pPr>
      <w:keepNext/>
      <w:numPr>
        <w:numId w:val="3"/>
      </w:numPr>
      <w:suppressAutoHyphens/>
      <w:spacing w:before="320" w:after="0" w:line="240" w:lineRule="auto"/>
      <w:outlineLvl w:val="1"/>
    </w:pPr>
    <w:rPr>
      <w:rFonts w:ascii="Arial" w:eastAsia="Times New Roman" w:hAnsi="Arial" w:cs="Times New Roman"/>
      <w:b/>
      <w:sz w:val="32"/>
      <w:szCs w:val="32"/>
    </w:rPr>
  </w:style>
  <w:style w:type="paragraph" w:customStyle="1" w:styleId="ACMABulletLevel2">
    <w:name w:val="ACMA Bullet Level 2"/>
    <w:link w:val="ACMABulletLevel2Char"/>
    <w:rsid w:val="001F3FB7"/>
    <w:pPr>
      <w:tabs>
        <w:tab w:val="num" w:pos="720"/>
      </w:tabs>
      <w:spacing w:after="120" w:line="240" w:lineRule="auto"/>
      <w:ind w:left="720" w:hanging="360"/>
    </w:pPr>
    <w:rPr>
      <w:rFonts w:ascii="Times New Roman" w:eastAsia="Times New Roman" w:hAnsi="Times New Roman" w:cs="Times New Roman"/>
      <w:sz w:val="24"/>
      <w:szCs w:val="20"/>
    </w:rPr>
  </w:style>
  <w:style w:type="character" w:customStyle="1" w:styleId="ACMABulletLevel2Char">
    <w:name w:val="ACMA Bullet Level 2 Char"/>
    <w:basedOn w:val="DefaultParagraphFont"/>
    <w:link w:val="ACMABulletLevel2"/>
    <w:rsid w:val="001F3FB7"/>
    <w:rPr>
      <w:rFonts w:ascii="Times New Roman" w:eastAsia="Times New Roman" w:hAnsi="Times New Roman" w:cs="Times New Roman"/>
      <w:sz w:val="24"/>
      <w:szCs w:val="20"/>
    </w:rPr>
  </w:style>
  <w:style w:type="paragraph" w:customStyle="1" w:styleId="ACMABodyTextnumpara1cont">
    <w:name w:val="ACMA Body Text num para 1 cont"/>
    <w:basedOn w:val="ACMABodyText"/>
    <w:link w:val="ACMABodyTextnumpara1contChar"/>
    <w:rsid w:val="001F3FB7"/>
    <w:pPr>
      <w:ind w:left="720"/>
    </w:pPr>
  </w:style>
  <w:style w:type="character" w:customStyle="1" w:styleId="ACMABodyTextnumpara1contChar">
    <w:name w:val="ACMA Body Text num para 1 cont Char"/>
    <w:basedOn w:val="ACMABodyTextChar"/>
    <w:link w:val="ACMABodyTextnumpara1cont"/>
    <w:rsid w:val="001F3FB7"/>
    <w:rPr>
      <w:rFonts w:ascii="Times New Roman" w:eastAsia="Times New Roman" w:hAnsi="Times New Roman" w:cs="Times New Roman"/>
      <w:snapToGrid w:val="0"/>
      <w:sz w:val="24"/>
      <w:szCs w:val="20"/>
    </w:rPr>
  </w:style>
  <w:style w:type="paragraph" w:customStyle="1" w:styleId="ACMABulletLevel1">
    <w:name w:val="ACMA Bullet Level 1"/>
    <w:rsid w:val="001F3FB7"/>
    <w:pPr>
      <w:numPr>
        <w:numId w:val="4"/>
      </w:numPr>
      <w:spacing w:after="120" w:line="240" w:lineRule="auto"/>
    </w:pPr>
    <w:rPr>
      <w:rFonts w:ascii="Times New Roman" w:eastAsia="Times New Roman" w:hAnsi="Times New Roman" w:cs="Times New Roman"/>
      <w:sz w:val="24"/>
      <w:szCs w:val="20"/>
    </w:rPr>
  </w:style>
  <w:style w:type="paragraph" w:customStyle="1" w:styleId="ACMABulletLevel1indent">
    <w:name w:val="ACMA Bullet Level 1 indent"/>
    <w:basedOn w:val="ACMABulletLevel1"/>
    <w:rsid w:val="001F3FB7"/>
    <w:pPr>
      <w:ind w:left="1077"/>
    </w:pPr>
  </w:style>
  <w:style w:type="paragraph" w:customStyle="1" w:styleId="ACMABodyTextnumpara2">
    <w:name w:val="ACMA Body Text num para 2"/>
    <w:basedOn w:val="ACMABodyText"/>
    <w:link w:val="ACMABodyTextnumpara2Char"/>
    <w:rsid w:val="001F3FB7"/>
    <w:pPr>
      <w:tabs>
        <w:tab w:val="left" w:pos="1440"/>
      </w:tabs>
      <w:ind w:left="1440" w:hanging="720"/>
    </w:pPr>
  </w:style>
  <w:style w:type="character" w:customStyle="1" w:styleId="ACMABodyTextnumpara2Char">
    <w:name w:val="ACMA Body Text num para 2 Char"/>
    <w:basedOn w:val="ACMABodyTextChar"/>
    <w:link w:val="ACMABodyTextnumpara2"/>
    <w:rsid w:val="001F3FB7"/>
    <w:rPr>
      <w:rFonts w:ascii="Times New Roman" w:eastAsia="Times New Roman" w:hAnsi="Times New Roman" w:cs="Times New Roman"/>
      <w:snapToGrid w:val="0"/>
      <w:sz w:val="24"/>
      <w:szCs w:val="20"/>
    </w:rPr>
  </w:style>
  <w:style w:type="paragraph" w:customStyle="1" w:styleId="ACMABodyTextnumpara3">
    <w:name w:val="ACMA Body Text num para 3"/>
    <w:basedOn w:val="ACMABodyText"/>
    <w:rsid w:val="001F3FB7"/>
    <w:pPr>
      <w:tabs>
        <w:tab w:val="num" w:pos="2160"/>
      </w:tabs>
      <w:ind w:left="2160" w:hanging="720"/>
    </w:pPr>
  </w:style>
  <w:style w:type="paragraph" w:customStyle="1" w:styleId="ACMAHeading3">
    <w:name w:val="ACMA Heading 3"/>
    <w:next w:val="ACMABodyText"/>
    <w:rsid w:val="001F3FB7"/>
    <w:pPr>
      <w:keepNext/>
      <w:suppressAutoHyphens/>
      <w:spacing w:before="240" w:after="0" w:line="240" w:lineRule="auto"/>
      <w:outlineLvl w:val="3"/>
    </w:pPr>
    <w:rPr>
      <w:rFonts w:ascii="Arial" w:eastAsia="Times New Roman" w:hAnsi="Arial" w:cs="Times New Roman"/>
      <w:b/>
      <w:sz w:val="24"/>
      <w:szCs w:val="20"/>
    </w:rPr>
  </w:style>
  <w:style w:type="paragraph" w:styleId="Title">
    <w:name w:val="Title"/>
    <w:basedOn w:val="Normal"/>
    <w:next w:val="Normal"/>
    <w:link w:val="TitleChar"/>
    <w:uiPriority w:val="99"/>
    <w:qFormat/>
    <w:rsid w:val="001F3FB7"/>
    <w:pPr>
      <w:spacing w:before="480"/>
    </w:pPr>
    <w:rPr>
      <w:rFonts w:ascii="Arial" w:hAnsi="Arial" w:cs="Arial"/>
      <w:b/>
      <w:bCs/>
      <w:sz w:val="40"/>
      <w:szCs w:val="40"/>
    </w:rPr>
  </w:style>
  <w:style w:type="character" w:customStyle="1" w:styleId="TitleChar">
    <w:name w:val="Title Char"/>
    <w:basedOn w:val="DefaultParagraphFont"/>
    <w:link w:val="Title"/>
    <w:uiPriority w:val="99"/>
    <w:rsid w:val="001F3FB7"/>
    <w:rPr>
      <w:rFonts w:ascii="Arial" w:eastAsia="Times New Roman" w:hAnsi="Arial" w:cs="Arial"/>
      <w:b/>
      <w:bCs/>
      <w:sz w:val="40"/>
      <w:szCs w:val="40"/>
      <w:lang w:eastAsia="en-AU"/>
    </w:rPr>
  </w:style>
  <w:style w:type="paragraph" w:styleId="BalloonText">
    <w:name w:val="Balloon Text"/>
    <w:basedOn w:val="Normal"/>
    <w:link w:val="BalloonTextChar"/>
    <w:uiPriority w:val="99"/>
    <w:semiHidden/>
    <w:unhideWhenUsed/>
    <w:rsid w:val="001F3FB7"/>
    <w:rPr>
      <w:rFonts w:ascii="Tahoma" w:hAnsi="Tahoma" w:cs="Tahoma"/>
      <w:sz w:val="16"/>
      <w:szCs w:val="16"/>
    </w:rPr>
  </w:style>
  <w:style w:type="character" w:customStyle="1" w:styleId="BalloonTextChar">
    <w:name w:val="Balloon Text Char"/>
    <w:basedOn w:val="DefaultParagraphFont"/>
    <w:link w:val="BalloonText"/>
    <w:uiPriority w:val="99"/>
    <w:semiHidden/>
    <w:rsid w:val="001F3FB7"/>
    <w:rPr>
      <w:rFonts w:ascii="Tahoma" w:eastAsia="Times New Roman" w:hAnsi="Tahoma" w:cs="Tahoma"/>
      <w:sz w:val="16"/>
      <w:szCs w:val="16"/>
      <w:lang w:eastAsia="en-AU"/>
    </w:rPr>
  </w:style>
  <w:style w:type="paragraph" w:customStyle="1" w:styleId="HeaderBoldEven">
    <w:name w:val="HeaderBoldEven"/>
    <w:basedOn w:val="Normal"/>
    <w:rsid w:val="00EB5CDB"/>
    <w:pPr>
      <w:spacing w:before="120" w:after="60"/>
    </w:pPr>
    <w:rPr>
      <w:rFonts w:ascii="Arial" w:hAnsi="Arial"/>
      <w:b/>
      <w:sz w:val="20"/>
    </w:rPr>
  </w:style>
  <w:style w:type="paragraph" w:customStyle="1" w:styleId="HeaderBoldOdd">
    <w:name w:val="HeaderBoldOdd"/>
    <w:basedOn w:val="Normal"/>
    <w:rsid w:val="00EB5CDB"/>
    <w:pPr>
      <w:spacing w:before="120" w:after="60"/>
      <w:jc w:val="right"/>
    </w:pPr>
    <w:rPr>
      <w:rFonts w:ascii="Arial" w:hAnsi="Arial"/>
      <w:b/>
      <w:sz w:val="20"/>
    </w:rPr>
  </w:style>
  <w:style w:type="paragraph" w:customStyle="1" w:styleId="HeaderLiteEven">
    <w:name w:val="HeaderLiteEven"/>
    <w:basedOn w:val="Normal"/>
    <w:rsid w:val="00EB5CDB"/>
    <w:pPr>
      <w:tabs>
        <w:tab w:val="center" w:pos="3969"/>
        <w:tab w:val="right" w:pos="8505"/>
      </w:tabs>
      <w:spacing w:before="60"/>
    </w:pPr>
    <w:rPr>
      <w:rFonts w:ascii="Arial" w:hAnsi="Arial"/>
      <w:sz w:val="18"/>
    </w:rPr>
  </w:style>
  <w:style w:type="paragraph" w:customStyle="1" w:styleId="HeaderLiteOdd">
    <w:name w:val="HeaderLiteOdd"/>
    <w:basedOn w:val="Normal"/>
    <w:rsid w:val="00EB5CDB"/>
    <w:pPr>
      <w:tabs>
        <w:tab w:val="center" w:pos="3969"/>
        <w:tab w:val="right" w:pos="8505"/>
      </w:tabs>
      <w:spacing w:before="60"/>
      <w:jc w:val="right"/>
    </w:pPr>
    <w:rPr>
      <w:rFonts w:ascii="Arial" w:hAnsi="Arial"/>
      <w:sz w:val="18"/>
    </w:rPr>
  </w:style>
  <w:style w:type="paragraph" w:customStyle="1" w:styleId="FooterInfo">
    <w:name w:val="FooterInfo"/>
    <w:basedOn w:val="Normal"/>
    <w:rsid w:val="00EB5CDB"/>
    <w:rPr>
      <w:rFonts w:ascii="Arial" w:hAnsi="Arial"/>
      <w:sz w:val="12"/>
    </w:rPr>
  </w:style>
  <w:style w:type="table" w:styleId="TableGrid">
    <w:name w:val="Table Grid"/>
    <w:basedOn w:val="TableNormal"/>
    <w:rsid w:val="00EB5CD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aliases w:val="Heading Amendment,1. Amendment"/>
    <w:basedOn w:val="Normal"/>
    <w:next w:val="Normal"/>
    <w:rsid w:val="00EB5CDB"/>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B5CDB"/>
    <w:pPr>
      <w:tabs>
        <w:tab w:val="right" w:pos="794"/>
      </w:tabs>
      <w:spacing w:before="120" w:line="260" w:lineRule="exact"/>
      <w:ind w:left="964" w:hanging="964"/>
      <w:jc w:val="both"/>
    </w:pPr>
  </w:style>
  <w:style w:type="character" w:customStyle="1" w:styleId="CharSectno">
    <w:name w:val="CharSectno"/>
    <w:basedOn w:val="DefaultParagraphFont"/>
    <w:rsid w:val="00EB5CDB"/>
  </w:style>
  <w:style w:type="paragraph" w:customStyle="1" w:styleId="MainBodySectionBreak">
    <w:name w:val="MainBody Section Break"/>
    <w:basedOn w:val="Normal"/>
    <w:next w:val="Normal"/>
    <w:rsid w:val="00EB5CDB"/>
  </w:style>
  <w:style w:type="paragraph" w:customStyle="1" w:styleId="FooterCitation">
    <w:name w:val="FooterCitation"/>
    <w:basedOn w:val="Footer"/>
    <w:rsid w:val="00EB5CDB"/>
    <w:pPr>
      <w:spacing w:before="20" w:line="240" w:lineRule="exact"/>
      <w:jc w:val="center"/>
    </w:pPr>
    <w:rPr>
      <w:rFonts w:ascii="Arial" w:hAnsi="Arial"/>
      <w:i/>
      <w:sz w:val="18"/>
    </w:rPr>
  </w:style>
  <w:style w:type="paragraph" w:customStyle="1" w:styleId="ContentsHead">
    <w:name w:val="ContentsHead"/>
    <w:basedOn w:val="Normal"/>
    <w:next w:val="Normal"/>
    <w:uiPriority w:val="99"/>
    <w:rsid w:val="000B5C12"/>
    <w:pPr>
      <w:keepNext/>
      <w:keepLines/>
      <w:spacing w:before="240" w:after="240"/>
    </w:pPr>
    <w:rPr>
      <w:rFonts w:ascii="Arial" w:hAnsi="Arial"/>
      <w:b/>
      <w:sz w:val="28"/>
    </w:rPr>
  </w:style>
  <w:style w:type="paragraph" w:styleId="TOC5">
    <w:name w:val="toc 5"/>
    <w:basedOn w:val="Normal"/>
    <w:next w:val="Normal"/>
    <w:autoRedefine/>
    <w:uiPriority w:val="39"/>
    <w:rsid w:val="000B5C12"/>
    <w:pPr>
      <w:tabs>
        <w:tab w:val="right" w:pos="1559"/>
        <w:tab w:val="right" w:pos="8278"/>
      </w:tabs>
      <w:spacing w:before="40"/>
      <w:ind w:left="1843" w:right="714" w:hanging="1843"/>
    </w:pPr>
    <w:rPr>
      <w:rFonts w:ascii="Arial" w:hAnsi="Arial"/>
      <w:sz w:val="20"/>
      <w:lang w:eastAsia="en-US"/>
    </w:rPr>
  </w:style>
  <w:style w:type="paragraph" w:styleId="ListParagraph">
    <w:name w:val="List Paragraph"/>
    <w:basedOn w:val="Normal"/>
    <w:uiPriority w:val="34"/>
    <w:qFormat/>
    <w:rsid w:val="00A10BFE"/>
    <w:pPr>
      <w:ind w:left="720"/>
      <w:contextualSpacing/>
    </w:pPr>
  </w:style>
  <w:style w:type="character" w:styleId="CommentReference">
    <w:name w:val="annotation reference"/>
    <w:basedOn w:val="DefaultParagraphFont"/>
    <w:semiHidden/>
    <w:rsid w:val="003D03E6"/>
    <w:rPr>
      <w:sz w:val="16"/>
      <w:szCs w:val="16"/>
    </w:rPr>
  </w:style>
  <w:style w:type="paragraph" w:styleId="CommentText">
    <w:name w:val="annotation text"/>
    <w:basedOn w:val="Normal"/>
    <w:link w:val="CommentTextChar"/>
    <w:semiHidden/>
    <w:rsid w:val="003D03E6"/>
    <w:rPr>
      <w:sz w:val="20"/>
      <w:szCs w:val="20"/>
    </w:rPr>
  </w:style>
  <w:style w:type="character" w:customStyle="1" w:styleId="CommentTextChar">
    <w:name w:val="Comment Text Char"/>
    <w:basedOn w:val="DefaultParagraphFont"/>
    <w:link w:val="CommentText"/>
    <w:semiHidden/>
    <w:rsid w:val="003D03E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3344B"/>
    <w:rPr>
      <w:b/>
      <w:bCs/>
    </w:rPr>
  </w:style>
  <w:style w:type="character" w:customStyle="1" w:styleId="CommentSubjectChar">
    <w:name w:val="Comment Subject Char"/>
    <w:basedOn w:val="CommentTextChar"/>
    <w:link w:val="CommentSubject"/>
    <w:uiPriority w:val="99"/>
    <w:semiHidden/>
    <w:rsid w:val="00E3344B"/>
    <w:rPr>
      <w:rFonts w:ascii="Times New Roman" w:eastAsia="Times New Roman" w:hAnsi="Times New Roman" w:cs="Times New Roman"/>
      <w:b/>
      <w:bCs/>
      <w:sz w:val="20"/>
      <w:szCs w:val="20"/>
      <w:lang w:eastAsia="en-AU"/>
    </w:rPr>
  </w:style>
  <w:style w:type="paragraph" w:styleId="NoSpacing">
    <w:name w:val="No Spacing"/>
    <w:uiPriority w:val="1"/>
    <w:qFormat/>
    <w:rsid w:val="00E63D3C"/>
    <w:pPr>
      <w:spacing w:after="0"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2C1D03"/>
    <w:pPr>
      <w:spacing w:after="0" w:line="240" w:lineRule="auto"/>
    </w:pPr>
    <w:rPr>
      <w:rFonts w:ascii="Times New Roman" w:eastAsia="Times New Roman" w:hAnsi="Times New Roman" w:cs="Times New Roman"/>
      <w:sz w:val="24"/>
      <w:szCs w:val="24"/>
      <w:lang w:eastAsia="en-AU"/>
    </w:rPr>
  </w:style>
  <w:style w:type="paragraph" w:customStyle="1" w:styleId="subsection">
    <w:name w:val="subsection"/>
    <w:basedOn w:val="Normal"/>
    <w:rsid w:val="00E0090D"/>
    <w:pPr>
      <w:spacing w:before="100" w:beforeAutospacing="1" w:after="100" w:afterAutospacing="1"/>
    </w:pPr>
  </w:style>
  <w:style w:type="paragraph" w:customStyle="1" w:styleId="notetext">
    <w:name w:val="notetext"/>
    <w:basedOn w:val="Normal"/>
    <w:rsid w:val="00E0090D"/>
    <w:pPr>
      <w:spacing w:before="100" w:beforeAutospacing="1" w:after="100" w:afterAutospacing="1"/>
    </w:pPr>
  </w:style>
  <w:style w:type="character" w:styleId="UnresolvedMention">
    <w:name w:val="Unresolved Mention"/>
    <w:basedOn w:val="DefaultParagraphFont"/>
    <w:uiPriority w:val="99"/>
    <w:semiHidden/>
    <w:unhideWhenUsed/>
    <w:rsid w:val="00052718"/>
    <w:rPr>
      <w:color w:val="605E5C"/>
      <w:shd w:val="clear" w:color="auto" w:fill="E1DFDD"/>
    </w:rPr>
  </w:style>
  <w:style w:type="character" w:customStyle="1" w:styleId="Heading1Char">
    <w:name w:val="Heading 1 Char"/>
    <w:basedOn w:val="DefaultParagraphFont"/>
    <w:link w:val="Heading1"/>
    <w:uiPriority w:val="9"/>
    <w:rsid w:val="00164D37"/>
    <w:rPr>
      <w:rFonts w:ascii="Times New Roman" w:eastAsia="Times New Roman" w:hAnsi="Times New Roman" w:cs="Times New Roman"/>
      <w:b/>
      <w:bCs/>
      <w:sz w:val="24"/>
      <w:szCs w:val="24"/>
      <w:lang w:eastAsia="en-AU"/>
    </w:rPr>
  </w:style>
  <w:style w:type="paragraph" w:styleId="TOC1">
    <w:name w:val="toc 1"/>
    <w:basedOn w:val="Normal"/>
    <w:next w:val="Normal"/>
    <w:autoRedefine/>
    <w:uiPriority w:val="39"/>
    <w:unhideWhenUsed/>
    <w:rsid w:val="00562D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66003">
      <w:bodyDiv w:val="1"/>
      <w:marLeft w:val="0"/>
      <w:marRight w:val="0"/>
      <w:marTop w:val="0"/>
      <w:marBottom w:val="0"/>
      <w:divBdr>
        <w:top w:val="none" w:sz="0" w:space="0" w:color="auto"/>
        <w:left w:val="none" w:sz="0" w:space="0" w:color="auto"/>
        <w:bottom w:val="none" w:sz="0" w:space="0" w:color="auto"/>
        <w:right w:val="none" w:sz="0" w:space="0" w:color="auto"/>
      </w:divBdr>
      <w:divsChild>
        <w:div w:id="1143081495">
          <w:marLeft w:val="0"/>
          <w:marRight w:val="0"/>
          <w:marTop w:val="0"/>
          <w:marBottom w:val="0"/>
          <w:divBdr>
            <w:top w:val="none" w:sz="0" w:space="0" w:color="auto"/>
            <w:left w:val="none" w:sz="0" w:space="0" w:color="auto"/>
            <w:bottom w:val="none" w:sz="0" w:space="0" w:color="auto"/>
            <w:right w:val="none" w:sz="0" w:space="0" w:color="auto"/>
          </w:divBdr>
          <w:divsChild>
            <w:div w:id="240413535">
              <w:marLeft w:val="0"/>
              <w:marRight w:val="0"/>
              <w:marTop w:val="0"/>
              <w:marBottom w:val="0"/>
              <w:divBdr>
                <w:top w:val="none" w:sz="0" w:space="0" w:color="auto"/>
                <w:left w:val="none" w:sz="0" w:space="0" w:color="auto"/>
                <w:bottom w:val="none" w:sz="0" w:space="0" w:color="auto"/>
                <w:right w:val="none" w:sz="0" w:space="0" w:color="auto"/>
              </w:divBdr>
              <w:divsChild>
                <w:div w:id="1934624458">
                  <w:marLeft w:val="0"/>
                  <w:marRight w:val="0"/>
                  <w:marTop w:val="0"/>
                  <w:marBottom w:val="0"/>
                  <w:divBdr>
                    <w:top w:val="none" w:sz="0" w:space="0" w:color="auto"/>
                    <w:left w:val="none" w:sz="0" w:space="0" w:color="auto"/>
                    <w:bottom w:val="none" w:sz="0" w:space="0" w:color="auto"/>
                    <w:right w:val="none" w:sz="0" w:space="0" w:color="auto"/>
                  </w:divBdr>
                  <w:divsChild>
                    <w:div w:id="1752896563">
                      <w:marLeft w:val="0"/>
                      <w:marRight w:val="0"/>
                      <w:marTop w:val="0"/>
                      <w:marBottom w:val="0"/>
                      <w:divBdr>
                        <w:top w:val="none" w:sz="0" w:space="0" w:color="auto"/>
                        <w:left w:val="none" w:sz="0" w:space="0" w:color="auto"/>
                        <w:bottom w:val="none" w:sz="0" w:space="0" w:color="auto"/>
                        <w:right w:val="none" w:sz="0" w:space="0" w:color="auto"/>
                      </w:divBdr>
                      <w:divsChild>
                        <w:div w:id="1198197940">
                          <w:marLeft w:val="0"/>
                          <w:marRight w:val="0"/>
                          <w:marTop w:val="0"/>
                          <w:marBottom w:val="0"/>
                          <w:divBdr>
                            <w:top w:val="none" w:sz="0" w:space="0" w:color="auto"/>
                            <w:left w:val="none" w:sz="0" w:space="0" w:color="auto"/>
                            <w:bottom w:val="none" w:sz="0" w:space="0" w:color="auto"/>
                            <w:right w:val="none" w:sz="0" w:space="0" w:color="auto"/>
                          </w:divBdr>
                          <w:divsChild>
                            <w:div w:id="1552763487">
                              <w:marLeft w:val="0"/>
                              <w:marRight w:val="0"/>
                              <w:marTop w:val="0"/>
                              <w:marBottom w:val="0"/>
                              <w:divBdr>
                                <w:top w:val="none" w:sz="0" w:space="0" w:color="auto"/>
                                <w:left w:val="none" w:sz="0" w:space="0" w:color="auto"/>
                                <w:bottom w:val="none" w:sz="0" w:space="0" w:color="auto"/>
                                <w:right w:val="none" w:sz="0" w:space="0" w:color="auto"/>
                              </w:divBdr>
                              <w:divsChild>
                                <w:div w:id="643435139">
                                  <w:marLeft w:val="0"/>
                                  <w:marRight w:val="0"/>
                                  <w:marTop w:val="0"/>
                                  <w:marBottom w:val="0"/>
                                  <w:divBdr>
                                    <w:top w:val="none" w:sz="0" w:space="0" w:color="auto"/>
                                    <w:left w:val="none" w:sz="0" w:space="0" w:color="auto"/>
                                    <w:bottom w:val="none" w:sz="0" w:space="0" w:color="auto"/>
                                    <w:right w:val="none" w:sz="0" w:space="0" w:color="auto"/>
                                  </w:divBdr>
                                  <w:divsChild>
                                    <w:div w:id="804742058">
                                      <w:marLeft w:val="0"/>
                                      <w:marRight w:val="0"/>
                                      <w:marTop w:val="0"/>
                                      <w:marBottom w:val="0"/>
                                      <w:divBdr>
                                        <w:top w:val="none" w:sz="0" w:space="0" w:color="auto"/>
                                        <w:left w:val="none" w:sz="0" w:space="0" w:color="auto"/>
                                        <w:bottom w:val="none" w:sz="0" w:space="0" w:color="auto"/>
                                        <w:right w:val="none" w:sz="0" w:space="0" w:color="auto"/>
                                      </w:divBdr>
                                      <w:divsChild>
                                        <w:div w:id="1713655291">
                                          <w:marLeft w:val="0"/>
                                          <w:marRight w:val="0"/>
                                          <w:marTop w:val="0"/>
                                          <w:marBottom w:val="0"/>
                                          <w:divBdr>
                                            <w:top w:val="none" w:sz="0" w:space="0" w:color="auto"/>
                                            <w:left w:val="none" w:sz="0" w:space="0" w:color="auto"/>
                                            <w:bottom w:val="none" w:sz="0" w:space="0" w:color="auto"/>
                                            <w:right w:val="none" w:sz="0" w:space="0" w:color="auto"/>
                                          </w:divBdr>
                                          <w:divsChild>
                                            <w:div w:id="2032299262">
                                              <w:marLeft w:val="0"/>
                                              <w:marRight w:val="0"/>
                                              <w:marTop w:val="0"/>
                                              <w:marBottom w:val="0"/>
                                              <w:divBdr>
                                                <w:top w:val="none" w:sz="0" w:space="0" w:color="auto"/>
                                                <w:left w:val="none" w:sz="0" w:space="0" w:color="auto"/>
                                                <w:bottom w:val="none" w:sz="0" w:space="0" w:color="auto"/>
                                                <w:right w:val="none" w:sz="0" w:space="0" w:color="auto"/>
                                              </w:divBdr>
                                              <w:divsChild>
                                                <w:div w:id="268389865">
                                                  <w:marLeft w:val="0"/>
                                                  <w:marRight w:val="0"/>
                                                  <w:marTop w:val="0"/>
                                                  <w:marBottom w:val="0"/>
                                                  <w:divBdr>
                                                    <w:top w:val="none" w:sz="0" w:space="0" w:color="auto"/>
                                                    <w:left w:val="none" w:sz="0" w:space="0" w:color="auto"/>
                                                    <w:bottom w:val="none" w:sz="0" w:space="0" w:color="auto"/>
                                                    <w:right w:val="none" w:sz="0" w:space="0" w:color="auto"/>
                                                  </w:divBdr>
                                                  <w:divsChild>
                                                    <w:div w:id="240794105">
                                                      <w:marLeft w:val="0"/>
                                                      <w:marRight w:val="0"/>
                                                      <w:marTop w:val="0"/>
                                                      <w:marBottom w:val="0"/>
                                                      <w:divBdr>
                                                        <w:top w:val="none" w:sz="0" w:space="0" w:color="auto"/>
                                                        <w:left w:val="none" w:sz="0" w:space="0" w:color="auto"/>
                                                        <w:bottom w:val="none" w:sz="0" w:space="0" w:color="auto"/>
                                                        <w:right w:val="none" w:sz="0" w:space="0" w:color="auto"/>
                                                      </w:divBdr>
                                                      <w:divsChild>
                                                        <w:div w:id="15230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723777">
      <w:bodyDiv w:val="1"/>
      <w:marLeft w:val="0"/>
      <w:marRight w:val="0"/>
      <w:marTop w:val="0"/>
      <w:marBottom w:val="0"/>
      <w:divBdr>
        <w:top w:val="none" w:sz="0" w:space="0" w:color="auto"/>
        <w:left w:val="none" w:sz="0" w:space="0" w:color="auto"/>
        <w:bottom w:val="none" w:sz="0" w:space="0" w:color="auto"/>
        <w:right w:val="none" w:sz="0" w:space="0" w:color="auto"/>
      </w:divBdr>
      <w:divsChild>
        <w:div w:id="1435900314">
          <w:marLeft w:val="0"/>
          <w:marRight w:val="0"/>
          <w:marTop w:val="0"/>
          <w:marBottom w:val="0"/>
          <w:divBdr>
            <w:top w:val="none" w:sz="0" w:space="0" w:color="auto"/>
            <w:left w:val="none" w:sz="0" w:space="0" w:color="auto"/>
            <w:bottom w:val="none" w:sz="0" w:space="0" w:color="auto"/>
            <w:right w:val="none" w:sz="0" w:space="0" w:color="auto"/>
          </w:divBdr>
          <w:divsChild>
            <w:div w:id="640816729">
              <w:marLeft w:val="0"/>
              <w:marRight w:val="0"/>
              <w:marTop w:val="0"/>
              <w:marBottom w:val="0"/>
              <w:divBdr>
                <w:top w:val="none" w:sz="0" w:space="0" w:color="auto"/>
                <w:left w:val="none" w:sz="0" w:space="0" w:color="auto"/>
                <w:bottom w:val="none" w:sz="0" w:space="0" w:color="auto"/>
                <w:right w:val="none" w:sz="0" w:space="0" w:color="auto"/>
              </w:divBdr>
              <w:divsChild>
                <w:div w:id="905839460">
                  <w:marLeft w:val="0"/>
                  <w:marRight w:val="0"/>
                  <w:marTop w:val="0"/>
                  <w:marBottom w:val="0"/>
                  <w:divBdr>
                    <w:top w:val="none" w:sz="0" w:space="0" w:color="auto"/>
                    <w:left w:val="none" w:sz="0" w:space="0" w:color="auto"/>
                    <w:bottom w:val="none" w:sz="0" w:space="0" w:color="auto"/>
                    <w:right w:val="none" w:sz="0" w:space="0" w:color="auto"/>
                  </w:divBdr>
                  <w:divsChild>
                    <w:div w:id="588272030">
                      <w:marLeft w:val="0"/>
                      <w:marRight w:val="0"/>
                      <w:marTop w:val="0"/>
                      <w:marBottom w:val="0"/>
                      <w:divBdr>
                        <w:top w:val="none" w:sz="0" w:space="0" w:color="auto"/>
                        <w:left w:val="none" w:sz="0" w:space="0" w:color="auto"/>
                        <w:bottom w:val="none" w:sz="0" w:space="0" w:color="auto"/>
                        <w:right w:val="none" w:sz="0" w:space="0" w:color="auto"/>
                      </w:divBdr>
                      <w:divsChild>
                        <w:div w:id="1037583232">
                          <w:marLeft w:val="0"/>
                          <w:marRight w:val="0"/>
                          <w:marTop w:val="0"/>
                          <w:marBottom w:val="0"/>
                          <w:divBdr>
                            <w:top w:val="none" w:sz="0" w:space="0" w:color="auto"/>
                            <w:left w:val="none" w:sz="0" w:space="0" w:color="auto"/>
                            <w:bottom w:val="none" w:sz="0" w:space="0" w:color="auto"/>
                            <w:right w:val="none" w:sz="0" w:space="0" w:color="auto"/>
                          </w:divBdr>
                          <w:divsChild>
                            <w:div w:id="392125982">
                              <w:marLeft w:val="0"/>
                              <w:marRight w:val="0"/>
                              <w:marTop w:val="0"/>
                              <w:marBottom w:val="0"/>
                              <w:divBdr>
                                <w:top w:val="none" w:sz="0" w:space="0" w:color="auto"/>
                                <w:left w:val="none" w:sz="0" w:space="0" w:color="auto"/>
                                <w:bottom w:val="none" w:sz="0" w:space="0" w:color="auto"/>
                                <w:right w:val="none" w:sz="0" w:space="0" w:color="auto"/>
                              </w:divBdr>
                              <w:divsChild>
                                <w:div w:id="471487141">
                                  <w:marLeft w:val="0"/>
                                  <w:marRight w:val="0"/>
                                  <w:marTop w:val="0"/>
                                  <w:marBottom w:val="0"/>
                                  <w:divBdr>
                                    <w:top w:val="none" w:sz="0" w:space="0" w:color="auto"/>
                                    <w:left w:val="none" w:sz="0" w:space="0" w:color="auto"/>
                                    <w:bottom w:val="none" w:sz="0" w:space="0" w:color="auto"/>
                                    <w:right w:val="none" w:sz="0" w:space="0" w:color="auto"/>
                                  </w:divBdr>
                                  <w:divsChild>
                                    <w:div w:id="438457194">
                                      <w:marLeft w:val="0"/>
                                      <w:marRight w:val="0"/>
                                      <w:marTop w:val="0"/>
                                      <w:marBottom w:val="0"/>
                                      <w:divBdr>
                                        <w:top w:val="none" w:sz="0" w:space="0" w:color="auto"/>
                                        <w:left w:val="none" w:sz="0" w:space="0" w:color="auto"/>
                                        <w:bottom w:val="none" w:sz="0" w:space="0" w:color="auto"/>
                                        <w:right w:val="none" w:sz="0" w:space="0" w:color="auto"/>
                                      </w:divBdr>
                                      <w:divsChild>
                                        <w:div w:id="1124233818">
                                          <w:marLeft w:val="0"/>
                                          <w:marRight w:val="0"/>
                                          <w:marTop w:val="0"/>
                                          <w:marBottom w:val="0"/>
                                          <w:divBdr>
                                            <w:top w:val="none" w:sz="0" w:space="0" w:color="auto"/>
                                            <w:left w:val="none" w:sz="0" w:space="0" w:color="auto"/>
                                            <w:bottom w:val="none" w:sz="0" w:space="0" w:color="auto"/>
                                            <w:right w:val="none" w:sz="0" w:space="0" w:color="auto"/>
                                          </w:divBdr>
                                          <w:divsChild>
                                            <w:div w:id="605191946">
                                              <w:marLeft w:val="0"/>
                                              <w:marRight w:val="0"/>
                                              <w:marTop w:val="0"/>
                                              <w:marBottom w:val="0"/>
                                              <w:divBdr>
                                                <w:top w:val="none" w:sz="0" w:space="0" w:color="auto"/>
                                                <w:left w:val="none" w:sz="0" w:space="0" w:color="auto"/>
                                                <w:bottom w:val="none" w:sz="0" w:space="0" w:color="auto"/>
                                                <w:right w:val="none" w:sz="0" w:space="0" w:color="auto"/>
                                              </w:divBdr>
                                              <w:divsChild>
                                                <w:div w:id="558441529">
                                                  <w:marLeft w:val="0"/>
                                                  <w:marRight w:val="0"/>
                                                  <w:marTop w:val="0"/>
                                                  <w:marBottom w:val="0"/>
                                                  <w:divBdr>
                                                    <w:top w:val="none" w:sz="0" w:space="0" w:color="auto"/>
                                                    <w:left w:val="none" w:sz="0" w:space="0" w:color="auto"/>
                                                    <w:bottom w:val="none" w:sz="0" w:space="0" w:color="auto"/>
                                                    <w:right w:val="none" w:sz="0" w:space="0" w:color="auto"/>
                                                  </w:divBdr>
                                                  <w:divsChild>
                                                    <w:div w:id="1857383499">
                                                      <w:marLeft w:val="0"/>
                                                      <w:marRight w:val="0"/>
                                                      <w:marTop w:val="0"/>
                                                      <w:marBottom w:val="0"/>
                                                      <w:divBdr>
                                                        <w:top w:val="none" w:sz="0" w:space="0" w:color="auto"/>
                                                        <w:left w:val="none" w:sz="0" w:space="0" w:color="auto"/>
                                                        <w:bottom w:val="none" w:sz="0" w:space="0" w:color="auto"/>
                                                        <w:right w:val="none" w:sz="0" w:space="0" w:color="auto"/>
                                                      </w:divBdr>
                                                      <w:divsChild>
                                                        <w:div w:id="1676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legislation.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ma.gov.au/regulatory-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8FEBE29DB2A4FA4C0856B7BE6B334" ma:contentTypeVersion="2" ma:contentTypeDescription="Create a new document." ma:contentTypeScope="" ma:versionID="9374ccaf966f82c76b8986f0d348e7d1">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UQVA7MFFXVNW-2139912385-250</_dlc_DocId>
    <_dlc_DocIdUrl xmlns="04b8ec43-391f-4ce4-8841-d6a482add564">
      <Url>http://collaboration/organisation/auth/Chair/Auth/_layouts/15/DocIdRedir.aspx?ID=UQVA7MFFXVNW-2139912385-250</Url>
      <Description>UQVA7MFFXVNW-2139912385-250</Description>
    </_dlc_DocIdUrl>
    <Category xmlns="026d8262-4725-4a9c-834e-3f991ab17ffd">(none)</Category>
  </documentManagement>
</p:properties>
</file>

<file path=customXml/itemProps1.xml><?xml version="1.0" encoding="utf-8"?>
<ds:datastoreItem xmlns:ds="http://schemas.openxmlformats.org/officeDocument/2006/customXml" ds:itemID="{2FA4BD33-C5F6-48EC-9D15-A5A05F1DC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38DFE-F118-4070-B447-44F219B0C017}">
  <ds:schemaRefs>
    <ds:schemaRef ds:uri="http://schemas.microsoft.com/sharepoint/events"/>
  </ds:schemaRefs>
</ds:datastoreItem>
</file>

<file path=customXml/itemProps3.xml><?xml version="1.0" encoding="utf-8"?>
<ds:datastoreItem xmlns:ds="http://schemas.openxmlformats.org/officeDocument/2006/customXml" ds:itemID="{234FC845-E3D0-450E-8912-D91A8822EB12}">
  <ds:schemaRefs>
    <ds:schemaRef ds:uri="http://schemas.openxmlformats.org/officeDocument/2006/bibliography"/>
  </ds:schemaRefs>
</ds:datastoreItem>
</file>

<file path=customXml/itemProps4.xml><?xml version="1.0" encoding="utf-8"?>
<ds:datastoreItem xmlns:ds="http://schemas.openxmlformats.org/officeDocument/2006/customXml" ds:itemID="{0A099C04-937B-4EDF-9348-B4DDDAE16BB5}">
  <ds:schemaRefs>
    <ds:schemaRef ds:uri="http://schemas.microsoft.com/sharepoint/v3/contenttype/forms"/>
  </ds:schemaRefs>
</ds:datastoreItem>
</file>

<file path=customXml/itemProps5.xml><?xml version="1.0" encoding="utf-8"?>
<ds:datastoreItem xmlns:ds="http://schemas.openxmlformats.org/officeDocument/2006/customXml" ds:itemID="{3EE995B3-08A0-46BF-9608-C6D41C1F22EA}">
  <ds:schemaRefs>
    <ds:schemaRef ds:uri="http://schemas.microsoft.com/office/2006/metadata/properties"/>
    <ds:schemaRef ds:uri="http://schemas.microsoft.com/office/infopath/2007/PartnerControls"/>
    <ds:schemaRef ds:uri="04b8ec43-391f-4ce4-8841-d6a482add564"/>
    <ds:schemaRef ds:uri="026d8262-4725-4a9c-834e-3f991ab17f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2022-02-14T05:26:00Z</dcterms:created>
  <dcterms:modified xsi:type="dcterms:W3CDTF">2022-03-03T05:07:00Z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a6155172-0e14-412b-9ba8-dd8eb0e0e15f</vt:lpwstr>
  </property>
  <property fmtid="{D5CDD505-2E9C-101B-9397-08002B2CF9AE}" pid="3" name="ContentTypeId">
    <vt:lpwstr>0x010100D9C8FEBE29DB2A4FA4C0856B7BE6B334</vt:lpwstr>
  </property>
</Properties>
</file>