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E89E" w14:textId="77777777" w:rsidR="00507299" w:rsidRPr="00543073" w:rsidRDefault="00507299" w:rsidP="00507299">
      <w:pPr>
        <w:jc w:val="center"/>
        <w:rPr>
          <w:rFonts w:ascii="Times New Roman" w:hAnsi="Times New Roman" w:cs="Times New Roman"/>
          <w:b/>
          <w:sz w:val="28"/>
          <w:szCs w:val="28"/>
        </w:rPr>
      </w:pPr>
      <w:bookmarkStart w:id="0" w:name="_GoBack"/>
      <w:bookmarkEnd w:id="0"/>
      <w:r w:rsidRPr="00543073">
        <w:rPr>
          <w:rFonts w:ascii="Times New Roman" w:hAnsi="Times New Roman" w:cs="Times New Roman"/>
          <w:b/>
          <w:sz w:val="28"/>
          <w:szCs w:val="28"/>
        </w:rPr>
        <w:t>EXPLANATORY STATEMENT</w:t>
      </w:r>
    </w:p>
    <w:p w14:paraId="304AB35E" w14:textId="77777777" w:rsidR="00507299" w:rsidRPr="00543073" w:rsidRDefault="00507299" w:rsidP="00507299">
      <w:pPr>
        <w:jc w:val="center"/>
        <w:rPr>
          <w:rFonts w:ascii="Times New Roman" w:hAnsi="Times New Roman" w:cs="Times New Roman"/>
        </w:rPr>
      </w:pPr>
      <w:r w:rsidRPr="00543073">
        <w:rPr>
          <w:rFonts w:ascii="Times New Roman" w:hAnsi="Times New Roman" w:cs="Times New Roman"/>
        </w:rPr>
        <w:t xml:space="preserve">Approved by the </w:t>
      </w:r>
      <w:r>
        <w:rPr>
          <w:rFonts w:ascii="Times New Roman" w:hAnsi="Times New Roman" w:cs="Times New Roman"/>
        </w:rPr>
        <w:t>Hon Paul Fletcher MP, Minister for Communications, Urban Infrastructure, Cities and the Arts</w:t>
      </w:r>
    </w:p>
    <w:p w14:paraId="3CCFD8F1" w14:textId="77777777" w:rsidR="00507299" w:rsidRPr="00543073" w:rsidRDefault="00507299" w:rsidP="00507299">
      <w:pPr>
        <w:jc w:val="center"/>
        <w:rPr>
          <w:rFonts w:ascii="Times New Roman" w:hAnsi="Times New Roman" w:cs="Times New Roman"/>
          <w:i/>
        </w:rPr>
      </w:pPr>
      <w:r w:rsidRPr="00543073">
        <w:rPr>
          <w:rFonts w:ascii="Times New Roman" w:hAnsi="Times New Roman" w:cs="Times New Roman"/>
          <w:i/>
        </w:rPr>
        <w:t>Telecommunications Act 1997</w:t>
      </w:r>
    </w:p>
    <w:p w14:paraId="0CC26D72" w14:textId="77777777" w:rsidR="00507299" w:rsidRPr="00543073" w:rsidRDefault="00507299" w:rsidP="00507299">
      <w:pPr>
        <w:spacing w:before="280" w:after="240"/>
        <w:jc w:val="center"/>
        <w:rPr>
          <w:rFonts w:ascii="Times New Roman" w:hAnsi="Times New Roman" w:cs="Times New Roman"/>
          <w:b/>
          <w:i/>
        </w:rPr>
      </w:pPr>
      <w:r w:rsidRPr="002038F3">
        <w:rPr>
          <w:rFonts w:ascii="Times New Roman" w:hAnsi="Times New Roman" w:cs="Times New Roman"/>
          <w:b/>
          <w:i/>
        </w:rPr>
        <w:t>Telecommunications Amendment (Local Access Lines—Class Exemptions) Regulations 2022</w:t>
      </w:r>
    </w:p>
    <w:p w14:paraId="19ED645D" w14:textId="77777777"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b/>
          <w:bCs/>
          <w:color w:val="000000"/>
          <w:sz w:val="24"/>
          <w:szCs w:val="24"/>
          <w:lang w:eastAsia="en-AU"/>
        </w:rPr>
        <w:t>Purpose and operation of the Instrument</w:t>
      </w:r>
    </w:p>
    <w:p w14:paraId="4330153B" w14:textId="77777777"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xml:space="preserve"> purpose of the </w:t>
      </w:r>
      <w:r w:rsidRPr="006670DA">
        <w:rPr>
          <w:rFonts w:ascii="Times New Roman" w:eastAsia="Times New Roman" w:hAnsi="Times New Roman" w:cs="Times New Roman"/>
          <w:i/>
          <w:color w:val="000000"/>
          <w:sz w:val="24"/>
          <w:szCs w:val="24"/>
          <w:lang w:eastAsia="en-AU"/>
        </w:rPr>
        <w:t>Telecommunications Amendment (Local Access Lines—Class Exemptions) Regulations 2022</w:t>
      </w:r>
      <w:r>
        <w:rPr>
          <w:rFonts w:ascii="Times New Roman" w:eastAsia="Times New Roman" w:hAnsi="Times New Roman" w:cs="Times New Roman"/>
          <w:color w:val="000000"/>
          <w:sz w:val="24"/>
          <w:szCs w:val="24"/>
          <w:lang w:eastAsia="en-AU"/>
        </w:rPr>
        <w:t xml:space="preserve"> (the Instrument) is to amend the</w:t>
      </w:r>
      <w:r>
        <w:rPr>
          <w:rFonts w:ascii="Times New Roman" w:eastAsia="Times New Roman" w:hAnsi="Times New Roman" w:cs="Times New Roman"/>
          <w:i/>
          <w:iCs/>
          <w:color w:val="000000"/>
          <w:sz w:val="24"/>
          <w:szCs w:val="24"/>
          <w:lang w:eastAsia="en-AU"/>
        </w:rPr>
        <w:t xml:space="preserve"> </w:t>
      </w:r>
      <w:r w:rsidRPr="00E307DA">
        <w:rPr>
          <w:rFonts w:ascii="Times New Roman" w:eastAsia="Times New Roman" w:hAnsi="Times New Roman" w:cs="Times New Roman"/>
          <w:i/>
          <w:iCs/>
          <w:color w:val="000000"/>
          <w:sz w:val="24"/>
          <w:szCs w:val="24"/>
          <w:lang w:eastAsia="en-AU"/>
        </w:rPr>
        <w:t>Tele</w:t>
      </w:r>
      <w:r>
        <w:rPr>
          <w:rFonts w:ascii="Times New Roman" w:eastAsia="Times New Roman" w:hAnsi="Times New Roman" w:cs="Times New Roman"/>
          <w:i/>
          <w:iCs/>
          <w:color w:val="000000"/>
          <w:sz w:val="24"/>
          <w:szCs w:val="24"/>
          <w:lang w:eastAsia="en-AU"/>
        </w:rPr>
        <w:t xml:space="preserve">communications Regulations 2021 </w:t>
      </w:r>
      <w:r w:rsidRPr="00E307DA">
        <w:rPr>
          <w:rFonts w:ascii="Times New Roman" w:eastAsia="Times New Roman" w:hAnsi="Times New Roman" w:cs="Times New Roman"/>
          <w:color w:val="000000"/>
          <w:sz w:val="24"/>
          <w:szCs w:val="24"/>
          <w:lang w:eastAsia="en-AU"/>
        </w:rPr>
        <w:t>(the Regulations)</w:t>
      </w:r>
      <w:r>
        <w:rPr>
          <w:rFonts w:ascii="Times New Roman" w:eastAsia="Times New Roman" w:hAnsi="Times New Roman" w:cs="Times New Roman"/>
          <w:color w:val="000000"/>
          <w:sz w:val="24"/>
          <w:szCs w:val="24"/>
          <w:lang w:eastAsia="en-AU"/>
        </w:rPr>
        <w:t xml:space="preserve">. Both the Instrument and the Regulations </w:t>
      </w:r>
      <w:r w:rsidRPr="00E307DA">
        <w:rPr>
          <w:rFonts w:ascii="Times New Roman" w:eastAsia="Times New Roman" w:hAnsi="Times New Roman" w:cs="Times New Roman"/>
          <w:color w:val="000000"/>
          <w:sz w:val="24"/>
          <w:szCs w:val="24"/>
          <w:lang w:eastAsia="en-AU"/>
        </w:rPr>
        <w:t>are made by the Governor-General under section 594 of the</w:t>
      </w:r>
      <w:r>
        <w:rPr>
          <w:rFonts w:ascii="Times New Roman" w:eastAsia="Times New Roman" w:hAnsi="Times New Roman" w:cs="Times New Roman"/>
          <w:i/>
          <w:iCs/>
          <w:color w:val="000000"/>
          <w:sz w:val="24"/>
          <w:szCs w:val="24"/>
          <w:lang w:eastAsia="en-AU"/>
        </w:rPr>
        <w:t xml:space="preserve"> Telecommunications Act 1997 </w:t>
      </w:r>
      <w:r w:rsidRPr="00E307DA">
        <w:rPr>
          <w:rFonts w:ascii="Times New Roman" w:eastAsia="Times New Roman" w:hAnsi="Times New Roman" w:cs="Times New Roman"/>
          <w:color w:val="000000"/>
          <w:sz w:val="24"/>
          <w:szCs w:val="24"/>
          <w:lang w:eastAsia="en-AU"/>
        </w:rPr>
        <w:t>(the Act)</w:t>
      </w:r>
      <w:r w:rsidRPr="00E307DA">
        <w:rPr>
          <w:rFonts w:ascii="Times New Roman" w:eastAsia="Times New Roman" w:hAnsi="Times New Roman" w:cs="Times New Roman"/>
          <w:i/>
          <w:iCs/>
          <w:color w:val="000000"/>
          <w:sz w:val="24"/>
          <w:szCs w:val="24"/>
          <w:lang w:eastAsia="en-AU"/>
        </w:rPr>
        <w:t>.</w:t>
      </w:r>
    </w:p>
    <w:p w14:paraId="26AB6349" w14:textId="7D99A02A"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color w:val="000000"/>
          <w:sz w:val="24"/>
          <w:szCs w:val="24"/>
          <w:lang w:eastAsia="en-AU"/>
        </w:rPr>
        <w:t>Section 594 provides that the Governor-General may make Regulations prescribing matters required or permitted to be p</w:t>
      </w:r>
      <w:r w:rsidR="006F03BA">
        <w:rPr>
          <w:rFonts w:ascii="Times New Roman" w:eastAsia="Times New Roman" w:hAnsi="Times New Roman" w:cs="Times New Roman"/>
          <w:color w:val="000000"/>
          <w:sz w:val="24"/>
          <w:szCs w:val="24"/>
          <w:lang w:eastAsia="en-AU"/>
        </w:rPr>
        <w:t xml:space="preserve">rescribed </w:t>
      </w:r>
      <w:r w:rsidR="006F03BA" w:rsidRPr="00221A8D">
        <w:rPr>
          <w:rFonts w:ascii="Times New Roman" w:eastAsia="Times New Roman" w:hAnsi="Times New Roman" w:cs="Times New Roman"/>
          <w:color w:val="000000"/>
          <w:sz w:val="24"/>
          <w:szCs w:val="24"/>
          <w:lang w:eastAsia="en-AU"/>
        </w:rPr>
        <w:t xml:space="preserve">by </w:t>
      </w:r>
      <w:r w:rsidR="00221A8D" w:rsidRPr="00221A8D">
        <w:rPr>
          <w:rFonts w:ascii="Times New Roman" w:eastAsia="Times New Roman" w:hAnsi="Times New Roman" w:cs="Times New Roman"/>
          <w:color w:val="000000"/>
          <w:sz w:val="24"/>
          <w:szCs w:val="24"/>
          <w:lang w:eastAsia="en-AU"/>
        </w:rPr>
        <w:t>the Act</w:t>
      </w:r>
      <w:r w:rsidRPr="00221A8D">
        <w:rPr>
          <w:rFonts w:ascii="Times New Roman" w:eastAsia="Times New Roman" w:hAnsi="Times New Roman" w:cs="Times New Roman"/>
          <w:color w:val="000000"/>
          <w:sz w:val="24"/>
          <w:szCs w:val="24"/>
          <w:lang w:eastAsia="en-AU"/>
        </w:rPr>
        <w:t>, or necessary or convenient to be prescribed for carrying out or giving effect to the Act.</w:t>
      </w:r>
    </w:p>
    <w:p w14:paraId="180C9BBF" w14:textId="77777777" w:rsidR="00507299" w:rsidRPr="00E307DA" w:rsidRDefault="00507299" w:rsidP="00507299">
      <w:pPr>
        <w:spacing w:before="120" w:line="235" w:lineRule="atLeast"/>
        <w:rPr>
          <w:rFonts w:ascii="Calibri" w:eastAsia="Times New Roman" w:hAnsi="Calibri" w:cs="Calibri"/>
          <w:color w:val="000000"/>
          <w:lang w:eastAsia="en-AU"/>
        </w:rPr>
      </w:pPr>
      <w:r w:rsidRPr="00E307DA">
        <w:rPr>
          <w:rFonts w:ascii="Times New Roman" w:eastAsia="Times New Roman" w:hAnsi="Times New Roman" w:cs="Times New Roman"/>
          <w:color w:val="000000"/>
          <w:sz w:val="24"/>
          <w:szCs w:val="24"/>
          <w:lang w:eastAsia="en-AU"/>
        </w:rPr>
        <w:t>Subsection 33(3) of the </w:t>
      </w:r>
      <w:r>
        <w:rPr>
          <w:rFonts w:ascii="Times New Roman" w:eastAsia="Times New Roman" w:hAnsi="Times New Roman" w:cs="Times New Roman"/>
          <w:i/>
          <w:iCs/>
          <w:color w:val="000000"/>
          <w:sz w:val="24"/>
          <w:szCs w:val="24"/>
          <w:lang w:eastAsia="en-AU"/>
        </w:rPr>
        <w:t xml:space="preserve">Acts Interpretation Act 1901 </w:t>
      </w:r>
      <w:r w:rsidRPr="00E307DA">
        <w:rPr>
          <w:rFonts w:ascii="Times New Roman" w:eastAsia="Times New Roman" w:hAnsi="Times New Roman" w:cs="Times New Roman"/>
          <w:color w:val="000000"/>
          <w:sz w:val="24"/>
          <w:szCs w:val="24"/>
          <w:lang w:eastAsia="en-AU"/>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w:t>
      </w:r>
    </w:p>
    <w:p w14:paraId="36BFB904" w14:textId="422DC405" w:rsidR="00507299" w:rsidRPr="00E307DA" w:rsidRDefault="00507299" w:rsidP="00507299">
      <w:pPr>
        <w:spacing w:before="120"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 Instrument is</w:t>
      </w:r>
      <w:r w:rsidRPr="00E307DA">
        <w:rPr>
          <w:rFonts w:ascii="Times New Roman" w:eastAsia="Times New Roman" w:hAnsi="Times New Roman" w:cs="Times New Roman"/>
          <w:color w:val="000000"/>
          <w:sz w:val="24"/>
          <w:szCs w:val="24"/>
          <w:lang w:eastAsia="en-AU"/>
        </w:rPr>
        <w:t xml:space="preserve"> a legislative instrument for t</w:t>
      </w:r>
      <w:r>
        <w:rPr>
          <w:rFonts w:ascii="Times New Roman" w:eastAsia="Times New Roman" w:hAnsi="Times New Roman" w:cs="Times New Roman"/>
          <w:color w:val="000000"/>
          <w:sz w:val="24"/>
          <w:szCs w:val="24"/>
          <w:lang w:eastAsia="en-AU"/>
        </w:rPr>
        <w:t xml:space="preserve">he purposes of section 8 of the </w:t>
      </w:r>
      <w:r>
        <w:rPr>
          <w:rFonts w:ascii="Times New Roman" w:eastAsia="Times New Roman" w:hAnsi="Times New Roman" w:cs="Times New Roman"/>
          <w:i/>
          <w:iCs/>
          <w:color w:val="000000"/>
          <w:sz w:val="24"/>
          <w:szCs w:val="24"/>
          <w:lang w:eastAsia="en-AU"/>
        </w:rPr>
        <w:t>Legislation</w:t>
      </w:r>
      <w:r w:rsidR="00233CB2">
        <w:rPr>
          <w:rFonts w:ascii="Times New Roman" w:eastAsia="Times New Roman" w:hAnsi="Times New Roman" w:cs="Times New Roman"/>
          <w:i/>
          <w:iCs/>
          <w:color w:val="000000"/>
          <w:sz w:val="24"/>
          <w:szCs w:val="24"/>
          <w:lang w:eastAsia="en-AU"/>
        </w:rPr>
        <w:t> </w:t>
      </w:r>
      <w:r>
        <w:rPr>
          <w:rFonts w:ascii="Times New Roman" w:eastAsia="Times New Roman" w:hAnsi="Times New Roman" w:cs="Times New Roman"/>
          <w:i/>
          <w:iCs/>
          <w:color w:val="000000"/>
          <w:sz w:val="24"/>
          <w:szCs w:val="24"/>
          <w:lang w:eastAsia="en-AU"/>
        </w:rPr>
        <w:t>Act</w:t>
      </w:r>
      <w:r w:rsidR="00233CB2">
        <w:rPr>
          <w:rFonts w:ascii="Times New Roman" w:eastAsia="Times New Roman" w:hAnsi="Times New Roman" w:cs="Times New Roman"/>
          <w:i/>
          <w:iCs/>
          <w:color w:val="000000"/>
          <w:sz w:val="24"/>
          <w:szCs w:val="24"/>
          <w:lang w:eastAsia="en-AU"/>
        </w:rPr>
        <w:t> </w:t>
      </w:r>
      <w:r w:rsidRPr="00E307DA">
        <w:rPr>
          <w:rFonts w:ascii="Times New Roman" w:eastAsia="Times New Roman" w:hAnsi="Times New Roman" w:cs="Times New Roman"/>
          <w:i/>
          <w:iCs/>
          <w:color w:val="000000"/>
          <w:sz w:val="24"/>
          <w:szCs w:val="24"/>
          <w:lang w:eastAsia="en-AU"/>
        </w:rPr>
        <w:t>2003.</w:t>
      </w:r>
    </w:p>
    <w:p w14:paraId="7429A4FE" w14:textId="77777777" w:rsidR="00507299" w:rsidRPr="00E307DA" w:rsidRDefault="00507299" w:rsidP="00507299">
      <w:pPr>
        <w:spacing w:before="120" w:after="120" w:line="253"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 Instrument</w:t>
      </w:r>
      <w:r w:rsidRPr="00DE634E">
        <w:rPr>
          <w:rFonts w:ascii="Times New Roman" w:eastAsia="Times New Roman" w:hAnsi="Times New Roman" w:cs="Times New Roman"/>
          <w:color w:val="000000"/>
          <w:sz w:val="24"/>
          <w:szCs w:val="24"/>
          <w:lang w:eastAsia="en-AU"/>
        </w:rPr>
        <w:t xml:space="preserve"> increase</w:t>
      </w:r>
      <w:r>
        <w:rPr>
          <w:rFonts w:ascii="Times New Roman" w:eastAsia="Times New Roman" w:hAnsi="Times New Roman" w:cs="Times New Roman"/>
          <w:color w:val="000000"/>
          <w:sz w:val="24"/>
          <w:szCs w:val="24"/>
          <w:lang w:eastAsia="en-AU"/>
        </w:rPr>
        <w:t>s</w:t>
      </w:r>
      <w:r w:rsidRPr="00DE634E">
        <w:rPr>
          <w:rFonts w:ascii="Times New Roman" w:eastAsia="Times New Roman" w:hAnsi="Times New Roman" w:cs="Times New Roman"/>
          <w:color w:val="000000"/>
          <w:sz w:val="24"/>
          <w:szCs w:val="24"/>
          <w:lang w:eastAsia="en-AU"/>
        </w:rPr>
        <w:t xml:space="preserve"> the customer limit above which controllers of local access lines </w:t>
      </w:r>
      <w:proofErr w:type="gramStart"/>
      <w:r w:rsidRPr="00DE634E">
        <w:rPr>
          <w:rFonts w:ascii="Times New Roman" w:eastAsia="Times New Roman" w:hAnsi="Times New Roman" w:cs="Times New Roman"/>
          <w:color w:val="000000"/>
          <w:sz w:val="24"/>
          <w:szCs w:val="24"/>
          <w:lang w:eastAsia="en-AU"/>
        </w:rPr>
        <w:t>used</w:t>
      </w:r>
      <w:proofErr w:type="gramEnd"/>
      <w:r w:rsidRPr="00DE634E">
        <w:rPr>
          <w:rFonts w:ascii="Times New Roman" w:eastAsia="Times New Roman" w:hAnsi="Times New Roman" w:cs="Times New Roman"/>
          <w:color w:val="000000"/>
          <w:sz w:val="24"/>
          <w:szCs w:val="24"/>
          <w:lang w:eastAsia="en-AU"/>
        </w:rPr>
        <w:t xml:space="preserve"> to provide superfast carriage services are subject to wholesale-only, or structural separ</w:t>
      </w:r>
      <w:r>
        <w:rPr>
          <w:rFonts w:ascii="Times New Roman" w:eastAsia="Times New Roman" w:hAnsi="Times New Roman" w:cs="Times New Roman"/>
          <w:color w:val="000000"/>
          <w:sz w:val="24"/>
          <w:szCs w:val="24"/>
          <w:lang w:eastAsia="en-AU"/>
        </w:rPr>
        <w:t>ation, requirements. This</w:t>
      </w:r>
      <w:r w:rsidR="007330F4">
        <w:rPr>
          <w:rFonts w:ascii="Times New Roman" w:eastAsia="Times New Roman" w:hAnsi="Times New Roman" w:cs="Times New Roman"/>
          <w:color w:val="000000"/>
          <w:sz w:val="24"/>
          <w:szCs w:val="24"/>
          <w:lang w:eastAsia="en-AU"/>
        </w:rPr>
        <w:t xml:space="preserve"> is expected to</w:t>
      </w:r>
      <w:r>
        <w:rPr>
          <w:rFonts w:ascii="Times New Roman" w:eastAsia="Times New Roman" w:hAnsi="Times New Roman" w:cs="Times New Roman"/>
          <w:color w:val="000000"/>
          <w:sz w:val="24"/>
          <w:szCs w:val="24"/>
          <w:lang w:eastAsia="en-AU"/>
        </w:rPr>
        <w:t xml:space="preserve"> </w:t>
      </w:r>
      <w:r w:rsidRPr="00DE634E">
        <w:rPr>
          <w:rFonts w:ascii="Times New Roman" w:eastAsia="Times New Roman" w:hAnsi="Times New Roman" w:cs="Times New Roman"/>
          <w:color w:val="000000"/>
          <w:sz w:val="24"/>
          <w:szCs w:val="24"/>
          <w:lang w:eastAsia="en-AU"/>
        </w:rPr>
        <w:t>provide an incentive for smaller superfast broadband infrastructure providers to</w:t>
      </w:r>
      <w:r>
        <w:rPr>
          <w:rFonts w:ascii="Times New Roman" w:eastAsia="Times New Roman" w:hAnsi="Times New Roman" w:cs="Times New Roman"/>
          <w:color w:val="000000"/>
          <w:sz w:val="24"/>
          <w:szCs w:val="24"/>
          <w:lang w:eastAsia="en-AU"/>
        </w:rPr>
        <w:t xml:space="preserve"> enter the market. The </w:t>
      </w:r>
      <w:r w:rsidRPr="00DE634E">
        <w:rPr>
          <w:rFonts w:ascii="Times New Roman" w:eastAsia="Times New Roman" w:hAnsi="Times New Roman" w:cs="Times New Roman"/>
          <w:color w:val="000000"/>
          <w:sz w:val="24"/>
          <w:szCs w:val="24"/>
          <w:lang w:eastAsia="en-AU"/>
        </w:rPr>
        <w:t>m</w:t>
      </w:r>
      <w:r>
        <w:rPr>
          <w:rFonts w:ascii="Times New Roman" w:eastAsia="Times New Roman" w:hAnsi="Times New Roman" w:cs="Times New Roman"/>
          <w:color w:val="000000"/>
          <w:sz w:val="24"/>
          <w:szCs w:val="24"/>
          <w:lang w:eastAsia="en-AU"/>
        </w:rPr>
        <w:t>easure aims</w:t>
      </w:r>
      <w:r w:rsidRPr="00DE634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to </w:t>
      </w:r>
      <w:r w:rsidRPr="00DE634E">
        <w:rPr>
          <w:rFonts w:ascii="Times New Roman" w:eastAsia="Times New Roman" w:hAnsi="Times New Roman" w:cs="Times New Roman"/>
          <w:color w:val="000000"/>
          <w:sz w:val="24"/>
          <w:szCs w:val="24"/>
          <w:lang w:eastAsia="en-AU"/>
        </w:rPr>
        <w:t>increase competition, and thus result in lower prices and improved services for superfast broadband users.</w:t>
      </w:r>
    </w:p>
    <w:p w14:paraId="7CAB9C9B" w14:textId="21E000B2" w:rsidR="00507299" w:rsidRPr="006A0608"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6A0608">
        <w:rPr>
          <w:rFonts w:ascii="Times New Roman" w:eastAsia="Times New Roman" w:hAnsi="Times New Roman" w:cs="Times New Roman"/>
          <w:bCs/>
          <w:color w:val="000000" w:themeColor="text1"/>
          <w:sz w:val="24"/>
          <w:lang w:eastAsia="en-AU"/>
        </w:rPr>
        <w:t>Sections 142</w:t>
      </w:r>
      <w:r>
        <w:rPr>
          <w:rFonts w:ascii="Times New Roman" w:eastAsia="Times New Roman" w:hAnsi="Times New Roman" w:cs="Times New Roman"/>
          <w:bCs/>
          <w:color w:val="000000" w:themeColor="text1"/>
          <w:sz w:val="24"/>
          <w:lang w:eastAsia="en-AU"/>
        </w:rPr>
        <w:t>C</w:t>
      </w:r>
      <w:r w:rsidRPr="006A0608">
        <w:rPr>
          <w:rFonts w:ascii="Times New Roman" w:eastAsia="Times New Roman" w:hAnsi="Times New Roman" w:cs="Times New Roman"/>
          <w:bCs/>
          <w:color w:val="000000" w:themeColor="text1"/>
          <w:sz w:val="24"/>
          <w:lang w:eastAsia="en-AU"/>
        </w:rPr>
        <w:t xml:space="preserve"> </w:t>
      </w:r>
      <w:r>
        <w:rPr>
          <w:rFonts w:ascii="Times New Roman" w:eastAsia="Times New Roman" w:hAnsi="Times New Roman" w:cs="Times New Roman"/>
          <w:bCs/>
          <w:color w:val="000000" w:themeColor="text1"/>
          <w:sz w:val="24"/>
          <w:lang w:eastAsia="en-AU"/>
        </w:rPr>
        <w:t xml:space="preserve">and </w:t>
      </w:r>
      <w:r w:rsidRPr="006A0608">
        <w:rPr>
          <w:rFonts w:ascii="Times New Roman" w:eastAsia="Times New Roman" w:hAnsi="Times New Roman" w:cs="Times New Roman"/>
          <w:bCs/>
          <w:color w:val="000000" w:themeColor="text1"/>
          <w:sz w:val="24"/>
          <w:lang w:eastAsia="en-AU"/>
        </w:rPr>
        <w:t>143 of the Act provide that</w:t>
      </w:r>
      <w:r>
        <w:rPr>
          <w:rFonts w:ascii="Times New Roman" w:eastAsia="Times New Roman" w:hAnsi="Times New Roman" w:cs="Times New Roman"/>
          <w:bCs/>
          <w:color w:val="000000" w:themeColor="text1"/>
          <w:sz w:val="24"/>
          <w:lang w:eastAsia="en-AU"/>
        </w:rPr>
        <w:t xml:space="preserve"> controllers of</w:t>
      </w:r>
      <w:r w:rsidRPr="006A0608">
        <w:rPr>
          <w:rFonts w:ascii="Times New Roman" w:eastAsia="Times New Roman" w:hAnsi="Times New Roman" w:cs="Times New Roman"/>
          <w:bCs/>
          <w:color w:val="000000" w:themeColor="text1"/>
          <w:sz w:val="24"/>
          <w:lang w:eastAsia="en-AU"/>
        </w:rPr>
        <w:t xml:space="preserve"> </w:t>
      </w:r>
      <w:r>
        <w:rPr>
          <w:rFonts w:ascii="Times New Roman" w:eastAsia="Times New Roman" w:hAnsi="Times New Roman" w:cs="Times New Roman"/>
          <w:bCs/>
          <w:color w:val="000000" w:themeColor="text1"/>
          <w:sz w:val="24"/>
          <w:lang w:eastAsia="en-AU"/>
        </w:rPr>
        <w:t>local access lines either constructed or upgraded on or after 1 January 2011 used to provide</w:t>
      </w:r>
      <w:r w:rsidRPr="006A0608">
        <w:rPr>
          <w:rFonts w:ascii="Times New Roman" w:eastAsia="Times New Roman" w:hAnsi="Times New Roman" w:cs="Times New Roman"/>
          <w:bCs/>
          <w:color w:val="000000" w:themeColor="text1"/>
          <w:sz w:val="24"/>
          <w:lang w:eastAsia="en-AU"/>
        </w:rPr>
        <w:t xml:space="preserve"> superfast </w:t>
      </w:r>
      <w:r>
        <w:rPr>
          <w:rFonts w:ascii="Times New Roman" w:eastAsia="Times New Roman" w:hAnsi="Times New Roman" w:cs="Times New Roman"/>
          <w:bCs/>
          <w:color w:val="000000" w:themeColor="text1"/>
          <w:sz w:val="24"/>
          <w:lang w:eastAsia="en-AU"/>
        </w:rPr>
        <w:t>carriage services</w:t>
      </w:r>
      <w:r w:rsidRPr="006A0608">
        <w:rPr>
          <w:rFonts w:ascii="Times New Roman" w:eastAsia="Times New Roman" w:hAnsi="Times New Roman" w:cs="Times New Roman"/>
          <w:bCs/>
          <w:color w:val="000000" w:themeColor="text1"/>
          <w:sz w:val="24"/>
          <w:lang w:eastAsia="en-AU"/>
        </w:rPr>
        <w:t xml:space="preserve"> are subject to wholesale</w:t>
      </w:r>
      <w:r>
        <w:rPr>
          <w:rFonts w:ascii="Times New Roman" w:eastAsia="Times New Roman" w:hAnsi="Times New Roman" w:cs="Times New Roman"/>
          <w:bCs/>
          <w:color w:val="000000" w:themeColor="text1"/>
          <w:sz w:val="24"/>
          <w:lang w:eastAsia="en-AU"/>
        </w:rPr>
        <w:t>-</w:t>
      </w:r>
      <w:r w:rsidRPr="006A0608">
        <w:rPr>
          <w:rFonts w:ascii="Times New Roman" w:eastAsia="Times New Roman" w:hAnsi="Times New Roman" w:cs="Times New Roman"/>
          <w:bCs/>
          <w:color w:val="000000" w:themeColor="text1"/>
          <w:sz w:val="24"/>
          <w:lang w:eastAsia="en-AU"/>
        </w:rPr>
        <w:t>only</w:t>
      </w:r>
      <w:r w:rsidR="006F03BA">
        <w:rPr>
          <w:rFonts w:ascii="Times New Roman" w:eastAsia="Times New Roman" w:hAnsi="Times New Roman" w:cs="Times New Roman"/>
          <w:bCs/>
          <w:color w:val="000000" w:themeColor="text1"/>
          <w:sz w:val="24"/>
          <w:lang w:eastAsia="en-AU"/>
        </w:rPr>
        <w:t xml:space="preserve"> (i.e. </w:t>
      </w:r>
      <w:r w:rsidRPr="006A0608">
        <w:rPr>
          <w:rFonts w:ascii="Times New Roman" w:eastAsia="Times New Roman" w:hAnsi="Times New Roman" w:cs="Times New Roman"/>
          <w:bCs/>
          <w:color w:val="000000" w:themeColor="text1"/>
          <w:sz w:val="24"/>
          <w:lang w:eastAsia="en-AU"/>
        </w:rPr>
        <w:t>structural separation</w:t>
      </w:r>
      <w:r w:rsidR="006F03BA">
        <w:rPr>
          <w:rFonts w:ascii="Times New Roman" w:eastAsia="Times New Roman" w:hAnsi="Times New Roman" w:cs="Times New Roman"/>
          <w:bCs/>
          <w:color w:val="000000" w:themeColor="text1"/>
          <w:sz w:val="24"/>
          <w:lang w:eastAsia="en-AU"/>
        </w:rPr>
        <w:t>)</w:t>
      </w:r>
      <w:r w:rsidRPr="006A0608">
        <w:rPr>
          <w:rFonts w:ascii="Times New Roman" w:eastAsia="Times New Roman" w:hAnsi="Times New Roman" w:cs="Times New Roman"/>
          <w:bCs/>
          <w:color w:val="000000" w:themeColor="text1"/>
          <w:sz w:val="24"/>
          <w:lang w:eastAsia="en-AU"/>
        </w:rPr>
        <w:t xml:space="preserve"> requirements. </w:t>
      </w:r>
      <w:r>
        <w:rPr>
          <w:rFonts w:ascii="Times New Roman" w:eastAsia="Times New Roman" w:hAnsi="Times New Roman" w:cs="Times New Roman"/>
          <w:bCs/>
          <w:color w:val="000000" w:themeColor="text1"/>
          <w:sz w:val="24"/>
          <w:lang w:eastAsia="en-AU"/>
        </w:rPr>
        <w:t>For the purposes of the Act, a s</w:t>
      </w:r>
      <w:r w:rsidRPr="006A0608">
        <w:rPr>
          <w:rFonts w:ascii="Times New Roman" w:eastAsia="Times New Roman" w:hAnsi="Times New Roman" w:cs="Times New Roman"/>
          <w:bCs/>
          <w:color w:val="000000" w:themeColor="text1"/>
          <w:sz w:val="24"/>
          <w:lang w:eastAsia="en-AU"/>
        </w:rPr>
        <w:t xml:space="preserve">uperfast </w:t>
      </w:r>
      <w:r>
        <w:rPr>
          <w:rFonts w:ascii="Times New Roman" w:eastAsia="Times New Roman" w:hAnsi="Times New Roman" w:cs="Times New Roman"/>
          <w:bCs/>
          <w:color w:val="000000" w:themeColor="text1"/>
          <w:sz w:val="24"/>
          <w:lang w:eastAsia="en-AU"/>
        </w:rPr>
        <w:t>carriage service</w:t>
      </w:r>
      <w:r w:rsidRPr="001A6661">
        <w:rPr>
          <w:rFonts w:ascii="Times New Roman" w:eastAsia="Times New Roman" w:hAnsi="Times New Roman" w:cs="Times New Roman"/>
          <w:bCs/>
          <w:color w:val="000000" w:themeColor="text1"/>
          <w:sz w:val="24"/>
          <w:lang w:eastAsia="en-AU"/>
        </w:rPr>
        <w:t xml:space="preserve"> enables end-u</w:t>
      </w:r>
      <w:r>
        <w:rPr>
          <w:rFonts w:ascii="Times New Roman" w:eastAsia="Times New Roman" w:hAnsi="Times New Roman" w:cs="Times New Roman"/>
          <w:bCs/>
          <w:color w:val="000000" w:themeColor="text1"/>
          <w:sz w:val="24"/>
          <w:lang w:eastAsia="en-AU"/>
        </w:rPr>
        <w:t>sers to download communications with a</w:t>
      </w:r>
      <w:r w:rsidRPr="001A6661">
        <w:rPr>
          <w:rFonts w:ascii="Times New Roman" w:eastAsia="Times New Roman" w:hAnsi="Times New Roman" w:cs="Times New Roman"/>
          <w:bCs/>
          <w:color w:val="000000" w:themeColor="text1"/>
          <w:sz w:val="24"/>
          <w:lang w:eastAsia="en-AU"/>
        </w:rPr>
        <w:t xml:space="preserve"> transmission speed </w:t>
      </w:r>
      <w:r>
        <w:rPr>
          <w:rFonts w:ascii="Times New Roman" w:eastAsia="Times New Roman" w:hAnsi="Times New Roman" w:cs="Times New Roman"/>
          <w:bCs/>
          <w:color w:val="000000" w:themeColor="text1"/>
          <w:sz w:val="24"/>
          <w:lang w:eastAsia="en-AU"/>
        </w:rPr>
        <w:t>that</w:t>
      </w:r>
      <w:r w:rsidRPr="001A6661">
        <w:rPr>
          <w:rFonts w:ascii="Times New Roman" w:eastAsia="Times New Roman" w:hAnsi="Times New Roman" w:cs="Times New Roman"/>
          <w:bCs/>
          <w:color w:val="000000" w:themeColor="text1"/>
          <w:sz w:val="24"/>
          <w:lang w:eastAsia="en-AU"/>
        </w:rPr>
        <w:t xml:space="preserve"> is normally</w:t>
      </w:r>
      <w:r>
        <w:rPr>
          <w:rFonts w:ascii="Times New Roman" w:eastAsia="Times New Roman" w:hAnsi="Times New Roman" w:cs="Times New Roman"/>
          <w:bCs/>
          <w:color w:val="000000" w:themeColor="text1"/>
          <w:sz w:val="24"/>
          <w:lang w:eastAsia="en-AU"/>
        </w:rPr>
        <w:t xml:space="preserve"> 25 megabits per second or more that</w:t>
      </w:r>
      <w:r w:rsidRPr="001A6661">
        <w:rPr>
          <w:rFonts w:ascii="Times New Roman" w:eastAsia="Times New Roman" w:hAnsi="Times New Roman" w:cs="Times New Roman"/>
          <w:bCs/>
          <w:color w:val="000000" w:themeColor="text1"/>
          <w:sz w:val="24"/>
          <w:lang w:eastAsia="en-AU"/>
        </w:rPr>
        <w:t xml:space="preserve"> is supplied using a line to </w:t>
      </w:r>
      <w:r>
        <w:rPr>
          <w:rFonts w:ascii="Times New Roman" w:eastAsia="Times New Roman" w:hAnsi="Times New Roman" w:cs="Times New Roman"/>
          <w:bCs/>
          <w:color w:val="000000" w:themeColor="text1"/>
          <w:sz w:val="24"/>
          <w:lang w:eastAsia="en-AU"/>
        </w:rPr>
        <w:t xml:space="preserve">a </w:t>
      </w:r>
      <w:r w:rsidRPr="001A6661">
        <w:rPr>
          <w:rFonts w:ascii="Times New Roman" w:eastAsia="Times New Roman" w:hAnsi="Times New Roman" w:cs="Times New Roman"/>
          <w:bCs/>
          <w:color w:val="000000" w:themeColor="text1"/>
          <w:sz w:val="24"/>
          <w:lang w:eastAsia="en-AU"/>
        </w:rPr>
        <w:t>premises occupied or used by an end-user.</w:t>
      </w:r>
    </w:p>
    <w:p w14:paraId="5EA3DBB8" w14:textId="77777777" w:rsidR="00507299" w:rsidRPr="006A0608"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4F3113F5" w14:textId="6A772769" w:rsidR="00507299"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6A0608">
        <w:rPr>
          <w:rFonts w:ascii="Times New Roman" w:eastAsia="Times New Roman" w:hAnsi="Times New Roman" w:cs="Times New Roman"/>
          <w:bCs/>
          <w:color w:val="000000" w:themeColor="text1"/>
          <w:sz w:val="24"/>
          <w:lang w:eastAsia="en-AU"/>
        </w:rPr>
        <w:t xml:space="preserve">Section 143A of the Act </w:t>
      </w:r>
      <w:r>
        <w:rPr>
          <w:rFonts w:ascii="Times New Roman" w:eastAsia="Times New Roman" w:hAnsi="Times New Roman" w:cs="Times New Roman"/>
          <w:bCs/>
          <w:color w:val="000000" w:themeColor="text1"/>
          <w:sz w:val="24"/>
          <w:lang w:eastAsia="en-AU"/>
        </w:rPr>
        <w:t>provides for</w:t>
      </w:r>
      <w:r w:rsidRPr="006A0608">
        <w:rPr>
          <w:rFonts w:ascii="Times New Roman" w:eastAsia="Times New Roman" w:hAnsi="Times New Roman" w:cs="Times New Roman"/>
          <w:bCs/>
          <w:color w:val="000000" w:themeColor="text1"/>
          <w:sz w:val="24"/>
          <w:lang w:eastAsia="en-AU"/>
        </w:rPr>
        <w:t xml:space="preserve"> the Australian Competition and Consumer Commission (ACCC) to </w:t>
      </w:r>
      <w:r w:rsidR="006F03BA">
        <w:rPr>
          <w:rFonts w:ascii="Times New Roman" w:eastAsia="Times New Roman" w:hAnsi="Times New Roman" w:cs="Times New Roman"/>
          <w:bCs/>
          <w:color w:val="000000" w:themeColor="text1"/>
          <w:sz w:val="24"/>
          <w:lang w:eastAsia="en-AU"/>
        </w:rPr>
        <w:t xml:space="preserve">make determinations </w:t>
      </w:r>
      <w:r w:rsidRPr="006A0608">
        <w:rPr>
          <w:rFonts w:ascii="Times New Roman" w:eastAsia="Times New Roman" w:hAnsi="Times New Roman" w:cs="Times New Roman"/>
          <w:bCs/>
          <w:color w:val="000000" w:themeColor="text1"/>
          <w:sz w:val="24"/>
          <w:lang w:eastAsia="en-AU"/>
        </w:rPr>
        <w:t>exempt</w:t>
      </w:r>
      <w:r w:rsidR="006F03BA">
        <w:rPr>
          <w:rFonts w:ascii="Times New Roman" w:eastAsia="Times New Roman" w:hAnsi="Times New Roman" w:cs="Times New Roman"/>
          <w:bCs/>
          <w:color w:val="000000" w:themeColor="text1"/>
          <w:sz w:val="24"/>
          <w:lang w:eastAsia="en-AU"/>
        </w:rPr>
        <w:t>ing</w:t>
      </w:r>
      <w:r>
        <w:rPr>
          <w:rFonts w:ascii="Times New Roman" w:eastAsia="Times New Roman" w:hAnsi="Times New Roman" w:cs="Times New Roman"/>
          <w:bCs/>
          <w:color w:val="000000" w:themeColor="text1"/>
          <w:sz w:val="24"/>
          <w:lang w:eastAsia="en-AU"/>
        </w:rPr>
        <w:t xml:space="preserve"> controllers of lines capable of supplying superfast broadband services</w:t>
      </w:r>
      <w:r w:rsidRPr="006A0608">
        <w:rPr>
          <w:rFonts w:ascii="Times New Roman" w:eastAsia="Times New Roman" w:hAnsi="Times New Roman" w:cs="Times New Roman"/>
          <w:bCs/>
          <w:color w:val="000000" w:themeColor="text1"/>
          <w:sz w:val="24"/>
          <w:lang w:eastAsia="en-AU"/>
        </w:rPr>
        <w:t xml:space="preserve"> from </w:t>
      </w:r>
      <w:r>
        <w:rPr>
          <w:rFonts w:ascii="Times New Roman" w:eastAsia="Times New Roman" w:hAnsi="Times New Roman" w:cs="Times New Roman"/>
          <w:bCs/>
          <w:color w:val="000000" w:themeColor="text1"/>
          <w:sz w:val="24"/>
          <w:lang w:eastAsia="en-AU"/>
        </w:rPr>
        <w:t xml:space="preserve">the structural separation requirements contained in </w:t>
      </w:r>
      <w:r w:rsidRPr="006A0608">
        <w:rPr>
          <w:rFonts w:ascii="Times New Roman" w:eastAsia="Times New Roman" w:hAnsi="Times New Roman" w:cs="Times New Roman"/>
          <w:bCs/>
          <w:color w:val="000000" w:themeColor="text1"/>
          <w:sz w:val="24"/>
          <w:lang w:eastAsia="en-AU"/>
        </w:rPr>
        <w:t>section</w:t>
      </w:r>
      <w:r>
        <w:rPr>
          <w:rFonts w:ascii="Times New Roman" w:eastAsia="Times New Roman" w:hAnsi="Times New Roman" w:cs="Times New Roman"/>
          <w:bCs/>
          <w:color w:val="000000" w:themeColor="text1"/>
          <w:sz w:val="24"/>
          <w:lang w:eastAsia="en-AU"/>
        </w:rPr>
        <w:t>s</w:t>
      </w:r>
      <w:r w:rsidRPr="006A0608">
        <w:rPr>
          <w:rFonts w:ascii="Times New Roman" w:eastAsia="Times New Roman" w:hAnsi="Times New Roman" w:cs="Times New Roman"/>
          <w:bCs/>
          <w:color w:val="000000" w:themeColor="text1"/>
          <w:sz w:val="24"/>
          <w:lang w:eastAsia="en-AU"/>
        </w:rPr>
        <w:t xml:space="preserve"> 142C or 143 of the Act. </w:t>
      </w:r>
      <w:r w:rsidR="006F03BA">
        <w:rPr>
          <w:rFonts w:ascii="Times New Roman" w:eastAsia="Times New Roman" w:hAnsi="Times New Roman" w:cs="Times New Roman"/>
          <w:bCs/>
          <w:color w:val="000000" w:themeColor="text1"/>
          <w:sz w:val="24"/>
          <w:lang w:eastAsia="en-AU"/>
        </w:rPr>
        <w:t>Under</w:t>
      </w:r>
      <w:r>
        <w:rPr>
          <w:rFonts w:ascii="Times New Roman" w:eastAsia="Times New Roman" w:hAnsi="Times New Roman" w:cs="Times New Roman"/>
          <w:bCs/>
          <w:color w:val="000000" w:themeColor="text1"/>
          <w:sz w:val="24"/>
          <w:lang w:eastAsia="en-AU"/>
        </w:rPr>
        <w:t xml:space="preserve"> subsection </w:t>
      </w:r>
      <w:proofErr w:type="gramStart"/>
      <w:r>
        <w:rPr>
          <w:rFonts w:ascii="Times New Roman" w:eastAsia="Times New Roman" w:hAnsi="Times New Roman" w:cs="Times New Roman"/>
          <w:bCs/>
          <w:color w:val="000000" w:themeColor="text1"/>
          <w:sz w:val="24"/>
          <w:lang w:eastAsia="en-AU"/>
        </w:rPr>
        <w:t>143A(</w:t>
      </w:r>
      <w:proofErr w:type="gramEnd"/>
      <w:r>
        <w:rPr>
          <w:rFonts w:ascii="Times New Roman" w:eastAsia="Times New Roman" w:hAnsi="Times New Roman" w:cs="Times New Roman"/>
          <w:bCs/>
          <w:color w:val="000000" w:themeColor="text1"/>
          <w:sz w:val="24"/>
          <w:lang w:eastAsia="en-AU"/>
        </w:rPr>
        <w:t>8) of the Act, in deciding to make an exemption determination, t</w:t>
      </w:r>
      <w:r w:rsidRPr="006A0608">
        <w:rPr>
          <w:rFonts w:ascii="Times New Roman" w:eastAsia="Times New Roman" w:hAnsi="Times New Roman" w:cs="Times New Roman"/>
          <w:bCs/>
          <w:color w:val="000000" w:themeColor="text1"/>
          <w:sz w:val="24"/>
          <w:lang w:eastAsia="en-AU"/>
        </w:rPr>
        <w:t xml:space="preserve">he ACCC </w:t>
      </w:r>
      <w:r>
        <w:rPr>
          <w:rFonts w:ascii="Times New Roman" w:eastAsia="Times New Roman" w:hAnsi="Times New Roman" w:cs="Times New Roman"/>
          <w:bCs/>
          <w:color w:val="000000" w:themeColor="text1"/>
          <w:sz w:val="24"/>
          <w:lang w:eastAsia="en-AU"/>
        </w:rPr>
        <w:t xml:space="preserve">must have regard to: whether </w:t>
      </w:r>
      <w:r w:rsidRPr="006A0608">
        <w:rPr>
          <w:rFonts w:ascii="Times New Roman" w:eastAsia="Times New Roman" w:hAnsi="Times New Roman" w:cs="Times New Roman"/>
          <w:bCs/>
          <w:color w:val="000000" w:themeColor="text1"/>
          <w:sz w:val="24"/>
          <w:lang w:eastAsia="en-AU"/>
        </w:rPr>
        <w:t xml:space="preserve">the exemption </w:t>
      </w:r>
      <w:r>
        <w:rPr>
          <w:rFonts w:ascii="Times New Roman" w:eastAsia="Times New Roman" w:hAnsi="Times New Roman" w:cs="Times New Roman"/>
          <w:bCs/>
          <w:color w:val="000000" w:themeColor="text1"/>
          <w:sz w:val="24"/>
          <w:lang w:eastAsia="en-AU"/>
        </w:rPr>
        <w:t xml:space="preserve">determination </w:t>
      </w:r>
      <w:r w:rsidRPr="006A0608">
        <w:rPr>
          <w:rFonts w:ascii="Times New Roman" w:eastAsia="Times New Roman" w:hAnsi="Times New Roman" w:cs="Times New Roman"/>
          <w:bCs/>
          <w:color w:val="000000" w:themeColor="text1"/>
          <w:sz w:val="24"/>
          <w:lang w:eastAsia="en-AU"/>
        </w:rPr>
        <w:t>would promote the long-term interests of end-users</w:t>
      </w:r>
      <w:r>
        <w:rPr>
          <w:rFonts w:ascii="Times New Roman" w:eastAsia="Times New Roman" w:hAnsi="Times New Roman" w:cs="Times New Roman"/>
          <w:bCs/>
          <w:color w:val="000000" w:themeColor="text1"/>
          <w:sz w:val="24"/>
          <w:lang w:eastAsia="en-AU"/>
        </w:rPr>
        <w:t>; any matters specified by the Minister in accordance with his power to do so under section 143A(9) (there currently are none); and any other matters (if any) the ACCC considers relevant</w:t>
      </w:r>
      <w:r w:rsidRPr="006A0608">
        <w:rPr>
          <w:rFonts w:ascii="Times New Roman" w:eastAsia="Times New Roman" w:hAnsi="Times New Roman" w:cs="Times New Roman"/>
          <w:bCs/>
          <w:color w:val="000000" w:themeColor="text1"/>
          <w:sz w:val="24"/>
          <w:lang w:eastAsia="en-AU"/>
        </w:rPr>
        <w:t>.</w:t>
      </w:r>
    </w:p>
    <w:p w14:paraId="28D79059" w14:textId="77777777" w:rsidR="00507299"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70C960D9" w14:textId="508FB8F3" w:rsidR="00507299" w:rsidRPr="006A0608"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6A0608">
        <w:rPr>
          <w:rFonts w:ascii="Times New Roman" w:eastAsia="Times New Roman" w:hAnsi="Times New Roman" w:cs="Times New Roman"/>
          <w:bCs/>
          <w:color w:val="000000" w:themeColor="text1"/>
          <w:sz w:val="24"/>
          <w:lang w:eastAsia="en-AU"/>
        </w:rPr>
        <w:t xml:space="preserve">For the purposes of making such determinations, the </w:t>
      </w:r>
      <w:r>
        <w:rPr>
          <w:rFonts w:ascii="Times New Roman" w:eastAsia="Times New Roman" w:hAnsi="Times New Roman" w:cs="Times New Roman"/>
          <w:bCs/>
          <w:color w:val="000000" w:themeColor="text1"/>
          <w:sz w:val="24"/>
          <w:lang w:eastAsia="en-AU"/>
        </w:rPr>
        <w:t xml:space="preserve">ACCC can specify the </w:t>
      </w:r>
      <w:r w:rsidRPr="006A0608">
        <w:rPr>
          <w:rFonts w:ascii="Times New Roman" w:eastAsia="Times New Roman" w:hAnsi="Times New Roman" w:cs="Times New Roman"/>
          <w:bCs/>
          <w:color w:val="000000" w:themeColor="text1"/>
          <w:sz w:val="24"/>
          <w:lang w:eastAsia="en-AU"/>
        </w:rPr>
        <w:t>number of residential customers t</w:t>
      </w:r>
      <w:r>
        <w:rPr>
          <w:rFonts w:ascii="Times New Roman" w:eastAsia="Times New Roman" w:hAnsi="Times New Roman" w:cs="Times New Roman"/>
          <w:bCs/>
          <w:color w:val="000000" w:themeColor="text1"/>
          <w:sz w:val="24"/>
          <w:lang w:eastAsia="en-AU"/>
        </w:rPr>
        <w:t>hat</w:t>
      </w:r>
      <w:r w:rsidRPr="006A0608">
        <w:rPr>
          <w:rFonts w:ascii="Times New Roman" w:eastAsia="Times New Roman" w:hAnsi="Times New Roman" w:cs="Times New Roman"/>
          <w:bCs/>
          <w:color w:val="000000" w:themeColor="text1"/>
          <w:sz w:val="24"/>
          <w:lang w:eastAsia="en-AU"/>
        </w:rPr>
        <w:t xml:space="preserve"> </w:t>
      </w:r>
      <w:r>
        <w:rPr>
          <w:rFonts w:ascii="Times New Roman" w:eastAsia="Times New Roman" w:hAnsi="Times New Roman" w:cs="Times New Roman"/>
          <w:bCs/>
          <w:color w:val="000000" w:themeColor="text1"/>
          <w:sz w:val="24"/>
          <w:lang w:eastAsia="en-AU"/>
        </w:rPr>
        <w:t>are permitted to</w:t>
      </w:r>
      <w:r w:rsidRPr="006A0608">
        <w:rPr>
          <w:rFonts w:ascii="Times New Roman" w:eastAsia="Times New Roman" w:hAnsi="Times New Roman" w:cs="Times New Roman"/>
          <w:bCs/>
          <w:color w:val="000000" w:themeColor="text1"/>
          <w:sz w:val="24"/>
          <w:lang w:eastAsia="en-AU"/>
        </w:rPr>
        <w:t xml:space="preserve"> be supplied </w:t>
      </w:r>
      <w:r>
        <w:rPr>
          <w:rFonts w:ascii="Times New Roman" w:eastAsia="Times New Roman" w:hAnsi="Times New Roman" w:cs="Times New Roman"/>
          <w:bCs/>
          <w:color w:val="000000" w:themeColor="text1"/>
          <w:sz w:val="24"/>
          <w:lang w:eastAsia="en-AU"/>
        </w:rPr>
        <w:t xml:space="preserve">superfast carriage services by a </w:t>
      </w:r>
      <w:r>
        <w:rPr>
          <w:rFonts w:ascii="Times New Roman" w:eastAsia="Times New Roman" w:hAnsi="Times New Roman" w:cs="Times New Roman"/>
          <w:bCs/>
          <w:color w:val="000000" w:themeColor="text1"/>
          <w:sz w:val="24"/>
          <w:lang w:eastAsia="en-AU"/>
        </w:rPr>
        <w:lastRenderedPageBreak/>
        <w:t xml:space="preserve">person over local access lines. The number of such services </w:t>
      </w:r>
      <w:r w:rsidRPr="006A0608">
        <w:rPr>
          <w:rFonts w:ascii="Times New Roman" w:eastAsia="Times New Roman" w:hAnsi="Times New Roman" w:cs="Times New Roman"/>
          <w:bCs/>
          <w:color w:val="000000" w:themeColor="text1"/>
          <w:sz w:val="24"/>
          <w:lang w:eastAsia="en-AU"/>
        </w:rPr>
        <w:t xml:space="preserve">must not exceed 2,000, or a higher number specified </w:t>
      </w:r>
      <w:r w:rsidR="007330F4">
        <w:rPr>
          <w:rFonts w:ascii="Times New Roman" w:eastAsia="Times New Roman" w:hAnsi="Times New Roman" w:cs="Times New Roman"/>
          <w:bCs/>
          <w:color w:val="000000" w:themeColor="text1"/>
          <w:sz w:val="24"/>
          <w:lang w:eastAsia="en-AU"/>
        </w:rPr>
        <w:t>in the R</w:t>
      </w:r>
      <w:r w:rsidRPr="006A0608">
        <w:rPr>
          <w:rFonts w:ascii="Times New Roman" w:eastAsia="Times New Roman" w:hAnsi="Times New Roman" w:cs="Times New Roman"/>
          <w:bCs/>
          <w:color w:val="000000" w:themeColor="text1"/>
          <w:sz w:val="24"/>
          <w:lang w:eastAsia="en-AU"/>
        </w:rPr>
        <w:t>egulations, which may not exceed 12,000. These thresholds apply on a single basis (where the person is not a member of an associated group) and on a group basis (where the person is a member of an associated group).</w:t>
      </w:r>
      <w:r w:rsidRPr="006A0608" w:rsidDel="00BB1983">
        <w:rPr>
          <w:rFonts w:ascii="Times New Roman" w:eastAsia="Times New Roman" w:hAnsi="Times New Roman" w:cs="Times New Roman"/>
          <w:bCs/>
          <w:color w:val="000000" w:themeColor="text1"/>
          <w:sz w:val="24"/>
          <w:lang w:eastAsia="en-AU"/>
        </w:rPr>
        <w:t xml:space="preserve"> </w:t>
      </w:r>
      <w:r>
        <w:rPr>
          <w:rFonts w:ascii="Times New Roman" w:eastAsia="Times New Roman" w:hAnsi="Times New Roman" w:cs="Times New Roman"/>
          <w:bCs/>
          <w:color w:val="000000" w:themeColor="text1"/>
          <w:sz w:val="24"/>
          <w:lang w:eastAsia="en-AU"/>
        </w:rPr>
        <w:t>Once such a determination is made, persons supplying equal to or less than the threshold number of services can elect to be bound by the determination and must, in accordance with subsectio</w:t>
      </w:r>
      <w:r w:rsidR="007330F4">
        <w:rPr>
          <w:rFonts w:ascii="Times New Roman" w:eastAsia="Times New Roman" w:hAnsi="Times New Roman" w:cs="Times New Roman"/>
          <w:bCs/>
          <w:color w:val="000000" w:themeColor="text1"/>
          <w:sz w:val="24"/>
          <w:lang w:eastAsia="en-AU"/>
        </w:rPr>
        <w:t>n</w:t>
      </w:r>
      <w:r w:rsidR="00233CB2">
        <w:rPr>
          <w:rFonts w:ascii="Times New Roman" w:eastAsia="Times New Roman" w:hAnsi="Times New Roman" w:cs="Times New Roman"/>
          <w:bCs/>
          <w:color w:val="000000" w:themeColor="text1"/>
          <w:sz w:val="24"/>
          <w:lang w:eastAsia="en-AU"/>
        </w:rPr>
        <w:t> </w:t>
      </w:r>
      <w:r w:rsidR="007330F4">
        <w:rPr>
          <w:rFonts w:ascii="Times New Roman" w:eastAsia="Times New Roman" w:hAnsi="Times New Roman" w:cs="Times New Roman"/>
          <w:bCs/>
          <w:color w:val="000000" w:themeColor="text1"/>
          <w:sz w:val="24"/>
          <w:lang w:eastAsia="en-AU"/>
        </w:rPr>
        <w:t>143A(3) and</w:t>
      </w:r>
      <w:r>
        <w:rPr>
          <w:rFonts w:ascii="Times New Roman" w:eastAsia="Times New Roman" w:hAnsi="Times New Roman" w:cs="Times New Roman"/>
          <w:bCs/>
          <w:color w:val="000000" w:themeColor="text1"/>
          <w:sz w:val="24"/>
          <w:lang w:eastAsia="en-AU"/>
        </w:rPr>
        <w:t xml:space="preserve"> among other things</w:t>
      </w:r>
      <w:r w:rsidR="007330F4">
        <w:rPr>
          <w:rFonts w:ascii="Times New Roman" w:eastAsia="Times New Roman" w:hAnsi="Times New Roman" w:cs="Times New Roman"/>
          <w:bCs/>
          <w:color w:val="000000" w:themeColor="text1"/>
          <w:sz w:val="24"/>
          <w:lang w:eastAsia="en-AU"/>
        </w:rPr>
        <w:t>,</w:t>
      </w:r>
      <w:r>
        <w:rPr>
          <w:rFonts w:ascii="Times New Roman" w:eastAsia="Times New Roman" w:hAnsi="Times New Roman" w:cs="Times New Roman"/>
          <w:bCs/>
          <w:color w:val="000000" w:themeColor="text1"/>
          <w:sz w:val="24"/>
          <w:lang w:eastAsia="en-AU"/>
        </w:rPr>
        <w:t xml:space="preserve"> provide services on a wholesale and non</w:t>
      </w:r>
      <w:r w:rsidR="00233CB2">
        <w:rPr>
          <w:rFonts w:ascii="Times New Roman" w:eastAsia="Times New Roman" w:hAnsi="Times New Roman" w:cs="Times New Roman"/>
          <w:bCs/>
          <w:color w:val="000000" w:themeColor="text1"/>
          <w:sz w:val="24"/>
          <w:lang w:eastAsia="en-AU"/>
        </w:rPr>
        <w:noBreakHyphen/>
      </w:r>
      <w:r>
        <w:rPr>
          <w:rFonts w:ascii="Times New Roman" w:eastAsia="Times New Roman" w:hAnsi="Times New Roman" w:cs="Times New Roman"/>
          <w:bCs/>
          <w:color w:val="000000" w:themeColor="text1"/>
          <w:sz w:val="24"/>
          <w:lang w:eastAsia="en-AU"/>
        </w:rPr>
        <w:t>discriminatory basis.</w:t>
      </w:r>
    </w:p>
    <w:p w14:paraId="78955FB6" w14:textId="77777777" w:rsidR="00507299" w:rsidRPr="006A0608"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1585C520" w14:textId="7597B7A6" w:rsidR="00507299"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8655AE">
        <w:rPr>
          <w:rFonts w:ascii="Times New Roman" w:eastAsia="Times New Roman" w:hAnsi="Times New Roman" w:cs="Times New Roman"/>
          <w:bCs/>
          <w:color w:val="000000" w:themeColor="text1"/>
          <w:sz w:val="24"/>
          <w:lang w:eastAsia="en-AU"/>
        </w:rPr>
        <w:t>The Instrument increases the residential customer threshold from 2,000 to 12,000.</w:t>
      </w:r>
      <w:r w:rsidR="006F03BA" w:rsidRPr="008655AE">
        <w:rPr>
          <w:rFonts w:ascii="Times New Roman" w:eastAsia="Times New Roman" w:hAnsi="Times New Roman" w:cs="Times New Roman"/>
          <w:bCs/>
          <w:color w:val="000000" w:themeColor="text1"/>
          <w:sz w:val="24"/>
          <w:lang w:eastAsia="en-AU"/>
        </w:rPr>
        <w:t xml:space="preserve"> As a result, by virtue of the Regulations, the ACCC </w:t>
      </w:r>
      <w:r w:rsidR="00214DF9" w:rsidRPr="008655AE">
        <w:rPr>
          <w:rFonts w:ascii="Times New Roman" w:eastAsia="Times New Roman" w:hAnsi="Times New Roman" w:cs="Times New Roman"/>
          <w:bCs/>
          <w:color w:val="000000" w:themeColor="text1"/>
          <w:sz w:val="24"/>
          <w:lang w:eastAsia="en-AU"/>
        </w:rPr>
        <w:t>can</w:t>
      </w:r>
      <w:r w:rsidR="006F03BA" w:rsidRPr="008655AE">
        <w:rPr>
          <w:rFonts w:ascii="Times New Roman" w:eastAsia="Times New Roman" w:hAnsi="Times New Roman" w:cs="Times New Roman"/>
          <w:bCs/>
          <w:color w:val="000000" w:themeColor="text1"/>
          <w:sz w:val="24"/>
          <w:lang w:eastAsia="en-AU"/>
        </w:rPr>
        <w:t xml:space="preserve"> make a determination </w:t>
      </w:r>
      <w:r w:rsidR="009A7219" w:rsidRPr="008655AE">
        <w:rPr>
          <w:rFonts w:ascii="Times New Roman" w:eastAsia="Times New Roman" w:hAnsi="Times New Roman" w:cs="Times New Roman"/>
          <w:bCs/>
          <w:color w:val="000000" w:themeColor="text1"/>
          <w:sz w:val="24"/>
          <w:lang w:eastAsia="en-AU"/>
        </w:rPr>
        <w:t xml:space="preserve">that has the effect of </w:t>
      </w:r>
      <w:r w:rsidR="006F03BA" w:rsidRPr="008655AE">
        <w:rPr>
          <w:rFonts w:ascii="Times New Roman" w:eastAsia="Times New Roman" w:hAnsi="Times New Roman" w:cs="Times New Roman"/>
          <w:bCs/>
          <w:color w:val="000000" w:themeColor="text1"/>
          <w:sz w:val="24"/>
          <w:lang w:eastAsia="en-AU"/>
        </w:rPr>
        <w:t xml:space="preserve">exempting controllers of superfast </w:t>
      </w:r>
      <w:r w:rsidR="00221A8D" w:rsidRPr="008655AE">
        <w:rPr>
          <w:rFonts w:ascii="Times New Roman" w:eastAsia="Times New Roman" w:hAnsi="Times New Roman" w:cs="Times New Roman"/>
          <w:bCs/>
          <w:color w:val="000000" w:themeColor="text1"/>
          <w:sz w:val="24"/>
          <w:lang w:eastAsia="en-AU"/>
        </w:rPr>
        <w:t xml:space="preserve">fixed-line </w:t>
      </w:r>
      <w:r w:rsidR="006F03BA" w:rsidRPr="008655AE">
        <w:rPr>
          <w:rFonts w:ascii="Times New Roman" w:eastAsia="Times New Roman" w:hAnsi="Times New Roman" w:cs="Times New Roman"/>
          <w:bCs/>
          <w:color w:val="000000" w:themeColor="text1"/>
          <w:sz w:val="24"/>
          <w:lang w:eastAsia="en-AU"/>
        </w:rPr>
        <w:t xml:space="preserve">broadband networks servicing up to 12,000 residential customers from the requirement to separate their wholesale and retail businesses. </w:t>
      </w:r>
    </w:p>
    <w:p w14:paraId="47E827C7" w14:textId="77777777" w:rsidR="00507299" w:rsidRPr="00DE634E"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304ADE40" w14:textId="77777777" w:rsidR="00507299"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A provision-by-provision description of the Instrument is set</w:t>
      </w:r>
      <w:r>
        <w:rPr>
          <w:rFonts w:ascii="Times New Roman" w:eastAsia="Times New Roman" w:hAnsi="Times New Roman" w:cs="Times New Roman"/>
          <w:bCs/>
          <w:color w:val="000000" w:themeColor="text1"/>
          <w:sz w:val="24"/>
          <w:lang w:eastAsia="en-AU"/>
        </w:rPr>
        <w:t xml:space="preserve"> out in the notes at </w:t>
      </w:r>
      <w:r w:rsidRPr="00907EC8">
        <w:rPr>
          <w:rFonts w:ascii="Times New Roman" w:eastAsia="Times New Roman" w:hAnsi="Times New Roman" w:cs="Times New Roman"/>
          <w:bCs/>
          <w:color w:val="000000" w:themeColor="text1"/>
          <w:sz w:val="24"/>
          <w:u w:val="single"/>
          <w:lang w:eastAsia="en-AU"/>
        </w:rPr>
        <w:t>Attachment A</w:t>
      </w:r>
      <w:r w:rsidRPr="003610CE">
        <w:rPr>
          <w:rFonts w:ascii="Times New Roman" w:eastAsia="Times New Roman" w:hAnsi="Times New Roman" w:cs="Times New Roman"/>
          <w:bCs/>
          <w:color w:val="000000" w:themeColor="text1"/>
          <w:sz w:val="24"/>
          <w:lang w:eastAsia="en-AU"/>
        </w:rPr>
        <w:t>.</w:t>
      </w:r>
    </w:p>
    <w:p w14:paraId="433D18BD" w14:textId="77777777" w:rsidR="00507299" w:rsidRPr="003610CE" w:rsidRDefault="00507299" w:rsidP="00507299">
      <w:pPr>
        <w:spacing w:after="0" w:line="240" w:lineRule="auto"/>
        <w:ind w:right="91"/>
        <w:rPr>
          <w:rFonts w:ascii="Times New Roman" w:eastAsia="Times New Roman" w:hAnsi="Times New Roman" w:cs="Times New Roman"/>
          <w:bCs/>
          <w:color w:val="000000" w:themeColor="text1"/>
          <w:sz w:val="24"/>
          <w:lang w:eastAsia="en-AU"/>
        </w:rPr>
      </w:pPr>
    </w:p>
    <w:p w14:paraId="19EADC2F" w14:textId="0F232C09" w:rsidR="00507299" w:rsidRPr="003610CE" w:rsidRDefault="00507299" w:rsidP="00507299">
      <w:pPr>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 xml:space="preserve">The Instrument is a disallowable legislative instrument for the purposes of the </w:t>
      </w:r>
      <w:r w:rsidRPr="00907EC8">
        <w:rPr>
          <w:rFonts w:ascii="Times New Roman" w:eastAsia="Times New Roman" w:hAnsi="Times New Roman" w:cs="Times New Roman"/>
          <w:bCs/>
          <w:i/>
          <w:color w:val="000000" w:themeColor="text1"/>
          <w:sz w:val="24"/>
          <w:lang w:eastAsia="en-AU"/>
        </w:rPr>
        <w:t>Legislation</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Act</w:t>
      </w:r>
      <w:r w:rsidR="00233CB2">
        <w:rPr>
          <w:rFonts w:ascii="Times New Roman" w:eastAsia="Times New Roman" w:hAnsi="Times New Roman" w:cs="Times New Roman"/>
          <w:bCs/>
          <w:i/>
          <w:color w:val="000000" w:themeColor="text1"/>
          <w:sz w:val="24"/>
          <w:lang w:eastAsia="en-AU"/>
        </w:rPr>
        <w:t> </w:t>
      </w:r>
      <w:r w:rsidRPr="00907EC8">
        <w:rPr>
          <w:rFonts w:ascii="Times New Roman" w:eastAsia="Times New Roman" w:hAnsi="Times New Roman" w:cs="Times New Roman"/>
          <w:bCs/>
          <w:i/>
          <w:color w:val="000000" w:themeColor="text1"/>
          <w:sz w:val="24"/>
          <w:lang w:eastAsia="en-AU"/>
        </w:rPr>
        <w:t>2003</w:t>
      </w:r>
      <w:r w:rsidRPr="003610CE">
        <w:rPr>
          <w:rFonts w:ascii="Times New Roman" w:eastAsia="Times New Roman" w:hAnsi="Times New Roman" w:cs="Times New Roman"/>
          <w:bCs/>
          <w:color w:val="000000" w:themeColor="text1"/>
          <w:sz w:val="24"/>
          <w:lang w:eastAsia="en-AU"/>
        </w:rPr>
        <w:t>.</w:t>
      </w:r>
    </w:p>
    <w:p w14:paraId="620DC286" w14:textId="77777777"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Documents incorporated by reference</w:t>
      </w:r>
    </w:p>
    <w:p w14:paraId="44EC8B83" w14:textId="77777777" w:rsidR="00507299" w:rsidRPr="003610CE" w:rsidRDefault="00507299" w:rsidP="00507299">
      <w:pPr>
        <w:rPr>
          <w:rFonts w:ascii="Times New Roman" w:eastAsia="Times New Roman" w:hAnsi="Times New Roman" w:cs="Times New Roman"/>
          <w:bCs/>
          <w:color w:val="000000" w:themeColor="text1"/>
          <w:sz w:val="24"/>
          <w:lang w:eastAsia="en-AU"/>
        </w:rPr>
      </w:pPr>
      <w:r w:rsidRPr="003610CE">
        <w:rPr>
          <w:rFonts w:ascii="Times New Roman" w:eastAsia="Times New Roman" w:hAnsi="Times New Roman" w:cs="Times New Roman"/>
          <w:bCs/>
          <w:color w:val="000000" w:themeColor="text1"/>
          <w:sz w:val="24"/>
          <w:lang w:eastAsia="en-AU"/>
        </w:rPr>
        <w:t>The instrument does not incorporate any document by reference.</w:t>
      </w:r>
    </w:p>
    <w:p w14:paraId="41B0EB98" w14:textId="77777777"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Consultation</w:t>
      </w:r>
    </w:p>
    <w:p w14:paraId="3B4AF93D" w14:textId="402FC204" w:rsidR="00507299" w:rsidRPr="003610CE" w:rsidRDefault="00507299" w:rsidP="00507299">
      <w:pPr>
        <w:rPr>
          <w:rFonts w:ascii="Times New Roman" w:hAnsi="Times New Roman" w:cs="Times New Roman"/>
          <w:sz w:val="24"/>
          <w:szCs w:val="24"/>
        </w:rPr>
      </w:pPr>
      <w:r w:rsidRPr="003610CE">
        <w:rPr>
          <w:rFonts w:ascii="Times New Roman" w:hAnsi="Times New Roman" w:cs="Times New Roman"/>
          <w:sz w:val="24"/>
          <w:szCs w:val="24"/>
        </w:rPr>
        <w:t xml:space="preserve">On 25 August 2020, the ACCC issued the </w:t>
      </w:r>
      <w:r w:rsidRPr="003610CE">
        <w:rPr>
          <w:rFonts w:ascii="Times New Roman" w:hAnsi="Times New Roman" w:cs="Times New Roman"/>
          <w:i/>
          <w:sz w:val="24"/>
          <w:szCs w:val="24"/>
        </w:rPr>
        <w:t>Telecommunications (Superfast Broadband Network Class Exemption) Determination 2020</w:t>
      </w:r>
      <w:r w:rsidRPr="003610CE">
        <w:rPr>
          <w:rFonts w:ascii="Times New Roman" w:hAnsi="Times New Roman" w:cs="Times New Roman"/>
          <w:sz w:val="24"/>
          <w:szCs w:val="24"/>
        </w:rPr>
        <w:t xml:space="preserve"> (the Determination). The ACCC decided to exempt network controllers with up to 2,000 retail residential customers from the structural separation requirements. The ACCC indicated that it was satisfied an exemption from the separation requirements would reduce the disproportionate regulatory cost burden on the operators of smaller networks, and would enable them to invest in competitive infrastructure through increasing the reach of their networks and improving the quality of services provided to end-users.</w:t>
      </w:r>
    </w:p>
    <w:p w14:paraId="46487CE4" w14:textId="46A9C04A" w:rsidR="00507299" w:rsidRPr="003610CE" w:rsidRDefault="00507299" w:rsidP="00507299">
      <w:pPr>
        <w:rPr>
          <w:rFonts w:ascii="Times New Roman" w:hAnsi="Times New Roman" w:cs="Times New Roman"/>
          <w:sz w:val="24"/>
          <w:szCs w:val="24"/>
        </w:rPr>
      </w:pPr>
      <w:r w:rsidRPr="003610CE">
        <w:rPr>
          <w:rFonts w:ascii="Times New Roman" w:hAnsi="Times New Roman" w:cs="Times New Roman"/>
          <w:sz w:val="24"/>
          <w:szCs w:val="24"/>
        </w:rPr>
        <w:t xml:space="preserve">The ACCC noted that the majority of the submissions it received in response to consultation on the Determination supported the inclusion of a mechanism in the instrument to allow the threshold to increase to a maximum of 12,000 residential customers if this were, at a </w:t>
      </w:r>
      <w:r w:rsidR="007330F4">
        <w:rPr>
          <w:rFonts w:ascii="Times New Roman" w:hAnsi="Times New Roman" w:cs="Times New Roman"/>
          <w:sz w:val="24"/>
          <w:szCs w:val="24"/>
        </w:rPr>
        <w:t>future point, specified in the R</w:t>
      </w:r>
      <w:r w:rsidR="00221A8D">
        <w:rPr>
          <w:rFonts w:ascii="Times New Roman" w:hAnsi="Times New Roman" w:cs="Times New Roman"/>
          <w:sz w:val="24"/>
          <w:szCs w:val="24"/>
        </w:rPr>
        <w:t>egulations. T</w:t>
      </w:r>
      <w:r w:rsidRPr="003610CE">
        <w:rPr>
          <w:rFonts w:ascii="Times New Roman" w:hAnsi="Times New Roman" w:cs="Times New Roman"/>
          <w:sz w:val="24"/>
          <w:szCs w:val="24"/>
        </w:rPr>
        <w:t>he Determination included a provision that if the class exempti</w:t>
      </w:r>
      <w:r w:rsidR="007330F4">
        <w:rPr>
          <w:rFonts w:ascii="Times New Roman" w:hAnsi="Times New Roman" w:cs="Times New Roman"/>
          <w:sz w:val="24"/>
          <w:szCs w:val="24"/>
        </w:rPr>
        <w:t>on threshold was increased via the R</w:t>
      </w:r>
      <w:r w:rsidRPr="003610CE">
        <w:rPr>
          <w:rFonts w:ascii="Times New Roman" w:hAnsi="Times New Roman" w:cs="Times New Roman"/>
          <w:sz w:val="24"/>
          <w:szCs w:val="24"/>
        </w:rPr>
        <w:t>egulation</w:t>
      </w:r>
      <w:r w:rsidR="007330F4">
        <w:rPr>
          <w:rFonts w:ascii="Times New Roman" w:hAnsi="Times New Roman" w:cs="Times New Roman"/>
          <w:sz w:val="24"/>
          <w:szCs w:val="24"/>
        </w:rPr>
        <w:t>s</w:t>
      </w:r>
      <w:r w:rsidRPr="003610CE">
        <w:rPr>
          <w:rFonts w:ascii="Times New Roman" w:hAnsi="Times New Roman" w:cs="Times New Roman"/>
          <w:sz w:val="24"/>
          <w:szCs w:val="24"/>
        </w:rPr>
        <w:t xml:space="preserve"> then the benefit would automatically flow through to the controllers of relevant lines.</w:t>
      </w:r>
    </w:p>
    <w:p w14:paraId="65EC0799" w14:textId="44A1E8CD" w:rsidR="00507299" w:rsidRPr="003610CE" w:rsidRDefault="00507299" w:rsidP="00507299">
      <w:pPr>
        <w:rPr>
          <w:rFonts w:ascii="Times New Roman" w:hAnsi="Times New Roman" w:cs="Times New Roman"/>
          <w:sz w:val="24"/>
          <w:szCs w:val="24"/>
        </w:rPr>
      </w:pPr>
      <w:r w:rsidRPr="003610CE">
        <w:rPr>
          <w:rFonts w:ascii="Times New Roman" w:hAnsi="Times New Roman" w:cs="Times New Roman"/>
          <w:sz w:val="24"/>
          <w:szCs w:val="24"/>
        </w:rPr>
        <w:t>From 15 January</w:t>
      </w:r>
      <w:r w:rsidR="00221A8D">
        <w:rPr>
          <w:rFonts w:ascii="Times New Roman" w:hAnsi="Times New Roman" w:cs="Times New Roman"/>
          <w:sz w:val="24"/>
          <w:szCs w:val="24"/>
        </w:rPr>
        <w:t xml:space="preserve"> 2021</w:t>
      </w:r>
      <w:r w:rsidRPr="003610CE">
        <w:rPr>
          <w:rFonts w:ascii="Times New Roman" w:hAnsi="Times New Roman" w:cs="Times New Roman"/>
          <w:sz w:val="24"/>
          <w:szCs w:val="24"/>
        </w:rPr>
        <w:t xml:space="preserve"> to 5 February 2021, the Department of Infrastructure, Transport, Regional Development and Communications (the Department) conducted a public consultation process to gauge whether there was support for the Minister recommending to the Governor-General tha</w:t>
      </w:r>
      <w:r w:rsidR="007330F4">
        <w:rPr>
          <w:rFonts w:ascii="Times New Roman" w:hAnsi="Times New Roman" w:cs="Times New Roman"/>
          <w:sz w:val="24"/>
          <w:szCs w:val="24"/>
        </w:rPr>
        <w:t>t amendments to the R</w:t>
      </w:r>
      <w:r w:rsidRPr="003610CE">
        <w:rPr>
          <w:rFonts w:ascii="Times New Roman" w:hAnsi="Times New Roman" w:cs="Times New Roman"/>
          <w:sz w:val="24"/>
          <w:szCs w:val="24"/>
        </w:rPr>
        <w:t>egulations to be made to enable the ACCC to increase the class exemption limit to 12,000 residential retail customers. Six submissions were received</w:t>
      </w:r>
      <w:r w:rsidR="0053755D">
        <w:rPr>
          <w:rFonts w:ascii="Times New Roman" w:hAnsi="Times New Roman" w:cs="Times New Roman"/>
          <w:sz w:val="24"/>
          <w:szCs w:val="24"/>
        </w:rPr>
        <w:t xml:space="preserve"> – </w:t>
      </w:r>
      <w:r w:rsidRPr="003610CE">
        <w:rPr>
          <w:rFonts w:ascii="Times New Roman" w:hAnsi="Times New Roman" w:cs="Times New Roman"/>
          <w:sz w:val="24"/>
          <w:szCs w:val="24"/>
        </w:rPr>
        <w:t>from NBN Co</w:t>
      </w:r>
      <w:r w:rsidR="0053755D">
        <w:rPr>
          <w:rFonts w:ascii="Times New Roman" w:hAnsi="Times New Roman" w:cs="Times New Roman"/>
          <w:sz w:val="24"/>
          <w:szCs w:val="24"/>
        </w:rPr>
        <w:t>,</w:t>
      </w:r>
      <w:r w:rsidRPr="003610CE">
        <w:rPr>
          <w:rFonts w:ascii="Times New Roman" w:hAnsi="Times New Roman" w:cs="Times New Roman"/>
          <w:sz w:val="24"/>
          <w:szCs w:val="24"/>
        </w:rPr>
        <w:t xml:space="preserve"> the Australian Communications Consumer Action Network </w:t>
      </w:r>
      <w:r w:rsidR="0053755D">
        <w:rPr>
          <w:rFonts w:ascii="Times New Roman" w:hAnsi="Times New Roman" w:cs="Times New Roman"/>
          <w:sz w:val="24"/>
          <w:szCs w:val="24"/>
        </w:rPr>
        <w:lastRenderedPageBreak/>
        <w:t xml:space="preserve">and four smaller broadband infrastructure providers (Aussie Broadband, Interphone, Lyneham Networks and </w:t>
      </w:r>
      <w:proofErr w:type="spellStart"/>
      <w:r w:rsidR="0053755D">
        <w:rPr>
          <w:rFonts w:ascii="Times New Roman" w:hAnsi="Times New Roman" w:cs="Times New Roman"/>
          <w:sz w:val="24"/>
          <w:szCs w:val="24"/>
        </w:rPr>
        <w:t>Telair</w:t>
      </w:r>
      <w:proofErr w:type="spellEnd"/>
      <w:r w:rsidR="0053755D">
        <w:rPr>
          <w:rFonts w:ascii="Times New Roman" w:hAnsi="Times New Roman" w:cs="Times New Roman"/>
          <w:sz w:val="24"/>
          <w:szCs w:val="24"/>
        </w:rPr>
        <w:t>).</w:t>
      </w:r>
    </w:p>
    <w:p w14:paraId="2AEC7171" w14:textId="4ED740B3" w:rsidR="00507299" w:rsidRPr="003610CE" w:rsidRDefault="00507299" w:rsidP="00507299">
      <w:pPr>
        <w:rPr>
          <w:rFonts w:ascii="Times New Roman" w:hAnsi="Times New Roman" w:cs="Times New Roman"/>
          <w:sz w:val="24"/>
          <w:szCs w:val="24"/>
        </w:rPr>
      </w:pPr>
      <w:r w:rsidRPr="003610CE">
        <w:rPr>
          <w:rFonts w:ascii="Times New Roman" w:hAnsi="Times New Roman" w:cs="Times New Roman"/>
          <w:sz w:val="24"/>
          <w:szCs w:val="24"/>
        </w:rPr>
        <w:t>The Department conclu</w:t>
      </w:r>
      <w:r w:rsidR="00221A8D">
        <w:rPr>
          <w:rFonts w:ascii="Times New Roman" w:hAnsi="Times New Roman" w:cs="Times New Roman"/>
          <w:sz w:val="24"/>
          <w:szCs w:val="24"/>
        </w:rPr>
        <w:t>ded that increasing the limit on</w:t>
      </w:r>
      <w:r w:rsidRPr="003610CE">
        <w:rPr>
          <w:rFonts w:ascii="Times New Roman" w:hAnsi="Times New Roman" w:cs="Times New Roman"/>
          <w:sz w:val="24"/>
          <w:szCs w:val="24"/>
        </w:rPr>
        <w:t xml:space="preserve"> the class exemption to 12,000 residential customers would benefit smaller network operators and promote long term infrastructure-based competition in the market.</w:t>
      </w:r>
    </w:p>
    <w:p w14:paraId="4BC8D55D" w14:textId="77777777" w:rsidR="00507299" w:rsidRPr="003610CE" w:rsidRDefault="00507299" w:rsidP="00507299">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Regulatory impact assessment</w:t>
      </w:r>
    </w:p>
    <w:p w14:paraId="705115CE" w14:textId="721E56C8" w:rsidR="002C11F5" w:rsidRPr="002C11F5" w:rsidRDefault="007330F4" w:rsidP="002C11F5">
      <w:pPr>
        <w:rPr>
          <w:rFonts w:ascii="Times New Roman" w:hAnsi="Times New Roman" w:cs="Times New Roman"/>
          <w:sz w:val="24"/>
          <w:szCs w:val="24"/>
        </w:rPr>
      </w:pPr>
      <w:r w:rsidRPr="002C11F5">
        <w:rPr>
          <w:rFonts w:ascii="Times New Roman" w:hAnsi="Times New Roman" w:cs="Times New Roman"/>
          <w:sz w:val="24"/>
          <w:szCs w:val="24"/>
        </w:rPr>
        <w:t>A Regulation Impact Statemen</w:t>
      </w:r>
      <w:r w:rsidR="00672B4D">
        <w:rPr>
          <w:rFonts w:ascii="Times New Roman" w:hAnsi="Times New Roman" w:cs="Times New Roman"/>
          <w:sz w:val="24"/>
          <w:szCs w:val="24"/>
        </w:rPr>
        <w:t>t (RIS) was prepared</w:t>
      </w:r>
      <w:r w:rsidRPr="002C11F5">
        <w:rPr>
          <w:rFonts w:ascii="Times New Roman" w:hAnsi="Times New Roman" w:cs="Times New Roman"/>
          <w:sz w:val="24"/>
          <w:szCs w:val="24"/>
        </w:rPr>
        <w:t xml:space="preserve"> to </w:t>
      </w:r>
      <w:r w:rsidR="00672B4D">
        <w:rPr>
          <w:rFonts w:ascii="Times New Roman" w:hAnsi="Times New Roman" w:cs="Times New Roman"/>
          <w:sz w:val="24"/>
          <w:szCs w:val="24"/>
        </w:rPr>
        <w:t>evaluate policy options relating to</w:t>
      </w:r>
      <w:r w:rsidRPr="002C11F5">
        <w:rPr>
          <w:rFonts w:ascii="Times New Roman" w:hAnsi="Times New Roman" w:cs="Times New Roman"/>
          <w:sz w:val="24"/>
          <w:szCs w:val="24"/>
        </w:rPr>
        <w:t xml:space="preserve"> the </w:t>
      </w:r>
      <w:r w:rsidR="00672B4D">
        <w:rPr>
          <w:rFonts w:ascii="Times New Roman" w:hAnsi="Times New Roman" w:cs="Times New Roman"/>
          <w:sz w:val="24"/>
          <w:szCs w:val="24"/>
        </w:rPr>
        <w:t>i</w:t>
      </w:r>
      <w:r w:rsidR="005F223D" w:rsidRPr="002C11F5">
        <w:rPr>
          <w:rFonts w:ascii="Times New Roman" w:hAnsi="Times New Roman" w:cs="Times New Roman"/>
          <w:sz w:val="24"/>
          <w:szCs w:val="24"/>
        </w:rPr>
        <w:t>nstrument</w:t>
      </w:r>
      <w:r w:rsidRPr="002C11F5">
        <w:rPr>
          <w:rFonts w:ascii="Times New Roman" w:hAnsi="Times New Roman" w:cs="Times New Roman"/>
          <w:sz w:val="24"/>
          <w:szCs w:val="24"/>
        </w:rPr>
        <w:t xml:space="preserve">. </w:t>
      </w:r>
      <w:r w:rsidR="002C11F5" w:rsidRPr="002C11F5">
        <w:rPr>
          <w:rFonts w:ascii="Times New Roman" w:hAnsi="Times New Roman" w:cs="Times New Roman"/>
          <w:sz w:val="24"/>
          <w:szCs w:val="24"/>
        </w:rPr>
        <w:t xml:space="preserve">The RIS for the instrument is available at the Office of Best Practice Regulation website at </w:t>
      </w:r>
      <w:hyperlink r:id="rId9" w:history="1">
        <w:r w:rsidR="002C11F5" w:rsidRPr="002C11F5">
          <w:rPr>
            <w:rStyle w:val="Hyperlink"/>
            <w:rFonts w:ascii="Times New Roman" w:hAnsi="Times New Roman" w:cs="Times New Roman"/>
            <w:sz w:val="24"/>
            <w:szCs w:val="24"/>
          </w:rPr>
          <w:t>obpr.pmc.gov.au</w:t>
        </w:r>
      </w:hyperlink>
      <w:r w:rsidR="002C11F5" w:rsidRPr="002C11F5">
        <w:rPr>
          <w:rFonts w:ascii="Times New Roman" w:hAnsi="Times New Roman" w:cs="Times New Roman"/>
          <w:sz w:val="24"/>
          <w:szCs w:val="24"/>
        </w:rPr>
        <w:t>. The RIS was prepared by the Department of Infrastructure, Transport, Regional Development and Communications, and has been assessed as adequate by the Office of Best Practice Regulation.</w:t>
      </w:r>
    </w:p>
    <w:p w14:paraId="219CEBA8" w14:textId="77777777" w:rsidR="00507299" w:rsidRPr="003610CE" w:rsidRDefault="00507299" w:rsidP="007330F4">
      <w:pPr>
        <w:spacing w:before="120" w:line="235" w:lineRule="atLeast"/>
        <w:rPr>
          <w:rFonts w:ascii="Times New Roman" w:eastAsia="Times New Roman" w:hAnsi="Times New Roman" w:cs="Times New Roman"/>
          <w:b/>
          <w:bCs/>
          <w:color w:val="000000"/>
          <w:sz w:val="24"/>
          <w:szCs w:val="24"/>
          <w:lang w:eastAsia="en-AU"/>
        </w:rPr>
      </w:pPr>
      <w:r w:rsidRPr="003610CE">
        <w:rPr>
          <w:rFonts w:ascii="Times New Roman" w:eastAsia="Times New Roman" w:hAnsi="Times New Roman" w:cs="Times New Roman"/>
          <w:b/>
          <w:bCs/>
          <w:color w:val="000000"/>
          <w:sz w:val="24"/>
          <w:szCs w:val="24"/>
          <w:lang w:eastAsia="en-AU"/>
        </w:rPr>
        <w:t>Statement of compatibility with human rights</w:t>
      </w:r>
    </w:p>
    <w:p w14:paraId="1C0957C9" w14:textId="0E4DE718" w:rsidR="00507299" w:rsidRPr="005F223D" w:rsidRDefault="00507299" w:rsidP="00507299">
      <w:pPr>
        <w:spacing w:line="256" w:lineRule="auto"/>
        <w:rPr>
          <w:rFonts w:ascii="Times New Roman" w:hAnsi="Times New Roman" w:cs="Times New Roman"/>
          <w:sz w:val="24"/>
        </w:rPr>
      </w:pPr>
      <w:r w:rsidRPr="005F223D">
        <w:rPr>
          <w:rFonts w:ascii="Times New Roman" w:hAnsi="Times New Roman" w:cs="Times New Roman"/>
          <w:sz w:val="24"/>
        </w:rPr>
        <w:t xml:space="preserve">Subsection 9(1) of the </w:t>
      </w:r>
      <w:r w:rsidRPr="005F223D">
        <w:rPr>
          <w:rFonts w:ascii="Times New Roman" w:hAnsi="Times New Roman" w:cs="Times New Roman"/>
          <w:i/>
          <w:sz w:val="24"/>
        </w:rPr>
        <w:t>Human Rights (Parliamentary Scrutiny) Act 2011</w:t>
      </w:r>
      <w:r w:rsidRPr="005F223D">
        <w:rPr>
          <w:rFonts w:ascii="Times New Roman" w:hAnsi="Times New Roman" w:cs="Times New Roman"/>
          <w:sz w:val="24"/>
        </w:rPr>
        <w:t xml:space="preserve"> requires the rule</w:t>
      </w:r>
      <w:r w:rsidR="00233CB2">
        <w:rPr>
          <w:rFonts w:ascii="Times New Roman" w:hAnsi="Times New Roman" w:cs="Times New Roman"/>
          <w:sz w:val="24"/>
        </w:rPr>
        <w:noBreakHyphen/>
      </w:r>
      <w:r w:rsidRPr="005F223D">
        <w:rPr>
          <w:rFonts w:ascii="Times New Roman" w:hAnsi="Times New Roman" w:cs="Times New Roman"/>
          <w:sz w:val="24"/>
        </w:rPr>
        <w:t xml:space="preserve">maker in relation to a legislative instrument to which section 42 (disallowance) of the </w:t>
      </w:r>
      <w:r w:rsidRPr="005F223D">
        <w:rPr>
          <w:rFonts w:ascii="Times New Roman" w:hAnsi="Times New Roman" w:cs="Times New Roman"/>
          <w:i/>
          <w:sz w:val="24"/>
        </w:rPr>
        <w:t>Legislation Act 2003</w:t>
      </w:r>
      <w:r w:rsidRPr="005F223D">
        <w:rPr>
          <w:rFonts w:ascii="Times New Roman" w:hAnsi="Times New Roman" w:cs="Times New Roman"/>
          <w:sz w:val="24"/>
        </w:rPr>
        <w:t xml:space="preserve"> applies to cause a statement of compatibility with human rights to be prepared in respect of that legislative instrument.  </w:t>
      </w:r>
    </w:p>
    <w:p w14:paraId="2D798600" w14:textId="77777777" w:rsidR="00507299" w:rsidRPr="005F223D" w:rsidRDefault="00507299" w:rsidP="00507299">
      <w:pPr>
        <w:spacing w:line="256" w:lineRule="auto"/>
        <w:rPr>
          <w:rFonts w:ascii="Times New Roman" w:hAnsi="Times New Roman" w:cs="Times New Roman"/>
          <w:sz w:val="24"/>
        </w:rPr>
      </w:pPr>
      <w:r w:rsidRPr="005F223D">
        <w:rPr>
          <w:rFonts w:ascii="Times New Roman" w:hAnsi="Times New Roman" w:cs="Times New Roman"/>
          <w:sz w:val="24"/>
        </w:rPr>
        <w:t>The statement of compatibility set out below has been prepared to meet that requirement.</w:t>
      </w:r>
    </w:p>
    <w:p w14:paraId="2A166885" w14:textId="77777777" w:rsidR="00507299" w:rsidRPr="003610CE" w:rsidRDefault="00507299" w:rsidP="00507299">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Human rights implications</w:t>
      </w:r>
    </w:p>
    <w:p w14:paraId="38B48AD6" w14:textId="77777777" w:rsidR="00507299" w:rsidRPr="005F223D" w:rsidRDefault="00507299" w:rsidP="00507299">
      <w:pPr>
        <w:rPr>
          <w:rFonts w:ascii="Times New Roman" w:hAnsi="Times New Roman" w:cs="Times New Roman"/>
          <w:sz w:val="24"/>
        </w:rPr>
      </w:pPr>
      <w:r w:rsidRPr="005F223D">
        <w:rPr>
          <w:rFonts w:ascii="Times New Roman" w:hAnsi="Times New Roman" w:cs="Times New Roman"/>
          <w:sz w:val="24"/>
        </w:rPr>
        <w:t xml:space="preserve">The Department has assessed whether the Instrument is compatible with human rights, being the rights and freedoms recognised or declared by the international instruments listed in subsection 3(1) of the </w:t>
      </w:r>
      <w:r w:rsidRPr="005F223D">
        <w:rPr>
          <w:rFonts w:ascii="Times New Roman" w:hAnsi="Times New Roman" w:cs="Times New Roman"/>
          <w:i/>
          <w:sz w:val="24"/>
        </w:rPr>
        <w:t>Human Rights (Parliamentary Scrutiny) Act 2011</w:t>
      </w:r>
      <w:r w:rsidRPr="005F223D">
        <w:rPr>
          <w:rFonts w:ascii="Times New Roman" w:hAnsi="Times New Roman" w:cs="Times New Roman"/>
          <w:sz w:val="24"/>
        </w:rPr>
        <w:t xml:space="preserve"> as they apply to Australia. </w:t>
      </w:r>
    </w:p>
    <w:p w14:paraId="013F0964" w14:textId="77777777" w:rsidR="00507299" w:rsidRPr="005F223D" w:rsidRDefault="00507299" w:rsidP="00507299">
      <w:pPr>
        <w:rPr>
          <w:rFonts w:ascii="Times New Roman" w:hAnsi="Times New Roman" w:cs="Times New Roman"/>
          <w:sz w:val="24"/>
        </w:rPr>
      </w:pPr>
      <w:r w:rsidRPr="005F223D">
        <w:rPr>
          <w:rFonts w:ascii="Times New Roman" w:hAnsi="Times New Roman" w:cs="Times New Roman"/>
          <w:sz w:val="24"/>
        </w:rPr>
        <w:t>Having considered the likely impact of the Instrument and the nature of the applicable rights and freedoms, the Department has formed the view that the Instrument does not engage any of those rights or freedoms.</w:t>
      </w:r>
    </w:p>
    <w:p w14:paraId="6A57E60A" w14:textId="77777777" w:rsidR="00507299" w:rsidRPr="003610CE" w:rsidRDefault="00507299" w:rsidP="00507299">
      <w:pPr>
        <w:spacing w:before="120" w:line="235" w:lineRule="atLeast"/>
        <w:rPr>
          <w:rFonts w:ascii="Times New Roman" w:eastAsia="Times New Roman" w:hAnsi="Times New Roman" w:cs="Times New Roman"/>
          <w:bCs/>
          <w:i/>
          <w:color w:val="000000"/>
          <w:sz w:val="24"/>
          <w:szCs w:val="24"/>
          <w:lang w:eastAsia="en-AU"/>
        </w:rPr>
      </w:pPr>
      <w:r w:rsidRPr="003610CE">
        <w:rPr>
          <w:rFonts w:ascii="Times New Roman" w:eastAsia="Times New Roman" w:hAnsi="Times New Roman" w:cs="Times New Roman"/>
          <w:bCs/>
          <w:i/>
          <w:color w:val="000000"/>
          <w:sz w:val="24"/>
          <w:szCs w:val="24"/>
          <w:lang w:eastAsia="en-AU"/>
        </w:rPr>
        <w:t>Conclusion</w:t>
      </w:r>
    </w:p>
    <w:p w14:paraId="49210DFC" w14:textId="77777777" w:rsidR="00507299" w:rsidRPr="005F223D" w:rsidRDefault="00507299" w:rsidP="00507299">
      <w:pPr>
        <w:rPr>
          <w:rFonts w:ascii="Times New Roman" w:hAnsi="Times New Roman" w:cs="Times New Roman"/>
          <w:b/>
          <w:sz w:val="24"/>
        </w:rPr>
      </w:pPr>
      <w:r w:rsidRPr="005F223D">
        <w:rPr>
          <w:rFonts w:ascii="Times New Roman" w:hAnsi="Times New Roman" w:cs="Times New Roman"/>
          <w:sz w:val="24"/>
        </w:rPr>
        <w:t>The Instrument is compatible with human rights as it does not raise any human rights issues.</w:t>
      </w:r>
    </w:p>
    <w:p w14:paraId="1422679F" w14:textId="77777777" w:rsidR="00507299" w:rsidRPr="00543073" w:rsidRDefault="00507299" w:rsidP="00507299">
      <w:pPr>
        <w:rPr>
          <w:rFonts w:ascii="Times New Roman" w:hAnsi="Times New Roman" w:cs="Times New Roman"/>
          <w:b/>
        </w:rPr>
      </w:pPr>
      <w:r w:rsidRPr="00543073">
        <w:rPr>
          <w:rFonts w:ascii="Times New Roman" w:hAnsi="Times New Roman" w:cs="Times New Roman"/>
          <w:b/>
        </w:rPr>
        <w:br w:type="page"/>
      </w:r>
    </w:p>
    <w:p w14:paraId="06EE07E5" w14:textId="77777777" w:rsidR="00507299" w:rsidRPr="00543073" w:rsidRDefault="00507299" w:rsidP="00507299">
      <w:pPr>
        <w:jc w:val="right"/>
        <w:rPr>
          <w:rFonts w:ascii="Times New Roman" w:hAnsi="Times New Roman" w:cs="Times New Roman"/>
          <w:b/>
          <w:sz w:val="28"/>
          <w:szCs w:val="28"/>
        </w:rPr>
      </w:pPr>
      <w:r w:rsidRPr="00543073">
        <w:rPr>
          <w:rFonts w:ascii="Times New Roman" w:hAnsi="Times New Roman" w:cs="Times New Roman"/>
          <w:b/>
          <w:sz w:val="28"/>
          <w:szCs w:val="28"/>
        </w:rPr>
        <w:lastRenderedPageBreak/>
        <w:t>Attachment A</w:t>
      </w:r>
    </w:p>
    <w:p w14:paraId="74B19A74" w14:textId="77777777" w:rsidR="00507299" w:rsidRPr="00543073" w:rsidRDefault="00507299" w:rsidP="0050729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Pr="000C1898">
        <w:rPr>
          <w:rFonts w:ascii="Times New Roman" w:hAnsi="Times New Roman" w:cs="Times New Roman"/>
          <w:b/>
          <w:sz w:val="28"/>
          <w:szCs w:val="28"/>
        </w:rPr>
        <w:t>Telecommunications Amendment (Local Access Lines—Class Exemptions) Regulations 2022</w:t>
      </w:r>
    </w:p>
    <w:p w14:paraId="5C7F522B" w14:textId="77777777" w:rsidR="00507299" w:rsidRPr="003610CE" w:rsidRDefault="00507299" w:rsidP="00507299">
      <w:pPr>
        <w:spacing w:before="280"/>
        <w:rPr>
          <w:rFonts w:ascii="Times New Roman" w:hAnsi="Times New Roman" w:cs="Times New Roman"/>
          <w:b/>
          <w:sz w:val="24"/>
        </w:rPr>
      </w:pPr>
      <w:r w:rsidRPr="003610CE">
        <w:rPr>
          <w:rFonts w:ascii="Times New Roman" w:hAnsi="Times New Roman" w:cs="Times New Roman"/>
          <w:b/>
          <w:sz w:val="24"/>
        </w:rPr>
        <w:t>Section 1 - Name of Regulations</w:t>
      </w:r>
    </w:p>
    <w:p w14:paraId="1B80298B" w14:textId="446AC9A9" w:rsidR="00507299" w:rsidRPr="006A0608" w:rsidRDefault="005F223D" w:rsidP="00507299">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 xml:space="preserve">This section </w:t>
      </w:r>
      <w:r w:rsidR="00507299" w:rsidRPr="006A0608">
        <w:rPr>
          <w:rFonts w:ascii="Times New Roman" w:eastAsia="Times New Roman" w:hAnsi="Times New Roman" w:cs="Times New Roman"/>
          <w:color w:val="000000" w:themeColor="text1"/>
          <w:sz w:val="24"/>
          <w:lang w:eastAsia="en-AU"/>
        </w:rPr>
        <w:t>provide</w:t>
      </w:r>
      <w:r>
        <w:rPr>
          <w:rFonts w:ascii="Times New Roman" w:eastAsia="Times New Roman" w:hAnsi="Times New Roman" w:cs="Times New Roman"/>
          <w:color w:val="000000" w:themeColor="text1"/>
          <w:sz w:val="24"/>
          <w:lang w:eastAsia="en-AU"/>
        </w:rPr>
        <w:t>s</w:t>
      </w:r>
      <w:r w:rsidR="00507299" w:rsidRPr="006A0608">
        <w:rPr>
          <w:rFonts w:ascii="Times New Roman" w:eastAsia="Times New Roman" w:hAnsi="Times New Roman" w:cs="Times New Roman"/>
          <w:color w:val="000000" w:themeColor="text1"/>
          <w:sz w:val="24"/>
          <w:lang w:eastAsia="en-AU"/>
        </w:rPr>
        <w:t xml:space="preserve"> t</w:t>
      </w:r>
      <w:r w:rsidR="00221A8D">
        <w:rPr>
          <w:rFonts w:ascii="Times New Roman" w:eastAsia="Times New Roman" w:hAnsi="Times New Roman" w:cs="Times New Roman"/>
          <w:color w:val="000000" w:themeColor="text1"/>
          <w:sz w:val="24"/>
          <w:lang w:eastAsia="en-AU"/>
        </w:rPr>
        <w:t>hat the name</w:t>
      </w:r>
      <w:r w:rsidR="00507299">
        <w:rPr>
          <w:rFonts w:ascii="Times New Roman" w:eastAsia="Times New Roman" w:hAnsi="Times New Roman" w:cs="Times New Roman"/>
          <w:color w:val="000000" w:themeColor="text1"/>
          <w:sz w:val="24"/>
          <w:lang w:eastAsia="en-AU"/>
        </w:rPr>
        <w:t xml:space="preserve"> of the Instrument</w:t>
      </w:r>
      <w:r w:rsidR="00507299" w:rsidRPr="006A0608">
        <w:rPr>
          <w:rFonts w:ascii="Times New Roman" w:eastAsia="Times New Roman" w:hAnsi="Times New Roman" w:cs="Times New Roman"/>
          <w:color w:val="000000" w:themeColor="text1"/>
          <w:sz w:val="24"/>
          <w:lang w:eastAsia="en-AU"/>
        </w:rPr>
        <w:t xml:space="preserve"> is the </w:t>
      </w:r>
      <w:r w:rsidR="00507299" w:rsidRPr="006A0608">
        <w:rPr>
          <w:rFonts w:ascii="Times New Roman" w:eastAsia="Times New Roman" w:hAnsi="Times New Roman" w:cs="Times New Roman"/>
          <w:i/>
          <w:iCs/>
          <w:color w:val="000000" w:themeColor="text1"/>
          <w:sz w:val="24"/>
          <w:lang w:eastAsia="en-AU"/>
        </w:rPr>
        <w:t>Telecommunications Amendment (Local Access Lines—Cl</w:t>
      </w:r>
      <w:r w:rsidR="00507299">
        <w:rPr>
          <w:rFonts w:ascii="Times New Roman" w:eastAsia="Times New Roman" w:hAnsi="Times New Roman" w:cs="Times New Roman"/>
          <w:i/>
          <w:iCs/>
          <w:color w:val="000000" w:themeColor="text1"/>
          <w:sz w:val="24"/>
          <w:lang w:eastAsia="en-AU"/>
        </w:rPr>
        <w:t>ass Exemptions) Regulations 2022</w:t>
      </w:r>
      <w:r w:rsidR="00507299" w:rsidRPr="006A0608">
        <w:rPr>
          <w:rFonts w:ascii="Times New Roman" w:eastAsia="Times New Roman" w:hAnsi="Times New Roman" w:cs="Times New Roman"/>
          <w:i/>
          <w:iCs/>
          <w:color w:val="000000" w:themeColor="text1"/>
          <w:sz w:val="24"/>
          <w:lang w:eastAsia="en-AU"/>
        </w:rPr>
        <w:t>.</w:t>
      </w:r>
    </w:p>
    <w:p w14:paraId="1EC67EE2" w14:textId="77777777" w:rsidR="00507299" w:rsidRPr="003610CE" w:rsidRDefault="00507299" w:rsidP="00507299">
      <w:pPr>
        <w:spacing w:before="280"/>
        <w:rPr>
          <w:rFonts w:ascii="Times New Roman" w:hAnsi="Times New Roman" w:cs="Times New Roman"/>
          <w:b/>
          <w:sz w:val="24"/>
        </w:rPr>
      </w:pPr>
      <w:r w:rsidRPr="003610CE">
        <w:rPr>
          <w:rFonts w:ascii="Times New Roman" w:hAnsi="Times New Roman" w:cs="Times New Roman"/>
          <w:b/>
          <w:sz w:val="24"/>
        </w:rPr>
        <w:t>Section 2 - Commencement</w:t>
      </w:r>
    </w:p>
    <w:p w14:paraId="3FFE5F38" w14:textId="50285DF6" w:rsidR="00507299" w:rsidRPr="006A0608" w:rsidRDefault="005F223D" w:rsidP="00507299">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 xml:space="preserve">This section </w:t>
      </w:r>
      <w:r w:rsidR="00507299">
        <w:rPr>
          <w:rFonts w:ascii="Times New Roman" w:eastAsia="Times New Roman" w:hAnsi="Times New Roman" w:cs="Times New Roman"/>
          <w:color w:val="000000" w:themeColor="text1"/>
          <w:sz w:val="24"/>
          <w:lang w:eastAsia="en-AU"/>
        </w:rPr>
        <w:t>provide</w:t>
      </w:r>
      <w:r>
        <w:rPr>
          <w:rFonts w:ascii="Times New Roman" w:eastAsia="Times New Roman" w:hAnsi="Times New Roman" w:cs="Times New Roman"/>
          <w:color w:val="000000" w:themeColor="text1"/>
          <w:sz w:val="24"/>
          <w:lang w:eastAsia="en-AU"/>
        </w:rPr>
        <w:t>s</w:t>
      </w:r>
      <w:r w:rsidR="00507299">
        <w:rPr>
          <w:rFonts w:ascii="Times New Roman" w:eastAsia="Times New Roman" w:hAnsi="Times New Roman" w:cs="Times New Roman"/>
          <w:color w:val="000000" w:themeColor="text1"/>
          <w:sz w:val="24"/>
          <w:lang w:eastAsia="en-AU"/>
        </w:rPr>
        <w:t xml:space="preserve"> for the Instrument</w:t>
      </w:r>
      <w:r w:rsidR="00507299" w:rsidRPr="006A0608">
        <w:rPr>
          <w:rFonts w:ascii="Times New Roman" w:eastAsia="Times New Roman" w:hAnsi="Times New Roman" w:cs="Times New Roman"/>
          <w:color w:val="000000" w:themeColor="text1"/>
          <w:sz w:val="24"/>
          <w:lang w:eastAsia="en-AU"/>
        </w:rPr>
        <w:t xml:space="preserve"> to commence on </w:t>
      </w:r>
      <w:r w:rsidR="00221A8D">
        <w:rPr>
          <w:rFonts w:ascii="Times New Roman" w:eastAsia="Times New Roman" w:hAnsi="Times New Roman" w:cs="Times New Roman"/>
          <w:color w:val="000000" w:themeColor="text1"/>
          <w:sz w:val="24"/>
          <w:lang w:eastAsia="en-AU"/>
        </w:rPr>
        <w:t xml:space="preserve">the </w:t>
      </w:r>
      <w:r w:rsidR="00507299" w:rsidRPr="006A0608">
        <w:rPr>
          <w:rFonts w:ascii="Times New Roman" w:eastAsia="Times New Roman" w:hAnsi="Times New Roman" w:cs="Times New Roman"/>
          <w:color w:val="000000" w:themeColor="text1"/>
          <w:sz w:val="24"/>
          <w:lang w:eastAsia="en-AU"/>
        </w:rPr>
        <w:t>day after the instrument is</w:t>
      </w:r>
      <w:r>
        <w:rPr>
          <w:rFonts w:ascii="Times New Roman" w:eastAsia="Times New Roman" w:hAnsi="Times New Roman" w:cs="Times New Roman"/>
          <w:color w:val="000000" w:themeColor="text1"/>
          <w:sz w:val="24"/>
          <w:lang w:eastAsia="en-AU"/>
        </w:rPr>
        <w:t xml:space="preserve"> </w:t>
      </w:r>
      <w:r w:rsidR="00507299" w:rsidRPr="006A0608">
        <w:rPr>
          <w:rFonts w:ascii="Times New Roman" w:eastAsia="Times New Roman" w:hAnsi="Times New Roman" w:cs="Times New Roman"/>
          <w:color w:val="000000" w:themeColor="text1"/>
          <w:sz w:val="24"/>
          <w:lang w:eastAsia="en-AU"/>
        </w:rPr>
        <w:t>registered.</w:t>
      </w:r>
    </w:p>
    <w:p w14:paraId="1C97CD40" w14:textId="77777777" w:rsidR="00507299" w:rsidRPr="003610CE" w:rsidRDefault="00507299" w:rsidP="00507299">
      <w:pPr>
        <w:spacing w:before="280"/>
        <w:rPr>
          <w:rFonts w:ascii="Times New Roman" w:hAnsi="Times New Roman" w:cs="Times New Roman"/>
          <w:b/>
          <w:sz w:val="24"/>
        </w:rPr>
      </w:pPr>
      <w:r w:rsidRPr="003610CE">
        <w:rPr>
          <w:rFonts w:ascii="Times New Roman" w:hAnsi="Times New Roman" w:cs="Times New Roman"/>
          <w:b/>
          <w:sz w:val="24"/>
        </w:rPr>
        <w:t>Section 3 - Authority</w:t>
      </w:r>
    </w:p>
    <w:p w14:paraId="06A9C4EE" w14:textId="77777777" w:rsidR="00507299" w:rsidRPr="006A0608" w:rsidRDefault="005F223D" w:rsidP="00507299">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 xml:space="preserve">This section </w:t>
      </w:r>
      <w:r w:rsidR="00507299" w:rsidRPr="006A0608">
        <w:rPr>
          <w:rFonts w:ascii="Times New Roman" w:eastAsia="Times New Roman" w:hAnsi="Times New Roman" w:cs="Times New Roman"/>
          <w:color w:val="000000" w:themeColor="text1"/>
          <w:sz w:val="24"/>
          <w:lang w:eastAsia="en-AU"/>
        </w:rPr>
        <w:t>provide</w:t>
      </w:r>
      <w:r>
        <w:rPr>
          <w:rFonts w:ascii="Times New Roman" w:eastAsia="Times New Roman" w:hAnsi="Times New Roman" w:cs="Times New Roman"/>
          <w:color w:val="000000" w:themeColor="text1"/>
          <w:sz w:val="24"/>
          <w:lang w:eastAsia="en-AU"/>
        </w:rPr>
        <w:t>s</w:t>
      </w:r>
      <w:r w:rsidR="00507299" w:rsidRPr="006A0608">
        <w:rPr>
          <w:rFonts w:ascii="Times New Roman" w:eastAsia="Times New Roman" w:hAnsi="Times New Roman" w:cs="Times New Roman"/>
          <w:color w:val="000000" w:themeColor="text1"/>
          <w:sz w:val="24"/>
          <w:lang w:eastAsia="en-AU"/>
        </w:rPr>
        <w:t xml:space="preserve"> that the</w:t>
      </w:r>
      <w:r w:rsidR="00507299" w:rsidRPr="005F223D">
        <w:rPr>
          <w:rFonts w:ascii="Times New Roman" w:eastAsia="Times New Roman" w:hAnsi="Times New Roman" w:cs="Times New Roman"/>
          <w:color w:val="000000" w:themeColor="text1"/>
          <w:sz w:val="24"/>
          <w:lang w:eastAsia="en-AU"/>
        </w:rPr>
        <w:t xml:space="preserve"> </w:t>
      </w:r>
      <w:r w:rsidRPr="005F223D">
        <w:rPr>
          <w:rFonts w:ascii="Times New Roman" w:eastAsia="Times New Roman" w:hAnsi="Times New Roman" w:cs="Times New Roman"/>
          <w:iCs/>
          <w:color w:val="000000" w:themeColor="text1"/>
          <w:sz w:val="24"/>
          <w:lang w:eastAsia="en-AU"/>
        </w:rPr>
        <w:t>Instrument</w:t>
      </w:r>
      <w:r w:rsidR="00507299" w:rsidRPr="006A0608">
        <w:rPr>
          <w:rFonts w:ascii="Times New Roman" w:eastAsia="Times New Roman" w:hAnsi="Times New Roman" w:cs="Times New Roman"/>
          <w:i/>
          <w:iCs/>
          <w:color w:val="000000" w:themeColor="text1"/>
          <w:sz w:val="24"/>
          <w:lang w:eastAsia="en-AU"/>
        </w:rPr>
        <w:t xml:space="preserve"> </w:t>
      </w:r>
      <w:r w:rsidR="00507299" w:rsidRPr="006A0608">
        <w:rPr>
          <w:rFonts w:ascii="Times New Roman" w:eastAsia="Times New Roman" w:hAnsi="Times New Roman" w:cs="Times New Roman"/>
          <w:color w:val="000000" w:themeColor="text1"/>
          <w:sz w:val="24"/>
          <w:lang w:eastAsia="en-AU"/>
        </w:rPr>
        <w:t xml:space="preserve">is made under the </w:t>
      </w:r>
      <w:r w:rsidR="00507299" w:rsidRPr="006A0608">
        <w:rPr>
          <w:rFonts w:ascii="Times New Roman" w:eastAsia="Times New Roman" w:hAnsi="Times New Roman" w:cs="Times New Roman"/>
          <w:i/>
          <w:color w:val="000000" w:themeColor="text1"/>
          <w:sz w:val="24"/>
          <w:lang w:eastAsia="en-AU"/>
        </w:rPr>
        <w:t>Telecommunications Act 1997</w:t>
      </w:r>
      <w:r w:rsidR="00507299" w:rsidRPr="001C2F82">
        <w:rPr>
          <w:rFonts w:ascii="Times New Roman" w:eastAsia="Times New Roman" w:hAnsi="Times New Roman" w:cs="Times New Roman"/>
          <w:i/>
          <w:color w:val="000000" w:themeColor="text1"/>
          <w:sz w:val="24"/>
          <w:lang w:eastAsia="en-AU"/>
        </w:rPr>
        <w:t>.</w:t>
      </w:r>
    </w:p>
    <w:p w14:paraId="39F4862C" w14:textId="2D659DC3" w:rsidR="00507299" w:rsidRPr="003610CE" w:rsidRDefault="00221A8D" w:rsidP="00507299">
      <w:pPr>
        <w:spacing w:before="280"/>
        <w:rPr>
          <w:rFonts w:ascii="Times New Roman" w:hAnsi="Times New Roman" w:cs="Times New Roman"/>
          <w:b/>
          <w:sz w:val="24"/>
        </w:rPr>
      </w:pPr>
      <w:r>
        <w:rPr>
          <w:rFonts w:ascii="Times New Roman" w:hAnsi="Times New Roman" w:cs="Times New Roman"/>
          <w:b/>
          <w:sz w:val="24"/>
        </w:rPr>
        <w:t>Section 4 - Schedules</w:t>
      </w:r>
    </w:p>
    <w:p w14:paraId="74CC2A29" w14:textId="77777777" w:rsidR="00507299" w:rsidRPr="000C1898" w:rsidRDefault="005F223D" w:rsidP="00507299">
      <w:pPr>
        <w:keepNext/>
        <w:spacing w:after="0" w:line="240" w:lineRule="auto"/>
        <w:ind w:right="748"/>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 xml:space="preserve">This section </w:t>
      </w:r>
      <w:r w:rsidR="00507299" w:rsidRPr="006A0608">
        <w:rPr>
          <w:rFonts w:ascii="Times New Roman" w:eastAsia="Times New Roman" w:hAnsi="Times New Roman" w:cs="Times New Roman"/>
          <w:color w:val="000000" w:themeColor="text1"/>
          <w:sz w:val="24"/>
          <w:lang w:eastAsia="en-AU"/>
        </w:rPr>
        <w:t>provide</w:t>
      </w:r>
      <w:r>
        <w:rPr>
          <w:rFonts w:ascii="Times New Roman" w:eastAsia="Times New Roman" w:hAnsi="Times New Roman" w:cs="Times New Roman"/>
          <w:color w:val="000000" w:themeColor="text1"/>
          <w:sz w:val="24"/>
          <w:lang w:eastAsia="en-AU"/>
        </w:rPr>
        <w:t>s</w:t>
      </w:r>
      <w:r w:rsidR="00507299" w:rsidRPr="006A0608">
        <w:rPr>
          <w:rFonts w:ascii="Times New Roman" w:eastAsia="Times New Roman" w:hAnsi="Times New Roman" w:cs="Times New Roman"/>
          <w:color w:val="000000" w:themeColor="text1"/>
          <w:sz w:val="24"/>
          <w:lang w:eastAsia="en-AU"/>
        </w:rPr>
        <w:t xml:space="preserve"> that each instrument that is s</w:t>
      </w:r>
      <w:r w:rsidR="00507299">
        <w:rPr>
          <w:rFonts w:ascii="Times New Roman" w:eastAsia="Times New Roman" w:hAnsi="Times New Roman" w:cs="Times New Roman"/>
          <w:color w:val="000000" w:themeColor="text1"/>
          <w:sz w:val="24"/>
          <w:lang w:eastAsia="en-AU"/>
        </w:rPr>
        <w:t>pecified in a Schedule to the I</w:t>
      </w:r>
      <w:r w:rsidR="00507299" w:rsidRPr="006A0608">
        <w:rPr>
          <w:rFonts w:ascii="Times New Roman" w:eastAsia="Times New Roman" w:hAnsi="Times New Roman" w:cs="Times New Roman"/>
          <w:color w:val="000000" w:themeColor="text1"/>
          <w:sz w:val="24"/>
          <w:lang w:eastAsia="en-AU"/>
        </w:rPr>
        <w:t>nstrument is amended or repealed as set out in the applicable items in the Schedule concerned, and any ot</w:t>
      </w:r>
      <w:r w:rsidR="00507299">
        <w:rPr>
          <w:rFonts w:ascii="Times New Roman" w:eastAsia="Times New Roman" w:hAnsi="Times New Roman" w:cs="Times New Roman"/>
          <w:color w:val="000000" w:themeColor="text1"/>
          <w:sz w:val="24"/>
          <w:lang w:eastAsia="en-AU"/>
        </w:rPr>
        <w:t>her item in a Schedule to the I</w:t>
      </w:r>
      <w:r w:rsidR="00507299" w:rsidRPr="006A0608">
        <w:rPr>
          <w:rFonts w:ascii="Times New Roman" w:eastAsia="Times New Roman" w:hAnsi="Times New Roman" w:cs="Times New Roman"/>
          <w:color w:val="000000" w:themeColor="text1"/>
          <w:sz w:val="24"/>
          <w:lang w:eastAsia="en-AU"/>
        </w:rPr>
        <w:t>nstrument has effect according to its terms.</w:t>
      </w:r>
    </w:p>
    <w:p w14:paraId="577A617A" w14:textId="77777777" w:rsidR="00507299" w:rsidRPr="003610CE" w:rsidRDefault="00507299" w:rsidP="00507299">
      <w:pPr>
        <w:spacing w:before="280"/>
        <w:rPr>
          <w:rFonts w:ascii="Times New Roman" w:hAnsi="Times New Roman" w:cs="Times New Roman"/>
          <w:b/>
          <w:sz w:val="24"/>
        </w:rPr>
      </w:pPr>
      <w:r w:rsidRPr="003610CE">
        <w:rPr>
          <w:rFonts w:ascii="Times New Roman" w:hAnsi="Times New Roman" w:cs="Times New Roman"/>
          <w:b/>
          <w:sz w:val="24"/>
        </w:rPr>
        <w:t>Schedule 1 - Amendments</w:t>
      </w:r>
    </w:p>
    <w:p w14:paraId="0CFA6575" w14:textId="77777777" w:rsidR="00507299" w:rsidRPr="003610CE" w:rsidRDefault="00507299" w:rsidP="00507299">
      <w:pPr>
        <w:spacing w:after="0" w:line="240" w:lineRule="auto"/>
        <w:ind w:right="91"/>
        <w:rPr>
          <w:rFonts w:ascii="Times New Roman" w:eastAsia="Times New Roman" w:hAnsi="Times New Roman" w:cs="Times New Roman"/>
          <w:i/>
          <w:color w:val="000000" w:themeColor="text1"/>
          <w:sz w:val="24"/>
          <w:lang w:eastAsia="en-AU"/>
        </w:rPr>
      </w:pPr>
      <w:r w:rsidRPr="003610CE">
        <w:rPr>
          <w:rFonts w:ascii="Times New Roman" w:eastAsia="Times New Roman" w:hAnsi="Times New Roman" w:cs="Times New Roman"/>
          <w:i/>
          <w:color w:val="000000" w:themeColor="text1"/>
          <w:sz w:val="24"/>
          <w:lang w:eastAsia="en-AU"/>
        </w:rPr>
        <w:t>Item [1] – After Part 3</w:t>
      </w:r>
    </w:p>
    <w:p w14:paraId="7D12EEB3" w14:textId="77777777" w:rsidR="00507299" w:rsidRPr="006A0608" w:rsidRDefault="00507299" w:rsidP="00507299">
      <w:pPr>
        <w:spacing w:after="0" w:line="240" w:lineRule="auto"/>
        <w:ind w:right="91"/>
        <w:rPr>
          <w:rFonts w:ascii="Times New Roman" w:eastAsia="Times New Roman" w:hAnsi="Times New Roman" w:cs="Times New Roman"/>
          <w:color w:val="000000" w:themeColor="text1"/>
          <w:sz w:val="24"/>
          <w:lang w:eastAsia="en-AU"/>
        </w:rPr>
      </w:pPr>
    </w:p>
    <w:p w14:paraId="4B7A9154" w14:textId="77777777" w:rsidR="00221A8D" w:rsidRDefault="005F223D" w:rsidP="005F223D">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 xml:space="preserve">Item 1 </w:t>
      </w:r>
      <w:r w:rsidR="00507299" w:rsidRPr="006A0608">
        <w:rPr>
          <w:rFonts w:ascii="Times New Roman" w:eastAsia="Times New Roman" w:hAnsi="Times New Roman" w:cs="Times New Roman"/>
          <w:color w:val="000000" w:themeColor="text1"/>
          <w:sz w:val="24"/>
          <w:lang w:eastAsia="en-AU"/>
        </w:rPr>
        <w:t>insert</w:t>
      </w:r>
      <w:r>
        <w:rPr>
          <w:rFonts w:ascii="Times New Roman" w:eastAsia="Times New Roman" w:hAnsi="Times New Roman" w:cs="Times New Roman"/>
          <w:color w:val="000000" w:themeColor="text1"/>
          <w:sz w:val="24"/>
          <w:lang w:eastAsia="en-AU"/>
        </w:rPr>
        <w:t>s</w:t>
      </w:r>
      <w:r w:rsidR="00507299" w:rsidRPr="006A0608">
        <w:rPr>
          <w:rFonts w:ascii="Times New Roman" w:eastAsia="Times New Roman" w:hAnsi="Times New Roman" w:cs="Times New Roman"/>
          <w:color w:val="000000" w:themeColor="text1"/>
          <w:sz w:val="24"/>
          <w:lang w:eastAsia="en-AU"/>
        </w:rPr>
        <w:t xml:space="preserve"> a new Part 3A </w:t>
      </w:r>
      <w:r w:rsidR="00507299">
        <w:rPr>
          <w:rFonts w:ascii="Times New Roman" w:eastAsia="Times New Roman" w:hAnsi="Times New Roman" w:cs="Times New Roman"/>
          <w:color w:val="000000" w:themeColor="text1"/>
          <w:sz w:val="24"/>
          <w:lang w:eastAsia="en-AU"/>
        </w:rPr>
        <w:t xml:space="preserve">into the </w:t>
      </w:r>
      <w:r w:rsidR="00507299" w:rsidRPr="00311971">
        <w:rPr>
          <w:rFonts w:ascii="Times New Roman" w:eastAsia="Times New Roman" w:hAnsi="Times New Roman" w:cs="Times New Roman"/>
          <w:i/>
          <w:color w:val="000000" w:themeColor="text1"/>
          <w:sz w:val="24"/>
          <w:lang w:eastAsia="en-AU"/>
        </w:rPr>
        <w:t>Telecommunications Regulations 2021</w:t>
      </w:r>
      <w:r w:rsidR="00507299" w:rsidRPr="00311971">
        <w:rPr>
          <w:rFonts w:ascii="Times New Roman" w:eastAsia="Times New Roman" w:hAnsi="Times New Roman" w:cs="Times New Roman"/>
          <w:color w:val="000000" w:themeColor="text1"/>
          <w:sz w:val="24"/>
          <w:lang w:eastAsia="en-AU"/>
        </w:rPr>
        <w:t xml:space="preserve"> </w:t>
      </w:r>
      <w:r w:rsidR="00221A8D">
        <w:rPr>
          <w:rFonts w:ascii="Times New Roman" w:eastAsia="Times New Roman" w:hAnsi="Times New Roman" w:cs="Times New Roman"/>
          <w:color w:val="000000" w:themeColor="text1"/>
          <w:sz w:val="24"/>
          <w:lang w:eastAsia="en-AU"/>
        </w:rPr>
        <w:t>en</w:t>
      </w:r>
      <w:r w:rsidR="00507299" w:rsidRPr="006A0608">
        <w:rPr>
          <w:rFonts w:ascii="Times New Roman" w:eastAsia="Times New Roman" w:hAnsi="Times New Roman" w:cs="Times New Roman"/>
          <w:color w:val="000000" w:themeColor="text1"/>
          <w:sz w:val="24"/>
          <w:lang w:eastAsia="en-AU"/>
        </w:rPr>
        <w:t>titled ‘Local</w:t>
      </w:r>
      <w:r w:rsidR="004A333B">
        <w:rPr>
          <w:rFonts w:ascii="Times New Roman" w:eastAsia="Times New Roman" w:hAnsi="Times New Roman" w:cs="Times New Roman"/>
          <w:color w:val="000000" w:themeColor="text1"/>
          <w:sz w:val="24"/>
          <w:lang w:eastAsia="en-AU"/>
        </w:rPr>
        <w:t> </w:t>
      </w:r>
      <w:r w:rsidR="00507299" w:rsidRPr="006A0608">
        <w:rPr>
          <w:rFonts w:ascii="Times New Roman" w:eastAsia="Times New Roman" w:hAnsi="Times New Roman" w:cs="Times New Roman"/>
          <w:color w:val="000000" w:themeColor="text1"/>
          <w:sz w:val="24"/>
          <w:lang w:eastAsia="en-AU"/>
        </w:rPr>
        <w:t>access lines’ and section 13A into the Regulations</w:t>
      </w:r>
      <w:r>
        <w:rPr>
          <w:rFonts w:ascii="Times New Roman" w:eastAsia="Times New Roman" w:hAnsi="Times New Roman" w:cs="Times New Roman"/>
          <w:color w:val="000000" w:themeColor="text1"/>
          <w:sz w:val="24"/>
          <w:lang w:eastAsia="en-AU"/>
        </w:rPr>
        <w:t xml:space="preserve">. </w:t>
      </w:r>
    </w:p>
    <w:p w14:paraId="46E126C8" w14:textId="77777777" w:rsidR="00221A8D" w:rsidRDefault="00221A8D" w:rsidP="005F223D">
      <w:pPr>
        <w:spacing w:after="0" w:line="240" w:lineRule="auto"/>
        <w:ind w:right="91"/>
        <w:rPr>
          <w:rFonts w:ascii="Times New Roman" w:eastAsia="Times New Roman" w:hAnsi="Times New Roman" w:cs="Times New Roman"/>
          <w:color w:val="000000" w:themeColor="text1"/>
          <w:sz w:val="24"/>
          <w:lang w:eastAsia="en-AU"/>
        </w:rPr>
      </w:pPr>
    </w:p>
    <w:p w14:paraId="5A5C47E1" w14:textId="5C01E5D1" w:rsidR="009A023E" w:rsidRPr="005F223D" w:rsidRDefault="005F223D" w:rsidP="005F223D">
      <w:pPr>
        <w:spacing w:after="0" w:line="240" w:lineRule="auto"/>
        <w:ind w:right="91"/>
        <w:rPr>
          <w:rFonts w:ascii="Times New Roman" w:eastAsia="Times New Roman" w:hAnsi="Times New Roman" w:cs="Times New Roman"/>
          <w:color w:val="000000" w:themeColor="text1"/>
          <w:sz w:val="24"/>
          <w:lang w:eastAsia="en-AU"/>
        </w:rPr>
      </w:pPr>
      <w:r>
        <w:rPr>
          <w:rFonts w:ascii="Times New Roman" w:eastAsia="Times New Roman" w:hAnsi="Times New Roman" w:cs="Times New Roman"/>
          <w:color w:val="000000" w:themeColor="text1"/>
          <w:sz w:val="24"/>
          <w:lang w:eastAsia="en-AU"/>
        </w:rPr>
        <w:t>S</w:t>
      </w:r>
      <w:r w:rsidR="00507299" w:rsidRPr="006A0608">
        <w:rPr>
          <w:rFonts w:ascii="Times New Roman" w:eastAsia="Times New Roman" w:hAnsi="Times New Roman" w:cs="Times New Roman"/>
          <w:color w:val="000000" w:themeColor="text1"/>
          <w:sz w:val="24"/>
          <w:lang w:eastAsia="en-AU"/>
        </w:rPr>
        <w:t xml:space="preserve">ection 13A </w:t>
      </w:r>
      <w:r>
        <w:rPr>
          <w:rFonts w:ascii="Times New Roman" w:eastAsia="Times New Roman" w:hAnsi="Times New Roman" w:cs="Times New Roman"/>
          <w:color w:val="000000" w:themeColor="text1"/>
          <w:sz w:val="24"/>
          <w:lang w:eastAsia="en-AU"/>
        </w:rPr>
        <w:t>specifies</w:t>
      </w:r>
      <w:r w:rsidR="00507299" w:rsidRPr="006A0608">
        <w:rPr>
          <w:rFonts w:ascii="Times New Roman" w:eastAsia="Times New Roman" w:hAnsi="Times New Roman" w:cs="Times New Roman"/>
          <w:color w:val="000000" w:themeColor="text1"/>
          <w:sz w:val="24"/>
          <w:lang w:eastAsia="en-AU"/>
        </w:rPr>
        <w:t xml:space="preserve"> 12,000 for the purposes of </w:t>
      </w:r>
      <w:r w:rsidR="00507299">
        <w:rPr>
          <w:rFonts w:ascii="Times New Roman" w:eastAsia="Times New Roman" w:hAnsi="Times New Roman" w:cs="Times New Roman"/>
          <w:color w:val="000000" w:themeColor="text1"/>
          <w:sz w:val="24"/>
          <w:lang w:eastAsia="en-AU"/>
        </w:rPr>
        <w:t>sub</w:t>
      </w:r>
      <w:r w:rsidR="00507299" w:rsidRPr="006A0608">
        <w:rPr>
          <w:rFonts w:ascii="Times New Roman" w:eastAsia="Times New Roman" w:hAnsi="Times New Roman" w:cs="Times New Roman"/>
          <w:color w:val="000000" w:themeColor="text1"/>
          <w:sz w:val="24"/>
          <w:lang w:eastAsia="en-AU"/>
        </w:rPr>
        <w:t>paragraphs 143A(1)(d)</w:t>
      </w:r>
      <w:r w:rsidR="00507299" w:rsidRPr="001125EF">
        <w:rPr>
          <w:rFonts w:ascii="Times New Roman" w:eastAsia="Times New Roman" w:hAnsi="Times New Roman" w:cs="Times New Roman"/>
          <w:color w:val="000000" w:themeColor="text1"/>
          <w:sz w:val="24"/>
          <w:lang w:eastAsia="en-AU"/>
        </w:rPr>
        <w:t>(ii)</w:t>
      </w:r>
      <w:r w:rsidR="00507299" w:rsidRPr="006A0608">
        <w:rPr>
          <w:rFonts w:ascii="Times New Roman" w:eastAsia="Times New Roman" w:hAnsi="Times New Roman" w:cs="Times New Roman"/>
          <w:color w:val="000000" w:themeColor="text1"/>
          <w:sz w:val="24"/>
          <w:lang w:eastAsia="en-AU"/>
        </w:rPr>
        <w:t>, 143A(1)(e)</w:t>
      </w:r>
      <w:r w:rsidR="00507299">
        <w:rPr>
          <w:rFonts w:ascii="Times New Roman" w:eastAsia="Times New Roman" w:hAnsi="Times New Roman" w:cs="Times New Roman"/>
          <w:color w:val="000000" w:themeColor="text1"/>
          <w:sz w:val="24"/>
          <w:lang w:eastAsia="en-AU"/>
        </w:rPr>
        <w:t>(ii)</w:t>
      </w:r>
      <w:r w:rsidR="00507299" w:rsidRPr="006A0608">
        <w:rPr>
          <w:rFonts w:ascii="Times New Roman" w:eastAsia="Times New Roman" w:hAnsi="Times New Roman" w:cs="Times New Roman"/>
          <w:color w:val="000000" w:themeColor="text1"/>
          <w:sz w:val="24"/>
          <w:lang w:eastAsia="en-AU"/>
        </w:rPr>
        <w:t>, 143A(2)(d)</w:t>
      </w:r>
      <w:r w:rsidR="00507299" w:rsidRPr="001125EF">
        <w:rPr>
          <w:rFonts w:ascii="Times New Roman" w:eastAsia="Times New Roman" w:hAnsi="Times New Roman" w:cs="Times New Roman"/>
          <w:color w:val="000000" w:themeColor="text1"/>
          <w:sz w:val="24"/>
          <w:lang w:eastAsia="en-AU"/>
        </w:rPr>
        <w:t>(ii)</w:t>
      </w:r>
      <w:r w:rsidR="00507299" w:rsidRPr="006A0608">
        <w:rPr>
          <w:rFonts w:ascii="Times New Roman" w:eastAsia="Times New Roman" w:hAnsi="Times New Roman" w:cs="Times New Roman"/>
          <w:color w:val="000000" w:themeColor="text1"/>
          <w:sz w:val="24"/>
          <w:lang w:eastAsia="en-AU"/>
        </w:rPr>
        <w:t>, and 143A(2)(e)</w:t>
      </w:r>
      <w:r w:rsidR="00507299">
        <w:rPr>
          <w:rFonts w:ascii="Times New Roman" w:eastAsia="Times New Roman" w:hAnsi="Times New Roman" w:cs="Times New Roman"/>
          <w:color w:val="000000" w:themeColor="text1"/>
          <w:sz w:val="24"/>
          <w:lang w:eastAsia="en-AU"/>
        </w:rPr>
        <w:t>(ii)</w:t>
      </w:r>
      <w:r w:rsidR="00507299" w:rsidRPr="006A0608">
        <w:rPr>
          <w:rFonts w:ascii="Times New Roman" w:eastAsia="Times New Roman" w:hAnsi="Times New Roman" w:cs="Times New Roman"/>
          <w:color w:val="000000" w:themeColor="text1"/>
          <w:sz w:val="24"/>
          <w:lang w:eastAsia="en-AU"/>
        </w:rPr>
        <w:t xml:space="preserve"> of the </w:t>
      </w:r>
      <w:r w:rsidR="00507299" w:rsidRPr="001C2F82">
        <w:rPr>
          <w:rFonts w:ascii="Times New Roman" w:eastAsia="Times New Roman" w:hAnsi="Times New Roman" w:cs="Times New Roman"/>
          <w:i/>
          <w:color w:val="000000" w:themeColor="text1"/>
          <w:sz w:val="24"/>
          <w:lang w:eastAsia="en-AU"/>
        </w:rPr>
        <w:t>Telecommunications Act 1997</w:t>
      </w:r>
      <w:r>
        <w:rPr>
          <w:rFonts w:ascii="Times New Roman" w:eastAsia="Times New Roman" w:hAnsi="Times New Roman" w:cs="Times New Roman"/>
          <w:color w:val="000000" w:themeColor="text1"/>
          <w:sz w:val="24"/>
          <w:lang w:eastAsia="en-AU"/>
        </w:rPr>
        <w:t>. The effect is</w:t>
      </w:r>
      <w:r w:rsidR="00507299" w:rsidRPr="006A0608">
        <w:rPr>
          <w:rFonts w:ascii="Times New Roman" w:eastAsia="Times New Roman" w:hAnsi="Times New Roman" w:cs="Times New Roman"/>
          <w:color w:val="000000" w:themeColor="text1"/>
          <w:sz w:val="24"/>
          <w:lang w:eastAsia="en-AU"/>
        </w:rPr>
        <w:t xml:space="preserve"> to increase the maximum </w:t>
      </w:r>
      <w:r w:rsidR="00507299">
        <w:rPr>
          <w:rFonts w:ascii="Times New Roman" w:eastAsia="Times New Roman" w:hAnsi="Times New Roman" w:cs="Times New Roman"/>
          <w:color w:val="000000" w:themeColor="text1"/>
          <w:sz w:val="24"/>
          <w:lang w:eastAsia="en-AU"/>
        </w:rPr>
        <w:t xml:space="preserve">number of </w:t>
      </w:r>
      <w:r w:rsidR="00507299" w:rsidRPr="006A0608">
        <w:rPr>
          <w:rFonts w:ascii="Times New Roman" w:eastAsia="Times New Roman" w:hAnsi="Times New Roman" w:cs="Times New Roman"/>
          <w:color w:val="000000" w:themeColor="text1"/>
          <w:sz w:val="24"/>
          <w:lang w:eastAsia="en-AU"/>
        </w:rPr>
        <w:t>residential customers for the purposes of t</w:t>
      </w:r>
      <w:r w:rsidR="00221A8D">
        <w:rPr>
          <w:rFonts w:ascii="Times New Roman" w:eastAsia="Times New Roman" w:hAnsi="Times New Roman" w:cs="Times New Roman"/>
          <w:color w:val="000000" w:themeColor="text1"/>
          <w:sz w:val="24"/>
          <w:lang w:eastAsia="en-AU"/>
        </w:rPr>
        <w:t>he ACCC’s class exemption determinations</w:t>
      </w:r>
      <w:r w:rsidR="00507299" w:rsidRPr="006A0608">
        <w:rPr>
          <w:rFonts w:ascii="Times New Roman" w:eastAsia="Times New Roman" w:hAnsi="Times New Roman" w:cs="Times New Roman"/>
          <w:color w:val="000000" w:themeColor="text1"/>
          <w:sz w:val="24"/>
          <w:lang w:eastAsia="en-AU"/>
        </w:rPr>
        <w:t xml:space="preserve"> under section 143A of the Act.</w:t>
      </w:r>
    </w:p>
    <w:sectPr w:rsidR="009A023E" w:rsidRPr="005F223D" w:rsidSect="00082354">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6442" w14:textId="77777777" w:rsidR="00561971" w:rsidRDefault="004A333B">
      <w:pPr>
        <w:spacing w:after="0" w:line="240" w:lineRule="auto"/>
      </w:pPr>
      <w:r>
        <w:separator/>
      </w:r>
    </w:p>
  </w:endnote>
  <w:endnote w:type="continuationSeparator" w:id="0">
    <w:p w14:paraId="754C35B6" w14:textId="77777777" w:rsidR="00561971" w:rsidRDefault="004A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noProof/>
      </w:rPr>
    </w:sdtEndPr>
    <w:sdtContent>
      <w:p w14:paraId="12DF73E8" w14:textId="77777777" w:rsidR="008B40B0" w:rsidRDefault="00B331F5" w:rsidP="00AD3414">
        <w:pPr>
          <w:pStyle w:val="Footer"/>
          <w:pBdr>
            <w:top w:val="single" w:sz="4" w:space="1" w:color="auto"/>
          </w:pBdr>
          <w:jc w:val="center"/>
        </w:pPr>
      </w:p>
      <w:p w14:paraId="216E4893" w14:textId="77777777" w:rsidR="008B40B0" w:rsidRPr="00AD3414" w:rsidRDefault="005F223D"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0C1898">
          <w:rPr>
            <w:rFonts w:ascii="Times New Roman" w:hAnsi="Times New Roman" w:cs="Times New Roman"/>
            <w:i/>
          </w:rPr>
          <w:t>Telecommunications Amendment (Local Access Lines—Class Exemptions) Regulations 2022</w:t>
        </w:r>
      </w:p>
      <w:p w14:paraId="1EE2F936" w14:textId="77777777" w:rsidR="008B40B0" w:rsidRDefault="00B331F5">
        <w:pPr>
          <w:pStyle w:val="Footer"/>
          <w:jc w:val="right"/>
        </w:pPr>
      </w:p>
      <w:p w14:paraId="047F3CE0" w14:textId="23B76D5C" w:rsidR="008B40B0" w:rsidRPr="00F0448B" w:rsidRDefault="005F223D">
        <w:pPr>
          <w:pStyle w:val="Footer"/>
          <w:jc w:val="right"/>
        </w:pPr>
        <w:r w:rsidRPr="00F0448B">
          <w:rPr>
            <w:rFonts w:ascii="Times New Roman" w:hAnsi="Times New Roman" w:cs="Times New Roman"/>
          </w:rPr>
          <w:fldChar w:fldCharType="begin"/>
        </w:r>
        <w:r w:rsidRPr="00F0448B">
          <w:rPr>
            <w:rFonts w:ascii="Times New Roman" w:hAnsi="Times New Roman" w:cs="Times New Roman"/>
          </w:rPr>
          <w:instrText xml:space="preserve"> PAGE   \* MERGEFORMAT </w:instrText>
        </w:r>
        <w:r w:rsidRPr="00F0448B">
          <w:rPr>
            <w:rFonts w:ascii="Times New Roman" w:hAnsi="Times New Roman" w:cs="Times New Roman"/>
          </w:rPr>
          <w:fldChar w:fldCharType="separate"/>
        </w:r>
        <w:r w:rsidR="00B331F5">
          <w:rPr>
            <w:rFonts w:ascii="Times New Roman" w:hAnsi="Times New Roman" w:cs="Times New Roman"/>
            <w:noProof/>
          </w:rPr>
          <w:t>4</w:t>
        </w:r>
        <w:r w:rsidRPr="00F0448B">
          <w:rPr>
            <w:rFonts w:ascii="Times New Roman" w:hAnsi="Times New Roman" w:cs="Times New Roman"/>
            <w:noProof/>
          </w:rPr>
          <w:fldChar w:fldCharType="end"/>
        </w:r>
      </w:p>
    </w:sdtContent>
  </w:sdt>
  <w:p w14:paraId="204F0FF4" w14:textId="77777777" w:rsidR="008B40B0" w:rsidRPr="00AD3414" w:rsidRDefault="00B331F5"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0178C" w14:textId="77777777" w:rsidR="00561971" w:rsidRDefault="004A333B">
      <w:pPr>
        <w:spacing w:after="0" w:line="240" w:lineRule="auto"/>
      </w:pPr>
      <w:r>
        <w:separator/>
      </w:r>
    </w:p>
  </w:footnote>
  <w:footnote w:type="continuationSeparator" w:id="0">
    <w:p w14:paraId="17075086" w14:textId="77777777" w:rsidR="00561971" w:rsidRDefault="004A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7650" w14:textId="77777777" w:rsidR="008B40B0" w:rsidRDefault="00B331F5">
    <w:pPr>
      <w:pStyle w:val="Header"/>
    </w:pPr>
  </w:p>
  <w:p w14:paraId="6AE5BF77" w14:textId="77777777" w:rsidR="008B40B0" w:rsidRPr="00AD3414" w:rsidRDefault="00B331F5">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99"/>
    <w:rsid w:val="00047C84"/>
    <w:rsid w:val="00214DF9"/>
    <w:rsid w:val="00221A8D"/>
    <w:rsid w:val="00233CB2"/>
    <w:rsid w:val="002C11F5"/>
    <w:rsid w:val="003E2BDB"/>
    <w:rsid w:val="004A333B"/>
    <w:rsid w:val="00507299"/>
    <w:rsid w:val="0053755D"/>
    <w:rsid w:val="00561971"/>
    <w:rsid w:val="005F223D"/>
    <w:rsid w:val="00672B4D"/>
    <w:rsid w:val="006F03BA"/>
    <w:rsid w:val="007330F4"/>
    <w:rsid w:val="008655AE"/>
    <w:rsid w:val="00907EC8"/>
    <w:rsid w:val="00916D20"/>
    <w:rsid w:val="009A7219"/>
    <w:rsid w:val="009B5DD2"/>
    <w:rsid w:val="00A207B2"/>
    <w:rsid w:val="00B33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D9B1"/>
  <w15:chartTrackingRefBased/>
  <w15:docId w15:val="{38092D95-F914-4655-90FB-9F02FB85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299"/>
  </w:style>
  <w:style w:type="paragraph" w:styleId="Footer">
    <w:name w:val="footer"/>
    <w:basedOn w:val="Normal"/>
    <w:link w:val="FooterChar"/>
    <w:uiPriority w:val="99"/>
    <w:unhideWhenUsed/>
    <w:rsid w:val="0050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299"/>
  </w:style>
  <w:style w:type="paragraph" w:styleId="BalloonText">
    <w:name w:val="Balloon Text"/>
    <w:basedOn w:val="Normal"/>
    <w:link w:val="BalloonTextChar"/>
    <w:uiPriority w:val="99"/>
    <w:semiHidden/>
    <w:unhideWhenUsed/>
    <w:rsid w:val="00233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B2"/>
    <w:rPr>
      <w:rFonts w:ascii="Segoe UI" w:hAnsi="Segoe UI" w:cs="Segoe UI"/>
      <w:sz w:val="18"/>
      <w:szCs w:val="18"/>
    </w:rPr>
  </w:style>
  <w:style w:type="character" w:styleId="CommentReference">
    <w:name w:val="annotation reference"/>
    <w:basedOn w:val="DefaultParagraphFont"/>
    <w:uiPriority w:val="99"/>
    <w:semiHidden/>
    <w:unhideWhenUsed/>
    <w:rsid w:val="00233CB2"/>
    <w:rPr>
      <w:sz w:val="16"/>
      <w:szCs w:val="16"/>
    </w:rPr>
  </w:style>
  <w:style w:type="paragraph" w:styleId="CommentText">
    <w:name w:val="annotation text"/>
    <w:basedOn w:val="Normal"/>
    <w:link w:val="CommentTextChar"/>
    <w:uiPriority w:val="99"/>
    <w:semiHidden/>
    <w:unhideWhenUsed/>
    <w:rsid w:val="00233CB2"/>
    <w:pPr>
      <w:spacing w:line="240" w:lineRule="auto"/>
    </w:pPr>
    <w:rPr>
      <w:sz w:val="20"/>
      <w:szCs w:val="20"/>
    </w:rPr>
  </w:style>
  <w:style w:type="character" w:customStyle="1" w:styleId="CommentTextChar">
    <w:name w:val="Comment Text Char"/>
    <w:basedOn w:val="DefaultParagraphFont"/>
    <w:link w:val="CommentText"/>
    <w:uiPriority w:val="99"/>
    <w:semiHidden/>
    <w:rsid w:val="00233CB2"/>
    <w:rPr>
      <w:sz w:val="20"/>
      <w:szCs w:val="20"/>
    </w:rPr>
  </w:style>
  <w:style w:type="paragraph" w:styleId="CommentSubject">
    <w:name w:val="annotation subject"/>
    <w:basedOn w:val="CommentText"/>
    <w:next w:val="CommentText"/>
    <w:link w:val="CommentSubjectChar"/>
    <w:uiPriority w:val="99"/>
    <w:semiHidden/>
    <w:unhideWhenUsed/>
    <w:rsid w:val="00233CB2"/>
    <w:rPr>
      <w:b/>
      <w:bCs/>
    </w:rPr>
  </w:style>
  <w:style w:type="character" w:customStyle="1" w:styleId="CommentSubjectChar">
    <w:name w:val="Comment Subject Char"/>
    <w:basedOn w:val="CommentTextChar"/>
    <w:link w:val="CommentSubject"/>
    <w:uiPriority w:val="99"/>
    <w:semiHidden/>
    <w:rsid w:val="00233CB2"/>
    <w:rPr>
      <w:b/>
      <w:bCs/>
      <w:sz w:val="20"/>
      <w:szCs w:val="20"/>
    </w:rPr>
  </w:style>
  <w:style w:type="character" w:styleId="Hyperlink">
    <w:name w:val="Hyperlink"/>
    <w:basedOn w:val="DefaultParagraphFont"/>
    <w:uiPriority w:val="99"/>
    <w:unhideWhenUsed/>
    <w:rsid w:val="002C11F5"/>
    <w:rPr>
      <w:color w:val="0000FF"/>
      <w:u w:val="single"/>
    </w:rPr>
  </w:style>
  <w:style w:type="character" w:styleId="FollowedHyperlink">
    <w:name w:val="FollowedHyperlink"/>
    <w:basedOn w:val="DefaultParagraphFont"/>
    <w:uiPriority w:val="99"/>
    <w:semiHidden/>
    <w:unhideWhenUsed/>
    <w:rsid w:val="002C1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bpr.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C63A2-DCE6-497F-9359-43893D799E81}">
  <ds:schemaRefs>
    <ds:schemaRef ds:uri="http://schemas.microsoft.com/sharepoint/v3/contenttype/forms"/>
  </ds:schemaRefs>
</ds:datastoreItem>
</file>

<file path=customXml/itemProps2.xml><?xml version="1.0" encoding="utf-8"?>
<ds:datastoreItem xmlns:ds="http://schemas.openxmlformats.org/officeDocument/2006/customXml" ds:itemID="{3A4983B3-1043-4BBE-BB4A-1FD9C878F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12497F-52D5-4031-A7E2-872BF34B7D8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Brown, Richard</dc:creator>
  <cp:keywords/>
  <dc:description/>
  <cp:lastModifiedBy>O'DEA Michael</cp:lastModifiedBy>
  <cp:revision>2</cp:revision>
  <dcterms:created xsi:type="dcterms:W3CDTF">2022-03-01T23:57:00Z</dcterms:created>
  <dcterms:modified xsi:type="dcterms:W3CDTF">2022-03-01T23:57:00Z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12</vt:i4>
  </property>
</Properties>
</file>