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44" w:rsidRPr="00FB0EFA" w:rsidRDefault="009E4844" w:rsidP="00993E5F">
      <w:pPr>
        <w:jc w:val="center"/>
        <w:outlineLvl w:val="0"/>
        <w:rPr>
          <w:b/>
        </w:rPr>
      </w:pPr>
      <w:r w:rsidRPr="00FB0EFA">
        <w:rPr>
          <w:b/>
        </w:rPr>
        <w:t>EXPLAN</w:t>
      </w:r>
      <w:r>
        <w:rPr>
          <w:b/>
        </w:rPr>
        <w:t>A</w:t>
      </w:r>
      <w:r w:rsidRPr="00FB0EFA">
        <w:rPr>
          <w:b/>
        </w:rPr>
        <w:t>TORY STATEMENT</w:t>
      </w:r>
    </w:p>
    <w:p w:rsidR="009E4844" w:rsidRDefault="009E4844" w:rsidP="009E4844"/>
    <w:p w:rsidR="009E4844" w:rsidRDefault="009E4844" w:rsidP="00993E5F">
      <w:pPr>
        <w:spacing w:before="100" w:beforeAutospacing="1" w:after="100" w:afterAutospacing="1"/>
        <w:jc w:val="center"/>
        <w:outlineLvl w:val="0"/>
      </w:pPr>
      <w:r>
        <w:t>Issued by the authority of the Minister for Defence</w:t>
      </w:r>
    </w:p>
    <w:p w:rsidR="009E4844" w:rsidRDefault="009E4844" w:rsidP="009E4844">
      <w:pPr>
        <w:spacing w:before="100" w:beforeAutospacing="1" w:after="100" w:afterAutospacing="1"/>
        <w:jc w:val="center"/>
      </w:pPr>
      <w:r>
        <w:rPr>
          <w:i/>
          <w:iCs/>
        </w:rPr>
        <w:t>Defence Act 1903</w:t>
      </w:r>
    </w:p>
    <w:p w:rsidR="002E4965" w:rsidRDefault="009E4844" w:rsidP="004D100E">
      <w:pPr>
        <w:spacing w:before="100" w:beforeAutospacing="1" w:after="100" w:afterAutospacing="1"/>
        <w:jc w:val="center"/>
        <w:rPr>
          <w:i/>
          <w:iCs/>
        </w:rPr>
      </w:pPr>
      <w:bookmarkStart w:id="0" w:name="OLE_LINK1"/>
      <w:bookmarkStart w:id="1" w:name="OLE_LINK2"/>
      <w:r w:rsidRPr="00120695">
        <w:rPr>
          <w:i/>
          <w:iCs/>
        </w:rPr>
        <w:t>Woomera Prohibited Area Rule 2014</w:t>
      </w:r>
      <w:bookmarkEnd w:id="0"/>
      <w:bookmarkEnd w:id="1"/>
      <w:r w:rsidR="004D100E" w:rsidRPr="00120695">
        <w:rPr>
          <w:i/>
          <w:iCs/>
        </w:rPr>
        <w:t xml:space="preserve"> </w:t>
      </w:r>
    </w:p>
    <w:p w:rsidR="006E16C4" w:rsidRPr="00120695" w:rsidRDefault="006E16C4" w:rsidP="004D100E">
      <w:pPr>
        <w:spacing w:before="100" w:beforeAutospacing="1" w:after="100" w:afterAutospacing="1"/>
        <w:jc w:val="center"/>
        <w:rPr>
          <w:i/>
          <w:iCs/>
        </w:rPr>
      </w:pPr>
      <w:r w:rsidRPr="00120695">
        <w:rPr>
          <w:i/>
          <w:iCs/>
        </w:rPr>
        <w:t>Determination of E</w:t>
      </w:r>
      <w:r w:rsidR="008047B6" w:rsidRPr="00120695">
        <w:rPr>
          <w:i/>
          <w:iCs/>
        </w:rPr>
        <w:t xml:space="preserve">xclusion Periods for </w:t>
      </w:r>
      <w:r w:rsidR="004D100E" w:rsidRPr="00120695">
        <w:rPr>
          <w:i/>
          <w:iCs/>
        </w:rPr>
        <w:t xml:space="preserve">Amber Zone 1 and Amber Zone 2 for </w:t>
      </w:r>
      <w:r w:rsidR="008047B6" w:rsidRPr="00120695">
        <w:rPr>
          <w:i/>
          <w:iCs/>
        </w:rPr>
        <w:t>Financial Y</w:t>
      </w:r>
      <w:r w:rsidR="00004BCB">
        <w:rPr>
          <w:i/>
          <w:iCs/>
        </w:rPr>
        <w:t>ear 20</w:t>
      </w:r>
      <w:r w:rsidR="002E4965">
        <w:rPr>
          <w:i/>
          <w:iCs/>
        </w:rPr>
        <w:t>2</w:t>
      </w:r>
      <w:r w:rsidR="00EB07D7">
        <w:rPr>
          <w:i/>
          <w:iCs/>
        </w:rPr>
        <w:t>1</w:t>
      </w:r>
      <w:r w:rsidR="00004BCB">
        <w:rPr>
          <w:i/>
          <w:iCs/>
        </w:rPr>
        <w:t>-202</w:t>
      </w:r>
      <w:r w:rsidR="00EB07D7">
        <w:rPr>
          <w:i/>
          <w:iCs/>
        </w:rPr>
        <w:t>2</w:t>
      </w:r>
      <w:r w:rsidR="004D100E" w:rsidRPr="00120695">
        <w:rPr>
          <w:i/>
          <w:iCs/>
        </w:rPr>
        <w:t xml:space="preserve"> Amendment</w:t>
      </w:r>
      <w:r w:rsidR="001F08F9" w:rsidRPr="00120695">
        <w:rPr>
          <w:i/>
          <w:iCs/>
        </w:rPr>
        <w:t xml:space="preserve"> No.</w:t>
      </w:r>
      <w:r w:rsidR="008964FD">
        <w:rPr>
          <w:i/>
          <w:iCs/>
        </w:rPr>
        <w:t>2</w:t>
      </w:r>
    </w:p>
    <w:p w:rsidR="009E4844" w:rsidRDefault="009E4844" w:rsidP="009E4844"/>
    <w:p w:rsidR="009E4844" w:rsidRPr="0066062D" w:rsidRDefault="009E4844" w:rsidP="00993E5F">
      <w:pPr>
        <w:outlineLvl w:val="0"/>
        <w:rPr>
          <w:b/>
        </w:rPr>
      </w:pPr>
      <w:r>
        <w:rPr>
          <w:b/>
        </w:rPr>
        <w:t>Purpose</w:t>
      </w:r>
    </w:p>
    <w:p w:rsidR="009E4844" w:rsidRDefault="009E4844" w:rsidP="009E4844"/>
    <w:p w:rsidR="002E4965" w:rsidRDefault="009E4844" w:rsidP="009E4844">
      <w:r>
        <w:t xml:space="preserve">Subsection </w:t>
      </w:r>
      <w:r w:rsidR="006E16C4">
        <w:t>8</w:t>
      </w:r>
      <w:r>
        <w:t xml:space="preserve">(1) of the </w:t>
      </w:r>
      <w:r w:rsidR="006E16C4">
        <w:rPr>
          <w:i/>
        </w:rPr>
        <w:t>Woomera Prohibited Area Rule 2014</w:t>
      </w:r>
      <w:r>
        <w:t xml:space="preserve"> provides that the Minister for Defence may, by legislative instrument, </w:t>
      </w:r>
      <w:r w:rsidR="006E16C4">
        <w:t>determin</w:t>
      </w:r>
      <w:r w:rsidR="008A3D91">
        <w:t>e the exclusion periods for Amber Zone 1 and Amber Zone 2</w:t>
      </w:r>
      <w:r w:rsidR="002F57FF">
        <w:t xml:space="preserve"> in the</w:t>
      </w:r>
      <w:r w:rsidR="008A3D91">
        <w:t xml:space="preserve"> </w:t>
      </w:r>
      <w:r w:rsidR="006E16C4">
        <w:t>Woomera Prohibited Area for a financial year.</w:t>
      </w:r>
      <w:r w:rsidR="007B53C6">
        <w:t xml:space="preserve">  </w:t>
      </w:r>
    </w:p>
    <w:p w:rsidR="002E4965" w:rsidRDefault="002E4965" w:rsidP="009E4844"/>
    <w:p w:rsidR="00B63F81" w:rsidRDefault="00B63F81" w:rsidP="009E4844">
      <w:r>
        <w:t>The Minister has delegated the power to determine exclusion periods for a financial year</w:t>
      </w:r>
      <w:r w:rsidR="002E4965">
        <w:t xml:space="preserve"> pursuant to subsection 63(2) of the </w:t>
      </w:r>
      <w:r w:rsidR="002E4965">
        <w:rPr>
          <w:i/>
        </w:rPr>
        <w:t>Woomera Prohibited Area Rule 2014</w:t>
      </w:r>
      <w:r>
        <w:t>.</w:t>
      </w:r>
    </w:p>
    <w:p w:rsidR="009E4844" w:rsidRDefault="009E4844" w:rsidP="009E4844"/>
    <w:p w:rsidR="009A6EA0" w:rsidRDefault="009A6EA0" w:rsidP="009A6EA0">
      <w:r>
        <w:t xml:space="preserve">In accordance with subsection 13(1)(a) of the </w:t>
      </w:r>
      <w:r>
        <w:rPr>
          <w:i/>
        </w:rPr>
        <w:t xml:space="preserve">Legislation Act </w:t>
      </w:r>
      <w:r w:rsidRPr="00750B46">
        <w:rPr>
          <w:i/>
        </w:rPr>
        <w:t xml:space="preserve">2003 </w:t>
      </w:r>
      <w:r w:rsidRPr="00750B46">
        <w:t>and</w:t>
      </w:r>
      <w:r>
        <w:t xml:space="preserve"> subsection 33(3) of the </w:t>
      </w:r>
      <w:r>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9A6EA0" w:rsidRDefault="009A6EA0" w:rsidP="009E4844"/>
    <w:p w:rsidR="009A6EA0" w:rsidRDefault="009A6EA0" w:rsidP="009A6EA0">
      <w:r>
        <w:t xml:space="preserve">Therefore, during a financial year, exclusion periods determined by legislative instrument may be amended to vary access to zones within the Woomera Prohibited Area. </w:t>
      </w:r>
    </w:p>
    <w:p w:rsidR="006319FB" w:rsidRDefault="006319FB" w:rsidP="009E4844"/>
    <w:p w:rsidR="009E4844" w:rsidRPr="00F23C79" w:rsidRDefault="00F23C79" w:rsidP="009E4844">
      <w:pPr>
        <w:rPr>
          <w:b/>
        </w:rPr>
      </w:pPr>
      <w:r w:rsidRPr="00F23C79">
        <w:rPr>
          <w:b/>
          <w:i/>
          <w:iCs/>
        </w:rPr>
        <w:t>Woomera Prohibited Area Rule 2014 Determination of Exclusion Periods for Amber Zone 1 and Amber Zone 2 for Financial Year 20</w:t>
      </w:r>
      <w:r w:rsidR="002E4965">
        <w:rPr>
          <w:b/>
          <w:i/>
          <w:iCs/>
        </w:rPr>
        <w:t>2</w:t>
      </w:r>
      <w:r w:rsidR="00EB07D7">
        <w:rPr>
          <w:b/>
          <w:i/>
          <w:iCs/>
        </w:rPr>
        <w:t>1</w:t>
      </w:r>
      <w:r w:rsidR="00004BCB">
        <w:rPr>
          <w:b/>
          <w:i/>
          <w:iCs/>
        </w:rPr>
        <w:t>-202</w:t>
      </w:r>
      <w:r w:rsidR="00EB07D7">
        <w:rPr>
          <w:b/>
          <w:i/>
          <w:iCs/>
        </w:rPr>
        <w:t>2</w:t>
      </w:r>
      <w:r w:rsidRPr="00F23C79">
        <w:rPr>
          <w:b/>
          <w:i/>
          <w:iCs/>
        </w:rPr>
        <w:t xml:space="preserve"> Amendment No.</w:t>
      </w:r>
      <w:r w:rsidR="008964FD">
        <w:rPr>
          <w:b/>
          <w:i/>
          <w:iCs/>
        </w:rPr>
        <w:t>2</w:t>
      </w:r>
    </w:p>
    <w:p w:rsidR="009E4844" w:rsidRDefault="009E4844" w:rsidP="009E4844">
      <w:pPr>
        <w:autoSpaceDE w:val="0"/>
        <w:autoSpaceDN w:val="0"/>
        <w:adjustRightInd w:val="0"/>
      </w:pPr>
    </w:p>
    <w:p w:rsidR="009E4844" w:rsidRDefault="009E4844" w:rsidP="00993E5F">
      <w:pPr>
        <w:autoSpaceDE w:val="0"/>
        <w:autoSpaceDN w:val="0"/>
        <w:adjustRightInd w:val="0"/>
        <w:outlineLvl w:val="0"/>
      </w:pPr>
      <w:r>
        <w:t xml:space="preserve">Details of the </w:t>
      </w:r>
      <w:r w:rsidR="00FB6363">
        <w:t>Amendment</w:t>
      </w:r>
      <w:r>
        <w:t xml:space="preserve"> are set out in Attachment 1.</w:t>
      </w:r>
    </w:p>
    <w:p w:rsidR="009E4844" w:rsidRDefault="009E4844" w:rsidP="009E4844">
      <w:pPr>
        <w:autoSpaceDE w:val="0"/>
        <w:autoSpaceDN w:val="0"/>
        <w:adjustRightInd w:val="0"/>
      </w:pPr>
    </w:p>
    <w:p w:rsidR="009E4844" w:rsidRDefault="009E4844" w:rsidP="00993E5F">
      <w:pPr>
        <w:autoSpaceDE w:val="0"/>
        <w:autoSpaceDN w:val="0"/>
        <w:adjustRightInd w:val="0"/>
        <w:outlineLvl w:val="0"/>
        <w:rPr>
          <w:b/>
        </w:rPr>
      </w:pPr>
      <w:r w:rsidRPr="00D3431B">
        <w:rPr>
          <w:b/>
        </w:rPr>
        <w:t>Consultation</w:t>
      </w:r>
    </w:p>
    <w:p w:rsidR="009E4844" w:rsidRDefault="009E4844" w:rsidP="009E4844">
      <w:pPr>
        <w:autoSpaceDE w:val="0"/>
        <w:autoSpaceDN w:val="0"/>
        <w:adjustRightInd w:val="0"/>
      </w:pPr>
    </w:p>
    <w:p w:rsidR="00BE2ED2" w:rsidRDefault="00CB2D74" w:rsidP="009E4844">
      <w:pPr>
        <w:autoSpaceDE w:val="0"/>
        <w:autoSpaceDN w:val="0"/>
        <w:adjustRightInd w:val="0"/>
      </w:pPr>
      <w:r>
        <w:t xml:space="preserve">Defence consulted on the general principles of exclusions periods in the WPA as part of the introduction of the </w:t>
      </w:r>
      <w:r>
        <w:rPr>
          <w:i/>
        </w:rPr>
        <w:t>Woomera Prohibited Area Rule 2014</w:t>
      </w:r>
      <w:r>
        <w:t>. 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rsidR="0014506C" w:rsidRDefault="0014506C" w:rsidP="009E4844">
      <w:pPr>
        <w:autoSpaceDE w:val="0"/>
        <w:autoSpaceDN w:val="0"/>
        <w:adjustRightInd w:val="0"/>
      </w:pPr>
    </w:p>
    <w:p w:rsidR="0014506C" w:rsidRDefault="0014506C" w:rsidP="009E4844">
      <w:pPr>
        <w:autoSpaceDE w:val="0"/>
        <w:autoSpaceDN w:val="0"/>
        <w:adjustRightInd w:val="0"/>
      </w:pPr>
      <w:r>
        <w:t>Additionally, Defence contact</w:t>
      </w:r>
      <w:r w:rsidR="009A7C7D">
        <w:t>s</w:t>
      </w:r>
      <w:r>
        <w:t xml:space="preserve"> those people who will be directly affected by the exclusion periods, including pastoralists, traditional owners and mine</w:t>
      </w:r>
      <w:r w:rsidR="00DD2EEA">
        <w:t>r</w:t>
      </w:r>
      <w:r>
        <w:t>s, when the exclusion period approaches.</w:t>
      </w:r>
    </w:p>
    <w:p w:rsidR="00CB2D74" w:rsidRDefault="00CB2D74" w:rsidP="009E4844">
      <w:pPr>
        <w:autoSpaceDE w:val="0"/>
        <w:autoSpaceDN w:val="0"/>
        <w:adjustRightInd w:val="0"/>
      </w:pPr>
    </w:p>
    <w:p w:rsidR="00CB2D74" w:rsidRDefault="00CB2D74" w:rsidP="009E4844">
      <w:pPr>
        <w:autoSpaceDE w:val="0"/>
        <w:autoSpaceDN w:val="0"/>
        <w:adjustRightInd w:val="0"/>
      </w:pPr>
      <w:r>
        <w:lastRenderedPageBreak/>
        <w:t>As a result of the above, and on the basis that the amendment</w:t>
      </w:r>
      <w:r w:rsidR="00DF60F2">
        <w:t xml:space="preserve"> reduces the potential impact that exclusion periods have on affected persons by reducing the number of days that persons may be excluded from the WPA, specific consultation was not undertaken at the time of making this amendment.</w:t>
      </w:r>
    </w:p>
    <w:p w:rsidR="00CB2D74" w:rsidRDefault="00CB2D74" w:rsidP="009E4844">
      <w:pPr>
        <w:autoSpaceDE w:val="0"/>
        <w:autoSpaceDN w:val="0"/>
        <w:adjustRightInd w:val="0"/>
      </w:pPr>
    </w:p>
    <w:p w:rsidR="00BE2ED2" w:rsidRDefault="00BE2ED2" w:rsidP="00993E5F">
      <w:pPr>
        <w:autoSpaceDE w:val="0"/>
        <w:autoSpaceDN w:val="0"/>
        <w:adjustRightInd w:val="0"/>
        <w:outlineLvl w:val="0"/>
        <w:rPr>
          <w:b/>
        </w:rPr>
      </w:pPr>
      <w:r>
        <w:rPr>
          <w:b/>
        </w:rPr>
        <w:t>Commencement</w:t>
      </w:r>
    </w:p>
    <w:p w:rsidR="00BE2ED2" w:rsidRDefault="00BE2ED2" w:rsidP="009E4844">
      <w:pPr>
        <w:autoSpaceDE w:val="0"/>
        <w:autoSpaceDN w:val="0"/>
        <w:adjustRightInd w:val="0"/>
        <w:rPr>
          <w:b/>
        </w:rPr>
      </w:pPr>
    </w:p>
    <w:p w:rsidR="00BE2ED2" w:rsidRPr="00BE2ED2" w:rsidRDefault="00BE2ED2" w:rsidP="00993E5F">
      <w:pPr>
        <w:autoSpaceDE w:val="0"/>
        <w:autoSpaceDN w:val="0"/>
        <w:adjustRightInd w:val="0"/>
        <w:outlineLvl w:val="0"/>
        <w:rPr>
          <w:iCs/>
        </w:rPr>
      </w:pPr>
      <w:r>
        <w:t xml:space="preserve">This </w:t>
      </w:r>
      <w:r w:rsidR="00FB6363">
        <w:t>amendment</w:t>
      </w:r>
      <w:r>
        <w:t xml:space="preserve"> commences on the day after registration. </w:t>
      </w:r>
    </w:p>
    <w:p w:rsidR="009E4844" w:rsidRPr="00A40519" w:rsidRDefault="009E4844" w:rsidP="009E4844">
      <w:pPr>
        <w:autoSpaceDE w:val="0"/>
        <w:autoSpaceDN w:val="0"/>
        <w:adjustRightInd w:val="0"/>
        <w:rPr>
          <w:iCs/>
        </w:rPr>
      </w:pPr>
    </w:p>
    <w:p w:rsidR="009E4844" w:rsidRDefault="009E4844" w:rsidP="009E4844">
      <w:r>
        <w:rPr>
          <w:b/>
        </w:rPr>
        <w:t>Statement of Compatibility with Human Rights -</w:t>
      </w:r>
      <w:r w:rsidR="007F07FB">
        <w:rPr>
          <w:b/>
        </w:rPr>
        <w:t xml:space="preserve"> </w:t>
      </w:r>
      <w:r w:rsidRPr="006B483C">
        <w:t>Prepared in accordance with Part 3 of the</w:t>
      </w:r>
      <w:r w:rsidRPr="006E35B3">
        <w:rPr>
          <w:i/>
        </w:rPr>
        <w:t xml:space="preserve"> Human Rights (Parliamentary Scrutiny) Act 2011</w:t>
      </w:r>
      <w:r>
        <w:t>.</w:t>
      </w:r>
    </w:p>
    <w:p w:rsidR="009E4844" w:rsidRDefault="009E4844" w:rsidP="009E4844">
      <w:pPr>
        <w:rPr>
          <w:b/>
        </w:rPr>
      </w:pPr>
    </w:p>
    <w:p w:rsidR="009E4844" w:rsidRPr="00373542" w:rsidRDefault="009E4844" w:rsidP="00993E5F">
      <w:pPr>
        <w:outlineLvl w:val="0"/>
      </w:pPr>
      <w:r>
        <w:t>A statement of compatibility with Human Rights is set out at Attachment 2.</w:t>
      </w:r>
    </w:p>
    <w:p w:rsidR="009E4844" w:rsidRPr="00373542" w:rsidRDefault="009E4844" w:rsidP="009E4844"/>
    <w:p w:rsidR="00C63A54" w:rsidRDefault="009E4844">
      <w:r>
        <w:t xml:space="preserve"> </w:t>
      </w:r>
    </w:p>
    <w:p w:rsidR="00C63A54" w:rsidRPr="00373542" w:rsidRDefault="00C63A54" w:rsidP="00993E5F">
      <w:pPr>
        <w:jc w:val="right"/>
        <w:outlineLvl w:val="0"/>
        <w:rPr>
          <w:b/>
          <w:iCs/>
        </w:rPr>
      </w:pPr>
      <w:r>
        <w:br w:type="page"/>
      </w:r>
      <w:r>
        <w:rPr>
          <w:b/>
          <w:iCs/>
        </w:rPr>
        <w:lastRenderedPageBreak/>
        <w:t>Attachment 1</w:t>
      </w:r>
    </w:p>
    <w:p w:rsidR="00C63A54" w:rsidRDefault="00C63A54" w:rsidP="00C63A54">
      <w:pPr>
        <w:rPr>
          <w:iCs/>
        </w:rPr>
      </w:pPr>
    </w:p>
    <w:p w:rsidR="00A23D0C" w:rsidRPr="0066062D" w:rsidRDefault="00C63A54" w:rsidP="00A23D0C">
      <w:pPr>
        <w:rPr>
          <w:b/>
        </w:rPr>
      </w:pPr>
      <w:r w:rsidRPr="0069647B">
        <w:rPr>
          <w:b/>
          <w:iCs/>
        </w:rPr>
        <w:t>Details of the</w:t>
      </w:r>
      <w:r w:rsidR="00FB6363">
        <w:rPr>
          <w:b/>
          <w:iCs/>
        </w:rPr>
        <w:t xml:space="preserve"> </w:t>
      </w:r>
      <w:r w:rsidR="001F08F9" w:rsidRPr="001F08F9">
        <w:rPr>
          <w:b/>
          <w:i/>
          <w:iCs/>
        </w:rPr>
        <w:t>Woomera Prohibited Area Rule 2014 Determination of Exclusion Periods for Amber Zone 1 and Ambe</w:t>
      </w:r>
      <w:r w:rsidR="00181498">
        <w:rPr>
          <w:b/>
          <w:i/>
          <w:iCs/>
        </w:rPr>
        <w:t>r Zone 2 for Financial Year 20</w:t>
      </w:r>
      <w:r w:rsidR="00DF60F2">
        <w:rPr>
          <w:b/>
          <w:i/>
          <w:iCs/>
        </w:rPr>
        <w:t>2</w:t>
      </w:r>
      <w:r w:rsidR="00EB07D7">
        <w:rPr>
          <w:b/>
          <w:i/>
          <w:iCs/>
        </w:rPr>
        <w:t>1</w:t>
      </w:r>
      <w:r w:rsidR="003F74F1">
        <w:rPr>
          <w:b/>
          <w:i/>
          <w:iCs/>
        </w:rPr>
        <w:t>-202</w:t>
      </w:r>
      <w:r w:rsidR="00EB07D7">
        <w:rPr>
          <w:b/>
          <w:i/>
          <w:iCs/>
        </w:rPr>
        <w:t>2</w:t>
      </w:r>
      <w:r w:rsidR="001F08F9" w:rsidRPr="001F08F9">
        <w:rPr>
          <w:b/>
          <w:i/>
          <w:iCs/>
        </w:rPr>
        <w:t xml:space="preserve"> Amendment No.</w:t>
      </w:r>
      <w:r w:rsidR="008964FD">
        <w:rPr>
          <w:b/>
          <w:i/>
          <w:iCs/>
        </w:rPr>
        <w:t>2</w:t>
      </w:r>
    </w:p>
    <w:p w:rsidR="003E0395" w:rsidRDefault="003E0395" w:rsidP="00C63A54">
      <w:pPr>
        <w:rPr>
          <w:iCs/>
        </w:rPr>
      </w:pPr>
    </w:p>
    <w:p w:rsidR="00247AB6" w:rsidRDefault="006319FB" w:rsidP="0060664F">
      <w:pPr>
        <w:tabs>
          <w:tab w:val="left" w:pos="3780"/>
        </w:tabs>
      </w:pPr>
      <w:r>
        <w:rPr>
          <w:i/>
          <w:iCs/>
        </w:rPr>
        <w:t>Woomera Prohibited Area Rule 2014 Determination of Exclusion Periods for Amber Zone 1 and Amber</w:t>
      </w:r>
      <w:r w:rsidR="00AC3449">
        <w:rPr>
          <w:i/>
          <w:iCs/>
        </w:rPr>
        <w:t xml:space="preserve"> Zone 2 for Financial Year 20</w:t>
      </w:r>
      <w:r w:rsidR="00DF60F2">
        <w:rPr>
          <w:i/>
          <w:iCs/>
        </w:rPr>
        <w:t>2</w:t>
      </w:r>
      <w:r w:rsidR="00EB07D7">
        <w:rPr>
          <w:i/>
          <w:iCs/>
        </w:rPr>
        <w:t>1</w:t>
      </w:r>
      <w:r>
        <w:rPr>
          <w:i/>
          <w:iCs/>
        </w:rPr>
        <w:t>-20</w:t>
      </w:r>
      <w:r w:rsidR="00004BCB">
        <w:rPr>
          <w:i/>
          <w:iCs/>
        </w:rPr>
        <w:t>2</w:t>
      </w:r>
      <w:r w:rsidR="00EB07D7">
        <w:rPr>
          <w:i/>
          <w:iCs/>
        </w:rPr>
        <w:t>2</w:t>
      </w:r>
      <w:r w:rsidR="003F74F1">
        <w:t xml:space="preserve"> dated </w:t>
      </w:r>
      <w:r w:rsidR="00EB07D7">
        <w:t>4</w:t>
      </w:r>
      <w:r w:rsidR="003F74F1">
        <w:t xml:space="preserve"> March 20</w:t>
      </w:r>
      <w:r w:rsidR="00DF60F2">
        <w:t>2</w:t>
      </w:r>
      <w:r w:rsidR="00EB07D7">
        <w:t>1</w:t>
      </w:r>
      <w:r w:rsidR="00126001">
        <w:t xml:space="preserve"> </w:t>
      </w:r>
      <w:r w:rsidR="00272447">
        <w:t>set out the dates o</w:t>
      </w:r>
      <w:r w:rsidR="00247AB6">
        <w:t xml:space="preserve">n which holders of a permit issued under the </w:t>
      </w:r>
      <w:r w:rsidR="00247AB6" w:rsidRPr="008A3D91">
        <w:rPr>
          <w:i/>
        </w:rPr>
        <w:t>Woomera Prohibited Area Rule 2014</w:t>
      </w:r>
      <w:r w:rsidR="00247AB6">
        <w:t xml:space="preserve"> are excluded from entering the Amber Zone 1 and Amber Z</w:t>
      </w:r>
      <w:r w:rsidR="00DE5791">
        <w:t>one 2 during fi</w:t>
      </w:r>
      <w:r w:rsidR="00DF60F2">
        <w:t>nancial year 202</w:t>
      </w:r>
      <w:r w:rsidR="00EB07D7">
        <w:t>1</w:t>
      </w:r>
      <w:r w:rsidR="003F74F1">
        <w:t>-202</w:t>
      </w:r>
      <w:r w:rsidR="00EB07D7">
        <w:t>2</w:t>
      </w:r>
      <w:r w:rsidR="00CB2632">
        <w:t>.</w:t>
      </w:r>
    </w:p>
    <w:p w:rsidR="006319FB" w:rsidRDefault="006319FB" w:rsidP="00AF2CDD">
      <w:pPr>
        <w:rPr>
          <w:iCs/>
        </w:rPr>
      </w:pPr>
    </w:p>
    <w:p w:rsidR="0016343D" w:rsidRDefault="006319FB" w:rsidP="00AF2CDD">
      <w:pPr>
        <w:rPr>
          <w:iCs/>
        </w:rPr>
      </w:pPr>
      <w:r>
        <w:rPr>
          <w:i/>
          <w:iCs/>
        </w:rPr>
        <w:t>Woomera Prohibited Area Rule 2014 Determination of Exclusion Periods for Amber Zone 1 and Amber</w:t>
      </w:r>
      <w:r w:rsidR="003F74F1">
        <w:rPr>
          <w:i/>
          <w:iCs/>
        </w:rPr>
        <w:t xml:space="preserve"> Zone 2 for Financial Year 20</w:t>
      </w:r>
      <w:r w:rsidR="00DF60F2">
        <w:rPr>
          <w:i/>
          <w:iCs/>
        </w:rPr>
        <w:t>2</w:t>
      </w:r>
      <w:r w:rsidR="0016183D">
        <w:rPr>
          <w:i/>
          <w:iCs/>
        </w:rPr>
        <w:t>1</w:t>
      </w:r>
      <w:r w:rsidR="003F74F1">
        <w:rPr>
          <w:i/>
          <w:iCs/>
        </w:rPr>
        <w:t>-202</w:t>
      </w:r>
      <w:r w:rsidR="0016183D">
        <w:rPr>
          <w:i/>
          <w:iCs/>
        </w:rPr>
        <w:t>2</w:t>
      </w:r>
      <w:r>
        <w:rPr>
          <w:i/>
          <w:iCs/>
        </w:rPr>
        <w:t xml:space="preserve"> Amendment No.</w:t>
      </w:r>
      <w:r w:rsidR="008964FD">
        <w:rPr>
          <w:i/>
          <w:iCs/>
        </w:rPr>
        <w:t>2</w:t>
      </w:r>
      <w:r>
        <w:rPr>
          <w:iCs/>
        </w:rPr>
        <w:t xml:space="preserve"> </w:t>
      </w:r>
      <w:r w:rsidR="00241F05">
        <w:rPr>
          <w:iCs/>
        </w:rPr>
        <w:t>will</w:t>
      </w:r>
      <w:r w:rsidR="009614FB">
        <w:rPr>
          <w:iCs/>
        </w:rPr>
        <w:t xml:space="preserve"> </w:t>
      </w:r>
      <w:r w:rsidR="00A861A4">
        <w:rPr>
          <w:iCs/>
        </w:rPr>
        <w:t xml:space="preserve">amend </w:t>
      </w:r>
      <w:r w:rsidR="009614FB">
        <w:rPr>
          <w:iCs/>
        </w:rPr>
        <w:t>the</w:t>
      </w:r>
      <w:r>
        <w:rPr>
          <w:iCs/>
        </w:rPr>
        <w:t xml:space="preserve"> Determination</w:t>
      </w:r>
      <w:r w:rsidR="009614FB">
        <w:rPr>
          <w:iCs/>
        </w:rPr>
        <w:t xml:space="preserve"> by </w:t>
      </w:r>
      <w:r w:rsidR="00424EE0">
        <w:rPr>
          <w:iCs/>
        </w:rPr>
        <w:t xml:space="preserve">removing </w:t>
      </w:r>
      <w:r w:rsidR="009614FB">
        <w:rPr>
          <w:iCs/>
        </w:rPr>
        <w:t xml:space="preserve">the exclusion </w:t>
      </w:r>
      <w:r>
        <w:rPr>
          <w:iCs/>
        </w:rPr>
        <w:t>periods</w:t>
      </w:r>
      <w:r w:rsidR="00560853">
        <w:rPr>
          <w:iCs/>
        </w:rPr>
        <w:t xml:space="preserve"> for Amber Zone </w:t>
      </w:r>
      <w:r w:rsidR="00BF6808">
        <w:rPr>
          <w:iCs/>
        </w:rPr>
        <w:t xml:space="preserve">1 and Amber Zone </w:t>
      </w:r>
      <w:r w:rsidR="00C12271">
        <w:rPr>
          <w:iCs/>
        </w:rPr>
        <w:t>2</w:t>
      </w:r>
      <w:r w:rsidR="00CC6FBA">
        <w:rPr>
          <w:iCs/>
        </w:rPr>
        <w:t xml:space="preserve"> </w:t>
      </w:r>
      <w:r w:rsidR="008506BF">
        <w:rPr>
          <w:iCs/>
        </w:rPr>
        <w:t xml:space="preserve">as </w:t>
      </w:r>
      <w:r>
        <w:rPr>
          <w:iCs/>
        </w:rPr>
        <w:t>set out in the table below.</w:t>
      </w:r>
    </w:p>
    <w:p w:rsidR="006319FB" w:rsidRDefault="006319FB" w:rsidP="00AF2CDD">
      <w:pPr>
        <w:rPr>
          <w:iC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4447C0"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4447C0" w:rsidRDefault="004447C0">
            <w:pPr>
              <w:pStyle w:val="Scheduletitle"/>
              <w:spacing w:before="120" w:after="120"/>
              <w:ind w:left="0" w:firstLine="0"/>
              <w:jc w:val="center"/>
              <w:rPr>
                <w:rFonts w:ascii="Times New Roman" w:hAnsi="Times New Roman"/>
                <w:sz w:val="22"/>
                <w:szCs w:val="22"/>
              </w:rPr>
            </w:pPr>
            <w:r>
              <w:rPr>
                <w:rFonts w:ascii="Times New Roman" w:hAnsi="Times New Roman"/>
                <w:sz w:val="22"/>
                <w:szCs w:val="22"/>
              </w:rPr>
              <w:t>Exclusion Period</w:t>
            </w:r>
          </w:p>
        </w:tc>
        <w:tc>
          <w:tcPr>
            <w:tcW w:w="4394" w:type="dxa"/>
            <w:tcBorders>
              <w:top w:val="single" w:sz="4" w:space="0" w:color="auto"/>
              <w:left w:val="single" w:sz="4" w:space="0" w:color="auto"/>
              <w:bottom w:val="single" w:sz="4" w:space="0" w:color="auto"/>
              <w:right w:val="single" w:sz="4" w:space="0" w:color="auto"/>
            </w:tcBorders>
            <w:hideMark/>
          </w:tcPr>
          <w:p w:rsidR="004447C0" w:rsidRDefault="004447C0">
            <w:pPr>
              <w:pStyle w:val="Scheduletitle"/>
              <w:spacing w:before="120" w:after="120"/>
              <w:ind w:left="0" w:firstLine="0"/>
              <w:jc w:val="center"/>
              <w:rPr>
                <w:rFonts w:ascii="Times New Roman" w:hAnsi="Times New Roman"/>
                <w:sz w:val="22"/>
                <w:szCs w:val="22"/>
              </w:rPr>
            </w:pPr>
            <w:r>
              <w:rPr>
                <w:rFonts w:ascii="Times New Roman" w:hAnsi="Times New Roman"/>
                <w:sz w:val="22"/>
                <w:szCs w:val="22"/>
              </w:rPr>
              <w:t>Zone to which the Exclusion Period applies</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7 March to 13 March 2022</w:t>
            </w:r>
          </w:p>
        </w:tc>
        <w:tc>
          <w:tcPr>
            <w:tcW w:w="4394" w:type="dxa"/>
            <w:tcBorders>
              <w:top w:val="single" w:sz="4" w:space="0" w:color="auto"/>
              <w:left w:val="single" w:sz="4" w:space="0" w:color="auto"/>
              <w:bottom w:val="single" w:sz="4" w:space="0" w:color="auto"/>
              <w:right w:val="single" w:sz="4" w:space="0" w:color="auto"/>
            </w:tcBorders>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14 March to 20 March 2022</w:t>
            </w:r>
          </w:p>
        </w:tc>
        <w:tc>
          <w:tcPr>
            <w:tcW w:w="4394" w:type="dxa"/>
            <w:tcBorders>
              <w:top w:val="single" w:sz="4" w:space="0" w:color="auto"/>
              <w:left w:val="single" w:sz="4" w:space="0" w:color="auto"/>
              <w:bottom w:val="single" w:sz="4" w:space="0" w:color="auto"/>
              <w:right w:val="single" w:sz="4" w:space="0" w:color="auto"/>
            </w:tcBorders>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21 March to 27 March 2022</w:t>
            </w:r>
          </w:p>
        </w:tc>
        <w:tc>
          <w:tcPr>
            <w:tcW w:w="4394" w:type="dxa"/>
            <w:tcBorders>
              <w:top w:val="single" w:sz="4" w:space="0" w:color="auto"/>
              <w:left w:val="single" w:sz="4" w:space="0" w:color="auto"/>
              <w:bottom w:val="single" w:sz="4" w:space="0" w:color="auto"/>
              <w:right w:val="single" w:sz="4" w:space="0" w:color="auto"/>
            </w:tcBorders>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28 March to 3 April 2022</w:t>
            </w:r>
          </w:p>
        </w:tc>
        <w:tc>
          <w:tcPr>
            <w:tcW w:w="4394" w:type="dxa"/>
            <w:tcBorders>
              <w:top w:val="single" w:sz="4" w:space="0" w:color="auto"/>
              <w:left w:val="single" w:sz="4" w:space="0" w:color="auto"/>
              <w:bottom w:val="single" w:sz="4" w:space="0" w:color="auto"/>
              <w:right w:val="single" w:sz="4" w:space="0" w:color="auto"/>
            </w:tcBorders>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4 April to 10 April 2022</w:t>
            </w:r>
          </w:p>
        </w:tc>
        <w:tc>
          <w:tcPr>
            <w:tcW w:w="4394" w:type="dxa"/>
            <w:tcBorders>
              <w:top w:val="single" w:sz="4" w:space="0" w:color="auto"/>
              <w:left w:val="single" w:sz="4" w:space="0" w:color="auto"/>
              <w:bottom w:val="single" w:sz="4" w:space="0" w:color="auto"/>
              <w:right w:val="single" w:sz="4" w:space="0" w:color="auto"/>
            </w:tcBorders>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21 March to 27 March 2022</w:t>
            </w:r>
          </w:p>
        </w:tc>
        <w:tc>
          <w:tcPr>
            <w:tcW w:w="4394" w:type="dxa"/>
            <w:tcBorders>
              <w:top w:val="single" w:sz="4" w:space="0" w:color="auto"/>
              <w:left w:val="single" w:sz="4" w:space="0" w:color="auto"/>
              <w:bottom w:val="single" w:sz="4" w:space="0" w:color="auto"/>
              <w:right w:val="single" w:sz="4" w:space="0" w:color="auto"/>
            </w:tcBorders>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2</w:t>
            </w:r>
          </w:p>
        </w:tc>
      </w:tr>
      <w:tr w:rsidR="00DB5D2E" w:rsidTr="00DB5D2E">
        <w:tc>
          <w:tcPr>
            <w:tcW w:w="4253" w:type="dxa"/>
            <w:tcBorders>
              <w:top w:val="single" w:sz="4" w:space="0" w:color="auto"/>
              <w:left w:val="single" w:sz="4" w:space="0" w:color="auto"/>
              <w:bottom w:val="single" w:sz="4" w:space="0" w:color="auto"/>
              <w:right w:val="single" w:sz="4" w:space="0" w:color="auto"/>
            </w:tcBorders>
            <w:vAlign w:val="center"/>
            <w:hideMark/>
          </w:tcPr>
          <w:p w:rsidR="00DB5D2E" w:rsidRDefault="00DB5D2E">
            <w:pPr>
              <w:spacing w:before="120" w:after="120"/>
              <w:jc w:val="center"/>
              <w:rPr>
                <w:rFonts w:ascii="&amp;quot" w:hAnsi="&amp;quot"/>
                <w:color w:val="000000"/>
              </w:rPr>
            </w:pPr>
            <w:r>
              <w:rPr>
                <w:rFonts w:ascii="&amp;quot" w:hAnsi="&amp;quot"/>
                <w:color w:val="000000"/>
              </w:rPr>
              <w:t>28 March to 3 April 2022</w:t>
            </w:r>
          </w:p>
        </w:tc>
        <w:tc>
          <w:tcPr>
            <w:tcW w:w="4394" w:type="dxa"/>
            <w:tcBorders>
              <w:top w:val="single" w:sz="4" w:space="0" w:color="auto"/>
              <w:left w:val="single" w:sz="4" w:space="0" w:color="auto"/>
              <w:bottom w:val="single" w:sz="4" w:space="0" w:color="auto"/>
              <w:right w:val="single" w:sz="4" w:space="0" w:color="auto"/>
            </w:tcBorders>
            <w:hideMark/>
          </w:tcPr>
          <w:p w:rsidR="00DB5D2E" w:rsidRDefault="00DB5D2E">
            <w:pPr>
              <w:spacing w:before="120" w:after="120"/>
              <w:jc w:val="center"/>
              <w:rPr>
                <w:rFonts w:ascii="&amp;quot" w:hAnsi="&amp;quot"/>
                <w:color w:val="000000"/>
              </w:rPr>
            </w:pPr>
            <w:r>
              <w:rPr>
                <w:rFonts w:ascii="&amp;quot" w:hAnsi="&amp;quot"/>
                <w:color w:val="000000"/>
              </w:rPr>
              <w:t>Amber Zone 2</w:t>
            </w:r>
          </w:p>
        </w:tc>
      </w:tr>
      <w:tr w:rsidR="00DB5D2E" w:rsidTr="00DB5D2E">
        <w:tc>
          <w:tcPr>
            <w:tcW w:w="4253" w:type="dxa"/>
            <w:tcBorders>
              <w:top w:val="single" w:sz="4" w:space="0" w:color="auto"/>
              <w:left w:val="single" w:sz="4" w:space="0" w:color="auto"/>
              <w:bottom w:val="single" w:sz="4" w:space="0" w:color="auto"/>
              <w:right w:val="single" w:sz="4" w:space="0" w:color="auto"/>
            </w:tcBorders>
            <w:vAlign w:val="center"/>
            <w:hideMark/>
          </w:tcPr>
          <w:p w:rsidR="00DB5D2E" w:rsidRDefault="00DB5D2E">
            <w:pPr>
              <w:spacing w:before="120" w:after="120"/>
              <w:jc w:val="center"/>
              <w:rPr>
                <w:rFonts w:ascii="&amp;quot" w:hAnsi="&amp;quot"/>
                <w:color w:val="000000"/>
              </w:rPr>
            </w:pPr>
            <w:r>
              <w:rPr>
                <w:rFonts w:ascii="&amp;quot" w:hAnsi="&amp;quot"/>
                <w:color w:val="000000"/>
              </w:rPr>
              <w:t>4 April to 10 April 2022</w:t>
            </w:r>
          </w:p>
        </w:tc>
        <w:tc>
          <w:tcPr>
            <w:tcW w:w="4394" w:type="dxa"/>
            <w:tcBorders>
              <w:top w:val="single" w:sz="4" w:space="0" w:color="auto"/>
              <w:left w:val="single" w:sz="4" w:space="0" w:color="auto"/>
              <w:bottom w:val="single" w:sz="4" w:space="0" w:color="auto"/>
              <w:right w:val="single" w:sz="4" w:space="0" w:color="auto"/>
            </w:tcBorders>
            <w:hideMark/>
          </w:tcPr>
          <w:p w:rsidR="00DB5D2E" w:rsidRDefault="00DB5D2E">
            <w:pPr>
              <w:spacing w:before="120" w:after="120"/>
              <w:jc w:val="center"/>
              <w:rPr>
                <w:rFonts w:ascii="&amp;quot" w:hAnsi="&amp;quot"/>
                <w:color w:val="000000"/>
              </w:rPr>
            </w:pPr>
            <w:r>
              <w:rPr>
                <w:rFonts w:ascii="&amp;quot" w:hAnsi="&amp;quot"/>
                <w:color w:val="000000"/>
              </w:rPr>
              <w:t>Amber Zone 2</w:t>
            </w:r>
          </w:p>
        </w:tc>
      </w:tr>
    </w:tbl>
    <w:p w:rsidR="004447C0" w:rsidRDefault="004447C0" w:rsidP="00AF2CDD">
      <w:pPr>
        <w:rPr>
          <w:iCs/>
        </w:rPr>
      </w:pPr>
      <w:bookmarkStart w:id="2" w:name="_GoBack"/>
      <w:bookmarkEnd w:id="2"/>
    </w:p>
    <w:p w:rsidR="00DF60F2" w:rsidRDefault="00DF60F2" w:rsidP="00AF2CDD">
      <w:pPr>
        <w:rPr>
          <w:iCs/>
        </w:rPr>
      </w:pPr>
    </w:p>
    <w:p w:rsidR="00750B46" w:rsidRDefault="00750B46" w:rsidP="00D66209">
      <w:pPr>
        <w:rPr>
          <w:iCs/>
        </w:rPr>
      </w:pPr>
    </w:p>
    <w:p w:rsidR="00750B46" w:rsidRDefault="00EC1566" w:rsidP="007269F5">
      <w:pPr>
        <w:jc w:val="center"/>
        <w:rPr>
          <w:b/>
        </w:rPr>
      </w:pPr>
      <w:r>
        <w:rPr>
          <w:b/>
        </w:rPr>
        <w:br w:type="page"/>
      </w:r>
    </w:p>
    <w:p w:rsidR="00C63A54" w:rsidRDefault="00C63A54" w:rsidP="00DE5791">
      <w:pPr>
        <w:jc w:val="right"/>
        <w:rPr>
          <w:b/>
        </w:rPr>
      </w:pPr>
      <w:r>
        <w:rPr>
          <w:b/>
        </w:rPr>
        <w:lastRenderedPageBreak/>
        <w:t>Attachment 2</w:t>
      </w:r>
    </w:p>
    <w:p w:rsidR="00C63A54" w:rsidRPr="00D664E6" w:rsidRDefault="00C63A54" w:rsidP="00993E5F">
      <w:pPr>
        <w:spacing w:before="360" w:after="120"/>
        <w:jc w:val="center"/>
        <w:outlineLvl w:val="0"/>
        <w:rPr>
          <w:b/>
          <w:sz w:val="28"/>
          <w:szCs w:val="28"/>
        </w:rPr>
      </w:pPr>
      <w:r w:rsidRPr="00D664E6">
        <w:rPr>
          <w:b/>
          <w:sz w:val="28"/>
          <w:szCs w:val="28"/>
        </w:rPr>
        <w:t>Statement of Compatibility with Human Rights</w:t>
      </w:r>
    </w:p>
    <w:p w:rsidR="00C63A54" w:rsidRPr="00D664E6" w:rsidRDefault="00C63A54" w:rsidP="00C63A54">
      <w:pPr>
        <w:spacing w:before="120" w:after="120"/>
        <w:jc w:val="center"/>
      </w:pPr>
      <w:r w:rsidRPr="00D664E6">
        <w:rPr>
          <w:i/>
        </w:rPr>
        <w:t>Prepared in accordance with Part 3 of the Human Rights (Parliamentary Scrutiny) Act 2011</w:t>
      </w:r>
    </w:p>
    <w:p w:rsidR="00730B62" w:rsidRDefault="00730B62" w:rsidP="00993E5F">
      <w:pPr>
        <w:spacing w:before="120" w:after="120"/>
        <w:jc w:val="center"/>
        <w:outlineLvl w:val="0"/>
        <w:rPr>
          <w:b/>
        </w:rPr>
      </w:pPr>
      <w:r>
        <w:rPr>
          <w:b/>
        </w:rPr>
        <w:t>Woomera Prohibited Area Rule 2014</w:t>
      </w:r>
    </w:p>
    <w:p w:rsidR="005D0B13" w:rsidRPr="004D100E" w:rsidRDefault="005D0B13" w:rsidP="005D0B13">
      <w:pPr>
        <w:spacing w:before="100" w:beforeAutospacing="1" w:after="100" w:afterAutospacing="1"/>
        <w:jc w:val="center"/>
        <w:rPr>
          <w:i/>
          <w:iCs/>
        </w:rPr>
      </w:pPr>
      <w:r>
        <w:rPr>
          <w:i/>
          <w:iCs/>
        </w:rPr>
        <w:t>Determination of Exclusion Periods for Amber Zone 1 and Ambe</w:t>
      </w:r>
      <w:r w:rsidR="009B7B5A">
        <w:rPr>
          <w:i/>
          <w:iCs/>
        </w:rPr>
        <w:t>r Zone 2 for Financial Year 20</w:t>
      </w:r>
      <w:r w:rsidR="00160B54">
        <w:rPr>
          <w:i/>
          <w:iCs/>
        </w:rPr>
        <w:t>2</w:t>
      </w:r>
      <w:r w:rsidR="004534F8">
        <w:rPr>
          <w:i/>
          <w:iCs/>
        </w:rPr>
        <w:t>1</w:t>
      </w:r>
      <w:r w:rsidR="003F74F1">
        <w:rPr>
          <w:i/>
          <w:iCs/>
        </w:rPr>
        <w:t>-202</w:t>
      </w:r>
      <w:r w:rsidR="004534F8">
        <w:rPr>
          <w:i/>
          <w:iCs/>
        </w:rPr>
        <w:t>2</w:t>
      </w:r>
      <w:r>
        <w:rPr>
          <w:i/>
          <w:iCs/>
        </w:rPr>
        <w:t xml:space="preserve"> Amendment</w:t>
      </w:r>
      <w:r w:rsidR="00DE5791">
        <w:rPr>
          <w:i/>
          <w:iCs/>
        </w:rPr>
        <w:t xml:space="preserve"> No.</w:t>
      </w:r>
      <w:r w:rsidR="008964FD">
        <w:rPr>
          <w:i/>
          <w:iCs/>
        </w:rPr>
        <w:t>2</w:t>
      </w:r>
    </w:p>
    <w:p w:rsidR="00730B62" w:rsidRPr="00CA2B84" w:rsidRDefault="00730B62" w:rsidP="009F63B4">
      <w:pPr>
        <w:spacing w:before="120" w:after="120"/>
      </w:pPr>
      <w:r w:rsidRPr="00CA2B84">
        <w:t xml:space="preserve">This </w:t>
      </w:r>
      <w:r w:rsidR="00E7534A">
        <w:t xml:space="preserve">amendment to the </w:t>
      </w:r>
      <w:r w:rsidR="00A23D0C">
        <w:t>Determination under</w:t>
      </w:r>
      <w:r w:rsidR="0061614E">
        <w:t xml:space="preserve"> the </w:t>
      </w:r>
      <w:r w:rsidR="0061614E">
        <w:rPr>
          <w:i/>
        </w:rPr>
        <w:t>Woomera Prohibited Area Rule 2014</w:t>
      </w:r>
      <w:r w:rsidR="009F63B4">
        <w:t xml:space="preserve"> </w:t>
      </w:r>
      <w:r w:rsidRPr="00CA2B84">
        <w:t xml:space="preserve">is compatible with the human rights and freedoms recognised or declared in the international instruments listed in section 3 of the </w:t>
      </w:r>
      <w:r w:rsidRPr="00CA2B84">
        <w:rPr>
          <w:i/>
        </w:rPr>
        <w:t>Human Rights (Parliamentary Scrutiny) Act 2011</w:t>
      </w:r>
      <w:r w:rsidRPr="00CA2B84">
        <w:t>.</w:t>
      </w:r>
    </w:p>
    <w:p w:rsidR="00730B62" w:rsidRPr="00CA2B84" w:rsidRDefault="000F3010" w:rsidP="00993E5F">
      <w:pPr>
        <w:spacing w:before="120" w:after="120"/>
        <w:jc w:val="both"/>
        <w:outlineLvl w:val="0"/>
        <w:rPr>
          <w:b/>
        </w:rPr>
      </w:pPr>
      <w:r>
        <w:rPr>
          <w:b/>
        </w:rPr>
        <w:t>Overview of the</w:t>
      </w:r>
      <w:r w:rsidR="009F63B4">
        <w:rPr>
          <w:b/>
        </w:rPr>
        <w:t xml:space="preserve"> Amendment</w:t>
      </w:r>
    </w:p>
    <w:p w:rsidR="00730B62" w:rsidRPr="00CA2B84" w:rsidRDefault="007B53C6" w:rsidP="00730B62">
      <w:r>
        <w:rPr>
          <w:i/>
          <w:iCs/>
        </w:rPr>
        <w:t>Woomera Prohibited Area Rule 2014 Determination of Exclusion Periods for Amber Zone 1 and Amber</w:t>
      </w:r>
      <w:r w:rsidR="00AC3449">
        <w:rPr>
          <w:i/>
          <w:iCs/>
        </w:rPr>
        <w:t xml:space="preserve"> Zone 2 for Financial Year 20</w:t>
      </w:r>
      <w:r w:rsidR="00160B54">
        <w:rPr>
          <w:i/>
          <w:iCs/>
        </w:rPr>
        <w:t>2</w:t>
      </w:r>
      <w:r w:rsidR="004534F8">
        <w:rPr>
          <w:i/>
          <w:iCs/>
        </w:rPr>
        <w:t>1</w:t>
      </w:r>
      <w:r w:rsidR="003F74F1">
        <w:rPr>
          <w:i/>
          <w:iCs/>
        </w:rPr>
        <w:t>-202</w:t>
      </w:r>
      <w:r w:rsidR="004534F8">
        <w:rPr>
          <w:i/>
          <w:iCs/>
        </w:rPr>
        <w:t>2</w:t>
      </w:r>
      <w:r>
        <w:rPr>
          <w:i/>
          <w:iCs/>
        </w:rPr>
        <w:t xml:space="preserve"> </w:t>
      </w:r>
      <w:r w:rsidR="0049568C">
        <w:t xml:space="preserve">made </w:t>
      </w:r>
      <w:r w:rsidR="004534F8">
        <w:t xml:space="preserve">on 4 March 2021 </w:t>
      </w:r>
      <w:r w:rsidR="0049568C">
        <w:t xml:space="preserve">under subsection </w:t>
      </w:r>
      <w:r w:rsidR="008047B6">
        <w:t>8</w:t>
      </w:r>
      <w:r w:rsidR="0049568C">
        <w:t>(1) of the</w:t>
      </w:r>
      <w:r w:rsidR="00730B62">
        <w:t xml:space="preserve"> </w:t>
      </w:r>
      <w:r w:rsidR="00730B62" w:rsidRPr="0061614E">
        <w:rPr>
          <w:i/>
        </w:rPr>
        <w:t>Woomera Prohibited Area Rule 2014</w:t>
      </w:r>
      <w:r w:rsidR="009F63B4">
        <w:rPr>
          <w:i/>
        </w:rPr>
        <w:t xml:space="preserve"> </w:t>
      </w:r>
      <w:r w:rsidR="00C908D1">
        <w:t>exercise</w:t>
      </w:r>
      <w:r w:rsidR="005D0B13">
        <w:t>d</w:t>
      </w:r>
      <w:r w:rsidR="00C908D1">
        <w:t xml:space="preserve"> the power of the Minister for Defence by </w:t>
      </w:r>
      <w:r w:rsidR="00241F05">
        <w:t>the</w:t>
      </w:r>
      <w:r w:rsidR="00C908D1">
        <w:t xml:space="preserve"> delegate to determine the exclusion periods </w:t>
      </w:r>
      <w:r w:rsidR="008A3D91">
        <w:t>for</w:t>
      </w:r>
      <w:r w:rsidR="00CC1C37">
        <w:t xml:space="preserve"> A</w:t>
      </w:r>
      <w:r w:rsidR="00C766A0">
        <w:t xml:space="preserve">mber </w:t>
      </w:r>
      <w:r w:rsidR="00CC1C37">
        <w:t>Z</w:t>
      </w:r>
      <w:r w:rsidR="008A3D91">
        <w:t xml:space="preserve">one 1 and </w:t>
      </w:r>
      <w:r w:rsidR="00CC1C37">
        <w:t>Amber Z</w:t>
      </w:r>
      <w:r w:rsidR="008A3D91">
        <w:t>one 2</w:t>
      </w:r>
      <w:r w:rsidR="00C766A0">
        <w:t xml:space="preserve"> </w:t>
      </w:r>
      <w:r w:rsidR="00C908D1">
        <w:t>in</w:t>
      </w:r>
      <w:r w:rsidR="008A3D91">
        <w:t xml:space="preserve"> the</w:t>
      </w:r>
      <w:r w:rsidR="00C908D1">
        <w:t xml:space="preserve"> Woomera Prohibited Area for the financial year 20</w:t>
      </w:r>
      <w:r w:rsidR="00160B54">
        <w:t>2</w:t>
      </w:r>
      <w:r w:rsidR="004534F8">
        <w:t>1</w:t>
      </w:r>
      <w:r w:rsidR="003F74F1">
        <w:t>-202</w:t>
      </w:r>
      <w:r w:rsidR="004534F8">
        <w:t>2</w:t>
      </w:r>
      <w:r w:rsidR="00C908D1">
        <w:t>.</w:t>
      </w:r>
      <w:r w:rsidR="00730B62">
        <w:t xml:space="preserve"> </w:t>
      </w:r>
    </w:p>
    <w:p w:rsidR="00730B62" w:rsidRPr="00CA2B84" w:rsidRDefault="00730B62" w:rsidP="00730B62"/>
    <w:p w:rsidR="00730B62" w:rsidRDefault="00D66209" w:rsidP="00730B62">
      <w:r>
        <w:t>This</w:t>
      </w:r>
      <w:r w:rsidR="0061614E">
        <w:t xml:space="preserve"> </w:t>
      </w:r>
      <w:r w:rsidR="005D0B13">
        <w:t>Determination set</w:t>
      </w:r>
      <w:r w:rsidR="006F6B6E">
        <w:t xml:space="preserve"> out the dates in which holders of a permit</w:t>
      </w:r>
      <w:r w:rsidR="001F64B3">
        <w:t xml:space="preserve"> issued</w:t>
      </w:r>
      <w:r w:rsidR="006F6B6E">
        <w:t xml:space="preserve"> under </w:t>
      </w:r>
      <w:r w:rsidR="00C766A0">
        <w:t xml:space="preserve">the </w:t>
      </w:r>
      <w:r w:rsidR="00C766A0" w:rsidRPr="008A3D91">
        <w:rPr>
          <w:i/>
        </w:rPr>
        <w:t>Woomera Prohibited Area Rule 2014</w:t>
      </w:r>
      <w:r w:rsidR="00C766A0">
        <w:t xml:space="preserve"> are excluded from entering </w:t>
      </w:r>
      <w:r w:rsidR="00CC1C37">
        <w:t>A</w:t>
      </w:r>
      <w:r w:rsidR="00C766A0">
        <w:t xml:space="preserve">mber </w:t>
      </w:r>
      <w:r w:rsidR="00CC1C37">
        <w:t xml:space="preserve">Zone 1 and Amber Zone 2 </w:t>
      </w:r>
      <w:r w:rsidR="009B7B5A">
        <w:t>during financial year 20</w:t>
      </w:r>
      <w:r w:rsidR="00B336D6">
        <w:t>2</w:t>
      </w:r>
      <w:r w:rsidR="004534F8">
        <w:t>1</w:t>
      </w:r>
      <w:r w:rsidR="003F74F1">
        <w:t>-202</w:t>
      </w:r>
      <w:r w:rsidR="004534F8">
        <w:t>2</w:t>
      </w:r>
      <w:r w:rsidR="00946AB0">
        <w:t>.</w:t>
      </w:r>
    </w:p>
    <w:p w:rsidR="009B7B5A" w:rsidRDefault="009B7B5A" w:rsidP="009B7B5A"/>
    <w:p w:rsidR="007B53C6" w:rsidRDefault="007B53C6" w:rsidP="007B53C6">
      <w:pPr>
        <w:rPr>
          <w:iCs/>
        </w:rPr>
      </w:pPr>
      <w:r>
        <w:rPr>
          <w:i/>
          <w:iCs/>
        </w:rPr>
        <w:t>Woomera Prohibited Area Rule 2014 Determination of Exclusion Periods for Amber Zone 1 and Ambe</w:t>
      </w:r>
      <w:r w:rsidR="003F74F1">
        <w:rPr>
          <w:i/>
          <w:iCs/>
        </w:rPr>
        <w:t>r Zone 2 for Financial Year 20</w:t>
      </w:r>
      <w:r w:rsidR="00160B54">
        <w:rPr>
          <w:i/>
          <w:iCs/>
        </w:rPr>
        <w:t>2</w:t>
      </w:r>
      <w:r w:rsidR="004534F8">
        <w:rPr>
          <w:i/>
          <w:iCs/>
        </w:rPr>
        <w:t>1</w:t>
      </w:r>
      <w:r w:rsidR="003F74F1">
        <w:rPr>
          <w:i/>
          <w:iCs/>
        </w:rPr>
        <w:t>-202</w:t>
      </w:r>
      <w:r w:rsidR="004534F8">
        <w:rPr>
          <w:i/>
          <w:iCs/>
        </w:rPr>
        <w:t>2</w:t>
      </w:r>
      <w:r>
        <w:rPr>
          <w:i/>
          <w:iCs/>
        </w:rPr>
        <w:t xml:space="preserve"> Amendment No.</w:t>
      </w:r>
      <w:r w:rsidR="008964FD">
        <w:rPr>
          <w:i/>
          <w:iCs/>
        </w:rPr>
        <w:t>2</w:t>
      </w:r>
      <w:r>
        <w:rPr>
          <w:iCs/>
        </w:rPr>
        <w:t xml:space="preserve"> </w:t>
      </w:r>
      <w:r w:rsidR="00A100D3">
        <w:rPr>
          <w:iCs/>
        </w:rPr>
        <w:t>amend</w:t>
      </w:r>
      <w:r w:rsidR="00560853">
        <w:rPr>
          <w:iCs/>
        </w:rPr>
        <w:t>s</w:t>
      </w:r>
      <w:r>
        <w:rPr>
          <w:iCs/>
        </w:rPr>
        <w:t xml:space="preserve"> the Determination by </w:t>
      </w:r>
      <w:r w:rsidR="004534F8">
        <w:rPr>
          <w:iCs/>
        </w:rPr>
        <w:t>omitting</w:t>
      </w:r>
      <w:r w:rsidR="007F07FB">
        <w:rPr>
          <w:iCs/>
        </w:rPr>
        <w:t xml:space="preserve"> </w:t>
      </w:r>
      <w:r w:rsidR="00160B54">
        <w:rPr>
          <w:iCs/>
        </w:rPr>
        <w:t>certain</w:t>
      </w:r>
      <w:r>
        <w:rPr>
          <w:iCs/>
        </w:rPr>
        <w:t xml:space="preserve"> exclusion periods</w:t>
      </w:r>
      <w:r w:rsidR="00EB1872">
        <w:rPr>
          <w:iCs/>
        </w:rPr>
        <w:t xml:space="preserve"> for </w:t>
      </w:r>
      <w:r w:rsidR="004534F8">
        <w:rPr>
          <w:iCs/>
        </w:rPr>
        <w:t xml:space="preserve">Amber Zone 1 and </w:t>
      </w:r>
      <w:r w:rsidR="00EB1872">
        <w:rPr>
          <w:iCs/>
        </w:rPr>
        <w:t>Amber Zone 2</w:t>
      </w:r>
      <w:r>
        <w:rPr>
          <w:iCs/>
        </w:rPr>
        <w:t xml:space="preserve"> </w:t>
      </w:r>
      <w:r w:rsidR="008506BF">
        <w:rPr>
          <w:iCs/>
        </w:rPr>
        <w:t xml:space="preserve">as </w:t>
      </w:r>
      <w:r>
        <w:rPr>
          <w:iCs/>
        </w:rPr>
        <w:t xml:space="preserve">set out in the </w:t>
      </w:r>
      <w:r w:rsidR="00E633D7">
        <w:rPr>
          <w:iCs/>
        </w:rPr>
        <w:t>Schedule to the Determination</w:t>
      </w:r>
      <w:r>
        <w:rPr>
          <w:iCs/>
        </w:rPr>
        <w:t>.</w:t>
      </w:r>
    </w:p>
    <w:p w:rsidR="009F12EB" w:rsidRDefault="009F12EB" w:rsidP="00993E5F">
      <w:pPr>
        <w:spacing w:before="120" w:after="120"/>
        <w:outlineLvl w:val="0"/>
        <w:rPr>
          <w:b/>
        </w:rPr>
      </w:pPr>
    </w:p>
    <w:p w:rsidR="00730B62" w:rsidRPr="00CA2B84" w:rsidRDefault="00730B62" w:rsidP="00993E5F">
      <w:pPr>
        <w:spacing w:before="120" w:after="120"/>
        <w:outlineLvl w:val="0"/>
        <w:rPr>
          <w:b/>
        </w:rPr>
      </w:pPr>
      <w:r w:rsidRPr="00CA2B84">
        <w:rPr>
          <w:b/>
        </w:rPr>
        <w:t>Human rights implications</w:t>
      </w:r>
    </w:p>
    <w:p w:rsidR="009F12EB" w:rsidRDefault="009F12EB" w:rsidP="009F12EB">
      <w:pPr>
        <w:spacing w:before="120" w:after="120"/>
      </w:pPr>
      <w:r>
        <w:t>This instrument engages the following human rights:</w:t>
      </w:r>
    </w:p>
    <w:p w:rsidR="009F12EB" w:rsidRDefault="009F12EB" w:rsidP="009F12EB">
      <w:pPr>
        <w:numPr>
          <w:ilvl w:val="0"/>
          <w:numId w:val="4"/>
        </w:numPr>
        <w:rPr>
          <w:b/>
        </w:rPr>
      </w:pPr>
      <w:r>
        <w:rPr>
          <w:b/>
        </w:rPr>
        <w:t>Freedom of Movement – Article 12 of the International Covenant on Civil and Political Rights (ICCPR)</w:t>
      </w:r>
    </w:p>
    <w:p w:rsidR="009F12EB" w:rsidRDefault="009F12EB" w:rsidP="009F12EB">
      <w:pPr>
        <w:numPr>
          <w:ilvl w:val="0"/>
          <w:numId w:val="4"/>
        </w:numPr>
        <w:outlineLvl w:val="0"/>
        <w:rPr>
          <w:b/>
        </w:rPr>
      </w:pPr>
      <w:r>
        <w:rPr>
          <w:b/>
        </w:rPr>
        <w:t>T</w:t>
      </w:r>
      <w:r w:rsidRPr="00B45002">
        <w:rPr>
          <w:b/>
        </w:rPr>
        <w:t xml:space="preserve">he right to work and the right to just and favourable working conditions – the </w:t>
      </w:r>
      <w:hyperlink r:id="rId8" w:history="1">
        <w:r w:rsidRPr="00B45002">
          <w:rPr>
            <w:rStyle w:val="Hyperlink"/>
            <w:b/>
            <w:color w:val="auto"/>
          </w:rPr>
          <w:t>International Covenant on Economic, Social and Cultural Rights (ICESCR)</w:t>
        </w:r>
      </w:hyperlink>
    </w:p>
    <w:p w:rsidR="009F12EB" w:rsidRDefault="009F12EB" w:rsidP="009F12EB">
      <w:pPr>
        <w:numPr>
          <w:ilvl w:val="0"/>
          <w:numId w:val="4"/>
        </w:numPr>
        <w:rPr>
          <w:b/>
        </w:rPr>
      </w:pPr>
      <w:r>
        <w:rPr>
          <w:b/>
        </w:rPr>
        <w:t xml:space="preserve">The right to enjoy and benefit from culture – ICCPR and the right to take part in cultural life – ICESCR </w:t>
      </w:r>
    </w:p>
    <w:p w:rsidR="00E5787A" w:rsidRDefault="00E5787A" w:rsidP="00E5787A">
      <w:pPr>
        <w:spacing w:before="120" w:after="120"/>
        <w:rPr>
          <w:i/>
          <w:iCs/>
        </w:rPr>
      </w:pPr>
      <w:r>
        <w:t xml:space="preserve">The Statement of Compatibility with Human Rights for the </w:t>
      </w:r>
      <w:r>
        <w:rPr>
          <w:i/>
          <w:iCs/>
        </w:rPr>
        <w:t>Woomera Prohibited Area Rule 2014 Determination of Exclusion Periods for Amber Zone 1 and Amber Zone 2 for Financial Year 202</w:t>
      </w:r>
      <w:r w:rsidR="004534F8">
        <w:rPr>
          <w:i/>
          <w:iCs/>
        </w:rPr>
        <w:t>1</w:t>
      </w:r>
      <w:r>
        <w:rPr>
          <w:i/>
          <w:iCs/>
        </w:rPr>
        <w:t xml:space="preserve"> - 202</w:t>
      </w:r>
      <w:r w:rsidR="004534F8">
        <w:rPr>
          <w:i/>
          <w:iCs/>
        </w:rPr>
        <w:t>2</w:t>
      </w:r>
      <w:r>
        <w:rPr>
          <w:i/>
          <w:iCs/>
        </w:rPr>
        <w:t xml:space="preserve"> </w:t>
      </w:r>
      <w:r>
        <w:rPr>
          <w:iCs/>
        </w:rPr>
        <w:t xml:space="preserve">described how that Legislative Instrument would likely have limited the above human rights. By amending that Legislative Instrument </w:t>
      </w:r>
      <w:r>
        <w:rPr>
          <w:iCs/>
        </w:rPr>
        <w:lastRenderedPageBreak/>
        <w:t xml:space="preserve">to </w:t>
      </w:r>
      <w:r w:rsidR="004534F8">
        <w:rPr>
          <w:iCs/>
        </w:rPr>
        <w:t>omit</w:t>
      </w:r>
      <w:r>
        <w:rPr>
          <w:iCs/>
        </w:rPr>
        <w:t xml:space="preserve"> the identified exclusion periods for </w:t>
      </w:r>
      <w:r w:rsidR="004534F8">
        <w:rPr>
          <w:iCs/>
        </w:rPr>
        <w:t xml:space="preserve">Amber Zone 1 and </w:t>
      </w:r>
      <w:r>
        <w:rPr>
          <w:iCs/>
        </w:rPr>
        <w:t>Amber Zone 2, this Legislative Instrument positively affects those rights by reducing the times when those limitations will apply.</w:t>
      </w:r>
    </w:p>
    <w:p w:rsidR="00993E5F" w:rsidRDefault="00E5787A" w:rsidP="00730B62">
      <w:pPr>
        <w:spacing w:before="120" w:after="120"/>
        <w:rPr>
          <w:iCs/>
        </w:rPr>
      </w:pPr>
      <w:r>
        <w:t>In particular, t</w:t>
      </w:r>
      <w:r w:rsidR="00E633D7">
        <w:t>his amendment</w:t>
      </w:r>
      <w:r w:rsidR="00EA0ACD" w:rsidRPr="00D66209">
        <w:rPr>
          <w:iCs/>
        </w:rPr>
        <w:t xml:space="preserve"> </w:t>
      </w:r>
      <w:r w:rsidR="00A100D3" w:rsidRPr="00D66209">
        <w:rPr>
          <w:iCs/>
        </w:rPr>
        <w:t>is</w:t>
      </w:r>
      <w:r w:rsidR="00EA0ACD" w:rsidRPr="00D66209">
        <w:rPr>
          <w:iCs/>
        </w:rPr>
        <w:t xml:space="preserve"> considered to have a beneficial effect as it removes restrictions on access to the Woomera Prohibited Area.</w:t>
      </w:r>
      <w:r w:rsidR="00A100D3">
        <w:rPr>
          <w:iCs/>
        </w:rPr>
        <w:t xml:space="preserve">  Those people with</w:t>
      </w:r>
      <w:r w:rsidR="00EB1872">
        <w:rPr>
          <w:iCs/>
        </w:rPr>
        <w:t xml:space="preserve"> a permit to access </w:t>
      </w:r>
      <w:r w:rsidR="004534F8">
        <w:rPr>
          <w:iCs/>
        </w:rPr>
        <w:t xml:space="preserve">Amber Zone 1 and </w:t>
      </w:r>
      <w:r w:rsidR="00EB1872">
        <w:rPr>
          <w:iCs/>
        </w:rPr>
        <w:t>Amber Zone</w:t>
      </w:r>
      <w:r w:rsidR="00E633D7">
        <w:rPr>
          <w:iCs/>
        </w:rPr>
        <w:t xml:space="preserve"> </w:t>
      </w:r>
      <w:r w:rsidR="00EB1872">
        <w:rPr>
          <w:iCs/>
        </w:rPr>
        <w:t>2</w:t>
      </w:r>
      <w:r w:rsidR="00A100D3">
        <w:rPr>
          <w:iCs/>
        </w:rPr>
        <w:t xml:space="preserve"> within the Woomera Prohibited Area will no longer be subject to exclusions and restrictions on their access during the periods </w:t>
      </w:r>
      <w:r w:rsidR="00E633D7">
        <w:rPr>
          <w:iCs/>
        </w:rPr>
        <w:t>specified in th</w:t>
      </w:r>
      <w:r w:rsidR="006C6E6D">
        <w:rPr>
          <w:iCs/>
        </w:rPr>
        <w:t xml:space="preserve">is amendment to the </w:t>
      </w:r>
      <w:r w:rsidR="00E633D7">
        <w:rPr>
          <w:iCs/>
        </w:rPr>
        <w:t>Determination</w:t>
      </w:r>
      <w:r w:rsidR="00A100D3">
        <w:rPr>
          <w:iCs/>
        </w:rPr>
        <w:t>.</w:t>
      </w:r>
    </w:p>
    <w:p w:rsidR="00730B62" w:rsidRPr="00CA2B84" w:rsidRDefault="00730B62" w:rsidP="00993E5F">
      <w:pPr>
        <w:spacing w:before="120" w:after="120"/>
        <w:outlineLvl w:val="0"/>
        <w:rPr>
          <w:b/>
        </w:rPr>
      </w:pPr>
      <w:r w:rsidRPr="00CA2B84">
        <w:rPr>
          <w:b/>
        </w:rPr>
        <w:t>Conclusion</w:t>
      </w:r>
    </w:p>
    <w:p w:rsidR="00E5787A" w:rsidRDefault="00E5787A" w:rsidP="00E5787A">
      <w:pPr>
        <w:spacing w:before="120" w:after="120"/>
        <w:rPr>
          <w:b/>
          <w:bCs/>
          <w:color w:val="0070C0"/>
        </w:rPr>
      </w:pPr>
      <w:r>
        <w:t xml:space="preserve">This Legislative Instrument is compatible with human rights as it promotes the protection of human rights by amending a Legislative Instrument to reduce limitations on human rights.  </w:t>
      </w:r>
    </w:p>
    <w:p w:rsidR="00C63A54" w:rsidRDefault="008964FD" w:rsidP="007269F5">
      <w:pPr>
        <w:tabs>
          <w:tab w:val="left" w:pos="3119"/>
        </w:tabs>
        <w:spacing w:before="600" w:line="300" w:lineRule="atLeast"/>
      </w:pPr>
      <w:r>
        <w:rPr>
          <w:b/>
        </w:rPr>
        <w:t>Taylor Seawright</w:t>
      </w:r>
      <w:r w:rsidR="0060664F">
        <w:rPr>
          <w:b/>
        </w:rPr>
        <w:t>,</w:t>
      </w:r>
      <w:r>
        <w:rPr>
          <w:b/>
        </w:rPr>
        <w:t xml:space="preserve"> Acting</w:t>
      </w:r>
      <w:r w:rsidR="0060664F" w:rsidRPr="0060664F">
        <w:rPr>
          <w:b/>
        </w:rPr>
        <w:t xml:space="preserve"> Director Woomera Prohibited Area Coordination Office</w:t>
      </w:r>
    </w:p>
    <w:sectPr w:rsidR="00C63A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F8" w:rsidRDefault="005C4CF8">
      <w:r>
        <w:separator/>
      </w:r>
    </w:p>
  </w:endnote>
  <w:endnote w:type="continuationSeparator" w:id="0">
    <w:p w:rsidR="005C4CF8" w:rsidRDefault="005C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F8" w:rsidRDefault="005C4CF8">
      <w:r>
        <w:separator/>
      </w:r>
    </w:p>
  </w:footnote>
  <w:footnote w:type="continuationSeparator" w:id="0">
    <w:p w:rsidR="005C4CF8" w:rsidRDefault="005C4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6DD"/>
    <w:multiLevelType w:val="hybridMultilevel"/>
    <w:tmpl w:val="D84C569C"/>
    <w:lvl w:ilvl="0" w:tplc="034A796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B177CE"/>
    <w:multiLevelType w:val="hybridMultilevel"/>
    <w:tmpl w:val="DA3A83BA"/>
    <w:lvl w:ilvl="0" w:tplc="BB5A1CD6">
      <w:start w:val="1"/>
      <w:numFmt w:val="bullet"/>
      <w:lvlText w:val=""/>
      <w:lvlJc w:val="left"/>
      <w:pPr>
        <w:tabs>
          <w:tab w:val="num" w:pos="740"/>
        </w:tabs>
        <w:ind w:left="740" w:hanging="34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E92231A"/>
    <w:multiLevelType w:val="hybridMultilevel"/>
    <w:tmpl w:val="BDD2DA42"/>
    <w:lvl w:ilvl="0" w:tplc="499C47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8506D89"/>
    <w:multiLevelType w:val="hybridMultilevel"/>
    <w:tmpl w:val="FD7E6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4"/>
    <w:rsid w:val="0000041B"/>
    <w:rsid w:val="00004BCB"/>
    <w:rsid w:val="000056F1"/>
    <w:rsid w:val="00031EB7"/>
    <w:rsid w:val="000402B5"/>
    <w:rsid w:val="000538CC"/>
    <w:rsid w:val="0006176D"/>
    <w:rsid w:val="00082D1B"/>
    <w:rsid w:val="000B08C3"/>
    <w:rsid w:val="000B18E1"/>
    <w:rsid w:val="000C6E1A"/>
    <w:rsid w:val="000D50A6"/>
    <w:rsid w:val="000E1F13"/>
    <w:rsid w:val="000E4EC8"/>
    <w:rsid w:val="000F09B2"/>
    <w:rsid w:val="000F3010"/>
    <w:rsid w:val="00112371"/>
    <w:rsid w:val="00120695"/>
    <w:rsid w:val="00126001"/>
    <w:rsid w:val="00137686"/>
    <w:rsid w:val="0014506C"/>
    <w:rsid w:val="00160B54"/>
    <w:rsid w:val="0016183D"/>
    <w:rsid w:val="0016343D"/>
    <w:rsid w:val="00181498"/>
    <w:rsid w:val="001936AB"/>
    <w:rsid w:val="001B035A"/>
    <w:rsid w:val="001D5187"/>
    <w:rsid w:val="001F08F9"/>
    <w:rsid w:val="001F64B3"/>
    <w:rsid w:val="0020468F"/>
    <w:rsid w:val="002417CA"/>
    <w:rsid w:val="00241F05"/>
    <w:rsid w:val="00247AB6"/>
    <w:rsid w:val="00272447"/>
    <w:rsid w:val="002742E8"/>
    <w:rsid w:val="002837CE"/>
    <w:rsid w:val="002A03CD"/>
    <w:rsid w:val="002B6572"/>
    <w:rsid w:val="002E4965"/>
    <w:rsid w:val="002F57FF"/>
    <w:rsid w:val="0030085F"/>
    <w:rsid w:val="00313ECB"/>
    <w:rsid w:val="003152CB"/>
    <w:rsid w:val="00325E93"/>
    <w:rsid w:val="003314E0"/>
    <w:rsid w:val="00346184"/>
    <w:rsid w:val="00376335"/>
    <w:rsid w:val="0038336B"/>
    <w:rsid w:val="003B4DDC"/>
    <w:rsid w:val="003D3D15"/>
    <w:rsid w:val="003E0395"/>
    <w:rsid w:val="003E40D4"/>
    <w:rsid w:val="003F04DB"/>
    <w:rsid w:val="003F74F1"/>
    <w:rsid w:val="00424EE0"/>
    <w:rsid w:val="00431E58"/>
    <w:rsid w:val="004447C0"/>
    <w:rsid w:val="004534F8"/>
    <w:rsid w:val="0048780F"/>
    <w:rsid w:val="00492B1A"/>
    <w:rsid w:val="0049568C"/>
    <w:rsid w:val="004A2A17"/>
    <w:rsid w:val="004B3973"/>
    <w:rsid w:val="004D100E"/>
    <w:rsid w:val="004D3E2F"/>
    <w:rsid w:val="004D3FC8"/>
    <w:rsid w:val="004E6273"/>
    <w:rsid w:val="00506F7D"/>
    <w:rsid w:val="0053307C"/>
    <w:rsid w:val="00546192"/>
    <w:rsid w:val="00547B01"/>
    <w:rsid w:val="00560853"/>
    <w:rsid w:val="00572048"/>
    <w:rsid w:val="00586E55"/>
    <w:rsid w:val="005A0536"/>
    <w:rsid w:val="005A06A8"/>
    <w:rsid w:val="005A079D"/>
    <w:rsid w:val="005A6277"/>
    <w:rsid w:val="005B383F"/>
    <w:rsid w:val="005C40BA"/>
    <w:rsid w:val="005C4CF8"/>
    <w:rsid w:val="005D0B13"/>
    <w:rsid w:val="0060664F"/>
    <w:rsid w:val="0061095E"/>
    <w:rsid w:val="0061614E"/>
    <w:rsid w:val="006319FB"/>
    <w:rsid w:val="006333D8"/>
    <w:rsid w:val="00650696"/>
    <w:rsid w:val="006527F9"/>
    <w:rsid w:val="0065488E"/>
    <w:rsid w:val="006625B8"/>
    <w:rsid w:val="006749F0"/>
    <w:rsid w:val="00684F33"/>
    <w:rsid w:val="006A0D79"/>
    <w:rsid w:val="006C5851"/>
    <w:rsid w:val="006C6E6D"/>
    <w:rsid w:val="006C6EF6"/>
    <w:rsid w:val="006D4196"/>
    <w:rsid w:val="006E16C4"/>
    <w:rsid w:val="006F6B6E"/>
    <w:rsid w:val="00704904"/>
    <w:rsid w:val="00714523"/>
    <w:rsid w:val="007269F5"/>
    <w:rsid w:val="00730B62"/>
    <w:rsid w:val="00736060"/>
    <w:rsid w:val="00750B46"/>
    <w:rsid w:val="00785CA5"/>
    <w:rsid w:val="00796DBA"/>
    <w:rsid w:val="007A6EE3"/>
    <w:rsid w:val="007B53C6"/>
    <w:rsid w:val="007B5E05"/>
    <w:rsid w:val="007C4C3D"/>
    <w:rsid w:val="007F07FB"/>
    <w:rsid w:val="00801BAE"/>
    <w:rsid w:val="008047B6"/>
    <w:rsid w:val="00807EFF"/>
    <w:rsid w:val="008506BF"/>
    <w:rsid w:val="008549F3"/>
    <w:rsid w:val="0086374D"/>
    <w:rsid w:val="00871CC6"/>
    <w:rsid w:val="00885C17"/>
    <w:rsid w:val="00893DD3"/>
    <w:rsid w:val="008964FD"/>
    <w:rsid w:val="008A3D91"/>
    <w:rsid w:val="008A406C"/>
    <w:rsid w:val="008A7F29"/>
    <w:rsid w:val="008B0063"/>
    <w:rsid w:val="008B234E"/>
    <w:rsid w:val="008C16D5"/>
    <w:rsid w:val="008C38D0"/>
    <w:rsid w:val="008C755C"/>
    <w:rsid w:val="008D0877"/>
    <w:rsid w:val="008E5AD3"/>
    <w:rsid w:val="008E78A1"/>
    <w:rsid w:val="0090412D"/>
    <w:rsid w:val="00915DBB"/>
    <w:rsid w:val="00946AB0"/>
    <w:rsid w:val="0096043C"/>
    <w:rsid w:val="009614FB"/>
    <w:rsid w:val="00976504"/>
    <w:rsid w:val="00993E5F"/>
    <w:rsid w:val="009A6EA0"/>
    <w:rsid w:val="009A7C7D"/>
    <w:rsid w:val="009B664D"/>
    <w:rsid w:val="009B7B5A"/>
    <w:rsid w:val="009D6219"/>
    <w:rsid w:val="009E4844"/>
    <w:rsid w:val="009F12EB"/>
    <w:rsid w:val="009F63B4"/>
    <w:rsid w:val="00A061EC"/>
    <w:rsid w:val="00A100D3"/>
    <w:rsid w:val="00A10C46"/>
    <w:rsid w:val="00A1672C"/>
    <w:rsid w:val="00A23D0C"/>
    <w:rsid w:val="00A40519"/>
    <w:rsid w:val="00A861A4"/>
    <w:rsid w:val="00AB1227"/>
    <w:rsid w:val="00AB351C"/>
    <w:rsid w:val="00AC3449"/>
    <w:rsid w:val="00AF2CDD"/>
    <w:rsid w:val="00B336D6"/>
    <w:rsid w:val="00B45002"/>
    <w:rsid w:val="00B63F81"/>
    <w:rsid w:val="00B74C92"/>
    <w:rsid w:val="00BA680D"/>
    <w:rsid w:val="00BB36AA"/>
    <w:rsid w:val="00BE2ED2"/>
    <w:rsid w:val="00BF6808"/>
    <w:rsid w:val="00C12271"/>
    <w:rsid w:val="00C47C76"/>
    <w:rsid w:val="00C63A54"/>
    <w:rsid w:val="00C766A0"/>
    <w:rsid w:val="00C87321"/>
    <w:rsid w:val="00C908D1"/>
    <w:rsid w:val="00C91700"/>
    <w:rsid w:val="00C923ED"/>
    <w:rsid w:val="00CA6207"/>
    <w:rsid w:val="00CB2632"/>
    <w:rsid w:val="00CB2D74"/>
    <w:rsid w:val="00CC1C37"/>
    <w:rsid w:val="00CC4DA5"/>
    <w:rsid w:val="00CC6FBA"/>
    <w:rsid w:val="00D0411B"/>
    <w:rsid w:val="00D1128C"/>
    <w:rsid w:val="00D142AF"/>
    <w:rsid w:val="00D2335D"/>
    <w:rsid w:val="00D6407B"/>
    <w:rsid w:val="00D66209"/>
    <w:rsid w:val="00D746F9"/>
    <w:rsid w:val="00D77E10"/>
    <w:rsid w:val="00D80631"/>
    <w:rsid w:val="00DB5D2E"/>
    <w:rsid w:val="00DD2EEA"/>
    <w:rsid w:val="00DE5791"/>
    <w:rsid w:val="00DF2D45"/>
    <w:rsid w:val="00DF60F2"/>
    <w:rsid w:val="00E5787A"/>
    <w:rsid w:val="00E633D7"/>
    <w:rsid w:val="00E7534A"/>
    <w:rsid w:val="00E867C6"/>
    <w:rsid w:val="00EA0ACD"/>
    <w:rsid w:val="00EA7D99"/>
    <w:rsid w:val="00EB07D7"/>
    <w:rsid w:val="00EB1872"/>
    <w:rsid w:val="00EC1566"/>
    <w:rsid w:val="00F23C79"/>
    <w:rsid w:val="00F5460E"/>
    <w:rsid w:val="00F6636E"/>
    <w:rsid w:val="00FB6363"/>
    <w:rsid w:val="00FC1DD0"/>
    <w:rsid w:val="00FE435C"/>
    <w:rsid w:val="00FE6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2F77349-4AAE-4538-9B2F-C7118DB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53"/>
    <w:rPr>
      <w:sz w:val="24"/>
      <w:szCs w:val="24"/>
    </w:rPr>
  </w:style>
  <w:style w:type="paragraph" w:styleId="Heading1">
    <w:name w:val="heading 1"/>
    <w:basedOn w:val="Normal"/>
    <w:next w:val="Normal"/>
    <w:link w:val="Heading1Char"/>
    <w:qFormat/>
    <w:rsid w:val="00993E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73"/>
    <w:pPr>
      <w:tabs>
        <w:tab w:val="center" w:pos="4153"/>
        <w:tab w:val="right" w:pos="8306"/>
      </w:tabs>
    </w:pPr>
  </w:style>
  <w:style w:type="paragraph" w:styleId="Footer">
    <w:name w:val="footer"/>
    <w:basedOn w:val="Normal"/>
    <w:rsid w:val="004B3973"/>
    <w:pPr>
      <w:tabs>
        <w:tab w:val="center" w:pos="4153"/>
        <w:tab w:val="right" w:pos="8306"/>
      </w:tabs>
    </w:pPr>
  </w:style>
  <w:style w:type="character" w:styleId="CommentReference">
    <w:name w:val="annotation reference"/>
    <w:semiHidden/>
    <w:rsid w:val="00D0411B"/>
    <w:rPr>
      <w:sz w:val="16"/>
      <w:szCs w:val="16"/>
    </w:rPr>
  </w:style>
  <w:style w:type="paragraph" w:styleId="CommentText">
    <w:name w:val="annotation text"/>
    <w:basedOn w:val="Normal"/>
    <w:semiHidden/>
    <w:rsid w:val="00D0411B"/>
    <w:rPr>
      <w:sz w:val="20"/>
      <w:szCs w:val="20"/>
    </w:rPr>
  </w:style>
  <w:style w:type="paragraph" w:styleId="CommentSubject">
    <w:name w:val="annotation subject"/>
    <w:basedOn w:val="CommentText"/>
    <w:next w:val="CommentText"/>
    <w:semiHidden/>
    <w:rsid w:val="00D0411B"/>
    <w:rPr>
      <w:b/>
      <w:bCs/>
    </w:rPr>
  </w:style>
  <w:style w:type="paragraph" w:styleId="BalloonText">
    <w:name w:val="Balloon Text"/>
    <w:basedOn w:val="Normal"/>
    <w:semiHidden/>
    <w:rsid w:val="00D0411B"/>
    <w:rPr>
      <w:rFonts w:ascii="Tahoma" w:hAnsi="Tahoma" w:cs="Tahoma"/>
      <w:sz w:val="16"/>
      <w:szCs w:val="16"/>
    </w:rPr>
  </w:style>
  <w:style w:type="table" w:styleId="TableGrid">
    <w:name w:val="Table Grid"/>
    <w:basedOn w:val="TableNormal"/>
    <w:rsid w:val="009B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
    <w:name w:val="Schedule title"/>
    <w:basedOn w:val="Normal"/>
    <w:next w:val="Normal"/>
    <w:rsid w:val="009B7B5A"/>
    <w:pPr>
      <w:keepNext/>
      <w:keepLines/>
      <w:spacing w:before="480"/>
      <w:ind w:left="2410" w:hanging="2410"/>
    </w:pPr>
    <w:rPr>
      <w:rFonts w:ascii="Arial" w:hAnsi="Arial"/>
      <w:b/>
      <w:sz w:val="32"/>
    </w:rPr>
  </w:style>
  <w:style w:type="paragraph" w:customStyle="1" w:styleId="Schedulereference">
    <w:name w:val="Schedule reference"/>
    <w:basedOn w:val="Normal"/>
    <w:next w:val="Normal"/>
    <w:rsid w:val="00993E5F"/>
    <w:pPr>
      <w:keepNext/>
      <w:keepLines/>
      <w:spacing w:before="60" w:line="200" w:lineRule="exact"/>
      <w:ind w:left="2410"/>
    </w:pPr>
    <w:rPr>
      <w:rFonts w:ascii="Arial" w:hAnsi="Arial"/>
      <w:sz w:val="18"/>
    </w:rPr>
  </w:style>
  <w:style w:type="character" w:customStyle="1" w:styleId="Heading1Char">
    <w:name w:val="Heading 1 Char"/>
    <w:link w:val="Heading1"/>
    <w:rsid w:val="00993E5F"/>
    <w:rPr>
      <w:rFonts w:ascii="Arial" w:hAnsi="Arial" w:cs="Arial"/>
      <w:b/>
      <w:bCs/>
      <w:kern w:val="32"/>
      <w:sz w:val="32"/>
      <w:szCs w:val="32"/>
      <w:lang w:val="en-AU" w:eastAsia="en-AU" w:bidi="ar-SA"/>
    </w:rPr>
  </w:style>
  <w:style w:type="paragraph" w:styleId="DocumentMap">
    <w:name w:val="Document Map"/>
    <w:basedOn w:val="Normal"/>
    <w:semiHidden/>
    <w:rsid w:val="00993E5F"/>
    <w:pPr>
      <w:shd w:val="clear" w:color="auto" w:fill="000080"/>
    </w:pPr>
    <w:rPr>
      <w:rFonts w:ascii="Tahoma" w:hAnsi="Tahoma" w:cs="Tahoma"/>
      <w:sz w:val="20"/>
      <w:szCs w:val="20"/>
    </w:rPr>
  </w:style>
  <w:style w:type="paragraph" w:customStyle="1" w:styleId="scheduletitle0">
    <w:name w:val="scheduletitle"/>
    <w:basedOn w:val="Normal"/>
    <w:rsid w:val="006319FB"/>
    <w:pPr>
      <w:spacing w:before="100" w:beforeAutospacing="1" w:after="100" w:afterAutospacing="1"/>
    </w:pPr>
  </w:style>
  <w:style w:type="paragraph" w:customStyle="1" w:styleId="schedulereference0">
    <w:name w:val="schedulereference"/>
    <w:basedOn w:val="Normal"/>
    <w:rsid w:val="006319FB"/>
    <w:pPr>
      <w:spacing w:before="100" w:beforeAutospacing="1" w:after="100" w:afterAutospacing="1"/>
    </w:pPr>
  </w:style>
  <w:style w:type="character" w:styleId="Hyperlink">
    <w:name w:val="Hyperlink"/>
    <w:uiPriority w:val="99"/>
    <w:unhideWhenUsed/>
    <w:rsid w:val="009F12EB"/>
    <w:rPr>
      <w:strike w:val="0"/>
      <w:dstrike w:val="0"/>
      <w:color w:val="0072B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134">
      <w:bodyDiv w:val="1"/>
      <w:marLeft w:val="0"/>
      <w:marRight w:val="0"/>
      <w:marTop w:val="0"/>
      <w:marBottom w:val="0"/>
      <w:divBdr>
        <w:top w:val="none" w:sz="0" w:space="0" w:color="auto"/>
        <w:left w:val="none" w:sz="0" w:space="0" w:color="auto"/>
        <w:bottom w:val="none" w:sz="0" w:space="0" w:color="auto"/>
        <w:right w:val="none" w:sz="0" w:space="0" w:color="auto"/>
      </w:divBdr>
    </w:div>
    <w:div w:id="118577143">
      <w:bodyDiv w:val="1"/>
      <w:marLeft w:val="0"/>
      <w:marRight w:val="0"/>
      <w:marTop w:val="0"/>
      <w:marBottom w:val="0"/>
      <w:divBdr>
        <w:top w:val="none" w:sz="0" w:space="0" w:color="auto"/>
        <w:left w:val="none" w:sz="0" w:space="0" w:color="auto"/>
        <w:bottom w:val="none" w:sz="0" w:space="0" w:color="auto"/>
        <w:right w:val="none" w:sz="0" w:space="0" w:color="auto"/>
      </w:divBdr>
    </w:div>
    <w:div w:id="695303548">
      <w:bodyDiv w:val="1"/>
      <w:marLeft w:val="0"/>
      <w:marRight w:val="0"/>
      <w:marTop w:val="0"/>
      <w:marBottom w:val="0"/>
      <w:divBdr>
        <w:top w:val="none" w:sz="0" w:space="0" w:color="auto"/>
        <w:left w:val="none" w:sz="0" w:space="0" w:color="auto"/>
        <w:bottom w:val="none" w:sz="0" w:space="0" w:color="auto"/>
        <w:right w:val="none" w:sz="0" w:space="0" w:color="auto"/>
      </w:divBdr>
      <w:divsChild>
        <w:div w:id="192423416">
          <w:marLeft w:val="0"/>
          <w:marRight w:val="0"/>
          <w:marTop w:val="0"/>
          <w:marBottom w:val="0"/>
          <w:divBdr>
            <w:top w:val="none" w:sz="0" w:space="0" w:color="auto"/>
            <w:left w:val="none" w:sz="0" w:space="0" w:color="auto"/>
            <w:bottom w:val="none" w:sz="0" w:space="0" w:color="auto"/>
            <w:right w:val="none" w:sz="0" w:space="0" w:color="auto"/>
          </w:divBdr>
          <w:divsChild>
            <w:div w:id="1816334584">
              <w:marLeft w:val="0"/>
              <w:marRight w:val="0"/>
              <w:marTop w:val="0"/>
              <w:marBottom w:val="0"/>
              <w:divBdr>
                <w:top w:val="none" w:sz="0" w:space="0" w:color="auto"/>
                <w:left w:val="none" w:sz="0" w:space="0" w:color="auto"/>
                <w:bottom w:val="none" w:sz="0" w:space="0" w:color="auto"/>
                <w:right w:val="none" w:sz="0" w:space="0" w:color="auto"/>
              </w:divBdr>
              <w:divsChild>
                <w:div w:id="1460411754">
                  <w:marLeft w:val="0"/>
                  <w:marRight w:val="0"/>
                  <w:marTop w:val="0"/>
                  <w:marBottom w:val="0"/>
                  <w:divBdr>
                    <w:top w:val="none" w:sz="0" w:space="0" w:color="auto"/>
                    <w:left w:val="none" w:sz="0" w:space="0" w:color="auto"/>
                    <w:bottom w:val="none" w:sz="0" w:space="0" w:color="auto"/>
                    <w:right w:val="none" w:sz="0" w:space="0" w:color="auto"/>
                  </w:divBdr>
                  <w:divsChild>
                    <w:div w:id="985478724">
                      <w:marLeft w:val="0"/>
                      <w:marRight w:val="0"/>
                      <w:marTop w:val="0"/>
                      <w:marBottom w:val="0"/>
                      <w:divBdr>
                        <w:top w:val="none" w:sz="0" w:space="0" w:color="auto"/>
                        <w:left w:val="none" w:sz="0" w:space="0" w:color="auto"/>
                        <w:bottom w:val="none" w:sz="0" w:space="0" w:color="auto"/>
                        <w:right w:val="none" w:sz="0" w:space="0" w:color="auto"/>
                      </w:divBdr>
                      <w:divsChild>
                        <w:div w:id="569122012">
                          <w:marLeft w:val="0"/>
                          <w:marRight w:val="0"/>
                          <w:marTop w:val="0"/>
                          <w:marBottom w:val="0"/>
                          <w:divBdr>
                            <w:top w:val="none" w:sz="0" w:space="0" w:color="auto"/>
                            <w:left w:val="none" w:sz="0" w:space="0" w:color="auto"/>
                            <w:bottom w:val="none" w:sz="0" w:space="0" w:color="auto"/>
                            <w:right w:val="none" w:sz="0" w:space="0" w:color="auto"/>
                          </w:divBdr>
                          <w:divsChild>
                            <w:div w:id="1325281714">
                              <w:marLeft w:val="0"/>
                              <w:marRight w:val="0"/>
                              <w:marTop w:val="0"/>
                              <w:marBottom w:val="0"/>
                              <w:divBdr>
                                <w:top w:val="none" w:sz="0" w:space="0" w:color="auto"/>
                                <w:left w:val="none" w:sz="0" w:space="0" w:color="auto"/>
                                <w:bottom w:val="none" w:sz="0" w:space="0" w:color="auto"/>
                                <w:right w:val="none" w:sz="0" w:space="0" w:color="auto"/>
                              </w:divBdr>
                              <w:divsChild>
                                <w:div w:id="1335188645">
                                  <w:marLeft w:val="0"/>
                                  <w:marRight w:val="0"/>
                                  <w:marTop w:val="0"/>
                                  <w:marBottom w:val="0"/>
                                  <w:divBdr>
                                    <w:top w:val="none" w:sz="0" w:space="0" w:color="auto"/>
                                    <w:left w:val="none" w:sz="0" w:space="0" w:color="auto"/>
                                    <w:bottom w:val="none" w:sz="0" w:space="0" w:color="auto"/>
                                    <w:right w:val="none" w:sz="0" w:space="0" w:color="auto"/>
                                  </w:divBdr>
                                  <w:divsChild>
                                    <w:div w:id="1740591388">
                                      <w:marLeft w:val="0"/>
                                      <w:marRight w:val="0"/>
                                      <w:marTop w:val="0"/>
                                      <w:marBottom w:val="0"/>
                                      <w:divBdr>
                                        <w:top w:val="none" w:sz="0" w:space="0" w:color="auto"/>
                                        <w:left w:val="none" w:sz="0" w:space="0" w:color="auto"/>
                                        <w:bottom w:val="none" w:sz="0" w:space="0" w:color="auto"/>
                                        <w:right w:val="none" w:sz="0" w:space="0" w:color="auto"/>
                                      </w:divBdr>
                                      <w:divsChild>
                                        <w:div w:id="1754819357">
                                          <w:marLeft w:val="0"/>
                                          <w:marRight w:val="0"/>
                                          <w:marTop w:val="0"/>
                                          <w:marBottom w:val="0"/>
                                          <w:divBdr>
                                            <w:top w:val="none" w:sz="0" w:space="0" w:color="auto"/>
                                            <w:left w:val="none" w:sz="0" w:space="0" w:color="auto"/>
                                            <w:bottom w:val="none" w:sz="0" w:space="0" w:color="auto"/>
                                            <w:right w:val="none" w:sz="0" w:space="0" w:color="auto"/>
                                          </w:divBdr>
                                          <w:divsChild>
                                            <w:div w:id="269120486">
                                              <w:marLeft w:val="0"/>
                                              <w:marRight w:val="0"/>
                                              <w:marTop w:val="0"/>
                                              <w:marBottom w:val="0"/>
                                              <w:divBdr>
                                                <w:top w:val="none" w:sz="0" w:space="0" w:color="auto"/>
                                                <w:left w:val="none" w:sz="0" w:space="0" w:color="auto"/>
                                                <w:bottom w:val="none" w:sz="0" w:space="0" w:color="auto"/>
                                                <w:right w:val="none" w:sz="0" w:space="0" w:color="auto"/>
                                              </w:divBdr>
                                              <w:divsChild>
                                                <w:div w:id="369037016">
                                                  <w:marLeft w:val="0"/>
                                                  <w:marRight w:val="0"/>
                                                  <w:marTop w:val="0"/>
                                                  <w:marBottom w:val="0"/>
                                                  <w:divBdr>
                                                    <w:top w:val="none" w:sz="0" w:space="0" w:color="auto"/>
                                                    <w:left w:val="none" w:sz="0" w:space="0" w:color="auto"/>
                                                    <w:bottom w:val="none" w:sz="0" w:space="0" w:color="auto"/>
                                                    <w:right w:val="none" w:sz="0" w:space="0" w:color="auto"/>
                                                  </w:divBdr>
                                                  <w:divsChild>
                                                    <w:div w:id="1685860466">
                                                      <w:marLeft w:val="0"/>
                                                      <w:marRight w:val="0"/>
                                                      <w:marTop w:val="0"/>
                                                      <w:marBottom w:val="0"/>
                                                      <w:divBdr>
                                                        <w:top w:val="none" w:sz="0" w:space="0" w:color="auto"/>
                                                        <w:left w:val="none" w:sz="0" w:space="0" w:color="auto"/>
                                                        <w:bottom w:val="none" w:sz="0" w:space="0" w:color="auto"/>
                                                        <w:right w:val="none" w:sz="0" w:space="0" w:color="auto"/>
                                                      </w:divBdr>
                                                      <w:divsChild>
                                                        <w:div w:id="18715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284563">
      <w:bodyDiv w:val="1"/>
      <w:marLeft w:val="0"/>
      <w:marRight w:val="0"/>
      <w:marTop w:val="0"/>
      <w:marBottom w:val="0"/>
      <w:divBdr>
        <w:top w:val="none" w:sz="0" w:space="0" w:color="auto"/>
        <w:left w:val="none" w:sz="0" w:space="0" w:color="auto"/>
        <w:bottom w:val="none" w:sz="0" w:space="0" w:color="auto"/>
        <w:right w:val="none" w:sz="0" w:space="0" w:color="auto"/>
      </w:divBdr>
    </w:div>
    <w:div w:id="1175612029">
      <w:bodyDiv w:val="1"/>
      <w:marLeft w:val="0"/>
      <w:marRight w:val="0"/>
      <w:marTop w:val="0"/>
      <w:marBottom w:val="0"/>
      <w:divBdr>
        <w:top w:val="none" w:sz="0" w:space="0" w:color="auto"/>
        <w:left w:val="none" w:sz="0" w:space="0" w:color="auto"/>
        <w:bottom w:val="none" w:sz="0" w:space="0" w:color="auto"/>
        <w:right w:val="none" w:sz="0" w:space="0" w:color="auto"/>
      </w:divBdr>
    </w:div>
    <w:div w:id="1457210557">
      <w:bodyDiv w:val="1"/>
      <w:marLeft w:val="0"/>
      <w:marRight w:val="0"/>
      <w:marTop w:val="0"/>
      <w:marBottom w:val="0"/>
      <w:divBdr>
        <w:top w:val="none" w:sz="0" w:space="0" w:color="auto"/>
        <w:left w:val="none" w:sz="0" w:space="0" w:color="auto"/>
        <w:bottom w:val="none" w:sz="0" w:space="0" w:color="auto"/>
        <w:right w:val="none" w:sz="0" w:space="0" w:color="auto"/>
      </w:divBdr>
    </w:div>
    <w:div w:id="1607037692">
      <w:bodyDiv w:val="1"/>
      <w:marLeft w:val="0"/>
      <w:marRight w:val="0"/>
      <w:marTop w:val="0"/>
      <w:marBottom w:val="0"/>
      <w:divBdr>
        <w:top w:val="none" w:sz="0" w:space="0" w:color="auto"/>
        <w:left w:val="none" w:sz="0" w:space="0" w:color="auto"/>
        <w:bottom w:val="none" w:sz="0" w:space="0" w:color="auto"/>
        <w:right w:val="none" w:sz="0" w:space="0" w:color="auto"/>
      </w:divBdr>
    </w:div>
    <w:div w:id="18193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361B-24A4-4AE0-9759-03D2E837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Alberts, Jacqueline MS</dc:creator>
  <cp:keywords/>
  <cp:lastModifiedBy>Alberts, Jacqueline MS</cp:lastModifiedBy>
  <cp:revision>3</cp:revision>
  <cp:lastPrinted>2019-02-06T03:50:00Z</cp:lastPrinted>
  <dcterms:created xsi:type="dcterms:W3CDTF">2022-03-03T02:17:00Z</dcterms:created>
  <dcterms:modified xsi:type="dcterms:W3CDTF">2022-03-03T04:08:00Z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BN43523697</vt:lpwstr>
  </property>
  <property fmtid="{D5CDD505-2E9C-101B-9397-08002B2CF9AE}" pid="3" name="Objective-Title">
    <vt:lpwstr>20220303 - Instrument Explanatory Statement - WPA Exclusion period FY 2021-22 - Amendment no 2</vt:lpwstr>
  </property>
  <property fmtid="{D5CDD505-2E9C-101B-9397-08002B2CF9AE}" pid="4" name="Objective-Comment">
    <vt:lpwstr/>
  </property>
  <property fmtid="{D5CDD505-2E9C-101B-9397-08002B2CF9AE}" pid="5" name="Objective-CreationStamp">
    <vt:filetime>2022-03-03T02:18:27Z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2022-03-03T05:46:41Z</vt:filetime>
  </property>
  <property fmtid="{D5CDD505-2E9C-101B-9397-08002B2CF9AE}" pid="9" name="Objective-ModificationStamp">
    <vt:filetime>2022-03-03T05:46:41Z</vt:filetime>
  </property>
  <property fmtid="{D5CDD505-2E9C-101B-9397-08002B2CF9AE}" pid="10" name="Objective-Owner">
    <vt:lpwstr>Defence</vt:lpwstr>
  </property>
  <property fmtid="{D5CDD505-2E9C-101B-9397-08002B2CF9AE}" pid="11" name="Objective-Path">
    <vt:lpwstr>Objective Global Folder - PROD:Defence Business Units:Strategy, Policy, and Industry Group:SPD : Strategic Policy Division:02 - Core Business:NDR - Woomera Prohibited Area Coordination:06 - Access Management:Exclusion Periods:Exclusion Periods 2011-2023 - Woomera Prohibited Area Coordination (SP&amp;I):Exclusion Period Notifications:2021-22:05. Cancellation of March-April 2022 Exclusion Periods (Amber Zone 1 &amp; 2) - Amendment No 2:Legislative Instrument:</vt:lpwstr>
  </property>
  <property fmtid="{D5CDD505-2E9C-101B-9397-08002B2CF9AE}" pid="12" name="Objective-Parent">
    <vt:lpwstr>Legislative Instrument</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2013/1188471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Procedure</vt:lpwstr>
  </property>
</Properties>
</file>