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E004A" w14:textId="77777777" w:rsidR="00715914" w:rsidRPr="00E721CF" w:rsidRDefault="004D6E62" w:rsidP="00365E41">
      <w:pPr>
        <w:pStyle w:val="LDBodytext"/>
        <w:rPr>
          <w:sz w:val="28"/>
        </w:rPr>
      </w:pPr>
      <w:r w:rsidRPr="00E721CF">
        <w:rPr>
          <w:noProof/>
          <w:sz w:val="28"/>
          <w:lang w:eastAsia="en-AU"/>
        </w:rPr>
        <w:drawing>
          <wp:inline distT="0" distB="0" distL="0" distR="0" wp14:anchorId="1C56BC02" wp14:editId="467747DB">
            <wp:extent cx="3459600" cy="795600"/>
            <wp:effectExtent l="0" t="0" r="0" b="5080"/>
            <wp:docPr id="1" name="Picture 1" descr="logo for Department of Home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BCZ.GOV.AU\USERS\CBR09\QB95JL\Home\Desktop\Home Affairs inlin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9600" cy="795600"/>
                    </a:xfrm>
                    <a:prstGeom prst="rect">
                      <a:avLst/>
                    </a:prstGeom>
                    <a:noFill/>
                    <a:ln>
                      <a:noFill/>
                    </a:ln>
                  </pic:spPr>
                </pic:pic>
              </a:graphicData>
            </a:graphic>
          </wp:inline>
        </w:drawing>
      </w:r>
    </w:p>
    <w:p w14:paraId="33ADCB2F" w14:textId="77777777" w:rsidR="009E3D4E" w:rsidRPr="00E721CF" w:rsidRDefault="009E3D4E" w:rsidP="009E3D4E">
      <w:pPr>
        <w:pStyle w:val="LDTitle"/>
      </w:pPr>
      <w:bookmarkStart w:id="0" w:name="LIN"/>
      <w:r w:rsidRPr="00E721CF">
        <w:t>LIN</w:t>
      </w:r>
      <w:r w:rsidR="00E54817" w:rsidRPr="00E721CF">
        <w:t xml:space="preserve"> 22</w:t>
      </w:r>
      <w:r w:rsidRPr="00E721CF">
        <w:t>/</w:t>
      </w:r>
      <w:r w:rsidR="00E54817" w:rsidRPr="00E721CF">
        <w:t>013</w:t>
      </w:r>
      <w:bookmarkEnd w:id="0"/>
    </w:p>
    <w:p w14:paraId="2D589BAC" w14:textId="67074FB8" w:rsidR="009228CB" w:rsidRPr="00E721CF" w:rsidRDefault="00003AA8" w:rsidP="009E3D4E">
      <w:pPr>
        <w:pStyle w:val="LDDescription"/>
      </w:pPr>
      <w:bookmarkStart w:id="1" w:name="Title"/>
      <w:r w:rsidRPr="00E721CF">
        <w:t>Migration (Specified work and areas for subclass 462 visas) Instrument (LIN 22/013) 2022</w:t>
      </w:r>
      <w:bookmarkEnd w:id="1"/>
    </w:p>
    <w:p w14:paraId="3B58E7E8" w14:textId="77777777" w:rsidR="00554826" w:rsidRPr="00E721CF" w:rsidRDefault="00554826" w:rsidP="00BA4E21">
      <w:pPr>
        <w:pStyle w:val="LDBodytext"/>
      </w:pPr>
      <w:r w:rsidRPr="00E721CF">
        <w:t>I</w:t>
      </w:r>
      <w:r w:rsidR="00BA4E21" w:rsidRPr="00E721CF">
        <w:t>, Paul Denman</w:t>
      </w:r>
      <w:r w:rsidRPr="00E721CF">
        <w:t xml:space="preserve">, </w:t>
      </w:r>
      <w:r w:rsidR="008430A9" w:rsidRPr="00E721CF">
        <w:t>d</w:t>
      </w:r>
      <w:r w:rsidR="00BA4E21" w:rsidRPr="00E721CF">
        <w:t>elegate of the Minister</w:t>
      </w:r>
      <w:r w:rsidRPr="00E721CF">
        <w:t>, make th</w:t>
      </w:r>
      <w:r w:rsidR="00B73647" w:rsidRPr="00E721CF">
        <w:t>is instrument</w:t>
      </w:r>
      <w:r w:rsidR="003B3646" w:rsidRPr="00E721CF">
        <w:t xml:space="preserve"> under</w:t>
      </w:r>
      <w:r w:rsidR="00BA4E21" w:rsidRPr="00E721CF">
        <w:t xml:space="preserve"> regulation 1.15FA </w:t>
      </w:r>
      <w:r w:rsidR="00F27438" w:rsidRPr="00E721CF">
        <w:t xml:space="preserve">of the </w:t>
      </w:r>
      <w:r w:rsidR="00BA4E21" w:rsidRPr="00E721CF">
        <w:rPr>
          <w:i/>
        </w:rPr>
        <w:t>Migration Regulations 1994</w:t>
      </w:r>
      <w:r w:rsidR="00BA4E21" w:rsidRPr="00E721CF">
        <w:t xml:space="preserve"> (the </w:t>
      </w:r>
      <w:r w:rsidR="00BA4E21" w:rsidRPr="00E721CF">
        <w:rPr>
          <w:b/>
          <w:i/>
        </w:rPr>
        <w:t>Regulations</w:t>
      </w:r>
      <w:r w:rsidR="00BA4E21" w:rsidRPr="00E721CF">
        <w:t>)</w:t>
      </w:r>
      <w:r w:rsidR="00F27438" w:rsidRPr="00E721CF">
        <w:rPr>
          <w:i/>
        </w:rPr>
        <w:t>.</w:t>
      </w:r>
    </w:p>
    <w:p w14:paraId="5CC581A0" w14:textId="55EC75D8" w:rsidR="00554826" w:rsidRPr="00E721CF" w:rsidRDefault="00554826" w:rsidP="000B14AD">
      <w:pPr>
        <w:pStyle w:val="LDDate"/>
        <w:rPr>
          <w:szCs w:val="22"/>
        </w:rPr>
      </w:pPr>
      <w:r w:rsidRPr="00E721CF">
        <w:t>Dated</w:t>
      </w:r>
      <w:r w:rsidR="00910D55" w:rsidRPr="00E721CF">
        <w:rPr>
          <w:szCs w:val="22"/>
        </w:rPr>
        <w:t xml:space="preserve"> 4 March </w:t>
      </w:r>
      <w:r w:rsidR="00BA4E21" w:rsidRPr="00E721CF">
        <w:rPr>
          <w:szCs w:val="22"/>
        </w:rPr>
        <w:t>2022</w:t>
      </w:r>
      <w:bookmarkStart w:id="2" w:name="_GoBack"/>
      <w:bookmarkEnd w:id="2"/>
    </w:p>
    <w:p w14:paraId="32CAF4EA" w14:textId="77777777" w:rsidR="00910D55" w:rsidRPr="00E721CF" w:rsidRDefault="00910D55" w:rsidP="00910D55">
      <w:pPr>
        <w:pStyle w:val="LDDate"/>
      </w:pPr>
    </w:p>
    <w:p w14:paraId="5AA11A15" w14:textId="77777777" w:rsidR="00910D55" w:rsidRPr="00E721CF" w:rsidRDefault="00910D55" w:rsidP="00910D55">
      <w:pPr>
        <w:pStyle w:val="LDDate"/>
      </w:pPr>
    </w:p>
    <w:p w14:paraId="5001A88C" w14:textId="77777777" w:rsidR="00910D55" w:rsidRPr="00E721CF" w:rsidRDefault="00910D55" w:rsidP="00910D55">
      <w:pPr>
        <w:pStyle w:val="LDDate"/>
      </w:pPr>
    </w:p>
    <w:p w14:paraId="0DE159DB" w14:textId="77777777" w:rsidR="00910D55" w:rsidRPr="00E721CF" w:rsidRDefault="00910D55" w:rsidP="00910D55">
      <w:pPr>
        <w:pStyle w:val="LDDate"/>
      </w:pPr>
    </w:p>
    <w:p w14:paraId="200AC8DE" w14:textId="602BDD9A" w:rsidR="003B3646" w:rsidRPr="00E721CF" w:rsidRDefault="00910D55" w:rsidP="00910D55">
      <w:pPr>
        <w:pStyle w:val="LDDate"/>
      </w:pPr>
      <w:r w:rsidRPr="00E721CF">
        <w:t xml:space="preserve">Paul Denman </w:t>
      </w:r>
    </w:p>
    <w:p w14:paraId="58C8BC25" w14:textId="77777777" w:rsidR="00C94181" w:rsidRPr="00E721CF" w:rsidRDefault="00C94181" w:rsidP="00C94181">
      <w:pPr>
        <w:pStyle w:val="LDBodytext"/>
      </w:pPr>
      <w:r w:rsidRPr="00E721CF">
        <w:t>Acting Senior Executive Band 1</w:t>
      </w:r>
    </w:p>
    <w:p w14:paraId="27E6CCEE" w14:textId="77777777" w:rsidR="00C94181" w:rsidRPr="00E721CF" w:rsidRDefault="00C94181" w:rsidP="00C94181">
      <w:pPr>
        <w:pStyle w:val="LDBodytext"/>
      </w:pPr>
      <w:r w:rsidRPr="00E721CF">
        <w:t>Immigration Programs Division</w:t>
      </w:r>
    </w:p>
    <w:p w14:paraId="1B0E8810" w14:textId="1BB84D81" w:rsidR="00554826" w:rsidRPr="00E721CF" w:rsidRDefault="00C94181" w:rsidP="00365E41">
      <w:pPr>
        <w:pStyle w:val="LDBodytext"/>
      </w:pPr>
      <w:r w:rsidRPr="00E721CF">
        <w:t>Department of Home Affairs</w:t>
      </w:r>
    </w:p>
    <w:p w14:paraId="17868CD4" w14:textId="21383E6C" w:rsidR="00F6696E" w:rsidRPr="00E721CF" w:rsidRDefault="00F6696E" w:rsidP="00700ECA">
      <w:pPr>
        <w:pStyle w:val="LDLine"/>
      </w:pPr>
    </w:p>
    <w:p w14:paraId="05BF6977" w14:textId="77777777" w:rsidR="00700ECA" w:rsidRPr="00E721CF" w:rsidRDefault="00700ECA" w:rsidP="00700ECA">
      <w:pPr>
        <w:pStyle w:val="LDLine"/>
        <w:sectPr w:rsidR="00700ECA" w:rsidRPr="00E721CF" w:rsidSect="00861378">
          <w:headerReference w:type="even" r:id="rId12"/>
          <w:headerReference w:type="default" r:id="rId13"/>
          <w:footerReference w:type="even" r:id="rId14"/>
          <w:footerReference w:type="default" r:id="rId15"/>
          <w:headerReference w:type="first" r:id="rId16"/>
          <w:type w:val="continuous"/>
          <w:pgSz w:w="11907" w:h="16839" w:code="9"/>
          <w:pgMar w:top="1361" w:right="1701" w:bottom="1361" w:left="1701" w:header="720" w:footer="720" w:gutter="0"/>
          <w:pgNumType w:start="1"/>
          <w:cols w:space="708"/>
          <w:titlePg/>
          <w:docGrid w:linePitch="360"/>
        </w:sectPr>
      </w:pPr>
    </w:p>
    <w:p w14:paraId="1FD571A4" w14:textId="1D492A3C" w:rsidR="003B3646" w:rsidRPr="00E721CF" w:rsidRDefault="00003AA8" w:rsidP="000B14AD">
      <w:pPr>
        <w:pStyle w:val="LDSecHead"/>
      </w:pPr>
      <w:bookmarkStart w:id="3" w:name="_Toc454512513"/>
      <w:bookmarkStart w:id="4" w:name="_Toc454512517"/>
      <w:bookmarkStart w:id="5" w:name="_Toc31201286"/>
      <w:r w:rsidRPr="00E721CF">
        <w:rPr>
          <w:noProof/>
        </w:rPr>
        <w:lastRenderedPageBreak/>
        <w:t>1</w:t>
      </w:r>
      <w:r w:rsidR="008C3379" w:rsidRPr="00E721CF">
        <w:rPr>
          <w:noProof/>
        </w:rPr>
        <w:tab/>
      </w:r>
      <w:r w:rsidR="003B3646" w:rsidRPr="00E721CF">
        <w:t>Name</w:t>
      </w:r>
      <w:bookmarkEnd w:id="3"/>
      <w:bookmarkEnd w:id="5"/>
    </w:p>
    <w:p w14:paraId="5A756523" w14:textId="1A797CA9" w:rsidR="00B4644E" w:rsidRPr="00E721CF" w:rsidRDefault="000B14AD" w:rsidP="000B14AD">
      <w:pPr>
        <w:pStyle w:val="LDSec1"/>
      </w:pPr>
      <w:r w:rsidRPr="00E721CF">
        <w:tab/>
      </w:r>
      <w:r w:rsidRPr="00E721CF">
        <w:tab/>
      </w:r>
      <w:r w:rsidR="003B3646" w:rsidRPr="00E721CF">
        <w:t>This instrument is the</w:t>
      </w:r>
      <w:r w:rsidRPr="00E721CF">
        <w:t xml:space="preserve"> </w:t>
      </w:r>
      <w:r w:rsidR="00003AA8" w:rsidRPr="00E721CF">
        <w:rPr>
          <w:rStyle w:val="LDItal"/>
        </w:rPr>
        <w:t>Migration (Specified work and areas for subclass 462 visas) Instrument (LIN 22</w:t>
      </w:r>
      <w:r w:rsidR="00003AA8" w:rsidRPr="00E721CF">
        <w:t>/</w:t>
      </w:r>
      <w:r w:rsidR="00003AA8" w:rsidRPr="00E721CF">
        <w:rPr>
          <w:i/>
        </w:rPr>
        <w:t>013) 2022</w:t>
      </w:r>
      <w:r w:rsidRPr="00E721CF">
        <w:t>.</w:t>
      </w:r>
    </w:p>
    <w:p w14:paraId="64B5D145" w14:textId="0B25EDBB" w:rsidR="003B3646" w:rsidRPr="00E721CF" w:rsidRDefault="00003AA8" w:rsidP="000B14AD">
      <w:pPr>
        <w:pStyle w:val="LDSecHead"/>
      </w:pPr>
      <w:bookmarkStart w:id="6" w:name="_Toc454512514"/>
      <w:bookmarkStart w:id="7" w:name="_Toc31201287"/>
      <w:r w:rsidRPr="00E721CF">
        <w:rPr>
          <w:noProof/>
        </w:rPr>
        <w:t>2</w:t>
      </w:r>
      <w:r w:rsidR="000B14AD" w:rsidRPr="00E721CF">
        <w:tab/>
      </w:r>
      <w:r w:rsidR="003B3646" w:rsidRPr="00E721CF">
        <w:t>Commencement</w:t>
      </w:r>
      <w:bookmarkEnd w:id="6"/>
      <w:bookmarkEnd w:id="7"/>
    </w:p>
    <w:p w14:paraId="2E2A30F0" w14:textId="77777777" w:rsidR="003B3646" w:rsidRPr="00E721CF" w:rsidRDefault="000B14AD" w:rsidP="000B14AD">
      <w:pPr>
        <w:pStyle w:val="LDSec1"/>
      </w:pPr>
      <w:bookmarkStart w:id="8" w:name="_Toc454512515"/>
      <w:r w:rsidRPr="00E721CF">
        <w:tab/>
      </w:r>
      <w:r w:rsidRPr="00E721CF">
        <w:tab/>
      </w:r>
      <w:r w:rsidR="003B3646" w:rsidRPr="00E721CF">
        <w:t xml:space="preserve">This instrument commences </w:t>
      </w:r>
      <w:r w:rsidR="00BD08C0" w:rsidRPr="00E721CF">
        <w:t>on</w:t>
      </w:r>
      <w:r w:rsidR="00EC769A" w:rsidRPr="00E721CF">
        <w:t xml:space="preserve"> 5 March 2022</w:t>
      </w:r>
      <w:r w:rsidR="003B3646" w:rsidRPr="00E721CF">
        <w:t>.</w:t>
      </w:r>
    </w:p>
    <w:p w14:paraId="23A43E1B" w14:textId="4AD4709E" w:rsidR="005B1244" w:rsidRPr="00E721CF" w:rsidRDefault="00003AA8" w:rsidP="007E666A">
      <w:pPr>
        <w:pStyle w:val="LDSecHead"/>
      </w:pPr>
      <w:bookmarkStart w:id="9" w:name="_Toc31201289"/>
      <w:bookmarkEnd w:id="8"/>
      <w:r w:rsidRPr="00E721CF">
        <w:rPr>
          <w:noProof/>
        </w:rPr>
        <w:t>3</w:t>
      </w:r>
      <w:r w:rsidR="000B14AD" w:rsidRPr="00E721CF">
        <w:tab/>
      </w:r>
      <w:r w:rsidR="000629BC" w:rsidRPr="00E721CF">
        <w:t>Purpose of instrument</w:t>
      </w:r>
    </w:p>
    <w:p w14:paraId="6EEF6042" w14:textId="77777777" w:rsidR="005B1244" w:rsidRPr="00E721CF" w:rsidRDefault="005B1244" w:rsidP="005B1244">
      <w:pPr>
        <w:pStyle w:val="LDSec1"/>
      </w:pPr>
      <w:r w:rsidRPr="00E721CF">
        <w:tab/>
      </w:r>
      <w:r w:rsidRPr="00E721CF">
        <w:tab/>
      </w:r>
      <w:r w:rsidR="009B3278" w:rsidRPr="00E721CF">
        <w:t xml:space="preserve">For </w:t>
      </w:r>
      <w:r w:rsidR="009215AE" w:rsidRPr="00E721CF">
        <w:t xml:space="preserve">the definition of </w:t>
      </w:r>
      <w:r w:rsidR="009215AE" w:rsidRPr="00E721CF">
        <w:rPr>
          <w:b/>
          <w:i/>
        </w:rPr>
        <w:t>specified Subclass 462 work</w:t>
      </w:r>
      <w:r w:rsidR="009215AE" w:rsidRPr="00E721CF">
        <w:t xml:space="preserve"> in regulation 1.03 and for </w:t>
      </w:r>
      <w:r w:rsidR="009B3278" w:rsidRPr="00E721CF">
        <w:t>regulation 1.15FA of the Regulations, t</w:t>
      </w:r>
      <w:r w:rsidRPr="00E721CF">
        <w:t>his instrument specifies:</w:t>
      </w:r>
    </w:p>
    <w:p w14:paraId="704CA4A2" w14:textId="77777777" w:rsidR="009B3278" w:rsidRPr="00E721CF" w:rsidRDefault="005B1244" w:rsidP="005B1244">
      <w:pPr>
        <w:pStyle w:val="LDP1a"/>
      </w:pPr>
      <w:r w:rsidRPr="00E721CF">
        <w:t>(a)</w:t>
      </w:r>
      <w:r w:rsidRPr="00E721CF">
        <w:tab/>
      </w:r>
      <w:proofErr w:type="gramStart"/>
      <w:r w:rsidR="009215AE" w:rsidRPr="00E721CF">
        <w:t>a</w:t>
      </w:r>
      <w:r w:rsidRPr="00E721CF">
        <w:t>reas</w:t>
      </w:r>
      <w:proofErr w:type="gramEnd"/>
      <w:r w:rsidRPr="00E721CF">
        <w:t xml:space="preserve"> of Australia</w:t>
      </w:r>
      <w:r w:rsidR="009B3278" w:rsidRPr="00E721CF">
        <w:t>; and</w:t>
      </w:r>
    </w:p>
    <w:p w14:paraId="4754C0FB" w14:textId="77777777" w:rsidR="00AB085C" w:rsidRPr="00E721CF" w:rsidRDefault="009B3278" w:rsidP="00367958">
      <w:pPr>
        <w:pStyle w:val="LDP1a"/>
      </w:pPr>
      <w:r w:rsidRPr="00E721CF">
        <w:t>(b)</w:t>
      </w:r>
      <w:r w:rsidRPr="00E721CF">
        <w:tab/>
      </w:r>
      <w:proofErr w:type="gramStart"/>
      <w:r w:rsidRPr="00E721CF">
        <w:t>kinds</w:t>
      </w:r>
      <w:proofErr w:type="gramEnd"/>
      <w:r w:rsidRPr="00E721CF">
        <w:t xml:space="preserve"> of work.</w:t>
      </w:r>
    </w:p>
    <w:p w14:paraId="197C26D7" w14:textId="13CDB67B" w:rsidR="00ED2ABE" w:rsidRPr="00E721CF" w:rsidRDefault="00003AA8" w:rsidP="00ED2ABE">
      <w:pPr>
        <w:pStyle w:val="LDSecHead"/>
      </w:pPr>
      <w:r w:rsidRPr="00E721CF">
        <w:rPr>
          <w:noProof/>
        </w:rPr>
        <w:t>4</w:t>
      </w:r>
      <w:r w:rsidR="00ED2ABE" w:rsidRPr="00E721CF">
        <w:tab/>
        <w:t>Definitions</w:t>
      </w:r>
    </w:p>
    <w:p w14:paraId="4AEACEC9" w14:textId="77777777" w:rsidR="00ED2ABE" w:rsidRPr="00E721CF" w:rsidRDefault="00ED2ABE" w:rsidP="00ED2ABE">
      <w:pPr>
        <w:pStyle w:val="LDdefinition"/>
      </w:pPr>
      <w:r w:rsidRPr="00E721CF">
        <w:t>In this instrument:</w:t>
      </w:r>
    </w:p>
    <w:p w14:paraId="69F39414" w14:textId="60FF3669" w:rsidR="00003AA8" w:rsidRPr="00E721CF" w:rsidRDefault="00003AA8" w:rsidP="00003AA8">
      <w:pPr>
        <w:pStyle w:val="LDdefinition"/>
        <w:keepNext w:val="0"/>
      </w:pPr>
      <w:proofErr w:type="gramStart"/>
      <w:r w:rsidRPr="00E721CF">
        <w:rPr>
          <w:rStyle w:val="LDBoldItal"/>
        </w:rPr>
        <w:t>bushfire</w:t>
      </w:r>
      <w:proofErr w:type="gramEnd"/>
      <w:r w:rsidRPr="00E721CF">
        <w:rPr>
          <w:rStyle w:val="LDBoldItal"/>
        </w:rPr>
        <w:t xml:space="preserve"> affected area</w:t>
      </w:r>
      <w:r w:rsidRPr="00E721CF">
        <w:rPr>
          <w:rStyle w:val="LDBoldItal"/>
          <w:b w:val="0"/>
          <w:i w:val="0"/>
        </w:rPr>
        <w:t xml:space="preserve"> </w:t>
      </w:r>
      <w:r w:rsidRPr="00E721CF">
        <w:t>means one or more areas of Australia mentioned in i</w:t>
      </w:r>
      <w:r w:rsidR="00385E7E" w:rsidRPr="00E721CF">
        <w:t>tem </w:t>
      </w:r>
      <w:r w:rsidRPr="00E721CF">
        <w:t xml:space="preserve">1 of Schedule 1. </w:t>
      </w:r>
    </w:p>
    <w:p w14:paraId="4084C45E" w14:textId="77777777" w:rsidR="00003AA8" w:rsidRPr="00E721CF" w:rsidRDefault="00003AA8" w:rsidP="00003AA8">
      <w:pPr>
        <w:pStyle w:val="LDdefinition"/>
        <w:keepNext w:val="0"/>
      </w:pPr>
      <w:r w:rsidRPr="00E721CF">
        <w:rPr>
          <w:rStyle w:val="LDBoldItal"/>
        </w:rPr>
        <w:t>COVID-19</w:t>
      </w:r>
      <w:r w:rsidRPr="00E721CF">
        <w:rPr>
          <w:rStyle w:val="LDBoldItal"/>
          <w:b w:val="0"/>
          <w:i w:val="0"/>
        </w:rPr>
        <w:t xml:space="preserve"> </w:t>
      </w:r>
      <w:r w:rsidRPr="00E721CF">
        <w:t>means the pandemic declared by the World Health Organization on 11 March 2020, caused by the coronavirus COVID-19.</w:t>
      </w:r>
    </w:p>
    <w:p w14:paraId="406E22B7" w14:textId="77777777" w:rsidR="00003AA8" w:rsidRPr="00E721CF" w:rsidRDefault="00003AA8" w:rsidP="00003AA8">
      <w:pPr>
        <w:pStyle w:val="LDdefinition"/>
        <w:keepNext w:val="0"/>
      </w:pPr>
      <w:r w:rsidRPr="00E721CF">
        <w:rPr>
          <w:b/>
          <w:i/>
        </w:rPr>
        <w:t xml:space="preserve">Northern Australia </w:t>
      </w:r>
      <w:r w:rsidRPr="00E721CF">
        <w:t xml:space="preserve">means one or more areas of Australia mentioned in item 2 of Schedule 1. </w:t>
      </w:r>
    </w:p>
    <w:p w14:paraId="5C3694C7" w14:textId="77777777" w:rsidR="00003AA8" w:rsidRPr="00E721CF" w:rsidRDefault="00003AA8" w:rsidP="00003AA8">
      <w:pPr>
        <w:pStyle w:val="LDdefinition"/>
        <w:keepNext w:val="0"/>
      </w:pPr>
      <w:r w:rsidRPr="00E721CF">
        <w:rPr>
          <w:rStyle w:val="LDBoldItal"/>
        </w:rPr>
        <w:t xml:space="preserve">Regional Australia </w:t>
      </w:r>
      <w:r w:rsidRPr="00E721CF">
        <w:t xml:space="preserve">means one or more areas of Australia mentioned in item 3 of Schedule 1. </w:t>
      </w:r>
    </w:p>
    <w:p w14:paraId="34F68F61" w14:textId="77777777" w:rsidR="00003AA8" w:rsidRPr="00E721CF" w:rsidRDefault="00003AA8" w:rsidP="00003AA8">
      <w:pPr>
        <w:pStyle w:val="LDdefinition"/>
        <w:keepNext w:val="0"/>
      </w:pPr>
      <w:r w:rsidRPr="00E721CF">
        <w:rPr>
          <w:rStyle w:val="LDBoldItal"/>
        </w:rPr>
        <w:t xml:space="preserve">Remote and Very Remote Australia </w:t>
      </w:r>
      <w:r w:rsidRPr="00E721CF">
        <w:t xml:space="preserve">means one or more areas of Australia mentioned in item 4 of Schedule 1. </w:t>
      </w:r>
    </w:p>
    <w:p w14:paraId="69E1A381" w14:textId="12ECB3A0" w:rsidR="007E666A" w:rsidRPr="00E721CF" w:rsidRDefault="00003AA8" w:rsidP="007E666A">
      <w:pPr>
        <w:pStyle w:val="LDSecHead"/>
      </w:pPr>
      <w:r w:rsidRPr="00E721CF">
        <w:rPr>
          <w:noProof/>
        </w:rPr>
        <w:t>5</w:t>
      </w:r>
      <w:r w:rsidR="005B1244" w:rsidRPr="00E721CF">
        <w:tab/>
      </w:r>
      <w:r w:rsidR="007E666A" w:rsidRPr="00E721CF">
        <w:t xml:space="preserve">Fishing and pearling work, </w:t>
      </w:r>
      <w:r w:rsidR="00BA4C74" w:rsidRPr="00E721CF">
        <w:t>and tree farming and felling work</w:t>
      </w:r>
    </w:p>
    <w:bookmarkEnd w:id="4"/>
    <w:bookmarkEnd w:id="9"/>
    <w:p w14:paraId="45A103D8" w14:textId="327ED69D" w:rsidR="00003AA8" w:rsidRPr="00E721CF" w:rsidRDefault="00003AA8" w:rsidP="00003AA8">
      <w:pPr>
        <w:pStyle w:val="LDSec1"/>
      </w:pPr>
      <w:r w:rsidRPr="00E721CF">
        <w:tab/>
        <w:t>(1)</w:t>
      </w:r>
      <w:r w:rsidRPr="00E721CF">
        <w:tab/>
        <w:t>Northern Australia is specified if the work carried out in that area is a kind of work mentioned in subsection (2).</w:t>
      </w:r>
    </w:p>
    <w:p w14:paraId="598A805B" w14:textId="3386F103" w:rsidR="00FD68CC" w:rsidRPr="00E721CF" w:rsidRDefault="00003AA8" w:rsidP="00003AA8">
      <w:pPr>
        <w:pStyle w:val="LDSec1"/>
      </w:pPr>
      <w:r w:rsidRPr="00E721CF">
        <w:tab/>
        <w:t>(2)</w:t>
      </w:r>
      <w:r w:rsidRPr="00E721CF">
        <w:tab/>
        <w:t>A kind of work mentioned in the following table is specified if carried out in Northern Australia.</w:t>
      </w:r>
    </w:p>
    <w:tbl>
      <w:tblPr>
        <w:tblStyle w:val="TableGrid"/>
        <w:tblW w:w="8477"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
        <w:gridCol w:w="7659"/>
      </w:tblGrid>
      <w:tr w:rsidR="00E721CF" w:rsidRPr="00E721CF" w14:paraId="2F85888A" w14:textId="77777777" w:rsidTr="00E145F7">
        <w:trPr>
          <w:tblHeader/>
        </w:trPr>
        <w:tc>
          <w:tcPr>
            <w:tcW w:w="818" w:type="dxa"/>
            <w:tcBorders>
              <w:bottom w:val="single" w:sz="4" w:space="0" w:color="auto"/>
            </w:tcBorders>
          </w:tcPr>
          <w:p w14:paraId="316B0045" w14:textId="77777777" w:rsidR="00E145F7" w:rsidRPr="00E721CF" w:rsidRDefault="00E145F7" w:rsidP="00E65EC0">
            <w:pPr>
              <w:pStyle w:val="LDTableheading"/>
            </w:pPr>
            <w:r w:rsidRPr="00E721CF">
              <w:t>Item</w:t>
            </w:r>
          </w:p>
        </w:tc>
        <w:tc>
          <w:tcPr>
            <w:tcW w:w="7659" w:type="dxa"/>
            <w:tcBorders>
              <w:bottom w:val="single" w:sz="4" w:space="0" w:color="auto"/>
            </w:tcBorders>
          </w:tcPr>
          <w:p w14:paraId="70F62F67" w14:textId="77777777" w:rsidR="00E145F7" w:rsidRPr="00E721CF" w:rsidRDefault="00E145F7" w:rsidP="00E65EC0">
            <w:pPr>
              <w:pStyle w:val="LDTableheading"/>
            </w:pPr>
            <w:r w:rsidRPr="00E721CF">
              <w:rPr>
                <w:lang w:eastAsia="en-AU"/>
              </w:rPr>
              <w:t>Kinds of work</w:t>
            </w:r>
          </w:p>
        </w:tc>
      </w:tr>
      <w:tr w:rsidR="00E721CF" w:rsidRPr="00E721CF" w14:paraId="73C4FA8C" w14:textId="77777777" w:rsidTr="00E145F7">
        <w:tc>
          <w:tcPr>
            <w:tcW w:w="818" w:type="dxa"/>
            <w:tcBorders>
              <w:top w:val="single" w:sz="4" w:space="0" w:color="auto"/>
              <w:bottom w:val="single" w:sz="4" w:space="0" w:color="auto"/>
            </w:tcBorders>
          </w:tcPr>
          <w:p w14:paraId="30D3F55E" w14:textId="77777777" w:rsidR="00E145F7" w:rsidRPr="00E721CF" w:rsidRDefault="00E145F7" w:rsidP="00E65EC0">
            <w:pPr>
              <w:pStyle w:val="LDTabletext"/>
            </w:pPr>
            <w:r w:rsidRPr="00E721CF">
              <w:t>1</w:t>
            </w:r>
          </w:p>
        </w:tc>
        <w:tc>
          <w:tcPr>
            <w:tcW w:w="7659" w:type="dxa"/>
            <w:tcBorders>
              <w:top w:val="single" w:sz="4" w:space="0" w:color="auto"/>
              <w:bottom w:val="single" w:sz="4" w:space="0" w:color="auto"/>
            </w:tcBorders>
          </w:tcPr>
          <w:p w14:paraId="4E78EBD1" w14:textId="77777777" w:rsidR="00E145F7" w:rsidRPr="00E721CF" w:rsidRDefault="00E145F7" w:rsidP="00FD68CC">
            <w:pPr>
              <w:pStyle w:val="LDTableP1a"/>
            </w:pPr>
            <w:r w:rsidRPr="00E721CF">
              <w:rPr>
                <w:lang w:eastAsia="en-AU"/>
              </w:rPr>
              <w:t>Fishing and pearling</w:t>
            </w:r>
            <w:r w:rsidRPr="00E721CF">
              <w:rPr>
                <w:rFonts w:asciiTheme="minorEastAsia" w:eastAsiaTheme="minorEastAsia" w:hAnsiTheme="minorEastAsia" w:hint="eastAsia"/>
                <w:lang w:eastAsia="zh-CN"/>
              </w:rPr>
              <w:t>:</w:t>
            </w:r>
            <w:r w:rsidRPr="00E721CF">
              <w:t xml:space="preserve"> </w:t>
            </w:r>
          </w:p>
          <w:p w14:paraId="0FFB9482" w14:textId="77777777" w:rsidR="00E145F7" w:rsidRPr="00E721CF" w:rsidRDefault="00E145F7" w:rsidP="00FD68CC">
            <w:pPr>
              <w:pStyle w:val="LDTableP1a"/>
            </w:pPr>
            <w:r w:rsidRPr="00E721CF">
              <w:t>(a)</w:t>
            </w:r>
            <w:r w:rsidRPr="00E721CF">
              <w:tab/>
              <w:t>conducting operations relating directly to taking or catching fish and other aquatic species;</w:t>
            </w:r>
          </w:p>
          <w:p w14:paraId="417D0210" w14:textId="77777777" w:rsidR="00E145F7" w:rsidRPr="00E721CF" w:rsidRDefault="00E145F7" w:rsidP="00FD68CC">
            <w:pPr>
              <w:pStyle w:val="LDTableP1a"/>
            </w:pPr>
            <w:r w:rsidRPr="00E721CF">
              <w:t>(b)</w:t>
            </w:r>
            <w:r w:rsidRPr="00E721CF">
              <w:tab/>
              <w:t>conducting operations relating directly to taking or culturing pearls or pearl shell</w:t>
            </w:r>
          </w:p>
        </w:tc>
      </w:tr>
      <w:tr w:rsidR="00E721CF" w:rsidRPr="00E721CF" w14:paraId="1EE4CA26" w14:textId="77777777" w:rsidTr="00E145F7">
        <w:tc>
          <w:tcPr>
            <w:tcW w:w="818" w:type="dxa"/>
            <w:tcBorders>
              <w:top w:val="single" w:sz="4" w:space="0" w:color="auto"/>
              <w:bottom w:val="single" w:sz="4" w:space="0" w:color="auto"/>
            </w:tcBorders>
          </w:tcPr>
          <w:p w14:paraId="66CCCBC9" w14:textId="77777777" w:rsidR="00E145F7" w:rsidRPr="00E721CF" w:rsidRDefault="00E145F7" w:rsidP="00E65EC0">
            <w:pPr>
              <w:pStyle w:val="LDTabletext"/>
            </w:pPr>
            <w:r w:rsidRPr="00E721CF">
              <w:t>2</w:t>
            </w:r>
          </w:p>
        </w:tc>
        <w:tc>
          <w:tcPr>
            <w:tcW w:w="7659" w:type="dxa"/>
            <w:tcBorders>
              <w:top w:val="single" w:sz="4" w:space="0" w:color="auto"/>
              <w:bottom w:val="single" w:sz="4" w:space="0" w:color="auto"/>
            </w:tcBorders>
          </w:tcPr>
          <w:p w14:paraId="59B2D2D5" w14:textId="77777777" w:rsidR="00E145F7" w:rsidRPr="00E721CF" w:rsidRDefault="00E145F7" w:rsidP="00FD68CC">
            <w:pPr>
              <w:pStyle w:val="LDTableP1a"/>
            </w:pPr>
            <w:r w:rsidRPr="00E721CF">
              <w:rPr>
                <w:rFonts w:cs="Times New Roman"/>
                <w:lang w:eastAsia="en-AU"/>
              </w:rPr>
              <w:t>Tree farming and felling</w:t>
            </w:r>
            <w:r w:rsidRPr="00E721CF">
              <w:t xml:space="preserve"> :</w:t>
            </w:r>
          </w:p>
          <w:p w14:paraId="3C4F1609" w14:textId="77777777" w:rsidR="00E145F7" w:rsidRPr="00E721CF" w:rsidRDefault="00E145F7" w:rsidP="00FD68CC">
            <w:pPr>
              <w:pStyle w:val="LDTableP1a"/>
            </w:pPr>
            <w:r w:rsidRPr="00E721CF">
              <w:t>(a)</w:t>
            </w:r>
            <w:r w:rsidRPr="00E721CF">
              <w:tab/>
              <w:t>planting or tending trees in a plantation or forest that are intended to be felled;</w:t>
            </w:r>
          </w:p>
          <w:p w14:paraId="410D3D3F" w14:textId="77777777" w:rsidR="00E145F7" w:rsidRPr="00E721CF" w:rsidRDefault="00E145F7" w:rsidP="00FD68CC">
            <w:pPr>
              <w:pStyle w:val="LDTableP1a"/>
            </w:pPr>
            <w:r w:rsidRPr="00E721CF">
              <w:t>(b)</w:t>
            </w:r>
            <w:r w:rsidRPr="00E721CF">
              <w:tab/>
              <w:t>felling trees in a plantation or forest;</w:t>
            </w:r>
          </w:p>
          <w:p w14:paraId="33F37BE5" w14:textId="77777777" w:rsidR="00E145F7" w:rsidRPr="00E721CF" w:rsidRDefault="00E145F7" w:rsidP="00FD68CC">
            <w:pPr>
              <w:pStyle w:val="LDTableP1a"/>
            </w:pPr>
            <w:r w:rsidRPr="00E721CF">
              <w:t>(c)</w:t>
            </w:r>
            <w:r w:rsidRPr="00E721CF">
              <w:tab/>
              <w:t>transporting trees or parts of trees that were felled in a plantation or forest to the place where they are first to be milled or processed, or any other place from which they are to be transported to the place where they are to be milled or processed</w:t>
            </w:r>
          </w:p>
        </w:tc>
      </w:tr>
    </w:tbl>
    <w:p w14:paraId="4A2BD1FF" w14:textId="6A5CD338" w:rsidR="009139CE" w:rsidRPr="00E721CF" w:rsidRDefault="00003AA8" w:rsidP="009139CE">
      <w:pPr>
        <w:pStyle w:val="LDSecHead"/>
      </w:pPr>
      <w:r w:rsidRPr="00E721CF">
        <w:rPr>
          <w:noProof/>
        </w:rPr>
        <w:t>6</w:t>
      </w:r>
      <w:r w:rsidR="009139CE" w:rsidRPr="00E721CF">
        <w:tab/>
      </w:r>
      <w:r w:rsidR="00BA4C74" w:rsidRPr="00E721CF">
        <w:t>Pl</w:t>
      </w:r>
      <w:r w:rsidR="009139CE" w:rsidRPr="00E721CF">
        <w:t xml:space="preserve">ant and animal cultivation work, </w:t>
      </w:r>
      <w:r w:rsidR="00BA4C74" w:rsidRPr="00E721CF">
        <w:t>and construction work</w:t>
      </w:r>
    </w:p>
    <w:p w14:paraId="0E42CCD8" w14:textId="32797391" w:rsidR="00003AA8" w:rsidRPr="00E721CF" w:rsidRDefault="00003AA8" w:rsidP="00003AA8">
      <w:pPr>
        <w:pStyle w:val="LDSec1"/>
      </w:pPr>
      <w:r w:rsidRPr="00E721CF">
        <w:tab/>
        <w:t>(1)</w:t>
      </w:r>
      <w:r w:rsidRPr="00E721CF">
        <w:tab/>
        <w:t>Northern Australia and Regional Australia are specified if the work carried out in those areas is a kind of work mentioned in subsection (2).</w:t>
      </w:r>
    </w:p>
    <w:p w14:paraId="0E23F456" w14:textId="299B0547" w:rsidR="009139CE" w:rsidRPr="00E721CF" w:rsidRDefault="00003AA8" w:rsidP="00003AA8">
      <w:pPr>
        <w:pStyle w:val="LDSec1"/>
        <w:keepNext/>
      </w:pPr>
      <w:r w:rsidRPr="00E721CF">
        <w:tab/>
        <w:t>(2)</w:t>
      </w:r>
      <w:r w:rsidRPr="00E721CF">
        <w:tab/>
        <w:t>A kind of work mentioned in the following table is specified if carried out in Northern Australia and Regional Australia.</w:t>
      </w:r>
    </w:p>
    <w:tbl>
      <w:tblPr>
        <w:tblStyle w:val="TableGrid"/>
        <w:tblW w:w="8477"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
        <w:gridCol w:w="7659"/>
      </w:tblGrid>
      <w:tr w:rsidR="00E721CF" w:rsidRPr="00E721CF" w14:paraId="762FD4D2" w14:textId="77777777" w:rsidTr="000741C1">
        <w:trPr>
          <w:tblHeader/>
        </w:trPr>
        <w:tc>
          <w:tcPr>
            <w:tcW w:w="818" w:type="dxa"/>
            <w:tcBorders>
              <w:bottom w:val="single" w:sz="4" w:space="0" w:color="auto"/>
            </w:tcBorders>
          </w:tcPr>
          <w:p w14:paraId="5BA72812" w14:textId="77777777" w:rsidR="000F2760" w:rsidRPr="00E721CF" w:rsidRDefault="000F2760" w:rsidP="000741C1">
            <w:pPr>
              <w:pStyle w:val="LDTableheading"/>
            </w:pPr>
            <w:r w:rsidRPr="00E721CF">
              <w:t>Item</w:t>
            </w:r>
          </w:p>
        </w:tc>
        <w:tc>
          <w:tcPr>
            <w:tcW w:w="7659" w:type="dxa"/>
            <w:tcBorders>
              <w:bottom w:val="single" w:sz="4" w:space="0" w:color="auto"/>
            </w:tcBorders>
          </w:tcPr>
          <w:p w14:paraId="36B91A39" w14:textId="77777777" w:rsidR="000F2760" w:rsidRPr="00E721CF" w:rsidRDefault="000F2760" w:rsidP="000741C1">
            <w:pPr>
              <w:pStyle w:val="LDTableheading"/>
            </w:pPr>
            <w:r w:rsidRPr="00E721CF">
              <w:rPr>
                <w:lang w:eastAsia="en-AU"/>
              </w:rPr>
              <w:t>Kinds of work</w:t>
            </w:r>
          </w:p>
        </w:tc>
      </w:tr>
      <w:tr w:rsidR="00E721CF" w:rsidRPr="00E721CF" w14:paraId="653437C3" w14:textId="77777777" w:rsidTr="000741C1">
        <w:tc>
          <w:tcPr>
            <w:tcW w:w="818" w:type="dxa"/>
            <w:tcBorders>
              <w:top w:val="single" w:sz="4" w:space="0" w:color="auto"/>
              <w:bottom w:val="single" w:sz="4" w:space="0" w:color="auto"/>
            </w:tcBorders>
          </w:tcPr>
          <w:p w14:paraId="24046D82" w14:textId="77777777" w:rsidR="000F2760" w:rsidRPr="00E721CF" w:rsidRDefault="000F2760" w:rsidP="000741C1">
            <w:pPr>
              <w:pStyle w:val="LDTabletext"/>
            </w:pPr>
            <w:r w:rsidRPr="00E721CF">
              <w:t>1</w:t>
            </w:r>
          </w:p>
        </w:tc>
        <w:tc>
          <w:tcPr>
            <w:tcW w:w="7659" w:type="dxa"/>
            <w:tcBorders>
              <w:top w:val="single" w:sz="4" w:space="0" w:color="auto"/>
              <w:bottom w:val="single" w:sz="4" w:space="0" w:color="auto"/>
            </w:tcBorders>
          </w:tcPr>
          <w:p w14:paraId="58E9D962" w14:textId="77777777" w:rsidR="000F2760" w:rsidRPr="00E721CF" w:rsidRDefault="000F2760" w:rsidP="000741C1">
            <w:pPr>
              <w:pStyle w:val="LDTableP1a"/>
            </w:pPr>
            <w:r w:rsidRPr="00E721CF">
              <w:rPr>
                <w:lang w:eastAsia="en-AU"/>
              </w:rPr>
              <w:t>Plant and animal cultivation:</w:t>
            </w:r>
            <w:r w:rsidRPr="00E721CF">
              <w:t xml:space="preserve"> </w:t>
            </w:r>
          </w:p>
          <w:p w14:paraId="1E45778B" w14:textId="77777777" w:rsidR="000F2760" w:rsidRPr="00E721CF" w:rsidRDefault="000F2760" w:rsidP="000741C1">
            <w:pPr>
              <w:pStyle w:val="LDTableP1a"/>
            </w:pPr>
            <w:r w:rsidRPr="00E721CF">
              <w:t>(a)</w:t>
            </w:r>
            <w:r w:rsidRPr="00E721CF">
              <w:tab/>
              <w:t>harvesting and/or packing of fruit and vegetable crops;</w:t>
            </w:r>
          </w:p>
          <w:p w14:paraId="6A07DB65" w14:textId="77777777" w:rsidR="000F2760" w:rsidRPr="00E721CF" w:rsidRDefault="000F2760" w:rsidP="000741C1">
            <w:pPr>
              <w:pStyle w:val="LDTableP1a"/>
            </w:pPr>
            <w:r w:rsidRPr="00E721CF">
              <w:t>(b)</w:t>
            </w:r>
            <w:r w:rsidRPr="00E721CF">
              <w:tab/>
              <w:t>pruning or trimming vines and trees directly associated with the cultivation and commercial sale of plant produce;</w:t>
            </w:r>
          </w:p>
          <w:p w14:paraId="4A78B1F8" w14:textId="77777777" w:rsidR="000F2760" w:rsidRPr="00E721CF" w:rsidRDefault="000F2760" w:rsidP="000741C1">
            <w:pPr>
              <w:pStyle w:val="LDTableP1a"/>
            </w:pPr>
            <w:r w:rsidRPr="00E721CF">
              <w:t>(c)</w:t>
            </w:r>
            <w:r w:rsidRPr="00E721CF">
              <w:tab/>
              <w:t>general maintenance crop work;</w:t>
            </w:r>
          </w:p>
          <w:p w14:paraId="13504FBD" w14:textId="77777777" w:rsidR="000F2760" w:rsidRPr="00E721CF" w:rsidRDefault="000F2760" w:rsidP="000741C1">
            <w:pPr>
              <w:pStyle w:val="LDTableP1a"/>
            </w:pPr>
            <w:r w:rsidRPr="00E721CF">
              <w:t>(d)</w:t>
            </w:r>
            <w:r w:rsidRPr="00E721CF">
              <w:tab/>
              <w:t>cultivating or propagating plants, fungi or their products or parts;</w:t>
            </w:r>
          </w:p>
          <w:p w14:paraId="0B0FB492" w14:textId="77777777" w:rsidR="000F2760" w:rsidRPr="00E721CF" w:rsidRDefault="000F2760" w:rsidP="000741C1">
            <w:pPr>
              <w:pStyle w:val="LDTableP1a"/>
            </w:pPr>
            <w:r w:rsidRPr="00E721CF">
              <w:t>(e)</w:t>
            </w:r>
            <w:r w:rsidRPr="00E721CF">
              <w:tab/>
              <w:t>immediate processing of plant products;</w:t>
            </w:r>
          </w:p>
          <w:p w14:paraId="748EED46" w14:textId="77777777" w:rsidR="000F2760" w:rsidRPr="00E721CF" w:rsidRDefault="000F2760" w:rsidP="000741C1">
            <w:pPr>
              <w:pStyle w:val="LDTableP1a"/>
            </w:pPr>
            <w:r w:rsidRPr="00E721CF">
              <w:t>(f)</w:t>
            </w:r>
            <w:r w:rsidRPr="00E721CF">
              <w:tab/>
              <w:t>maintaining animals for the purposes of selling them or their bodily produce, including natural increase;</w:t>
            </w:r>
          </w:p>
          <w:p w14:paraId="2A318507" w14:textId="77777777" w:rsidR="000F2760" w:rsidRPr="00E721CF" w:rsidRDefault="000F2760" w:rsidP="000741C1">
            <w:pPr>
              <w:pStyle w:val="LDTableP1a"/>
            </w:pPr>
            <w:r w:rsidRPr="00E721CF">
              <w:t>(g)</w:t>
            </w:r>
            <w:r w:rsidRPr="00E721CF">
              <w:tab/>
              <w:t>immediate processing of animal products including shearing, butchery, packing and tanning, but not including secondary processing;</w:t>
            </w:r>
          </w:p>
          <w:p w14:paraId="48C914EA" w14:textId="77777777" w:rsidR="000F2760" w:rsidRPr="00E721CF" w:rsidRDefault="000F2760" w:rsidP="000741C1">
            <w:pPr>
              <w:pStyle w:val="LDTableP1a"/>
            </w:pPr>
            <w:r w:rsidRPr="00E721CF">
              <w:t>(h)</w:t>
            </w:r>
            <w:r w:rsidRPr="00E721CF">
              <w:tab/>
              <w:t>manufacturing dairy produce from raw material</w:t>
            </w:r>
          </w:p>
        </w:tc>
      </w:tr>
      <w:tr w:rsidR="00E721CF" w:rsidRPr="00E721CF" w14:paraId="283EB32C" w14:textId="77777777" w:rsidTr="000741C1">
        <w:tc>
          <w:tcPr>
            <w:tcW w:w="818" w:type="dxa"/>
            <w:tcBorders>
              <w:top w:val="single" w:sz="4" w:space="0" w:color="auto"/>
              <w:bottom w:val="single" w:sz="4" w:space="0" w:color="auto"/>
            </w:tcBorders>
          </w:tcPr>
          <w:p w14:paraId="1F4C1D1E" w14:textId="77777777" w:rsidR="000F2760" w:rsidRPr="00E721CF" w:rsidRDefault="000F2760" w:rsidP="000741C1">
            <w:pPr>
              <w:pStyle w:val="LDTabletext"/>
            </w:pPr>
            <w:r w:rsidRPr="00E721CF">
              <w:t>2</w:t>
            </w:r>
          </w:p>
        </w:tc>
        <w:tc>
          <w:tcPr>
            <w:tcW w:w="7659" w:type="dxa"/>
            <w:tcBorders>
              <w:top w:val="single" w:sz="4" w:space="0" w:color="auto"/>
              <w:bottom w:val="single" w:sz="4" w:space="0" w:color="auto"/>
            </w:tcBorders>
          </w:tcPr>
          <w:p w14:paraId="4605C33E" w14:textId="77777777" w:rsidR="000F2760" w:rsidRPr="00E721CF" w:rsidRDefault="000F2760" w:rsidP="000741C1">
            <w:pPr>
              <w:pStyle w:val="LDTableP1a"/>
              <w:rPr>
                <w:lang w:eastAsia="en-AU"/>
              </w:rPr>
            </w:pPr>
            <w:r w:rsidRPr="00E721CF">
              <w:rPr>
                <w:lang w:eastAsia="en-AU"/>
              </w:rPr>
              <w:t>Construction:</w:t>
            </w:r>
          </w:p>
          <w:p w14:paraId="661FF5F7" w14:textId="77777777" w:rsidR="000F2760" w:rsidRPr="00E721CF" w:rsidRDefault="000F2760" w:rsidP="000741C1">
            <w:pPr>
              <w:pStyle w:val="LDTableP1a"/>
            </w:pPr>
            <w:r w:rsidRPr="00E721CF">
              <w:t>(a)</w:t>
            </w:r>
            <w:r w:rsidRPr="00E721CF">
              <w:tab/>
              <w:t>building construction;</w:t>
            </w:r>
          </w:p>
          <w:p w14:paraId="732BF9C4" w14:textId="77777777" w:rsidR="000F2760" w:rsidRPr="00E721CF" w:rsidRDefault="000F2760" w:rsidP="000741C1">
            <w:pPr>
              <w:pStyle w:val="LDTableP1a"/>
            </w:pPr>
            <w:r w:rsidRPr="00E721CF">
              <w:t>(b)</w:t>
            </w:r>
            <w:r w:rsidRPr="00E721CF">
              <w:tab/>
              <w:t>heavy and civil engineering construction;</w:t>
            </w:r>
          </w:p>
          <w:p w14:paraId="7919C9C3" w14:textId="77777777" w:rsidR="000F2760" w:rsidRPr="00E721CF" w:rsidRDefault="000F2760" w:rsidP="000741C1">
            <w:pPr>
              <w:pStyle w:val="LDTableP1a"/>
            </w:pPr>
            <w:r w:rsidRPr="00E721CF">
              <w:t>(c)</w:t>
            </w:r>
            <w:r w:rsidRPr="00E721CF">
              <w:tab/>
              <w:t>land development and site preparation services;</w:t>
            </w:r>
          </w:p>
          <w:p w14:paraId="6D5E3DE4" w14:textId="77777777" w:rsidR="000F2760" w:rsidRPr="00E721CF" w:rsidRDefault="000F2760" w:rsidP="000741C1">
            <w:pPr>
              <w:pStyle w:val="LDTableP1a"/>
            </w:pPr>
            <w:r w:rsidRPr="00E721CF">
              <w:t>(d)</w:t>
            </w:r>
            <w:r w:rsidRPr="00E721CF">
              <w:tab/>
              <w:t>building structure services;</w:t>
            </w:r>
          </w:p>
          <w:p w14:paraId="53793E00" w14:textId="77777777" w:rsidR="000F2760" w:rsidRPr="00E721CF" w:rsidRDefault="000F2760" w:rsidP="000741C1">
            <w:pPr>
              <w:pStyle w:val="LDTableP1a"/>
            </w:pPr>
            <w:r w:rsidRPr="00E721CF">
              <w:t>(e)</w:t>
            </w:r>
            <w:r w:rsidRPr="00E721CF">
              <w:tab/>
              <w:t>building installation services;</w:t>
            </w:r>
          </w:p>
          <w:p w14:paraId="6D4C6EAC" w14:textId="77777777" w:rsidR="000F2760" w:rsidRPr="00E721CF" w:rsidRDefault="000F2760" w:rsidP="000741C1">
            <w:pPr>
              <w:pStyle w:val="LDTableP1a"/>
            </w:pPr>
            <w:r w:rsidRPr="00E721CF">
              <w:t>(f)</w:t>
            </w:r>
            <w:r w:rsidRPr="00E721CF">
              <w:tab/>
              <w:t>building completion services</w:t>
            </w:r>
          </w:p>
        </w:tc>
      </w:tr>
    </w:tbl>
    <w:p w14:paraId="09CA176F" w14:textId="6506A57A" w:rsidR="00073F15" w:rsidRPr="00E721CF" w:rsidRDefault="00003AA8" w:rsidP="00073F15">
      <w:pPr>
        <w:pStyle w:val="LDSecHead"/>
      </w:pPr>
      <w:r w:rsidRPr="00E721CF">
        <w:rPr>
          <w:noProof/>
        </w:rPr>
        <w:t>7</w:t>
      </w:r>
      <w:r w:rsidR="00073F15" w:rsidRPr="00E721CF">
        <w:tab/>
        <w:t>Tourism and hospitality work</w:t>
      </w:r>
    </w:p>
    <w:p w14:paraId="5A18942D" w14:textId="77777777" w:rsidR="00003AA8" w:rsidRPr="00E721CF" w:rsidRDefault="00003AA8" w:rsidP="00003AA8">
      <w:pPr>
        <w:pStyle w:val="LDSec1"/>
        <w:keepNext/>
        <w:ind w:hanging="737"/>
      </w:pPr>
      <w:r w:rsidRPr="00E721CF">
        <w:tab/>
        <w:t>(1)</w:t>
      </w:r>
      <w:r w:rsidRPr="00E721CF">
        <w:tab/>
        <w:t xml:space="preserve">Northern Australia and Remote and Very Remote Australia are specified if the work carried out in those areas is: </w:t>
      </w:r>
    </w:p>
    <w:p w14:paraId="7BF96447" w14:textId="77777777" w:rsidR="00003AA8" w:rsidRPr="00E721CF" w:rsidRDefault="00003AA8" w:rsidP="00003AA8">
      <w:pPr>
        <w:pStyle w:val="LDP1a"/>
      </w:pPr>
      <w:r w:rsidRPr="00E721CF">
        <w:t>(a)</w:t>
      </w:r>
      <w:r w:rsidRPr="00E721CF">
        <w:tab/>
      </w:r>
      <w:proofErr w:type="gramStart"/>
      <w:r w:rsidRPr="00E721CF">
        <w:t>a</w:t>
      </w:r>
      <w:proofErr w:type="gramEnd"/>
      <w:r w:rsidRPr="00E721CF">
        <w:t xml:space="preserve"> kind of work mentioned in subsection (2); and </w:t>
      </w:r>
    </w:p>
    <w:p w14:paraId="2988E125" w14:textId="77777777" w:rsidR="00003AA8" w:rsidRPr="00E721CF" w:rsidRDefault="00003AA8" w:rsidP="00003AA8">
      <w:pPr>
        <w:pStyle w:val="LDP1a"/>
      </w:pPr>
      <w:r w:rsidRPr="00E721CF">
        <w:t>(b)</w:t>
      </w:r>
      <w:r w:rsidRPr="00E721CF">
        <w:tab/>
      </w:r>
      <w:proofErr w:type="gramStart"/>
      <w:r w:rsidRPr="00E721CF">
        <w:t>carried</w:t>
      </w:r>
      <w:proofErr w:type="gramEnd"/>
      <w:r w:rsidRPr="00E721CF">
        <w:t xml:space="preserve"> out after 21 June 2021.</w:t>
      </w:r>
    </w:p>
    <w:p w14:paraId="03320AE8" w14:textId="77777777" w:rsidR="00003AA8" w:rsidRPr="00E721CF" w:rsidRDefault="00003AA8" w:rsidP="00003AA8">
      <w:pPr>
        <w:pStyle w:val="LDSec1"/>
        <w:keepNext/>
        <w:ind w:hanging="737"/>
      </w:pPr>
      <w:r w:rsidRPr="00E721CF">
        <w:tab/>
        <w:t>(2)</w:t>
      </w:r>
      <w:r w:rsidRPr="00E721CF">
        <w:tab/>
        <w:t xml:space="preserve">Tourism and hospitality work is specified if carried out in Northern Australia and Remote and Very Remote Australia for a person providing one or more of the following services: </w:t>
      </w:r>
    </w:p>
    <w:p w14:paraId="3E27DBB0" w14:textId="5D7FC341" w:rsidR="00A22426" w:rsidRPr="00E721CF" w:rsidRDefault="00A22426" w:rsidP="00A22426">
      <w:pPr>
        <w:pStyle w:val="LDP1a"/>
      </w:pPr>
      <w:r w:rsidRPr="00E721CF">
        <w:t>(a)</w:t>
      </w:r>
      <w:r w:rsidRPr="00E721CF">
        <w:tab/>
      </w:r>
      <w:proofErr w:type="gramStart"/>
      <w:r w:rsidRPr="00E721CF">
        <w:t>accommodation</w:t>
      </w:r>
      <w:proofErr w:type="gramEnd"/>
      <w:r w:rsidRPr="00E721CF">
        <w:t>, including:</w:t>
      </w:r>
    </w:p>
    <w:p w14:paraId="1A23B8AB" w14:textId="7FEEF29D" w:rsidR="00A22426" w:rsidRPr="00E721CF" w:rsidRDefault="00A22426" w:rsidP="00A22426">
      <w:pPr>
        <w:pStyle w:val="LDP2i"/>
        <w:rPr>
          <w:sz w:val="20"/>
        </w:rPr>
      </w:pPr>
      <w:r w:rsidRPr="00E721CF">
        <w:tab/>
        <w:t>(</w:t>
      </w:r>
      <w:proofErr w:type="spellStart"/>
      <w:r w:rsidRPr="00E721CF">
        <w:t>i</w:t>
      </w:r>
      <w:proofErr w:type="spellEnd"/>
      <w:r w:rsidRPr="00E721CF">
        <w:t>)</w:t>
      </w:r>
      <w:r w:rsidRPr="00E721CF">
        <w:tab/>
      </w:r>
      <w:proofErr w:type="gramStart"/>
      <w:r w:rsidRPr="00E721CF">
        <w:t>hotels</w:t>
      </w:r>
      <w:proofErr w:type="gramEnd"/>
      <w:r w:rsidRPr="00E721CF">
        <w:t xml:space="preserve">, motels, bed </w:t>
      </w:r>
      <w:r w:rsidR="00091D13" w:rsidRPr="00E721CF">
        <w:t xml:space="preserve">and </w:t>
      </w:r>
      <w:r w:rsidRPr="00E721CF">
        <w:t>breakfasts</w:t>
      </w:r>
      <w:r w:rsidR="00AE09AC" w:rsidRPr="00E721CF">
        <w:t>,</w:t>
      </w:r>
      <w:r w:rsidRPr="00E721CF">
        <w:t xml:space="preserve"> and </w:t>
      </w:r>
      <w:r w:rsidR="00DF096E" w:rsidRPr="00E721CF">
        <w:t>backpacker hostels</w:t>
      </w:r>
      <w:r w:rsidRPr="00E721CF">
        <w:t>;</w:t>
      </w:r>
    </w:p>
    <w:p w14:paraId="677047C5" w14:textId="403C1875" w:rsidR="00A22426" w:rsidRPr="00E721CF" w:rsidRDefault="00A22426" w:rsidP="00A22426">
      <w:pPr>
        <w:pStyle w:val="LDP2i"/>
      </w:pPr>
      <w:r w:rsidRPr="00E721CF">
        <w:tab/>
        <w:t>(ii)</w:t>
      </w:r>
      <w:r w:rsidRPr="00E721CF">
        <w:tab/>
      </w:r>
      <w:proofErr w:type="gramStart"/>
      <w:r w:rsidRPr="00E721CF">
        <w:t>caravan</w:t>
      </w:r>
      <w:proofErr w:type="gramEnd"/>
      <w:r w:rsidRPr="00E721CF">
        <w:t xml:space="preserve"> parks and camping grounds;</w:t>
      </w:r>
    </w:p>
    <w:p w14:paraId="597E2DA0" w14:textId="77777777" w:rsidR="00A22426" w:rsidRPr="00E721CF" w:rsidRDefault="00A22426" w:rsidP="00A22426">
      <w:pPr>
        <w:pStyle w:val="LDP2i"/>
      </w:pPr>
      <w:r w:rsidRPr="00E721CF">
        <w:tab/>
        <w:t>(iii)</w:t>
      </w:r>
      <w:r w:rsidRPr="00E721CF">
        <w:tab/>
      </w:r>
      <w:proofErr w:type="gramStart"/>
      <w:r w:rsidRPr="00E721CF">
        <w:t>commercial</w:t>
      </w:r>
      <w:proofErr w:type="gramEnd"/>
      <w:r w:rsidRPr="00E721CF">
        <w:t xml:space="preserve"> housekeeping services;</w:t>
      </w:r>
    </w:p>
    <w:p w14:paraId="58A943E4" w14:textId="3B7EA2E6" w:rsidR="00A22426" w:rsidRPr="00E721CF" w:rsidRDefault="00A22426" w:rsidP="00A22426">
      <w:pPr>
        <w:pStyle w:val="LDP2i"/>
      </w:pPr>
      <w:r w:rsidRPr="00E721CF">
        <w:tab/>
        <w:t>(iv)</w:t>
      </w:r>
      <w:r w:rsidRPr="00E721CF">
        <w:tab/>
      </w:r>
      <w:proofErr w:type="gramStart"/>
      <w:r w:rsidRPr="00E721CF">
        <w:t>boarding</w:t>
      </w:r>
      <w:proofErr w:type="gramEnd"/>
      <w:r w:rsidRPr="00E721CF">
        <w:t xml:space="preserve"> houses, guest houses and reception centres;</w:t>
      </w:r>
    </w:p>
    <w:p w14:paraId="709E69D3" w14:textId="0C2724E0" w:rsidR="00A22426" w:rsidRPr="00E721CF" w:rsidRDefault="00A22426" w:rsidP="00A22426">
      <w:pPr>
        <w:pStyle w:val="LDP1a"/>
      </w:pPr>
      <w:r w:rsidRPr="00E721CF">
        <w:t>(b)</w:t>
      </w:r>
      <w:r w:rsidRPr="00E721CF">
        <w:tab/>
      </w:r>
      <w:proofErr w:type="gramStart"/>
      <w:r w:rsidRPr="00E721CF">
        <w:t>food</w:t>
      </w:r>
      <w:proofErr w:type="gramEnd"/>
      <w:r w:rsidRPr="00E721CF">
        <w:t xml:space="preserve"> and beverage, i</w:t>
      </w:r>
      <w:r w:rsidR="0087629A" w:rsidRPr="00E721CF">
        <w:t>ncluding</w:t>
      </w:r>
      <w:r w:rsidRPr="00E721CF">
        <w:t>:</w:t>
      </w:r>
    </w:p>
    <w:p w14:paraId="084EC85B" w14:textId="77777777" w:rsidR="00A22426" w:rsidRPr="00E721CF" w:rsidRDefault="00A22426" w:rsidP="00A22426">
      <w:pPr>
        <w:pStyle w:val="LDP2i"/>
      </w:pPr>
      <w:r w:rsidRPr="00E721CF">
        <w:tab/>
        <w:t>(</w:t>
      </w:r>
      <w:proofErr w:type="spellStart"/>
      <w:r w:rsidRPr="00E721CF">
        <w:t>i</w:t>
      </w:r>
      <w:proofErr w:type="spellEnd"/>
      <w:r w:rsidRPr="00E721CF">
        <w:t>)</w:t>
      </w:r>
      <w:r w:rsidRPr="00E721CF">
        <w:tab/>
      </w:r>
      <w:proofErr w:type="gramStart"/>
      <w:r w:rsidRPr="00E721CF">
        <w:t>cafes</w:t>
      </w:r>
      <w:proofErr w:type="gramEnd"/>
      <w:r w:rsidRPr="00E721CF">
        <w:t xml:space="preserve"> and restaurants;</w:t>
      </w:r>
    </w:p>
    <w:p w14:paraId="5168F28C" w14:textId="77777777" w:rsidR="00A22426" w:rsidRPr="00E721CF" w:rsidRDefault="00A22426" w:rsidP="00A22426">
      <w:pPr>
        <w:pStyle w:val="LDP2i"/>
      </w:pPr>
      <w:r w:rsidRPr="00E721CF">
        <w:tab/>
        <w:t>(ii)</w:t>
      </w:r>
      <w:r w:rsidRPr="00E721CF">
        <w:tab/>
      </w:r>
      <w:proofErr w:type="gramStart"/>
      <w:r w:rsidRPr="00E721CF">
        <w:t>takeaway</w:t>
      </w:r>
      <w:proofErr w:type="gramEnd"/>
      <w:r w:rsidRPr="00E721CF">
        <w:t xml:space="preserve"> food services/businesses;</w:t>
      </w:r>
    </w:p>
    <w:p w14:paraId="422DB422" w14:textId="77777777" w:rsidR="00A22426" w:rsidRPr="00E721CF" w:rsidRDefault="00A22426" w:rsidP="00A22426">
      <w:pPr>
        <w:pStyle w:val="LDP2i"/>
      </w:pPr>
      <w:r w:rsidRPr="00E721CF">
        <w:tab/>
        <w:t>(iii)</w:t>
      </w:r>
      <w:r w:rsidRPr="00E721CF">
        <w:tab/>
      </w:r>
      <w:proofErr w:type="gramStart"/>
      <w:r w:rsidRPr="00E721CF">
        <w:t>catering</w:t>
      </w:r>
      <w:proofErr w:type="gramEnd"/>
      <w:r w:rsidRPr="00E721CF">
        <w:t xml:space="preserve"> services; </w:t>
      </w:r>
    </w:p>
    <w:p w14:paraId="6E645CEE" w14:textId="77777777" w:rsidR="00A22426" w:rsidRPr="00E721CF" w:rsidRDefault="00A22426" w:rsidP="00A22426">
      <w:pPr>
        <w:pStyle w:val="LDP2i"/>
      </w:pPr>
      <w:r w:rsidRPr="00E721CF">
        <w:tab/>
        <w:t>(iv)</w:t>
      </w:r>
      <w:r w:rsidRPr="00E721CF">
        <w:tab/>
      </w:r>
      <w:proofErr w:type="gramStart"/>
      <w:r w:rsidRPr="00E721CF">
        <w:t>pubs</w:t>
      </w:r>
      <w:proofErr w:type="gramEnd"/>
      <w:r w:rsidRPr="00E721CF">
        <w:t>, taverns and bars;</w:t>
      </w:r>
    </w:p>
    <w:p w14:paraId="1B4E1BD6" w14:textId="77777777" w:rsidR="00A22426" w:rsidRPr="00E721CF" w:rsidRDefault="00A22426" w:rsidP="00A22426">
      <w:pPr>
        <w:pStyle w:val="LDP2i"/>
      </w:pPr>
      <w:r w:rsidRPr="00E721CF">
        <w:tab/>
        <w:t>(v)</w:t>
      </w:r>
      <w:r w:rsidRPr="00E721CF">
        <w:tab/>
      </w:r>
      <w:proofErr w:type="gramStart"/>
      <w:r w:rsidRPr="00E721CF">
        <w:t>hospitality</w:t>
      </w:r>
      <w:proofErr w:type="gramEnd"/>
      <w:r w:rsidRPr="00E721CF">
        <w:t xml:space="preserve"> clubs; </w:t>
      </w:r>
    </w:p>
    <w:p w14:paraId="1E8EA082" w14:textId="3ED7DED9" w:rsidR="00A22426" w:rsidRPr="00E721CF" w:rsidRDefault="00A22426" w:rsidP="00A22426">
      <w:pPr>
        <w:pStyle w:val="LDP1a"/>
      </w:pPr>
      <w:r w:rsidRPr="00E721CF">
        <w:t>(c)</w:t>
      </w:r>
      <w:r w:rsidRPr="00E721CF">
        <w:tab/>
      </w:r>
      <w:proofErr w:type="gramStart"/>
      <w:r w:rsidRPr="00E721CF">
        <w:t>services</w:t>
      </w:r>
      <w:proofErr w:type="gramEnd"/>
      <w:r w:rsidRPr="00E721CF">
        <w:t xml:space="preserve"> provided directly to tourists, including:</w:t>
      </w:r>
    </w:p>
    <w:p w14:paraId="60B064CE" w14:textId="77777777" w:rsidR="00A22426" w:rsidRPr="00E721CF" w:rsidRDefault="00A22426" w:rsidP="00A22426">
      <w:pPr>
        <w:pStyle w:val="LDP2i"/>
      </w:pPr>
      <w:r w:rsidRPr="00E721CF">
        <w:tab/>
        <w:t>(</w:t>
      </w:r>
      <w:proofErr w:type="spellStart"/>
      <w:r w:rsidRPr="00E721CF">
        <w:t>i</w:t>
      </w:r>
      <w:proofErr w:type="spellEnd"/>
      <w:r w:rsidRPr="00E721CF">
        <w:t>)</w:t>
      </w:r>
      <w:r w:rsidRPr="00E721CF">
        <w:tab/>
      </w:r>
      <w:proofErr w:type="gramStart"/>
      <w:r w:rsidRPr="00E721CF">
        <w:t>tourist</w:t>
      </w:r>
      <w:proofErr w:type="gramEnd"/>
      <w:r w:rsidRPr="00E721CF">
        <w:t xml:space="preserve"> guides and operators; </w:t>
      </w:r>
    </w:p>
    <w:p w14:paraId="6A181AE9" w14:textId="77777777" w:rsidR="00A22426" w:rsidRPr="00E721CF" w:rsidRDefault="00A22426" w:rsidP="00A22426">
      <w:pPr>
        <w:pStyle w:val="LDP2i"/>
      </w:pPr>
      <w:r w:rsidRPr="00E721CF">
        <w:tab/>
        <w:t>(ii)</w:t>
      </w:r>
      <w:r w:rsidRPr="00E721CF">
        <w:tab/>
      </w:r>
      <w:proofErr w:type="gramStart"/>
      <w:r w:rsidRPr="00E721CF">
        <w:t>outdoor</w:t>
      </w:r>
      <w:proofErr w:type="gramEnd"/>
      <w:r w:rsidRPr="00E721CF">
        <w:t xml:space="preserve"> adventure or activity instructors; </w:t>
      </w:r>
    </w:p>
    <w:p w14:paraId="39CD41F3" w14:textId="1234E046" w:rsidR="00A22426" w:rsidRPr="00E721CF" w:rsidRDefault="00A22426" w:rsidP="00A22426">
      <w:pPr>
        <w:pStyle w:val="LDP2i"/>
      </w:pPr>
      <w:r w:rsidRPr="00E721CF">
        <w:tab/>
        <w:t>(iii)</w:t>
      </w:r>
      <w:r w:rsidRPr="00E721CF">
        <w:tab/>
      </w:r>
      <w:proofErr w:type="gramStart"/>
      <w:r w:rsidRPr="00E721CF">
        <w:t>tourist</w:t>
      </w:r>
      <w:proofErr w:type="gramEnd"/>
      <w:r w:rsidRPr="00E721CF">
        <w:t xml:space="preserve"> transport service</w:t>
      </w:r>
      <w:r w:rsidR="00DF096E" w:rsidRPr="00E721CF">
        <w:t xml:space="preserve"> worker</w:t>
      </w:r>
      <w:r w:rsidRPr="00E721CF">
        <w:t xml:space="preserve">s; </w:t>
      </w:r>
    </w:p>
    <w:p w14:paraId="1267D0EF" w14:textId="77777777" w:rsidR="00A22426" w:rsidRPr="00E721CF" w:rsidRDefault="00A22426" w:rsidP="00A22426">
      <w:pPr>
        <w:pStyle w:val="LDP2i"/>
      </w:pPr>
      <w:r w:rsidRPr="00E721CF">
        <w:tab/>
        <w:t>(iv)</w:t>
      </w:r>
      <w:r w:rsidRPr="00E721CF">
        <w:tab/>
      </w:r>
      <w:proofErr w:type="gramStart"/>
      <w:r w:rsidRPr="00E721CF">
        <w:t>gallery</w:t>
      </w:r>
      <w:proofErr w:type="gramEnd"/>
      <w:r w:rsidRPr="00E721CF">
        <w:t xml:space="preserve"> or museum workers, curators or guides;</w:t>
      </w:r>
    </w:p>
    <w:p w14:paraId="4CDB7711" w14:textId="77777777" w:rsidR="00DF096E" w:rsidRPr="00E721CF" w:rsidRDefault="00A22426" w:rsidP="00A22426">
      <w:pPr>
        <w:pStyle w:val="LDP2i"/>
      </w:pPr>
      <w:r w:rsidRPr="00E721CF">
        <w:tab/>
        <w:t>(v)</w:t>
      </w:r>
      <w:r w:rsidRPr="00E721CF">
        <w:tab/>
      </w:r>
      <w:proofErr w:type="gramStart"/>
      <w:r w:rsidRPr="00E721CF">
        <w:t>travel</w:t>
      </w:r>
      <w:proofErr w:type="gramEnd"/>
      <w:r w:rsidRPr="00E721CF">
        <w:t xml:space="preserve"> agency and tourist information workers</w:t>
      </w:r>
      <w:r w:rsidR="00DF096E" w:rsidRPr="00E721CF">
        <w:t>;</w:t>
      </w:r>
    </w:p>
    <w:p w14:paraId="33C72981" w14:textId="07536400" w:rsidR="00A22426" w:rsidRPr="00E721CF" w:rsidRDefault="00DF096E" w:rsidP="00A22426">
      <w:pPr>
        <w:pStyle w:val="LDP2i"/>
      </w:pPr>
      <w:r w:rsidRPr="00E721CF">
        <w:tab/>
        <w:t>(vi)</w:t>
      </w:r>
      <w:r w:rsidRPr="00E721CF">
        <w:tab/>
      </w:r>
      <w:proofErr w:type="gramStart"/>
      <w:r w:rsidRPr="00E721CF">
        <w:t>event</w:t>
      </w:r>
      <w:proofErr w:type="gramEnd"/>
      <w:r w:rsidRPr="00E721CF">
        <w:t xml:space="preserve"> and entertainment venue workers</w:t>
      </w:r>
      <w:r w:rsidR="00A22426" w:rsidRPr="00E721CF">
        <w:t>.</w:t>
      </w:r>
    </w:p>
    <w:p w14:paraId="3238D9D2" w14:textId="459B5967" w:rsidR="00CA57A3" w:rsidRPr="00E721CF" w:rsidRDefault="00003AA8" w:rsidP="000253DC">
      <w:pPr>
        <w:pStyle w:val="LDSecHead"/>
      </w:pPr>
      <w:r w:rsidRPr="00E721CF">
        <w:rPr>
          <w:noProof/>
        </w:rPr>
        <w:t>8</w:t>
      </w:r>
      <w:r w:rsidR="00CA57A3" w:rsidRPr="00E721CF">
        <w:tab/>
        <w:t>Bushfire recovery work</w:t>
      </w:r>
    </w:p>
    <w:p w14:paraId="6CF92451" w14:textId="77777777" w:rsidR="00003AA8" w:rsidRPr="00E721CF" w:rsidRDefault="00003AA8" w:rsidP="00003AA8">
      <w:pPr>
        <w:pStyle w:val="LDSec1"/>
      </w:pPr>
      <w:r w:rsidRPr="00E721CF">
        <w:tab/>
        <w:t>(1)</w:t>
      </w:r>
      <w:r w:rsidRPr="00E721CF">
        <w:tab/>
        <w:t>Bushfire affected area is specified if the work carried out in that area is:</w:t>
      </w:r>
    </w:p>
    <w:p w14:paraId="2CF329B1" w14:textId="77777777" w:rsidR="00003AA8" w:rsidRPr="00E721CF" w:rsidRDefault="00003AA8" w:rsidP="00003AA8">
      <w:pPr>
        <w:pStyle w:val="LDP1a"/>
      </w:pPr>
      <w:r w:rsidRPr="00E721CF">
        <w:t>(a)</w:t>
      </w:r>
      <w:r w:rsidRPr="00E721CF">
        <w:tab/>
      </w:r>
      <w:proofErr w:type="gramStart"/>
      <w:r w:rsidRPr="00E721CF">
        <w:t>a</w:t>
      </w:r>
      <w:proofErr w:type="gramEnd"/>
      <w:r w:rsidRPr="00E721CF">
        <w:t xml:space="preserve"> kind of work mentioned in subsection (2); and </w:t>
      </w:r>
    </w:p>
    <w:p w14:paraId="0793454B" w14:textId="77777777" w:rsidR="00003AA8" w:rsidRPr="00E721CF" w:rsidRDefault="00003AA8" w:rsidP="00003AA8">
      <w:pPr>
        <w:pStyle w:val="LDP1a"/>
      </w:pPr>
      <w:r w:rsidRPr="00E721CF">
        <w:t>(b)</w:t>
      </w:r>
      <w:r w:rsidRPr="00E721CF">
        <w:tab/>
      </w:r>
      <w:proofErr w:type="gramStart"/>
      <w:r w:rsidRPr="00E721CF">
        <w:t>carried</w:t>
      </w:r>
      <w:proofErr w:type="gramEnd"/>
      <w:r w:rsidRPr="00E721CF">
        <w:t xml:space="preserve"> out after 31 July 2019.</w:t>
      </w:r>
    </w:p>
    <w:p w14:paraId="37D6077E" w14:textId="77777777" w:rsidR="00003AA8" w:rsidRPr="00E721CF" w:rsidRDefault="00003AA8" w:rsidP="00003AA8">
      <w:pPr>
        <w:pStyle w:val="LDSec1"/>
        <w:keepNext/>
      </w:pPr>
      <w:r w:rsidRPr="00E721CF">
        <w:tab/>
        <w:t>(2)</w:t>
      </w:r>
      <w:r w:rsidRPr="00E721CF">
        <w:tab/>
        <w:t>Bushfire recovery work is specified if carried out in bushfire affected area, including:</w:t>
      </w:r>
    </w:p>
    <w:p w14:paraId="497412D9" w14:textId="6B54EF1B" w:rsidR="00AA05E4" w:rsidRPr="00E721CF" w:rsidRDefault="00AA05E4" w:rsidP="00AA05E4">
      <w:pPr>
        <w:pStyle w:val="LDP1a"/>
      </w:pPr>
      <w:r w:rsidRPr="00E721CF">
        <w:t>(a)</w:t>
      </w:r>
      <w:r w:rsidRPr="00E721CF">
        <w:tab/>
      </w:r>
      <w:proofErr w:type="gramStart"/>
      <w:r w:rsidRPr="00E721CF">
        <w:t>construction</w:t>
      </w:r>
      <w:proofErr w:type="gramEnd"/>
      <w:r w:rsidRPr="00E721CF">
        <w:t>, farming, or any other work in association with recovery or restitution of land, property, farm animals or wildlife;</w:t>
      </w:r>
    </w:p>
    <w:p w14:paraId="0503F94F" w14:textId="77777777" w:rsidR="00AA05E4" w:rsidRPr="00E721CF" w:rsidRDefault="00AA05E4" w:rsidP="00AA05E4">
      <w:pPr>
        <w:pStyle w:val="LDP1a"/>
      </w:pPr>
      <w:r w:rsidRPr="00E721CF">
        <w:t>(b)</w:t>
      </w:r>
      <w:r w:rsidRPr="00E721CF">
        <w:tab/>
      </w:r>
      <w:proofErr w:type="gramStart"/>
      <w:r w:rsidRPr="00E721CF">
        <w:t>providing</w:t>
      </w:r>
      <w:proofErr w:type="gramEnd"/>
      <w:r w:rsidRPr="00E721CF">
        <w:t xml:space="preserve"> support services or assistance to people living, working or volunteering in the affected areas.</w:t>
      </w:r>
    </w:p>
    <w:p w14:paraId="04800373" w14:textId="56F1C74B" w:rsidR="00CA57A3" w:rsidRPr="00E721CF" w:rsidRDefault="00003AA8" w:rsidP="00CA57A3">
      <w:pPr>
        <w:pStyle w:val="LDSecHead"/>
      </w:pPr>
      <w:bookmarkStart w:id="10" w:name="_Toc31201291"/>
      <w:r w:rsidRPr="00E721CF">
        <w:rPr>
          <w:noProof/>
        </w:rPr>
        <w:t>9</w:t>
      </w:r>
      <w:r w:rsidR="00CA57A3" w:rsidRPr="00E721CF">
        <w:tab/>
      </w:r>
      <w:bookmarkEnd w:id="10"/>
      <w:r w:rsidR="00CA57A3" w:rsidRPr="00E721CF">
        <w:t>Critical COVID-19 work in the healthcare and medical sectors</w:t>
      </w:r>
    </w:p>
    <w:p w14:paraId="5BC5BAE3" w14:textId="77777777" w:rsidR="00003AA8" w:rsidRPr="00E721CF" w:rsidRDefault="00003AA8" w:rsidP="00003AA8">
      <w:pPr>
        <w:pStyle w:val="LDSec1"/>
      </w:pPr>
      <w:r w:rsidRPr="00E721CF">
        <w:tab/>
        <w:t>(1)</w:t>
      </w:r>
      <w:r w:rsidRPr="00E721CF">
        <w:tab/>
        <w:t>Each area of Australia is specified if the work carried out in that area is:</w:t>
      </w:r>
    </w:p>
    <w:p w14:paraId="4B9F7B05" w14:textId="77777777" w:rsidR="00003AA8" w:rsidRPr="00E721CF" w:rsidRDefault="00003AA8" w:rsidP="00003AA8">
      <w:pPr>
        <w:pStyle w:val="LDP1a"/>
      </w:pPr>
      <w:r w:rsidRPr="00E721CF">
        <w:t>(a)</w:t>
      </w:r>
      <w:r w:rsidRPr="00E721CF">
        <w:tab/>
      </w:r>
      <w:proofErr w:type="gramStart"/>
      <w:r w:rsidRPr="00E721CF">
        <w:t>a</w:t>
      </w:r>
      <w:proofErr w:type="gramEnd"/>
      <w:r w:rsidRPr="00E721CF">
        <w:t xml:space="preserve"> kind of work mentioned in subsection (2); and</w:t>
      </w:r>
    </w:p>
    <w:p w14:paraId="403F3F84" w14:textId="77777777" w:rsidR="00003AA8" w:rsidRPr="00E721CF" w:rsidRDefault="00003AA8" w:rsidP="00003AA8">
      <w:pPr>
        <w:pStyle w:val="LDP1a"/>
      </w:pPr>
      <w:r w:rsidRPr="00E721CF">
        <w:t>(b)</w:t>
      </w:r>
      <w:r w:rsidRPr="00E721CF">
        <w:tab/>
      </w:r>
      <w:proofErr w:type="gramStart"/>
      <w:r w:rsidRPr="00E721CF">
        <w:t>carried</w:t>
      </w:r>
      <w:proofErr w:type="gramEnd"/>
      <w:r w:rsidRPr="00E721CF">
        <w:t xml:space="preserve"> out</w:t>
      </w:r>
      <w:r w:rsidRPr="00E721CF">
        <w:rPr>
          <w:szCs w:val="22"/>
        </w:rPr>
        <w:t xml:space="preserve"> after 31 January 2020.</w:t>
      </w:r>
    </w:p>
    <w:p w14:paraId="5574767B" w14:textId="77777777" w:rsidR="00003AA8" w:rsidRPr="00E721CF" w:rsidRDefault="00003AA8" w:rsidP="00003AA8">
      <w:pPr>
        <w:pStyle w:val="LDSec1"/>
      </w:pPr>
      <w:r w:rsidRPr="00E721CF">
        <w:tab/>
        <w:t>(2)</w:t>
      </w:r>
      <w:r w:rsidRPr="00E721CF">
        <w:tab/>
        <w:t>C</w:t>
      </w:r>
      <w:r w:rsidRPr="00E721CF">
        <w:rPr>
          <w:szCs w:val="22"/>
        </w:rPr>
        <w:t xml:space="preserve">ritical COVID-19 work in the healthcare and medical sectors </w:t>
      </w:r>
      <w:r w:rsidRPr="00E721CF">
        <w:t>is specified if carried out in each area of Australia, including:</w:t>
      </w:r>
    </w:p>
    <w:p w14:paraId="161D3B0A" w14:textId="15A3111F" w:rsidR="00AA05E4" w:rsidRPr="00E721CF" w:rsidRDefault="00AA05E4" w:rsidP="00AA05E4">
      <w:pPr>
        <w:pStyle w:val="LDP1a"/>
      </w:pPr>
      <w:r w:rsidRPr="00E721CF">
        <w:t>(a)</w:t>
      </w:r>
      <w:r w:rsidRPr="00E721CF">
        <w:tab/>
      </w:r>
      <w:proofErr w:type="gramStart"/>
      <w:r w:rsidRPr="00E721CF">
        <w:t>medical</w:t>
      </w:r>
      <w:proofErr w:type="gramEnd"/>
      <w:r w:rsidRPr="00E721CF">
        <w:t xml:space="preserve"> treatment, nursing, contact tracing, testing and research;</w:t>
      </w:r>
    </w:p>
    <w:p w14:paraId="039B2356" w14:textId="5AEBC6CA" w:rsidR="008430A9" w:rsidRPr="00E721CF" w:rsidRDefault="00AA05E4" w:rsidP="006B3D76">
      <w:pPr>
        <w:pStyle w:val="LDP1a"/>
      </w:pPr>
      <w:r w:rsidRPr="00E721CF">
        <w:t>(b)</w:t>
      </w:r>
      <w:r w:rsidRPr="00E721CF">
        <w:tab/>
      </w:r>
      <w:proofErr w:type="gramStart"/>
      <w:r w:rsidRPr="00E721CF">
        <w:t>support</w:t>
      </w:r>
      <w:proofErr w:type="gramEnd"/>
      <w:r w:rsidRPr="00E721CF">
        <w:t xml:space="preserve"> services such as cleaning of medical and health care facilities and equipment.</w:t>
      </w:r>
    </w:p>
    <w:p w14:paraId="3A2F5F96" w14:textId="23CF353D" w:rsidR="00AC6BB1" w:rsidRPr="00E721CF" w:rsidRDefault="00003AA8" w:rsidP="00AC6BB1">
      <w:pPr>
        <w:pStyle w:val="LDSecHead"/>
      </w:pPr>
      <w:bookmarkStart w:id="11" w:name="_Toc31201294"/>
      <w:r w:rsidRPr="00E721CF">
        <w:rPr>
          <w:noProof/>
        </w:rPr>
        <w:t>10</w:t>
      </w:r>
      <w:r w:rsidR="00AC6BB1" w:rsidRPr="00E721CF">
        <w:tab/>
        <w:t>Repeal</w:t>
      </w:r>
      <w:bookmarkEnd w:id="11"/>
    </w:p>
    <w:p w14:paraId="4672CC3E" w14:textId="05840844" w:rsidR="00AC6BB1" w:rsidRPr="00E721CF" w:rsidRDefault="00AC6BB1" w:rsidP="00AC6BB1">
      <w:pPr>
        <w:pStyle w:val="LDSec1"/>
      </w:pPr>
      <w:r w:rsidRPr="00E721CF">
        <w:tab/>
      </w:r>
      <w:r w:rsidRPr="00E721CF">
        <w:tab/>
      </w:r>
      <w:r w:rsidRPr="00E721CF">
        <w:rPr>
          <w:i/>
        </w:rPr>
        <w:t>Migration (LIN 20/184: Subclass 462 (Work and Holiday) visa</w:t>
      </w:r>
      <w:r w:rsidR="00886035" w:rsidRPr="00E721CF">
        <w:rPr>
          <w:i/>
        </w:rPr>
        <w:t>—</w:t>
      </w:r>
      <w:r w:rsidRPr="00E721CF">
        <w:rPr>
          <w:i/>
        </w:rPr>
        <w:t>Specified work and areas) Instrument 2020</w:t>
      </w:r>
      <w:r w:rsidRPr="00E721CF">
        <w:t xml:space="preserve"> is repealed.</w:t>
      </w:r>
    </w:p>
    <w:p w14:paraId="7FAF27CA" w14:textId="77777777" w:rsidR="00E65EC0" w:rsidRPr="00E721CF" w:rsidRDefault="00E65EC0">
      <w:pPr>
        <w:spacing w:line="240" w:lineRule="auto"/>
        <w:rPr>
          <w:rFonts w:eastAsia="Times New Roman" w:cs="Times New Roman"/>
          <w:sz w:val="24"/>
          <w:szCs w:val="24"/>
        </w:rPr>
      </w:pPr>
      <w:r w:rsidRPr="00E721CF">
        <w:br w:type="page"/>
      </w:r>
    </w:p>
    <w:p w14:paraId="7D967A3F" w14:textId="77777777" w:rsidR="00C562C7" w:rsidRPr="00E721CF" w:rsidRDefault="00E65EC0" w:rsidP="00E65EC0">
      <w:pPr>
        <w:pStyle w:val="LDSchedule"/>
      </w:pPr>
      <w:r w:rsidRPr="00E721CF">
        <w:t>Schedule 1</w:t>
      </w:r>
      <w:r w:rsidRPr="00E721CF">
        <w:tab/>
        <w:t>Specified areas of Australia</w:t>
      </w:r>
    </w:p>
    <w:p w14:paraId="10DCCB7C" w14:textId="77777777" w:rsidR="00E65EC0" w:rsidRPr="00E721CF" w:rsidRDefault="00E65EC0" w:rsidP="00E65EC0">
      <w:pPr>
        <w:pStyle w:val="LDLine"/>
        <w:pBdr>
          <w:bottom w:val="none" w:sz="0" w:space="0" w:color="auto"/>
        </w:pBd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134"/>
        <w:gridCol w:w="1701"/>
        <w:gridCol w:w="5670"/>
      </w:tblGrid>
      <w:tr w:rsidR="00E721CF" w:rsidRPr="00E721CF" w14:paraId="3EB95E67" w14:textId="77777777" w:rsidTr="00C55DA5">
        <w:trPr>
          <w:tblHeader/>
        </w:trPr>
        <w:tc>
          <w:tcPr>
            <w:tcW w:w="709" w:type="dxa"/>
            <w:tcBorders>
              <w:bottom w:val="single" w:sz="4" w:space="0" w:color="auto"/>
            </w:tcBorders>
          </w:tcPr>
          <w:p w14:paraId="01770C9F" w14:textId="77777777" w:rsidR="00E65EC0" w:rsidRPr="00E721CF" w:rsidRDefault="00E65EC0" w:rsidP="00E65EC0">
            <w:pPr>
              <w:pStyle w:val="LDTableheading"/>
            </w:pPr>
            <w:r w:rsidRPr="00E721CF">
              <w:t>Item</w:t>
            </w:r>
          </w:p>
        </w:tc>
        <w:tc>
          <w:tcPr>
            <w:tcW w:w="1134" w:type="dxa"/>
            <w:tcBorders>
              <w:bottom w:val="single" w:sz="4" w:space="0" w:color="auto"/>
            </w:tcBorders>
          </w:tcPr>
          <w:p w14:paraId="4F2BE88F" w14:textId="77777777" w:rsidR="00E65EC0" w:rsidRPr="00E721CF" w:rsidRDefault="00E65EC0" w:rsidP="00E65EC0">
            <w:pPr>
              <w:pStyle w:val="LDTableheading"/>
            </w:pPr>
            <w:r w:rsidRPr="00E721CF">
              <w:t>Area of Australia</w:t>
            </w:r>
          </w:p>
        </w:tc>
        <w:tc>
          <w:tcPr>
            <w:tcW w:w="1701" w:type="dxa"/>
            <w:tcBorders>
              <w:bottom w:val="single" w:sz="4" w:space="0" w:color="auto"/>
            </w:tcBorders>
          </w:tcPr>
          <w:p w14:paraId="628583A6" w14:textId="77777777" w:rsidR="00E65EC0" w:rsidRPr="00E721CF" w:rsidRDefault="00E65EC0" w:rsidP="00E65EC0">
            <w:pPr>
              <w:pStyle w:val="LDTableheading"/>
            </w:pPr>
            <w:r w:rsidRPr="00E721CF">
              <w:rPr>
                <w:lang w:eastAsia="en-AU"/>
              </w:rPr>
              <w:t>State or Territory</w:t>
            </w:r>
          </w:p>
        </w:tc>
        <w:tc>
          <w:tcPr>
            <w:tcW w:w="5670" w:type="dxa"/>
            <w:tcBorders>
              <w:bottom w:val="single" w:sz="4" w:space="0" w:color="auto"/>
            </w:tcBorders>
          </w:tcPr>
          <w:p w14:paraId="37186A78" w14:textId="2B5D5CF8" w:rsidR="00E65EC0" w:rsidRPr="00E721CF" w:rsidRDefault="00E65EC0" w:rsidP="00F7066A">
            <w:pPr>
              <w:pStyle w:val="LDTableheading"/>
              <w:rPr>
                <w:lang w:eastAsia="en-AU"/>
              </w:rPr>
            </w:pPr>
            <w:r w:rsidRPr="00E721CF">
              <w:rPr>
                <w:lang w:eastAsia="en-AU"/>
              </w:rPr>
              <w:t>Postcodes</w:t>
            </w:r>
            <w:r w:rsidR="00F7066A" w:rsidRPr="00E721CF">
              <w:rPr>
                <w:lang w:eastAsia="en-AU"/>
              </w:rPr>
              <w:t xml:space="preserve"> / Areas</w:t>
            </w:r>
          </w:p>
        </w:tc>
      </w:tr>
      <w:tr w:rsidR="00E721CF" w:rsidRPr="00E721CF" w14:paraId="4F67FB73" w14:textId="77777777" w:rsidTr="00C55DA5">
        <w:trPr>
          <w:trHeight w:val="3136"/>
        </w:trPr>
        <w:tc>
          <w:tcPr>
            <w:tcW w:w="709" w:type="dxa"/>
            <w:vMerge w:val="restart"/>
            <w:tcBorders>
              <w:top w:val="single" w:sz="4" w:space="0" w:color="auto"/>
            </w:tcBorders>
          </w:tcPr>
          <w:p w14:paraId="112C161F" w14:textId="56AA7C47" w:rsidR="00C55DA5" w:rsidRPr="00E721CF" w:rsidRDefault="00C55DA5" w:rsidP="00C55DA5">
            <w:pPr>
              <w:pStyle w:val="LDTabletext"/>
            </w:pPr>
            <w:r w:rsidRPr="00E721CF">
              <w:t>1</w:t>
            </w:r>
          </w:p>
        </w:tc>
        <w:tc>
          <w:tcPr>
            <w:tcW w:w="1134" w:type="dxa"/>
            <w:vMerge w:val="restart"/>
            <w:tcBorders>
              <w:top w:val="single" w:sz="4" w:space="0" w:color="auto"/>
            </w:tcBorders>
          </w:tcPr>
          <w:p w14:paraId="635958FC" w14:textId="2DFC6739" w:rsidR="00C55DA5" w:rsidRPr="00E721CF" w:rsidRDefault="00C55DA5" w:rsidP="00C55DA5">
            <w:pPr>
              <w:pStyle w:val="LDTabletext"/>
            </w:pPr>
            <w:r w:rsidRPr="00E721CF">
              <w:t>Bushfire Affected Areas</w:t>
            </w:r>
          </w:p>
        </w:tc>
        <w:tc>
          <w:tcPr>
            <w:tcW w:w="1701" w:type="dxa"/>
            <w:tcBorders>
              <w:top w:val="single" w:sz="4" w:space="0" w:color="auto"/>
            </w:tcBorders>
          </w:tcPr>
          <w:p w14:paraId="75B79E73" w14:textId="3E6BFB53" w:rsidR="00C55DA5" w:rsidRPr="00E721CF" w:rsidRDefault="00C55DA5" w:rsidP="00C55DA5">
            <w:pPr>
              <w:pStyle w:val="LDTabletext"/>
            </w:pPr>
            <w:r w:rsidRPr="00E721CF">
              <w:t>New South Wales</w:t>
            </w:r>
          </w:p>
        </w:tc>
        <w:tc>
          <w:tcPr>
            <w:tcW w:w="5670" w:type="dxa"/>
            <w:tcBorders>
              <w:top w:val="single" w:sz="4" w:space="0" w:color="auto"/>
            </w:tcBorders>
          </w:tcPr>
          <w:p w14:paraId="204698FE" w14:textId="43818426" w:rsidR="00C55DA5" w:rsidRPr="00E721CF" w:rsidRDefault="00C55DA5" w:rsidP="00C55DA5">
            <w:pPr>
              <w:pStyle w:val="LDTabletext"/>
            </w:pPr>
            <w:r w:rsidRPr="00E721CF">
              <w:t xml:space="preserve">Armidale, Ballina, Bega Valley, Bellingen, Blue Mountains, Byron, Central Coast, Cessnock, Clarence Valley, Coffs Harbour, Cootamundra-Gundagai, Eurobodalla, Glen Innes Severn, Goulburn </w:t>
            </w:r>
            <w:proofErr w:type="spellStart"/>
            <w:r w:rsidRPr="00E721CF">
              <w:t>Mulwaree</w:t>
            </w:r>
            <w:proofErr w:type="spellEnd"/>
            <w:r w:rsidRPr="00E721CF">
              <w:t>, Gwydir, Greater Hume, Hawkesbury, Inverell, Kempsey, Ku-ring-gai, Kyogle, Lake Macquarie, Lismore, Lithgow, Mid Coast, Mid-Western, Muswellbrook, Nambucca, Narrabri, Oberon, Penrith, Port Macquarie-Hastings, Queanbeyan-</w:t>
            </w:r>
            <w:proofErr w:type="spellStart"/>
            <w:r w:rsidRPr="00E721CF">
              <w:t>Palerang</w:t>
            </w:r>
            <w:proofErr w:type="spellEnd"/>
            <w:r w:rsidRPr="00E721CF">
              <w:t xml:space="preserve">, Richmond Valley, Shoalhaven, Singleton, Snowy Monaro, Snowy Valleys, Sutherland, Tamworth, Tenterfield, Tweed, Upper Hunter, Upper Lachlan, Uralla, Walcha, Wagga Wagga, </w:t>
            </w:r>
            <w:proofErr w:type="spellStart"/>
            <w:r w:rsidRPr="00E721CF">
              <w:t>Wingecarribee</w:t>
            </w:r>
            <w:proofErr w:type="spellEnd"/>
            <w:r w:rsidRPr="00E721CF">
              <w:t>, Wollondilly</w:t>
            </w:r>
          </w:p>
        </w:tc>
      </w:tr>
      <w:tr w:rsidR="00E721CF" w:rsidRPr="00E721CF" w14:paraId="6C2E5096" w14:textId="77777777" w:rsidTr="00C55DA5">
        <w:trPr>
          <w:trHeight w:val="1432"/>
        </w:trPr>
        <w:tc>
          <w:tcPr>
            <w:tcW w:w="709" w:type="dxa"/>
            <w:vMerge/>
          </w:tcPr>
          <w:p w14:paraId="0133269A" w14:textId="77777777" w:rsidR="00C55DA5" w:rsidRPr="00E721CF" w:rsidRDefault="00C55DA5" w:rsidP="00C55DA5">
            <w:pPr>
              <w:pStyle w:val="LDTabletext"/>
            </w:pPr>
          </w:p>
        </w:tc>
        <w:tc>
          <w:tcPr>
            <w:tcW w:w="1134" w:type="dxa"/>
            <w:vMerge/>
          </w:tcPr>
          <w:p w14:paraId="225C9499" w14:textId="77777777" w:rsidR="00C55DA5" w:rsidRPr="00E721CF" w:rsidRDefault="00C55DA5" w:rsidP="00C55DA5">
            <w:pPr>
              <w:pStyle w:val="LDTabletext"/>
            </w:pPr>
          </w:p>
        </w:tc>
        <w:tc>
          <w:tcPr>
            <w:tcW w:w="1701" w:type="dxa"/>
          </w:tcPr>
          <w:p w14:paraId="54BD8354" w14:textId="4F958222" w:rsidR="00C55DA5" w:rsidRPr="00E721CF" w:rsidRDefault="00C55DA5" w:rsidP="00C55DA5">
            <w:pPr>
              <w:pStyle w:val="LDTabletext"/>
            </w:pPr>
            <w:r w:rsidRPr="00E721CF">
              <w:t>Victoria</w:t>
            </w:r>
          </w:p>
        </w:tc>
        <w:tc>
          <w:tcPr>
            <w:tcW w:w="5670" w:type="dxa"/>
          </w:tcPr>
          <w:p w14:paraId="05641961" w14:textId="26FC0C2D" w:rsidR="00C55DA5" w:rsidRPr="00E721CF" w:rsidRDefault="00C55DA5" w:rsidP="00C55DA5">
            <w:pPr>
              <w:pStyle w:val="LDTabletext"/>
            </w:pPr>
            <w:r w:rsidRPr="00E721CF">
              <w:rPr>
                <w:rFonts w:cs="Times New Roman"/>
                <w:lang w:eastAsia="en-AU"/>
              </w:rPr>
              <w:t>Alpine, Ararat, Ballarat, East Gippsland, Falls Creek, Glenelg, Golden Plains, Greater Bendigo, Indigo, Mansfield, Mount Buller, Mount Hotham, Mount Stirling, Moyne, Northern Grampians, Pyrenees, Southern Grampians, Strathbogie, Towong, Wangaratta, Wellington, Wodonga</w:t>
            </w:r>
          </w:p>
        </w:tc>
      </w:tr>
      <w:tr w:rsidR="00E721CF" w:rsidRPr="00E721CF" w14:paraId="4EF06407" w14:textId="77777777" w:rsidTr="00C55DA5">
        <w:trPr>
          <w:trHeight w:val="984"/>
        </w:trPr>
        <w:tc>
          <w:tcPr>
            <w:tcW w:w="709" w:type="dxa"/>
            <w:vMerge/>
          </w:tcPr>
          <w:p w14:paraId="47D68D18" w14:textId="77777777" w:rsidR="00C55DA5" w:rsidRPr="00E721CF" w:rsidRDefault="00C55DA5" w:rsidP="00C55DA5">
            <w:pPr>
              <w:pStyle w:val="LDTabletext"/>
            </w:pPr>
          </w:p>
        </w:tc>
        <w:tc>
          <w:tcPr>
            <w:tcW w:w="1134" w:type="dxa"/>
            <w:vMerge/>
          </w:tcPr>
          <w:p w14:paraId="0CEF9C47" w14:textId="77777777" w:rsidR="00C55DA5" w:rsidRPr="00E721CF" w:rsidRDefault="00C55DA5" w:rsidP="00C55DA5">
            <w:pPr>
              <w:pStyle w:val="LDTabletext"/>
            </w:pPr>
          </w:p>
        </w:tc>
        <w:tc>
          <w:tcPr>
            <w:tcW w:w="1701" w:type="dxa"/>
          </w:tcPr>
          <w:p w14:paraId="5F4AF900" w14:textId="35AE2A2B" w:rsidR="00C55DA5" w:rsidRPr="00E721CF" w:rsidRDefault="00C55DA5" w:rsidP="00C55DA5">
            <w:pPr>
              <w:pStyle w:val="LDTabletext"/>
            </w:pPr>
            <w:r w:rsidRPr="00E721CF">
              <w:t>Queensland</w:t>
            </w:r>
          </w:p>
        </w:tc>
        <w:tc>
          <w:tcPr>
            <w:tcW w:w="5670" w:type="dxa"/>
          </w:tcPr>
          <w:p w14:paraId="5A3F7174" w14:textId="65914420" w:rsidR="00C55DA5" w:rsidRPr="00E721CF" w:rsidRDefault="00C55DA5" w:rsidP="00C55DA5">
            <w:pPr>
              <w:pStyle w:val="LDTabletext"/>
            </w:pPr>
            <w:r w:rsidRPr="00E721CF">
              <w:rPr>
                <w:rFonts w:cs="Times New Roman"/>
                <w:lang w:eastAsia="en-AU"/>
              </w:rPr>
              <w:t>Bundaberg, Gladstone,</w:t>
            </w:r>
            <w:r w:rsidRPr="00E721CF">
              <w:t xml:space="preserve"> </w:t>
            </w:r>
            <w:r w:rsidRPr="00E721CF">
              <w:rPr>
                <w:rFonts w:cs="Times New Roman"/>
                <w:lang w:eastAsia="en-AU"/>
              </w:rPr>
              <w:t xml:space="preserve">Gold Coast, Gympie, Ipswich, Livingstone, Lockyer </w:t>
            </w:r>
            <w:proofErr w:type="spellStart"/>
            <w:r w:rsidRPr="00E721CF">
              <w:rPr>
                <w:rFonts w:cs="Times New Roman"/>
                <w:lang w:eastAsia="en-AU"/>
              </w:rPr>
              <w:t>Vallev</w:t>
            </w:r>
            <w:proofErr w:type="spellEnd"/>
            <w:r w:rsidRPr="00E721CF">
              <w:rPr>
                <w:rFonts w:cs="Times New Roman"/>
                <w:lang w:eastAsia="en-AU"/>
              </w:rPr>
              <w:t>, Noosa, Redland, Scenic Rim, Somerset, Southern Downs, Sunshine Coast, Toowoomba</w:t>
            </w:r>
          </w:p>
        </w:tc>
      </w:tr>
      <w:tr w:rsidR="00E721CF" w:rsidRPr="00E721CF" w14:paraId="31C30662" w14:textId="77777777" w:rsidTr="00C55DA5">
        <w:trPr>
          <w:trHeight w:val="999"/>
        </w:trPr>
        <w:tc>
          <w:tcPr>
            <w:tcW w:w="709" w:type="dxa"/>
            <w:vMerge/>
          </w:tcPr>
          <w:p w14:paraId="773A482A" w14:textId="77777777" w:rsidR="00C55DA5" w:rsidRPr="00E721CF" w:rsidRDefault="00C55DA5" w:rsidP="00C55DA5">
            <w:pPr>
              <w:pStyle w:val="LDTabletext"/>
            </w:pPr>
          </w:p>
        </w:tc>
        <w:tc>
          <w:tcPr>
            <w:tcW w:w="1134" w:type="dxa"/>
            <w:vMerge/>
          </w:tcPr>
          <w:p w14:paraId="11EF7B7B" w14:textId="77777777" w:rsidR="00C55DA5" w:rsidRPr="00E721CF" w:rsidRDefault="00C55DA5" w:rsidP="00C55DA5">
            <w:pPr>
              <w:pStyle w:val="LDTabletext"/>
            </w:pPr>
          </w:p>
        </w:tc>
        <w:tc>
          <w:tcPr>
            <w:tcW w:w="1701" w:type="dxa"/>
          </w:tcPr>
          <w:p w14:paraId="2B60D9DA" w14:textId="759488F6" w:rsidR="00C55DA5" w:rsidRPr="00E721CF" w:rsidRDefault="00C55DA5" w:rsidP="00C55DA5">
            <w:pPr>
              <w:pStyle w:val="LDTabletext"/>
            </w:pPr>
            <w:r w:rsidRPr="00E721CF">
              <w:t>South Australia</w:t>
            </w:r>
          </w:p>
        </w:tc>
        <w:tc>
          <w:tcPr>
            <w:tcW w:w="5670" w:type="dxa"/>
          </w:tcPr>
          <w:p w14:paraId="3D925491" w14:textId="1DF46B6F" w:rsidR="00C55DA5" w:rsidRPr="00E721CF" w:rsidRDefault="00C55DA5" w:rsidP="00C55DA5">
            <w:pPr>
              <w:pStyle w:val="LDTabletext"/>
            </w:pPr>
            <w:r w:rsidRPr="00E721CF">
              <w:rPr>
                <w:rFonts w:cs="Times New Roman"/>
                <w:lang w:eastAsia="en-AU"/>
              </w:rPr>
              <w:t xml:space="preserve">Adelaide Hills, Coorong, Kangaroo Island, Kingston, Lower Eyre Peninsula, Mid Murray, Mount Barker, Murray Bridge, </w:t>
            </w:r>
            <w:proofErr w:type="spellStart"/>
            <w:r w:rsidRPr="00E721CF">
              <w:rPr>
                <w:rFonts w:cs="Times New Roman"/>
                <w:lang w:eastAsia="en-AU"/>
              </w:rPr>
              <w:t>Playford</w:t>
            </w:r>
            <w:proofErr w:type="spellEnd"/>
            <w:r w:rsidRPr="00E721CF">
              <w:rPr>
                <w:rFonts w:cs="Times New Roman"/>
                <w:lang w:eastAsia="en-AU"/>
              </w:rPr>
              <w:t xml:space="preserve">, Southern Mallee and </w:t>
            </w:r>
            <w:proofErr w:type="spellStart"/>
            <w:r w:rsidRPr="00E721CF">
              <w:rPr>
                <w:rFonts w:cs="Times New Roman"/>
                <w:lang w:eastAsia="en-AU"/>
              </w:rPr>
              <w:t>Yorke</w:t>
            </w:r>
            <w:proofErr w:type="spellEnd"/>
            <w:r w:rsidRPr="00E721CF">
              <w:rPr>
                <w:rFonts w:cs="Times New Roman"/>
                <w:lang w:eastAsia="en-AU"/>
              </w:rPr>
              <w:t xml:space="preserve"> Peninsula</w:t>
            </w:r>
          </w:p>
        </w:tc>
      </w:tr>
      <w:tr w:rsidR="00E721CF" w:rsidRPr="00E721CF" w14:paraId="720757D9" w14:textId="77777777" w:rsidTr="00C55DA5">
        <w:trPr>
          <w:trHeight w:val="560"/>
        </w:trPr>
        <w:tc>
          <w:tcPr>
            <w:tcW w:w="709" w:type="dxa"/>
            <w:vMerge/>
          </w:tcPr>
          <w:p w14:paraId="21D8B0ED" w14:textId="77777777" w:rsidR="00C55DA5" w:rsidRPr="00E721CF" w:rsidRDefault="00C55DA5" w:rsidP="00C55DA5">
            <w:pPr>
              <w:pStyle w:val="LDTabletext"/>
            </w:pPr>
          </w:p>
        </w:tc>
        <w:tc>
          <w:tcPr>
            <w:tcW w:w="1134" w:type="dxa"/>
            <w:vMerge/>
          </w:tcPr>
          <w:p w14:paraId="110826FA" w14:textId="77777777" w:rsidR="00C55DA5" w:rsidRPr="00E721CF" w:rsidRDefault="00C55DA5" w:rsidP="00C55DA5">
            <w:pPr>
              <w:pStyle w:val="LDTabletext"/>
            </w:pPr>
          </w:p>
        </w:tc>
        <w:tc>
          <w:tcPr>
            <w:tcW w:w="1701" w:type="dxa"/>
          </w:tcPr>
          <w:p w14:paraId="00CC051D" w14:textId="5E57414C" w:rsidR="00C55DA5" w:rsidRPr="00E721CF" w:rsidRDefault="00C55DA5" w:rsidP="00C55DA5">
            <w:pPr>
              <w:pStyle w:val="LDTabletext"/>
            </w:pPr>
            <w:r w:rsidRPr="00E721CF">
              <w:t>Tasmania</w:t>
            </w:r>
          </w:p>
        </w:tc>
        <w:tc>
          <w:tcPr>
            <w:tcW w:w="5670" w:type="dxa"/>
          </w:tcPr>
          <w:p w14:paraId="2DECD72B" w14:textId="6F3DED76" w:rsidR="00C55DA5" w:rsidRPr="00E721CF" w:rsidRDefault="00C55DA5" w:rsidP="00C55DA5">
            <w:pPr>
              <w:pStyle w:val="LDTabletext"/>
            </w:pPr>
            <w:r w:rsidRPr="00E721CF">
              <w:rPr>
                <w:rFonts w:cs="Times New Roman"/>
                <w:lang w:eastAsia="en-AU"/>
              </w:rPr>
              <w:t xml:space="preserve">Break </w:t>
            </w:r>
            <w:proofErr w:type="spellStart"/>
            <w:r w:rsidRPr="00E721CF">
              <w:rPr>
                <w:rFonts w:cs="Times New Roman"/>
                <w:lang w:eastAsia="en-AU"/>
              </w:rPr>
              <w:t>O’Day</w:t>
            </w:r>
            <w:proofErr w:type="spellEnd"/>
            <w:r w:rsidRPr="00E721CF">
              <w:rPr>
                <w:rFonts w:cs="Times New Roman"/>
                <w:lang w:eastAsia="en-AU"/>
              </w:rPr>
              <w:t>, Central Highlands and Southern Midlands</w:t>
            </w:r>
          </w:p>
        </w:tc>
      </w:tr>
      <w:tr w:rsidR="00E721CF" w:rsidRPr="00E721CF" w14:paraId="10271D04" w14:textId="77777777" w:rsidTr="00C55DA5">
        <w:trPr>
          <w:trHeight w:val="564"/>
        </w:trPr>
        <w:tc>
          <w:tcPr>
            <w:tcW w:w="709" w:type="dxa"/>
            <w:vMerge/>
          </w:tcPr>
          <w:p w14:paraId="1EC21343" w14:textId="77777777" w:rsidR="00C55DA5" w:rsidRPr="00E721CF" w:rsidRDefault="00C55DA5" w:rsidP="00C55DA5">
            <w:pPr>
              <w:pStyle w:val="LDTabletext"/>
            </w:pPr>
          </w:p>
        </w:tc>
        <w:tc>
          <w:tcPr>
            <w:tcW w:w="1134" w:type="dxa"/>
            <w:vMerge/>
          </w:tcPr>
          <w:p w14:paraId="1669B11B" w14:textId="77777777" w:rsidR="00C55DA5" w:rsidRPr="00E721CF" w:rsidRDefault="00C55DA5" w:rsidP="00C55DA5">
            <w:pPr>
              <w:pStyle w:val="LDTabletext"/>
            </w:pPr>
          </w:p>
        </w:tc>
        <w:tc>
          <w:tcPr>
            <w:tcW w:w="1701" w:type="dxa"/>
          </w:tcPr>
          <w:p w14:paraId="6FBC2263" w14:textId="5470EB3B" w:rsidR="00C55DA5" w:rsidRPr="00E721CF" w:rsidRDefault="00C55DA5" w:rsidP="00C55DA5">
            <w:pPr>
              <w:pStyle w:val="LDTabletext"/>
            </w:pPr>
            <w:r w:rsidRPr="00E721CF">
              <w:t>Australian Capital Territory</w:t>
            </w:r>
          </w:p>
        </w:tc>
        <w:tc>
          <w:tcPr>
            <w:tcW w:w="5670" w:type="dxa"/>
          </w:tcPr>
          <w:p w14:paraId="1F80180B" w14:textId="42CA2DC2" w:rsidR="00C55DA5" w:rsidRPr="00E721CF" w:rsidRDefault="00C55DA5" w:rsidP="00C55DA5">
            <w:pPr>
              <w:pStyle w:val="LDTabletext"/>
            </w:pPr>
            <w:r w:rsidRPr="00E721CF">
              <w:t>All areas</w:t>
            </w:r>
          </w:p>
        </w:tc>
      </w:tr>
      <w:tr w:rsidR="00E721CF" w:rsidRPr="00E721CF" w14:paraId="74BFB910" w14:textId="77777777" w:rsidTr="00E65EC0">
        <w:trPr>
          <w:trHeight w:val="115"/>
        </w:trPr>
        <w:tc>
          <w:tcPr>
            <w:tcW w:w="709" w:type="dxa"/>
            <w:vMerge w:val="restart"/>
            <w:tcBorders>
              <w:top w:val="single" w:sz="4" w:space="0" w:color="auto"/>
            </w:tcBorders>
          </w:tcPr>
          <w:p w14:paraId="686762F7" w14:textId="514DB235" w:rsidR="00C55DA5" w:rsidRPr="00E721CF" w:rsidRDefault="00C55DA5" w:rsidP="00C55DA5">
            <w:pPr>
              <w:pStyle w:val="LDTabletext"/>
            </w:pPr>
            <w:r w:rsidRPr="00E721CF">
              <w:t>2</w:t>
            </w:r>
          </w:p>
        </w:tc>
        <w:tc>
          <w:tcPr>
            <w:tcW w:w="1134" w:type="dxa"/>
            <w:vMerge w:val="restart"/>
            <w:tcBorders>
              <w:top w:val="single" w:sz="4" w:space="0" w:color="auto"/>
            </w:tcBorders>
          </w:tcPr>
          <w:p w14:paraId="614C9DDB" w14:textId="77777777" w:rsidR="00C55DA5" w:rsidRPr="00E721CF" w:rsidRDefault="00C55DA5" w:rsidP="00C55DA5">
            <w:pPr>
              <w:pStyle w:val="LDTabletext"/>
            </w:pPr>
            <w:r w:rsidRPr="00E721CF">
              <w:t>Northern Australia</w:t>
            </w:r>
          </w:p>
        </w:tc>
        <w:tc>
          <w:tcPr>
            <w:tcW w:w="1701" w:type="dxa"/>
            <w:tcBorders>
              <w:top w:val="single" w:sz="4" w:space="0" w:color="auto"/>
            </w:tcBorders>
          </w:tcPr>
          <w:p w14:paraId="5350CBA0" w14:textId="77777777" w:rsidR="00C55DA5" w:rsidRPr="00E721CF" w:rsidRDefault="00C55DA5" w:rsidP="00C55DA5">
            <w:pPr>
              <w:pStyle w:val="LDTabletext"/>
            </w:pPr>
            <w:r w:rsidRPr="00E721CF">
              <w:t>Queensland</w:t>
            </w:r>
          </w:p>
        </w:tc>
        <w:tc>
          <w:tcPr>
            <w:tcW w:w="5670" w:type="dxa"/>
            <w:tcBorders>
              <w:top w:val="single" w:sz="4" w:space="0" w:color="auto"/>
            </w:tcBorders>
          </w:tcPr>
          <w:p w14:paraId="5DA096A2" w14:textId="77777777" w:rsidR="00C55DA5" w:rsidRPr="00E721CF" w:rsidRDefault="00C55DA5" w:rsidP="00C55DA5">
            <w:pPr>
              <w:pStyle w:val="LDTabletext"/>
            </w:pPr>
            <w:r w:rsidRPr="00E721CF">
              <w:t>4472, 4478, 4481, 4482, 4680, 4694, 4695, 4697, 4699 to 4707, 4709 to 4714, 4717, 4720 to 4728, 4730 to 4733, 4735 to 4746, 4750, 4751, 4753, 4754, 4756, 4757, 4798 to 4812, 4814 to 4825, 4828 to 4830, 4849, 4850, 4852, 4854 to 4856, 4858 to 4861, 4865, 4868 to 4888, 4890 to 4892, 4895</w:t>
            </w:r>
          </w:p>
        </w:tc>
      </w:tr>
      <w:tr w:rsidR="00E721CF" w:rsidRPr="00E721CF" w14:paraId="7A17C42C" w14:textId="77777777" w:rsidTr="00E65EC0">
        <w:trPr>
          <w:trHeight w:val="115"/>
        </w:trPr>
        <w:tc>
          <w:tcPr>
            <w:tcW w:w="709" w:type="dxa"/>
            <w:vMerge/>
          </w:tcPr>
          <w:p w14:paraId="7A2B9072" w14:textId="77777777" w:rsidR="00C55DA5" w:rsidRPr="00E721CF" w:rsidRDefault="00C55DA5" w:rsidP="00C55DA5">
            <w:pPr>
              <w:pStyle w:val="LDTabletext"/>
            </w:pPr>
          </w:p>
        </w:tc>
        <w:tc>
          <w:tcPr>
            <w:tcW w:w="1134" w:type="dxa"/>
            <w:vMerge/>
          </w:tcPr>
          <w:p w14:paraId="74516C82" w14:textId="77777777" w:rsidR="00C55DA5" w:rsidRPr="00E721CF" w:rsidRDefault="00C55DA5" w:rsidP="00C55DA5">
            <w:pPr>
              <w:pStyle w:val="LDTabletext"/>
            </w:pPr>
          </w:p>
        </w:tc>
        <w:tc>
          <w:tcPr>
            <w:tcW w:w="1701" w:type="dxa"/>
          </w:tcPr>
          <w:p w14:paraId="72BCA43F" w14:textId="77777777" w:rsidR="00C55DA5" w:rsidRPr="00E721CF" w:rsidRDefault="00C55DA5" w:rsidP="00C55DA5">
            <w:pPr>
              <w:pStyle w:val="LDTabletext"/>
            </w:pPr>
            <w:r w:rsidRPr="00E721CF">
              <w:t>Western Australia</w:t>
            </w:r>
          </w:p>
        </w:tc>
        <w:tc>
          <w:tcPr>
            <w:tcW w:w="5670" w:type="dxa"/>
          </w:tcPr>
          <w:p w14:paraId="49F5E9D1" w14:textId="77777777" w:rsidR="00C55DA5" w:rsidRPr="00E721CF" w:rsidRDefault="00C55DA5" w:rsidP="00C55DA5">
            <w:pPr>
              <w:pStyle w:val="LDTabletext"/>
            </w:pPr>
            <w:r w:rsidRPr="00E721CF">
              <w:t>0872, 6537, 6642, 6646, 6701, 6705, 6707, 6710 to 6714, 6716, 6718, 6720 to 6722, 6725, 6726, 6728, 6740, 6743, 6751, 6753, 6754, 6758, 6760, 6762, 6765, 6770</w:t>
            </w:r>
          </w:p>
        </w:tc>
      </w:tr>
      <w:tr w:rsidR="00E721CF" w:rsidRPr="00E721CF" w14:paraId="7DB62C6A" w14:textId="77777777" w:rsidTr="00E65EC0">
        <w:trPr>
          <w:trHeight w:val="115"/>
        </w:trPr>
        <w:tc>
          <w:tcPr>
            <w:tcW w:w="709" w:type="dxa"/>
            <w:vMerge/>
            <w:tcBorders>
              <w:bottom w:val="single" w:sz="4" w:space="0" w:color="auto"/>
            </w:tcBorders>
          </w:tcPr>
          <w:p w14:paraId="7CCDD699" w14:textId="77777777" w:rsidR="00C55DA5" w:rsidRPr="00E721CF" w:rsidRDefault="00C55DA5" w:rsidP="00C55DA5">
            <w:pPr>
              <w:pStyle w:val="LDTabletext"/>
            </w:pPr>
          </w:p>
        </w:tc>
        <w:tc>
          <w:tcPr>
            <w:tcW w:w="1134" w:type="dxa"/>
            <w:vMerge/>
            <w:tcBorders>
              <w:bottom w:val="single" w:sz="4" w:space="0" w:color="auto"/>
            </w:tcBorders>
          </w:tcPr>
          <w:p w14:paraId="7FAEAD48" w14:textId="77777777" w:rsidR="00C55DA5" w:rsidRPr="00E721CF" w:rsidRDefault="00C55DA5" w:rsidP="00C55DA5">
            <w:pPr>
              <w:pStyle w:val="LDTabletext"/>
            </w:pPr>
          </w:p>
        </w:tc>
        <w:tc>
          <w:tcPr>
            <w:tcW w:w="1701" w:type="dxa"/>
            <w:tcBorders>
              <w:bottom w:val="single" w:sz="4" w:space="0" w:color="auto"/>
            </w:tcBorders>
          </w:tcPr>
          <w:p w14:paraId="6B3A8D2D" w14:textId="77777777" w:rsidR="00C55DA5" w:rsidRPr="00E721CF" w:rsidRDefault="00C55DA5" w:rsidP="00C55DA5">
            <w:pPr>
              <w:pStyle w:val="LDTabletext"/>
            </w:pPr>
            <w:r w:rsidRPr="00E721CF">
              <w:t>Northern Territory</w:t>
            </w:r>
          </w:p>
        </w:tc>
        <w:tc>
          <w:tcPr>
            <w:tcW w:w="5670" w:type="dxa"/>
            <w:tcBorders>
              <w:bottom w:val="single" w:sz="4" w:space="0" w:color="auto"/>
            </w:tcBorders>
          </w:tcPr>
          <w:p w14:paraId="4046F873" w14:textId="77777777" w:rsidR="00C55DA5" w:rsidRPr="00E721CF" w:rsidRDefault="00C55DA5" w:rsidP="00C55DA5">
            <w:pPr>
              <w:pStyle w:val="LDTabletext"/>
            </w:pPr>
            <w:r w:rsidRPr="00E721CF">
              <w:t>All postcodes</w:t>
            </w:r>
          </w:p>
        </w:tc>
      </w:tr>
      <w:tr w:rsidR="00E721CF" w:rsidRPr="00E721CF" w14:paraId="281CAA42" w14:textId="77777777" w:rsidTr="00E65EC0">
        <w:trPr>
          <w:trHeight w:val="44"/>
        </w:trPr>
        <w:tc>
          <w:tcPr>
            <w:tcW w:w="709" w:type="dxa"/>
            <w:vMerge w:val="restart"/>
            <w:tcBorders>
              <w:top w:val="single" w:sz="4" w:space="0" w:color="auto"/>
            </w:tcBorders>
          </w:tcPr>
          <w:p w14:paraId="50D2DA24" w14:textId="7B23AAD6" w:rsidR="00C55DA5" w:rsidRPr="00E721CF" w:rsidRDefault="00C55DA5" w:rsidP="00C55DA5">
            <w:pPr>
              <w:pStyle w:val="LDTabletext"/>
            </w:pPr>
            <w:r w:rsidRPr="00E721CF">
              <w:t>3</w:t>
            </w:r>
          </w:p>
        </w:tc>
        <w:tc>
          <w:tcPr>
            <w:tcW w:w="1134" w:type="dxa"/>
            <w:vMerge w:val="restart"/>
            <w:tcBorders>
              <w:top w:val="single" w:sz="4" w:space="0" w:color="auto"/>
            </w:tcBorders>
          </w:tcPr>
          <w:p w14:paraId="440765D4" w14:textId="77777777" w:rsidR="00C55DA5" w:rsidRPr="00E721CF" w:rsidRDefault="00C55DA5" w:rsidP="00C55DA5">
            <w:pPr>
              <w:pStyle w:val="LDTabletext"/>
            </w:pPr>
            <w:r w:rsidRPr="00E721CF">
              <w:t>Regional Australia</w:t>
            </w:r>
          </w:p>
        </w:tc>
        <w:tc>
          <w:tcPr>
            <w:tcW w:w="1701" w:type="dxa"/>
            <w:tcBorders>
              <w:top w:val="single" w:sz="4" w:space="0" w:color="auto"/>
            </w:tcBorders>
          </w:tcPr>
          <w:p w14:paraId="6ADA4C2E" w14:textId="77777777" w:rsidR="00C55DA5" w:rsidRPr="00E721CF" w:rsidRDefault="00C55DA5" w:rsidP="00C55DA5">
            <w:pPr>
              <w:pStyle w:val="LDTabletext"/>
            </w:pPr>
            <w:r w:rsidRPr="00E721CF">
              <w:t>New South Wales</w:t>
            </w:r>
          </w:p>
        </w:tc>
        <w:tc>
          <w:tcPr>
            <w:tcW w:w="5670" w:type="dxa"/>
            <w:tcBorders>
              <w:top w:val="single" w:sz="4" w:space="0" w:color="auto"/>
            </w:tcBorders>
          </w:tcPr>
          <w:p w14:paraId="53A97C91" w14:textId="77777777" w:rsidR="00C55DA5" w:rsidRPr="00E721CF" w:rsidRDefault="00C55DA5" w:rsidP="00C55DA5">
            <w:pPr>
              <w:pStyle w:val="LDTabletext"/>
            </w:pPr>
            <w:r w:rsidRPr="00E721CF">
              <w:rPr>
                <w:rFonts w:cs="Times New Roman"/>
                <w:lang w:eastAsia="en-AU"/>
              </w:rPr>
              <w:t xml:space="preserve">2311 to </w:t>
            </w:r>
            <w:r w:rsidRPr="00E721CF">
              <w:t>2312,</w:t>
            </w:r>
            <w:r w:rsidRPr="00E721CF">
              <w:rPr>
                <w:rFonts w:cs="Times New Roman"/>
                <w:lang w:eastAsia="en-AU"/>
              </w:rPr>
              <w:t xml:space="preserve"> 2328 to 2411, 2420 to 2490, 2536 to 2551, 2575 to 2594, 2618 to 2739, 2787 to 2898</w:t>
            </w:r>
          </w:p>
        </w:tc>
      </w:tr>
      <w:tr w:rsidR="00E721CF" w:rsidRPr="00E721CF" w14:paraId="60E22411" w14:textId="77777777" w:rsidTr="00E65EC0">
        <w:trPr>
          <w:trHeight w:val="43"/>
        </w:trPr>
        <w:tc>
          <w:tcPr>
            <w:tcW w:w="709" w:type="dxa"/>
            <w:vMerge/>
          </w:tcPr>
          <w:p w14:paraId="7173D97E" w14:textId="77777777" w:rsidR="00C55DA5" w:rsidRPr="00E721CF" w:rsidRDefault="00C55DA5" w:rsidP="00C55DA5">
            <w:pPr>
              <w:pStyle w:val="LDTabletext"/>
            </w:pPr>
          </w:p>
        </w:tc>
        <w:tc>
          <w:tcPr>
            <w:tcW w:w="1134" w:type="dxa"/>
            <w:vMerge/>
          </w:tcPr>
          <w:p w14:paraId="046B9B7B" w14:textId="77777777" w:rsidR="00C55DA5" w:rsidRPr="00E721CF" w:rsidRDefault="00C55DA5" w:rsidP="00C55DA5">
            <w:pPr>
              <w:pStyle w:val="LDTabletext"/>
            </w:pPr>
          </w:p>
        </w:tc>
        <w:tc>
          <w:tcPr>
            <w:tcW w:w="1701" w:type="dxa"/>
          </w:tcPr>
          <w:p w14:paraId="2F3875F5" w14:textId="77777777" w:rsidR="00C55DA5" w:rsidRPr="00E721CF" w:rsidRDefault="00C55DA5" w:rsidP="00C55DA5">
            <w:pPr>
              <w:pStyle w:val="LDTabletext"/>
            </w:pPr>
            <w:r w:rsidRPr="00E721CF">
              <w:t>Victoria</w:t>
            </w:r>
          </w:p>
        </w:tc>
        <w:tc>
          <w:tcPr>
            <w:tcW w:w="5670" w:type="dxa"/>
          </w:tcPr>
          <w:p w14:paraId="2411FB4B" w14:textId="77777777" w:rsidR="00C55DA5" w:rsidRPr="00E721CF" w:rsidRDefault="00C55DA5" w:rsidP="00C55DA5">
            <w:pPr>
              <w:pStyle w:val="LDTabletext"/>
            </w:pPr>
            <w:r w:rsidRPr="00E721CF">
              <w:rPr>
                <w:rFonts w:cs="Times New Roman"/>
                <w:lang w:eastAsia="en-AU"/>
              </w:rPr>
              <w:t>3139, 3211 to 3334, 3340 to 3424, 3430 to 3649, 3658 to 3749, 3753, 3756, 3758, 3762, 3764, 3778 to 3781, 3783, 3797, 3799, 3810 to 3909, 3921 to 3925, 3945 to 3974, 3979, 3981 to 3996</w:t>
            </w:r>
          </w:p>
        </w:tc>
      </w:tr>
      <w:tr w:rsidR="00E721CF" w:rsidRPr="00E721CF" w14:paraId="45F2E4E1" w14:textId="77777777" w:rsidTr="00E65EC0">
        <w:trPr>
          <w:trHeight w:val="43"/>
        </w:trPr>
        <w:tc>
          <w:tcPr>
            <w:tcW w:w="709" w:type="dxa"/>
            <w:vMerge/>
          </w:tcPr>
          <w:p w14:paraId="2A0759FA" w14:textId="77777777" w:rsidR="00995DE3" w:rsidRPr="00E721CF" w:rsidRDefault="00995DE3" w:rsidP="00995DE3">
            <w:pPr>
              <w:pStyle w:val="LDTabletext"/>
            </w:pPr>
          </w:p>
        </w:tc>
        <w:tc>
          <w:tcPr>
            <w:tcW w:w="1134" w:type="dxa"/>
            <w:vMerge/>
          </w:tcPr>
          <w:p w14:paraId="77139BC4" w14:textId="77777777" w:rsidR="00995DE3" w:rsidRPr="00E721CF" w:rsidRDefault="00995DE3" w:rsidP="00995DE3">
            <w:pPr>
              <w:pStyle w:val="LDTabletext"/>
            </w:pPr>
          </w:p>
        </w:tc>
        <w:tc>
          <w:tcPr>
            <w:tcW w:w="1701" w:type="dxa"/>
          </w:tcPr>
          <w:p w14:paraId="464BA723" w14:textId="13D4D805" w:rsidR="00995DE3" w:rsidRPr="00E721CF" w:rsidRDefault="00995DE3" w:rsidP="00995DE3">
            <w:pPr>
              <w:pStyle w:val="LDTabletext"/>
            </w:pPr>
            <w:r w:rsidRPr="00E721CF">
              <w:t>Queensland</w:t>
            </w:r>
          </w:p>
        </w:tc>
        <w:tc>
          <w:tcPr>
            <w:tcW w:w="5670" w:type="dxa"/>
          </w:tcPr>
          <w:p w14:paraId="5F57CA25" w14:textId="677000A5" w:rsidR="00995DE3" w:rsidRPr="00E721CF" w:rsidRDefault="00995DE3" w:rsidP="00995DE3">
            <w:pPr>
              <w:pStyle w:val="LDTabletext"/>
              <w:rPr>
                <w:rFonts w:cs="Times New Roman"/>
                <w:lang w:eastAsia="en-AU"/>
              </w:rPr>
            </w:pPr>
            <w:r w:rsidRPr="00E721CF">
              <w:t>4124 to 4125; 4133; 4211; 4270 to 4272; 4275; 4280; 4285; 4287; 4307 to 4499; 4510; 4512; 4515 to 4519; 4522 to 4899</w:t>
            </w:r>
          </w:p>
        </w:tc>
      </w:tr>
      <w:tr w:rsidR="00E721CF" w:rsidRPr="00E721CF" w14:paraId="07F9C8EB" w14:textId="77777777" w:rsidTr="00E65EC0">
        <w:trPr>
          <w:trHeight w:val="43"/>
        </w:trPr>
        <w:tc>
          <w:tcPr>
            <w:tcW w:w="709" w:type="dxa"/>
            <w:vMerge/>
          </w:tcPr>
          <w:p w14:paraId="700683C4" w14:textId="77777777" w:rsidR="00995DE3" w:rsidRPr="00E721CF" w:rsidRDefault="00995DE3" w:rsidP="00995DE3">
            <w:pPr>
              <w:pStyle w:val="LDTabletext"/>
            </w:pPr>
          </w:p>
        </w:tc>
        <w:tc>
          <w:tcPr>
            <w:tcW w:w="1134" w:type="dxa"/>
            <w:vMerge/>
          </w:tcPr>
          <w:p w14:paraId="44F9E5EC" w14:textId="77777777" w:rsidR="00995DE3" w:rsidRPr="00E721CF" w:rsidRDefault="00995DE3" w:rsidP="00995DE3">
            <w:pPr>
              <w:pStyle w:val="LDTabletext"/>
            </w:pPr>
          </w:p>
        </w:tc>
        <w:tc>
          <w:tcPr>
            <w:tcW w:w="1701" w:type="dxa"/>
          </w:tcPr>
          <w:p w14:paraId="41F661FB" w14:textId="1640CBA9" w:rsidR="00995DE3" w:rsidRPr="00E721CF" w:rsidRDefault="00995DE3" w:rsidP="00995DE3">
            <w:pPr>
              <w:pStyle w:val="LDTabletext"/>
            </w:pPr>
            <w:r w:rsidRPr="00E721CF">
              <w:t>South Australia</w:t>
            </w:r>
          </w:p>
        </w:tc>
        <w:tc>
          <w:tcPr>
            <w:tcW w:w="5670" w:type="dxa"/>
          </w:tcPr>
          <w:p w14:paraId="2419AC75" w14:textId="4ED1D65B" w:rsidR="00995DE3" w:rsidRPr="00E721CF" w:rsidRDefault="00995DE3" w:rsidP="00995DE3">
            <w:pPr>
              <w:pStyle w:val="LDTabletext"/>
            </w:pPr>
            <w:r w:rsidRPr="00E721CF">
              <w:t>All postcodes</w:t>
            </w:r>
          </w:p>
        </w:tc>
      </w:tr>
      <w:tr w:rsidR="00E721CF" w:rsidRPr="00E721CF" w14:paraId="33841A76" w14:textId="77777777" w:rsidTr="00E65EC0">
        <w:trPr>
          <w:trHeight w:val="43"/>
        </w:trPr>
        <w:tc>
          <w:tcPr>
            <w:tcW w:w="709" w:type="dxa"/>
            <w:vMerge/>
          </w:tcPr>
          <w:p w14:paraId="0D3B6A0F" w14:textId="77777777" w:rsidR="00995DE3" w:rsidRPr="00E721CF" w:rsidRDefault="00995DE3" w:rsidP="00995DE3">
            <w:pPr>
              <w:pStyle w:val="LDTabletext"/>
            </w:pPr>
          </w:p>
        </w:tc>
        <w:tc>
          <w:tcPr>
            <w:tcW w:w="1134" w:type="dxa"/>
            <w:vMerge/>
          </w:tcPr>
          <w:p w14:paraId="3B606E55" w14:textId="77777777" w:rsidR="00995DE3" w:rsidRPr="00E721CF" w:rsidRDefault="00995DE3" w:rsidP="00995DE3">
            <w:pPr>
              <w:pStyle w:val="LDTabletext"/>
            </w:pPr>
          </w:p>
        </w:tc>
        <w:tc>
          <w:tcPr>
            <w:tcW w:w="1701" w:type="dxa"/>
          </w:tcPr>
          <w:p w14:paraId="7D758526" w14:textId="5172302B" w:rsidR="00995DE3" w:rsidRPr="00E721CF" w:rsidRDefault="00995DE3" w:rsidP="00995DE3">
            <w:pPr>
              <w:pStyle w:val="LDTabletext"/>
            </w:pPr>
            <w:r w:rsidRPr="00E721CF">
              <w:t>Tasmania</w:t>
            </w:r>
          </w:p>
        </w:tc>
        <w:tc>
          <w:tcPr>
            <w:tcW w:w="5670" w:type="dxa"/>
          </w:tcPr>
          <w:p w14:paraId="2081ED94" w14:textId="24AED337" w:rsidR="00995DE3" w:rsidRPr="00E721CF" w:rsidRDefault="00995DE3" w:rsidP="00995DE3">
            <w:pPr>
              <w:pStyle w:val="LDTabletext"/>
            </w:pPr>
            <w:r w:rsidRPr="00E721CF">
              <w:t>All postcodes</w:t>
            </w:r>
          </w:p>
        </w:tc>
      </w:tr>
      <w:tr w:rsidR="00E721CF" w:rsidRPr="00E721CF" w14:paraId="0DE857ED" w14:textId="77777777" w:rsidTr="00E65EC0">
        <w:trPr>
          <w:trHeight w:val="43"/>
        </w:trPr>
        <w:tc>
          <w:tcPr>
            <w:tcW w:w="709" w:type="dxa"/>
            <w:vMerge/>
          </w:tcPr>
          <w:p w14:paraId="5E8E8660" w14:textId="77777777" w:rsidR="00995DE3" w:rsidRPr="00E721CF" w:rsidRDefault="00995DE3" w:rsidP="00995DE3">
            <w:pPr>
              <w:pStyle w:val="LDTabletext"/>
            </w:pPr>
          </w:p>
        </w:tc>
        <w:tc>
          <w:tcPr>
            <w:tcW w:w="1134" w:type="dxa"/>
            <w:vMerge/>
          </w:tcPr>
          <w:p w14:paraId="1CC607CA" w14:textId="77777777" w:rsidR="00995DE3" w:rsidRPr="00E721CF" w:rsidRDefault="00995DE3" w:rsidP="00995DE3">
            <w:pPr>
              <w:pStyle w:val="LDTabletext"/>
            </w:pPr>
          </w:p>
        </w:tc>
        <w:tc>
          <w:tcPr>
            <w:tcW w:w="1701" w:type="dxa"/>
          </w:tcPr>
          <w:p w14:paraId="74258DF9" w14:textId="77777777" w:rsidR="00995DE3" w:rsidRPr="00E721CF" w:rsidRDefault="00995DE3" w:rsidP="00995DE3">
            <w:pPr>
              <w:pStyle w:val="LDTabletext"/>
            </w:pPr>
            <w:r w:rsidRPr="00E721CF">
              <w:t>Western Australia</w:t>
            </w:r>
          </w:p>
        </w:tc>
        <w:tc>
          <w:tcPr>
            <w:tcW w:w="5670" w:type="dxa"/>
          </w:tcPr>
          <w:p w14:paraId="5FC46F22" w14:textId="28DD0822" w:rsidR="00995DE3" w:rsidRPr="00E721CF" w:rsidRDefault="00995DE3" w:rsidP="00995DE3">
            <w:pPr>
              <w:pStyle w:val="LDTabletext"/>
            </w:pPr>
            <w:r w:rsidRPr="00E721CF">
              <w:t>6041 to 6044; 6055 to 6056; 6069; 6076; 6083 to 6084; 6111; 6121 to 6126; 6200 to 6799</w:t>
            </w:r>
          </w:p>
        </w:tc>
      </w:tr>
      <w:tr w:rsidR="00E721CF" w:rsidRPr="00E721CF" w14:paraId="7C5F617A" w14:textId="77777777" w:rsidTr="00E65EC0">
        <w:trPr>
          <w:trHeight w:val="43"/>
        </w:trPr>
        <w:tc>
          <w:tcPr>
            <w:tcW w:w="709" w:type="dxa"/>
            <w:vMerge/>
          </w:tcPr>
          <w:p w14:paraId="2581DA25" w14:textId="77777777" w:rsidR="00995DE3" w:rsidRPr="00E721CF" w:rsidRDefault="00995DE3" w:rsidP="00995DE3">
            <w:pPr>
              <w:pStyle w:val="LDTabletext"/>
            </w:pPr>
          </w:p>
        </w:tc>
        <w:tc>
          <w:tcPr>
            <w:tcW w:w="1134" w:type="dxa"/>
            <w:vMerge/>
          </w:tcPr>
          <w:p w14:paraId="019A7604" w14:textId="77777777" w:rsidR="00995DE3" w:rsidRPr="00E721CF" w:rsidRDefault="00995DE3" w:rsidP="00995DE3">
            <w:pPr>
              <w:pStyle w:val="LDTabletext"/>
            </w:pPr>
          </w:p>
        </w:tc>
        <w:tc>
          <w:tcPr>
            <w:tcW w:w="1701" w:type="dxa"/>
          </w:tcPr>
          <w:p w14:paraId="1DAE3040" w14:textId="77777777" w:rsidR="00995DE3" w:rsidRPr="00E721CF" w:rsidRDefault="00995DE3" w:rsidP="00995DE3">
            <w:pPr>
              <w:pStyle w:val="LDTabletext"/>
            </w:pPr>
            <w:r w:rsidRPr="00E721CF">
              <w:t>Northern Territory</w:t>
            </w:r>
          </w:p>
        </w:tc>
        <w:tc>
          <w:tcPr>
            <w:tcW w:w="5670" w:type="dxa"/>
          </w:tcPr>
          <w:p w14:paraId="3E7DD4F4" w14:textId="450EEC40" w:rsidR="00995DE3" w:rsidRPr="00E721CF" w:rsidRDefault="00995DE3" w:rsidP="00995DE3">
            <w:pPr>
              <w:pStyle w:val="LDTabletext"/>
            </w:pPr>
            <w:r w:rsidRPr="00E721CF">
              <w:t>All postcodes in the Northern Territory</w:t>
            </w:r>
          </w:p>
        </w:tc>
      </w:tr>
      <w:tr w:rsidR="00E721CF" w:rsidRPr="00E721CF" w14:paraId="47E7E147" w14:textId="77777777" w:rsidTr="00E65EC0">
        <w:trPr>
          <w:trHeight w:val="43"/>
        </w:trPr>
        <w:tc>
          <w:tcPr>
            <w:tcW w:w="709" w:type="dxa"/>
            <w:vMerge/>
            <w:tcBorders>
              <w:bottom w:val="single" w:sz="4" w:space="0" w:color="auto"/>
            </w:tcBorders>
          </w:tcPr>
          <w:p w14:paraId="7D919222" w14:textId="77777777" w:rsidR="00995DE3" w:rsidRPr="00E721CF" w:rsidRDefault="00995DE3" w:rsidP="00995DE3">
            <w:pPr>
              <w:pStyle w:val="LDTabletext"/>
            </w:pPr>
          </w:p>
        </w:tc>
        <w:tc>
          <w:tcPr>
            <w:tcW w:w="1134" w:type="dxa"/>
            <w:vMerge/>
            <w:tcBorders>
              <w:bottom w:val="single" w:sz="4" w:space="0" w:color="auto"/>
            </w:tcBorders>
          </w:tcPr>
          <w:p w14:paraId="54A01FEE" w14:textId="77777777" w:rsidR="00995DE3" w:rsidRPr="00E721CF" w:rsidRDefault="00995DE3" w:rsidP="00995DE3">
            <w:pPr>
              <w:pStyle w:val="LDTabletext"/>
            </w:pPr>
          </w:p>
        </w:tc>
        <w:tc>
          <w:tcPr>
            <w:tcW w:w="1701" w:type="dxa"/>
            <w:tcBorders>
              <w:bottom w:val="single" w:sz="4" w:space="0" w:color="auto"/>
            </w:tcBorders>
          </w:tcPr>
          <w:p w14:paraId="1DF5D7C9" w14:textId="77777777" w:rsidR="00995DE3" w:rsidRPr="00E721CF" w:rsidRDefault="00995DE3" w:rsidP="00995DE3">
            <w:pPr>
              <w:pStyle w:val="LDTabletext"/>
            </w:pPr>
            <w:r w:rsidRPr="00E721CF">
              <w:t>Norfolk Island</w:t>
            </w:r>
          </w:p>
        </w:tc>
        <w:tc>
          <w:tcPr>
            <w:tcW w:w="5670" w:type="dxa"/>
            <w:tcBorders>
              <w:bottom w:val="single" w:sz="4" w:space="0" w:color="auto"/>
            </w:tcBorders>
          </w:tcPr>
          <w:p w14:paraId="7B640A31" w14:textId="77777777" w:rsidR="00995DE3" w:rsidRPr="00E721CF" w:rsidRDefault="00995DE3" w:rsidP="00995DE3">
            <w:pPr>
              <w:pStyle w:val="LDTabletext"/>
            </w:pPr>
            <w:r w:rsidRPr="00E721CF">
              <w:t>All postcodes</w:t>
            </w:r>
          </w:p>
        </w:tc>
      </w:tr>
      <w:tr w:rsidR="00E721CF" w:rsidRPr="00E721CF" w14:paraId="2B369C0C" w14:textId="77777777" w:rsidTr="00E65EC0">
        <w:trPr>
          <w:trHeight w:val="87"/>
        </w:trPr>
        <w:tc>
          <w:tcPr>
            <w:tcW w:w="709" w:type="dxa"/>
            <w:vMerge w:val="restart"/>
            <w:tcBorders>
              <w:top w:val="single" w:sz="4" w:space="0" w:color="auto"/>
            </w:tcBorders>
          </w:tcPr>
          <w:p w14:paraId="25BA34CA" w14:textId="539FBE6A" w:rsidR="00995DE3" w:rsidRPr="00E721CF" w:rsidRDefault="00995DE3" w:rsidP="00995DE3">
            <w:pPr>
              <w:pStyle w:val="LDTabletext"/>
            </w:pPr>
            <w:r w:rsidRPr="00E721CF">
              <w:t>4</w:t>
            </w:r>
          </w:p>
        </w:tc>
        <w:tc>
          <w:tcPr>
            <w:tcW w:w="1134" w:type="dxa"/>
            <w:vMerge w:val="restart"/>
            <w:tcBorders>
              <w:top w:val="single" w:sz="4" w:space="0" w:color="auto"/>
            </w:tcBorders>
          </w:tcPr>
          <w:p w14:paraId="7387F49C" w14:textId="77777777" w:rsidR="00995DE3" w:rsidRPr="00E721CF" w:rsidRDefault="00995DE3" w:rsidP="00995DE3">
            <w:pPr>
              <w:pStyle w:val="LDTabletext"/>
            </w:pPr>
            <w:r w:rsidRPr="00E721CF">
              <w:t>Remote and Very Remote Australia</w:t>
            </w:r>
          </w:p>
        </w:tc>
        <w:tc>
          <w:tcPr>
            <w:tcW w:w="1701" w:type="dxa"/>
            <w:tcBorders>
              <w:top w:val="single" w:sz="4" w:space="0" w:color="auto"/>
            </w:tcBorders>
          </w:tcPr>
          <w:p w14:paraId="41BFEC99" w14:textId="77777777" w:rsidR="00995DE3" w:rsidRPr="00E721CF" w:rsidRDefault="00995DE3" w:rsidP="00995DE3">
            <w:pPr>
              <w:pStyle w:val="LDTabletext"/>
            </w:pPr>
            <w:r w:rsidRPr="00E721CF">
              <w:t>New South Wales</w:t>
            </w:r>
          </w:p>
        </w:tc>
        <w:tc>
          <w:tcPr>
            <w:tcW w:w="5670" w:type="dxa"/>
            <w:tcBorders>
              <w:top w:val="single" w:sz="4" w:space="0" w:color="auto"/>
            </w:tcBorders>
          </w:tcPr>
          <w:p w14:paraId="7AE48105" w14:textId="77777777" w:rsidR="00995DE3" w:rsidRPr="00E721CF" w:rsidRDefault="00995DE3" w:rsidP="00995DE3">
            <w:pPr>
              <w:pStyle w:val="LDTabletext"/>
            </w:pPr>
            <w:r w:rsidRPr="00E721CF">
              <w:t>2356, 2386, 2387, 2396, 2405, 2406, 2672, 2675, 2825, 2826, 2829, 2832 to 283, 2838 to 2840, 2873, 2878, 2879, 2898, 2899</w:t>
            </w:r>
          </w:p>
        </w:tc>
      </w:tr>
      <w:tr w:rsidR="00E721CF" w:rsidRPr="00E721CF" w14:paraId="58B14796" w14:textId="77777777" w:rsidTr="00E65EC0">
        <w:trPr>
          <w:trHeight w:val="83"/>
        </w:trPr>
        <w:tc>
          <w:tcPr>
            <w:tcW w:w="709" w:type="dxa"/>
            <w:vMerge/>
          </w:tcPr>
          <w:p w14:paraId="690D3C51" w14:textId="77777777" w:rsidR="00995DE3" w:rsidRPr="00E721CF" w:rsidRDefault="00995DE3" w:rsidP="00995DE3">
            <w:pPr>
              <w:pStyle w:val="LDTabletext"/>
            </w:pPr>
          </w:p>
        </w:tc>
        <w:tc>
          <w:tcPr>
            <w:tcW w:w="1134" w:type="dxa"/>
            <w:vMerge/>
          </w:tcPr>
          <w:p w14:paraId="3BCFE5F7" w14:textId="77777777" w:rsidR="00995DE3" w:rsidRPr="00E721CF" w:rsidRDefault="00995DE3" w:rsidP="00995DE3">
            <w:pPr>
              <w:pStyle w:val="LDTabletext"/>
            </w:pPr>
          </w:p>
        </w:tc>
        <w:tc>
          <w:tcPr>
            <w:tcW w:w="1701" w:type="dxa"/>
          </w:tcPr>
          <w:p w14:paraId="31B5F5D8" w14:textId="77777777" w:rsidR="00995DE3" w:rsidRPr="00E721CF" w:rsidRDefault="00995DE3" w:rsidP="00995DE3">
            <w:pPr>
              <w:pStyle w:val="LDTabletext"/>
            </w:pPr>
            <w:r w:rsidRPr="00E721CF">
              <w:t>Northern Territory</w:t>
            </w:r>
          </w:p>
        </w:tc>
        <w:tc>
          <w:tcPr>
            <w:tcW w:w="5670" w:type="dxa"/>
          </w:tcPr>
          <w:p w14:paraId="2CA53364" w14:textId="77777777" w:rsidR="00995DE3" w:rsidRPr="00E721CF" w:rsidRDefault="00995DE3" w:rsidP="00995DE3">
            <w:pPr>
              <w:pStyle w:val="LDTabletext"/>
            </w:pPr>
            <w:r w:rsidRPr="00E721CF">
              <w:t>All postcodes</w:t>
            </w:r>
          </w:p>
        </w:tc>
      </w:tr>
      <w:tr w:rsidR="00E721CF" w:rsidRPr="00E721CF" w14:paraId="052984C3" w14:textId="77777777" w:rsidTr="00E65EC0">
        <w:trPr>
          <w:trHeight w:val="83"/>
        </w:trPr>
        <w:tc>
          <w:tcPr>
            <w:tcW w:w="709" w:type="dxa"/>
            <w:vMerge/>
          </w:tcPr>
          <w:p w14:paraId="2414318A" w14:textId="77777777" w:rsidR="00995DE3" w:rsidRPr="00E721CF" w:rsidRDefault="00995DE3" w:rsidP="00995DE3">
            <w:pPr>
              <w:pStyle w:val="LDTabletext"/>
            </w:pPr>
          </w:p>
        </w:tc>
        <w:tc>
          <w:tcPr>
            <w:tcW w:w="1134" w:type="dxa"/>
            <w:vMerge/>
          </w:tcPr>
          <w:p w14:paraId="35BD5220" w14:textId="77777777" w:rsidR="00995DE3" w:rsidRPr="00E721CF" w:rsidRDefault="00995DE3" w:rsidP="00995DE3">
            <w:pPr>
              <w:pStyle w:val="LDTabletext"/>
            </w:pPr>
          </w:p>
        </w:tc>
        <w:tc>
          <w:tcPr>
            <w:tcW w:w="1701" w:type="dxa"/>
          </w:tcPr>
          <w:p w14:paraId="3B046B0B" w14:textId="77777777" w:rsidR="00995DE3" w:rsidRPr="00E721CF" w:rsidRDefault="00995DE3" w:rsidP="00995DE3">
            <w:pPr>
              <w:pStyle w:val="LDTabletext"/>
            </w:pPr>
            <w:r w:rsidRPr="00E721CF">
              <w:t>Queensland</w:t>
            </w:r>
          </w:p>
        </w:tc>
        <w:tc>
          <w:tcPr>
            <w:tcW w:w="5670" w:type="dxa"/>
          </w:tcPr>
          <w:p w14:paraId="338B6189" w14:textId="5FCD7663" w:rsidR="00995DE3" w:rsidRPr="00E721CF" w:rsidRDefault="00995DE3" w:rsidP="00995DE3">
            <w:pPr>
              <w:pStyle w:val="LDTabletext"/>
            </w:pPr>
            <w:r w:rsidRPr="00E721CF">
              <w:t>4025, 4183, 4417 to 4420, 4422, 4423, 4426 to 4428, 4454, 4461, 4462, 4465, 4467, 4468, 4470, , 4474, 4475, 4477 to 4482, 4486 to 4494, 4496, 4497, 4680, 4694, 4695, 4697, 4699 to 4707, 4709 to 4714, 4717, 4720 to 4728, 4730 to 4733, 4735 to 4746, 4750, 4751, 4753, 4754, 4756, 4757, 4798 to 4812, 4814 to 4825, 4828 to 4830, 4849, 4850, 4852, 4854 to 4856, 4858 to 4861, 4865, 4868 to 4888, 4890 to 4892, 4895</w:t>
            </w:r>
          </w:p>
        </w:tc>
      </w:tr>
      <w:tr w:rsidR="00E721CF" w:rsidRPr="00E721CF" w14:paraId="0D9630B5" w14:textId="77777777" w:rsidTr="00E65EC0">
        <w:trPr>
          <w:trHeight w:val="83"/>
        </w:trPr>
        <w:tc>
          <w:tcPr>
            <w:tcW w:w="709" w:type="dxa"/>
            <w:vMerge/>
          </w:tcPr>
          <w:p w14:paraId="24D6E4F7" w14:textId="77777777" w:rsidR="00995DE3" w:rsidRPr="00E721CF" w:rsidRDefault="00995DE3" w:rsidP="00995DE3">
            <w:pPr>
              <w:pStyle w:val="LDTabletext"/>
            </w:pPr>
          </w:p>
        </w:tc>
        <w:tc>
          <w:tcPr>
            <w:tcW w:w="1134" w:type="dxa"/>
            <w:vMerge/>
          </w:tcPr>
          <w:p w14:paraId="631A8D14" w14:textId="77777777" w:rsidR="00995DE3" w:rsidRPr="00E721CF" w:rsidRDefault="00995DE3" w:rsidP="00995DE3">
            <w:pPr>
              <w:pStyle w:val="LDTabletext"/>
            </w:pPr>
          </w:p>
        </w:tc>
        <w:tc>
          <w:tcPr>
            <w:tcW w:w="1701" w:type="dxa"/>
          </w:tcPr>
          <w:p w14:paraId="0CA31EB2" w14:textId="77777777" w:rsidR="00995DE3" w:rsidRPr="00E721CF" w:rsidRDefault="00995DE3" w:rsidP="00995DE3">
            <w:pPr>
              <w:pStyle w:val="LDTabletext"/>
            </w:pPr>
            <w:r w:rsidRPr="00E721CF">
              <w:t>Victoria</w:t>
            </w:r>
          </w:p>
        </w:tc>
        <w:tc>
          <w:tcPr>
            <w:tcW w:w="5670" w:type="dxa"/>
          </w:tcPr>
          <w:p w14:paraId="68DD51C0" w14:textId="77777777" w:rsidR="00995DE3" w:rsidRPr="00E721CF" w:rsidRDefault="00995DE3" w:rsidP="00995DE3">
            <w:pPr>
              <w:pStyle w:val="LDTabletext"/>
            </w:pPr>
            <w:r w:rsidRPr="00E721CF">
              <w:t>3424, 3506, 3509, 3512, 3889 to 3892</w:t>
            </w:r>
          </w:p>
        </w:tc>
      </w:tr>
      <w:tr w:rsidR="00E721CF" w:rsidRPr="00E721CF" w14:paraId="58B079C7" w14:textId="77777777" w:rsidTr="000F2760">
        <w:trPr>
          <w:trHeight w:val="1095"/>
        </w:trPr>
        <w:tc>
          <w:tcPr>
            <w:tcW w:w="709" w:type="dxa"/>
            <w:vMerge/>
          </w:tcPr>
          <w:p w14:paraId="55D75031" w14:textId="77777777" w:rsidR="00995DE3" w:rsidRPr="00E721CF" w:rsidRDefault="00995DE3" w:rsidP="00995DE3">
            <w:pPr>
              <w:pStyle w:val="LDTabletext"/>
            </w:pPr>
          </w:p>
        </w:tc>
        <w:tc>
          <w:tcPr>
            <w:tcW w:w="1134" w:type="dxa"/>
            <w:vMerge/>
          </w:tcPr>
          <w:p w14:paraId="402C49BB" w14:textId="77777777" w:rsidR="00995DE3" w:rsidRPr="00E721CF" w:rsidRDefault="00995DE3" w:rsidP="00995DE3">
            <w:pPr>
              <w:pStyle w:val="LDTabletext"/>
            </w:pPr>
          </w:p>
        </w:tc>
        <w:tc>
          <w:tcPr>
            <w:tcW w:w="1701" w:type="dxa"/>
          </w:tcPr>
          <w:p w14:paraId="7E157448" w14:textId="77777777" w:rsidR="00995DE3" w:rsidRPr="00E721CF" w:rsidRDefault="00995DE3" w:rsidP="00995DE3">
            <w:pPr>
              <w:pStyle w:val="LDTabletext"/>
            </w:pPr>
            <w:r w:rsidRPr="00E721CF">
              <w:t>South Australia</w:t>
            </w:r>
          </w:p>
        </w:tc>
        <w:tc>
          <w:tcPr>
            <w:tcW w:w="5670" w:type="dxa"/>
          </w:tcPr>
          <w:p w14:paraId="181AD6D5" w14:textId="77777777" w:rsidR="00995DE3" w:rsidRPr="00E721CF" w:rsidRDefault="00995DE3" w:rsidP="00995DE3">
            <w:pPr>
              <w:pStyle w:val="LDTabletext"/>
            </w:pPr>
            <w:r w:rsidRPr="00E721CF">
              <w:t>5220 to 5223, 5302 to 5304, 5440, 5576, 5577, 5582, 5583, 5602 to 5607, 5611, 5630 to 5633, 5640 to 5642, 5650 to 5655, 5660, 5661, 5670, 5671, 5680, 5690, 5713, 5715, 5717, 5719, 5720, 5722 to 5725, 5730 to 5734</w:t>
            </w:r>
          </w:p>
        </w:tc>
      </w:tr>
      <w:tr w:rsidR="00E721CF" w:rsidRPr="00E721CF" w14:paraId="5EDDAD23" w14:textId="77777777" w:rsidTr="000F2760">
        <w:trPr>
          <w:trHeight w:val="485"/>
        </w:trPr>
        <w:tc>
          <w:tcPr>
            <w:tcW w:w="709" w:type="dxa"/>
            <w:vMerge/>
          </w:tcPr>
          <w:p w14:paraId="053C9D51" w14:textId="77777777" w:rsidR="00995DE3" w:rsidRPr="00E721CF" w:rsidRDefault="00995DE3" w:rsidP="00995DE3">
            <w:pPr>
              <w:pStyle w:val="LDTabletext"/>
            </w:pPr>
          </w:p>
        </w:tc>
        <w:tc>
          <w:tcPr>
            <w:tcW w:w="1134" w:type="dxa"/>
            <w:vMerge/>
          </w:tcPr>
          <w:p w14:paraId="016BCDA0" w14:textId="77777777" w:rsidR="00995DE3" w:rsidRPr="00E721CF" w:rsidRDefault="00995DE3" w:rsidP="00995DE3">
            <w:pPr>
              <w:pStyle w:val="LDTabletext"/>
            </w:pPr>
          </w:p>
        </w:tc>
        <w:tc>
          <w:tcPr>
            <w:tcW w:w="1701" w:type="dxa"/>
          </w:tcPr>
          <w:p w14:paraId="1FBC1226" w14:textId="77777777" w:rsidR="00995DE3" w:rsidRPr="00E721CF" w:rsidRDefault="00995DE3" w:rsidP="00995DE3">
            <w:pPr>
              <w:pStyle w:val="LDTabletext"/>
            </w:pPr>
            <w:r w:rsidRPr="00E721CF">
              <w:t>Tasmania</w:t>
            </w:r>
          </w:p>
        </w:tc>
        <w:tc>
          <w:tcPr>
            <w:tcW w:w="5670" w:type="dxa"/>
          </w:tcPr>
          <w:p w14:paraId="0D10F6ED" w14:textId="77777777" w:rsidR="00995DE3" w:rsidRPr="00E721CF" w:rsidRDefault="00995DE3" w:rsidP="00995DE3">
            <w:pPr>
              <w:pStyle w:val="LDTabletext"/>
            </w:pPr>
            <w:r w:rsidRPr="00E721CF">
              <w:t>7001, 7139, 7255 to 7257, 7466 to 7470</w:t>
            </w:r>
          </w:p>
        </w:tc>
      </w:tr>
      <w:tr w:rsidR="00995DE3" w:rsidRPr="00E721CF" w14:paraId="1A88BC46" w14:textId="77777777" w:rsidTr="00E65EC0">
        <w:trPr>
          <w:trHeight w:val="83"/>
        </w:trPr>
        <w:tc>
          <w:tcPr>
            <w:tcW w:w="709" w:type="dxa"/>
            <w:vMerge/>
            <w:tcBorders>
              <w:bottom w:val="single" w:sz="4" w:space="0" w:color="auto"/>
            </w:tcBorders>
          </w:tcPr>
          <w:p w14:paraId="79480166" w14:textId="77777777" w:rsidR="00995DE3" w:rsidRPr="00E721CF" w:rsidRDefault="00995DE3" w:rsidP="00995DE3">
            <w:pPr>
              <w:pStyle w:val="LDTabletext"/>
            </w:pPr>
          </w:p>
        </w:tc>
        <w:tc>
          <w:tcPr>
            <w:tcW w:w="1134" w:type="dxa"/>
            <w:vMerge/>
            <w:tcBorders>
              <w:bottom w:val="single" w:sz="4" w:space="0" w:color="auto"/>
            </w:tcBorders>
          </w:tcPr>
          <w:p w14:paraId="5A6A9AF1" w14:textId="77777777" w:rsidR="00995DE3" w:rsidRPr="00E721CF" w:rsidRDefault="00995DE3" w:rsidP="00995DE3">
            <w:pPr>
              <w:pStyle w:val="LDTabletext"/>
            </w:pPr>
          </w:p>
        </w:tc>
        <w:tc>
          <w:tcPr>
            <w:tcW w:w="1701" w:type="dxa"/>
            <w:tcBorders>
              <w:bottom w:val="single" w:sz="4" w:space="0" w:color="auto"/>
            </w:tcBorders>
          </w:tcPr>
          <w:p w14:paraId="46C6F72D" w14:textId="77777777" w:rsidR="00995DE3" w:rsidRPr="00E721CF" w:rsidRDefault="00995DE3" w:rsidP="00995DE3">
            <w:pPr>
              <w:pStyle w:val="LDTabletext"/>
            </w:pPr>
            <w:r w:rsidRPr="00E721CF">
              <w:t>Western Australia</w:t>
            </w:r>
          </w:p>
        </w:tc>
        <w:tc>
          <w:tcPr>
            <w:tcW w:w="5670" w:type="dxa"/>
            <w:tcBorders>
              <w:bottom w:val="single" w:sz="4" w:space="0" w:color="auto"/>
            </w:tcBorders>
          </w:tcPr>
          <w:p w14:paraId="5A055B34" w14:textId="4700FE67" w:rsidR="00995DE3" w:rsidRPr="00E721CF" w:rsidRDefault="00995DE3" w:rsidP="00995DE3">
            <w:pPr>
              <w:pStyle w:val="LDTabletext"/>
            </w:pPr>
            <w:r w:rsidRPr="00E721CF">
              <w:t>6161, 6335 to 6338, 6341, 6343, 6346, 6348, 6350 to 6353, 6355 to 6359, 6361, 6363, 6365, 6367 to 6369, 6373, 6375, 6385, 6386, 6418 to 6429, 6431, 6434, 6436 to 6438, 6440, 6443, 6445 to 6448, 6450, 6452, 6466 to 6468, 6470, 6472, 6473, 6475 to 6477, 6479, 6480, 6484, 6487 to 6490, 6515, 6517 to 6519, 6536, 6605, 6606, 6608, 6609, 6612 to 6614, 6616, 6620, 6623, 6625, 6627, 6628, 6630 to 6632, 6635, 6638 to 6640, 6731, 6733, 6798, 6799</w:t>
            </w:r>
          </w:p>
        </w:tc>
      </w:tr>
    </w:tbl>
    <w:p w14:paraId="6A38B3CD" w14:textId="77777777" w:rsidR="00E65EC0" w:rsidRPr="00E721CF" w:rsidRDefault="00E65EC0" w:rsidP="00E65EC0">
      <w:pPr>
        <w:pStyle w:val="LDLine"/>
        <w:pBdr>
          <w:bottom w:val="none" w:sz="0" w:space="0" w:color="auto"/>
        </w:pBdr>
      </w:pPr>
    </w:p>
    <w:sectPr w:rsidR="00E65EC0" w:rsidRPr="00E721CF" w:rsidSect="00861378">
      <w:headerReference w:type="even" r:id="rId17"/>
      <w:headerReference w:type="default" r:id="rId18"/>
      <w:footerReference w:type="even" r:id="rId19"/>
      <w:footerReference w:type="default" r:id="rId20"/>
      <w:headerReference w:type="first" r:id="rId21"/>
      <w:pgSz w:w="11907" w:h="16839" w:code="9"/>
      <w:pgMar w:top="1361" w:right="1701" w:bottom="136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F167A" w14:textId="77777777" w:rsidR="00E65EC0" w:rsidRDefault="00E65EC0" w:rsidP="00715914">
      <w:pPr>
        <w:spacing w:line="240" w:lineRule="auto"/>
      </w:pPr>
      <w:r>
        <w:separator/>
      </w:r>
    </w:p>
    <w:p w14:paraId="140E2B54" w14:textId="77777777" w:rsidR="00E65EC0" w:rsidRDefault="00E65EC0"/>
    <w:p w14:paraId="7EA0E34B" w14:textId="77777777" w:rsidR="00E65EC0" w:rsidRDefault="00E65EC0"/>
  </w:endnote>
  <w:endnote w:type="continuationSeparator" w:id="0">
    <w:p w14:paraId="1CC992C4" w14:textId="77777777" w:rsidR="00E65EC0" w:rsidRDefault="00E65EC0" w:rsidP="00715914">
      <w:pPr>
        <w:spacing w:line="240" w:lineRule="auto"/>
      </w:pPr>
      <w:r>
        <w:continuationSeparator/>
      </w:r>
    </w:p>
    <w:p w14:paraId="7C1028F7" w14:textId="77777777" w:rsidR="00E65EC0" w:rsidRDefault="00E65EC0"/>
    <w:p w14:paraId="13007BAD" w14:textId="77777777" w:rsidR="00E65EC0" w:rsidRDefault="00E65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embedRegular r:id="rId1" w:subsetted="1" w:fontKey="{EF3C5915-9796-4160-9B20-6AE7A2DD9177}"/>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386E1" w14:textId="77777777" w:rsidR="00E65EC0" w:rsidRPr="00E33C1C" w:rsidRDefault="00E65EC0"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65EC0" w14:paraId="28C9B37C" w14:textId="77777777" w:rsidTr="00B33709">
      <w:tc>
        <w:tcPr>
          <w:tcW w:w="709" w:type="dxa"/>
          <w:tcBorders>
            <w:top w:val="nil"/>
            <w:left w:val="nil"/>
            <w:bottom w:val="nil"/>
            <w:right w:val="nil"/>
          </w:tcBorders>
        </w:tcPr>
        <w:p w14:paraId="288A5502" w14:textId="77777777" w:rsidR="00E65EC0" w:rsidRDefault="00E65EC0"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DEBFD73" w14:textId="77777777" w:rsidR="00E65EC0" w:rsidRPr="004E1307" w:rsidRDefault="00E65EC0"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b/>
              <w:bCs/>
              <w:i/>
              <w:noProof/>
              <w:sz w:val="18"/>
              <w:lang w:val="en-US"/>
            </w:rPr>
            <w:t>Error! Use the Home tab to apply ShortT to the text that you want to appear here.</w:t>
          </w:r>
          <w:r w:rsidRPr="004E1307">
            <w:rPr>
              <w:i/>
              <w:sz w:val="18"/>
            </w:rPr>
            <w:fldChar w:fldCharType="end"/>
          </w:r>
        </w:p>
      </w:tc>
      <w:tc>
        <w:tcPr>
          <w:tcW w:w="1383" w:type="dxa"/>
          <w:tcBorders>
            <w:top w:val="nil"/>
            <w:left w:val="nil"/>
            <w:bottom w:val="nil"/>
            <w:right w:val="nil"/>
          </w:tcBorders>
        </w:tcPr>
        <w:p w14:paraId="416708CF" w14:textId="77777777" w:rsidR="00E65EC0" w:rsidRDefault="00E65EC0" w:rsidP="00A369E3">
          <w:pPr>
            <w:spacing w:line="0" w:lineRule="atLeast"/>
            <w:jc w:val="right"/>
            <w:rPr>
              <w:sz w:val="18"/>
            </w:rPr>
          </w:pPr>
        </w:p>
      </w:tc>
    </w:tr>
    <w:tr w:rsidR="00E65EC0" w14:paraId="18E04044"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CF75E0F" w14:textId="77777777" w:rsidR="00E65EC0" w:rsidRDefault="00E65EC0" w:rsidP="00A369E3">
          <w:pPr>
            <w:jc w:val="right"/>
            <w:rPr>
              <w:sz w:val="18"/>
            </w:rPr>
          </w:pPr>
        </w:p>
      </w:tc>
    </w:tr>
  </w:tbl>
  <w:p w14:paraId="6E0E29DF" w14:textId="77777777" w:rsidR="00E65EC0" w:rsidRPr="00ED79B6" w:rsidRDefault="00E65EC0"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E5AD5" w14:textId="77777777" w:rsidR="00E65EC0" w:rsidRPr="00E33C1C" w:rsidRDefault="00E65EC0"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60"/>
      <w:gridCol w:w="6252"/>
      <w:gridCol w:w="701"/>
    </w:tblGrid>
    <w:tr w:rsidR="00E65EC0" w14:paraId="73ED8B28" w14:textId="77777777" w:rsidTr="00A369E3">
      <w:tc>
        <w:tcPr>
          <w:tcW w:w="1384" w:type="dxa"/>
          <w:tcBorders>
            <w:top w:val="nil"/>
            <w:left w:val="nil"/>
            <w:bottom w:val="nil"/>
            <w:right w:val="nil"/>
          </w:tcBorders>
        </w:tcPr>
        <w:p w14:paraId="7D4F6FA6" w14:textId="77777777" w:rsidR="00E65EC0" w:rsidRDefault="00E65EC0" w:rsidP="00A369E3">
          <w:pPr>
            <w:spacing w:line="0" w:lineRule="atLeast"/>
            <w:rPr>
              <w:sz w:val="18"/>
            </w:rPr>
          </w:pPr>
        </w:p>
      </w:tc>
      <w:tc>
        <w:tcPr>
          <w:tcW w:w="6379" w:type="dxa"/>
          <w:tcBorders>
            <w:top w:val="nil"/>
            <w:left w:val="nil"/>
            <w:bottom w:val="nil"/>
            <w:right w:val="nil"/>
          </w:tcBorders>
        </w:tcPr>
        <w:p w14:paraId="6B7B1E13" w14:textId="77777777" w:rsidR="00E65EC0" w:rsidRDefault="00E65EC0" w:rsidP="00A369E3">
          <w:pPr>
            <w:spacing w:line="0" w:lineRule="atLeast"/>
            <w:jc w:val="center"/>
            <w:rPr>
              <w:sz w:val="18"/>
            </w:rPr>
          </w:pPr>
        </w:p>
      </w:tc>
      <w:tc>
        <w:tcPr>
          <w:tcW w:w="709" w:type="dxa"/>
          <w:tcBorders>
            <w:top w:val="nil"/>
            <w:left w:val="nil"/>
            <w:bottom w:val="nil"/>
            <w:right w:val="nil"/>
          </w:tcBorders>
        </w:tcPr>
        <w:p w14:paraId="6D3DB8F5" w14:textId="77777777" w:rsidR="00E65EC0" w:rsidRDefault="00E65EC0"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E65EC0" w14:paraId="5CC7A856"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B007CFB" w14:textId="77777777" w:rsidR="00E65EC0" w:rsidRDefault="00E65EC0" w:rsidP="00A369E3">
          <w:pPr>
            <w:rPr>
              <w:sz w:val="18"/>
            </w:rPr>
          </w:pPr>
        </w:p>
      </w:tc>
    </w:tr>
  </w:tbl>
  <w:p w14:paraId="7291CE85" w14:textId="77777777" w:rsidR="00E65EC0" w:rsidRPr="00ED79B6" w:rsidRDefault="00E65EC0"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AED58" w14:textId="77777777" w:rsidR="00E65EC0" w:rsidRPr="002B0EA5" w:rsidRDefault="00E65EC0" w:rsidP="00E65EC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65EC0" w14:paraId="0D862AC0" w14:textId="77777777" w:rsidTr="00E65EC0">
      <w:tc>
        <w:tcPr>
          <w:tcW w:w="365" w:type="pct"/>
        </w:tcPr>
        <w:p w14:paraId="715008A8" w14:textId="77777777" w:rsidR="00E65EC0" w:rsidRDefault="00E65EC0" w:rsidP="006504D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668FE02" w14:textId="77777777" w:rsidR="00E65EC0" w:rsidRDefault="00E65EC0" w:rsidP="00FC3B35">
          <w:pPr>
            <w:spacing w:line="0" w:lineRule="atLeast"/>
            <w:jc w:val="center"/>
            <w:rPr>
              <w:sz w:val="18"/>
            </w:rPr>
          </w:pPr>
          <w:r w:rsidRPr="006504D5">
            <w:rPr>
              <w:i/>
              <w:sz w:val="18"/>
              <w:szCs w:val="18"/>
            </w:rPr>
            <w:fldChar w:fldCharType="begin"/>
          </w:r>
          <w:r w:rsidRPr="006504D5">
            <w:rPr>
              <w:i/>
              <w:sz w:val="18"/>
              <w:szCs w:val="18"/>
            </w:rPr>
            <w:instrText xml:space="preserve"> STYLEREF  ShortT </w:instrText>
          </w:r>
          <w:r w:rsidRPr="006504D5">
            <w:rPr>
              <w:i/>
              <w:sz w:val="18"/>
              <w:szCs w:val="18"/>
            </w:rPr>
            <w:fldChar w:fldCharType="separate"/>
          </w:r>
          <w:r>
            <w:rPr>
              <w:b/>
              <w:bCs/>
              <w:i/>
              <w:noProof/>
              <w:sz w:val="18"/>
              <w:szCs w:val="18"/>
              <w:lang w:val="en-US"/>
            </w:rPr>
            <w:t>Error! Use the Home tab to apply ShortT to the text that you want to appear here.</w:t>
          </w:r>
          <w:r w:rsidRPr="006504D5">
            <w:rPr>
              <w:i/>
              <w:sz w:val="18"/>
              <w:szCs w:val="18"/>
            </w:rPr>
            <w:fldChar w:fldCharType="end"/>
          </w:r>
        </w:p>
      </w:tc>
      <w:tc>
        <w:tcPr>
          <w:tcW w:w="947" w:type="pct"/>
        </w:tcPr>
        <w:p w14:paraId="24E558A3" w14:textId="77777777" w:rsidR="00E65EC0" w:rsidRDefault="00E65EC0" w:rsidP="006504D5">
          <w:pPr>
            <w:spacing w:line="0" w:lineRule="atLeast"/>
            <w:jc w:val="right"/>
            <w:rPr>
              <w:sz w:val="18"/>
            </w:rPr>
          </w:pPr>
        </w:p>
      </w:tc>
    </w:tr>
    <w:tr w:rsidR="00E65EC0" w14:paraId="25B14C80" w14:textId="77777777" w:rsidTr="00E65EC0">
      <w:tc>
        <w:tcPr>
          <w:tcW w:w="5000" w:type="pct"/>
          <w:gridSpan w:val="3"/>
        </w:tcPr>
        <w:p w14:paraId="6F22D0CD" w14:textId="77777777" w:rsidR="00E65EC0" w:rsidRDefault="00E65EC0" w:rsidP="006504D5">
          <w:pPr>
            <w:jc w:val="right"/>
            <w:rPr>
              <w:sz w:val="18"/>
            </w:rPr>
          </w:pPr>
        </w:p>
      </w:tc>
    </w:tr>
  </w:tbl>
  <w:p w14:paraId="1DD08013" w14:textId="77777777" w:rsidR="00E65EC0" w:rsidRPr="00ED79B6" w:rsidRDefault="00E65EC0" w:rsidP="00E65EC0">
    <w:pPr>
      <w:rPr>
        <w:i/>
        <w:sz w:val="18"/>
      </w:rPr>
    </w:pPr>
  </w:p>
  <w:p w14:paraId="62CE2DDF" w14:textId="77777777" w:rsidR="00E65EC0" w:rsidRDefault="00E65EC0"/>
  <w:p w14:paraId="1AC29D1B" w14:textId="77777777" w:rsidR="00E65EC0" w:rsidRDefault="00E65EC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F7ED5" w14:textId="22C6D3D6" w:rsidR="00E65EC0" w:rsidRPr="00B643F6" w:rsidRDefault="00E65EC0" w:rsidP="007C5FDD">
    <w:pPr>
      <w:pStyle w:val="LDFooter"/>
    </w:pPr>
    <w:r w:rsidRPr="00B643F6">
      <w:rPr>
        <w:rStyle w:val="LDItal"/>
      </w:rPr>
      <w:fldChar w:fldCharType="begin"/>
    </w:r>
    <w:r w:rsidRPr="00B643F6">
      <w:rPr>
        <w:rStyle w:val="LDItal"/>
      </w:rPr>
      <w:instrText xml:space="preserve"> REF Title \h  \* MERGEFORMAT </w:instrText>
    </w:r>
    <w:r w:rsidRPr="00B643F6">
      <w:rPr>
        <w:rStyle w:val="LDItal"/>
      </w:rPr>
    </w:r>
    <w:r w:rsidRPr="00B643F6">
      <w:rPr>
        <w:rStyle w:val="LDItal"/>
      </w:rPr>
      <w:fldChar w:fldCharType="separate"/>
    </w:r>
    <w:r w:rsidR="00003AA8" w:rsidRPr="00003AA8">
      <w:rPr>
        <w:rStyle w:val="LDItal"/>
      </w:rPr>
      <w:t>Migration (Specified work and areas for subclass 462 visas) Instrument (LIN 22</w:t>
    </w:r>
    <w:r w:rsidR="00003AA8" w:rsidRPr="00E803E0">
      <w:t>/</w:t>
    </w:r>
    <w:r w:rsidR="00003AA8" w:rsidRPr="00385E7E">
      <w:rPr>
        <w:i/>
      </w:rPr>
      <w:t>013</w:t>
    </w:r>
    <w:r w:rsidR="00003AA8" w:rsidRPr="00003AA8">
      <w:rPr>
        <w:i/>
      </w:rPr>
      <w:t>) 2022</w:t>
    </w:r>
    <w:r w:rsidRPr="00B643F6">
      <w:rPr>
        <w:rStyle w:val="LDItal"/>
      </w:rPr>
      <w:fldChar w:fldCharType="end"/>
    </w:r>
  </w:p>
  <w:p w14:paraId="1CB179FD" w14:textId="2CCB260B" w:rsidR="00E65EC0" w:rsidRPr="007C5FDD" w:rsidRDefault="00E65EC0" w:rsidP="006B3D76">
    <w:pPr>
      <w:pStyle w:val="LDFooter"/>
      <w:tabs>
        <w:tab w:val="left" w:pos="3195"/>
        <w:tab w:val="right" w:pos="9639"/>
      </w:tabs>
    </w:pPr>
    <w:r>
      <w:fldChar w:fldCharType="begin"/>
    </w:r>
    <w:r>
      <w:instrText xml:space="preserve"> REF LIN \h </w:instrText>
    </w:r>
    <w:r>
      <w:fldChar w:fldCharType="separate"/>
    </w:r>
    <w:r w:rsidR="00003AA8" w:rsidRPr="002725C3">
      <w:t>LIN 22/013</w:t>
    </w:r>
    <w:r>
      <w:fldChar w:fldCharType="end"/>
    </w:r>
    <w:r>
      <w:tab/>
    </w:r>
    <w:r w:rsidR="00995DE3">
      <w:tab/>
    </w:r>
    <w:r>
      <w:fldChar w:fldCharType="begin"/>
    </w:r>
    <w:r>
      <w:instrText xml:space="preserve"> PAGE  \* Arabic  \* MERGEFORMAT </w:instrText>
    </w:r>
    <w:r>
      <w:fldChar w:fldCharType="separate"/>
    </w:r>
    <w:r w:rsidR="00E721C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D1B9E" w14:textId="77777777" w:rsidR="00E65EC0" w:rsidRDefault="00E65EC0" w:rsidP="00715914">
      <w:pPr>
        <w:spacing w:line="240" w:lineRule="auto"/>
      </w:pPr>
      <w:r>
        <w:separator/>
      </w:r>
    </w:p>
    <w:p w14:paraId="46393CD6" w14:textId="77777777" w:rsidR="00E65EC0" w:rsidRDefault="00E65EC0"/>
    <w:p w14:paraId="1CDFBFAD" w14:textId="77777777" w:rsidR="00E65EC0" w:rsidRDefault="00E65EC0"/>
  </w:footnote>
  <w:footnote w:type="continuationSeparator" w:id="0">
    <w:p w14:paraId="12E45E0F" w14:textId="77777777" w:rsidR="00E65EC0" w:rsidRDefault="00E65EC0" w:rsidP="00715914">
      <w:pPr>
        <w:spacing w:line="240" w:lineRule="auto"/>
      </w:pPr>
      <w:r>
        <w:continuationSeparator/>
      </w:r>
    </w:p>
    <w:p w14:paraId="5DF90F68" w14:textId="77777777" w:rsidR="00E65EC0" w:rsidRDefault="00E65EC0"/>
    <w:p w14:paraId="36D0FE32" w14:textId="77777777" w:rsidR="00E65EC0" w:rsidRDefault="00E65E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8DBFE" w14:textId="654A9118" w:rsidR="00E65EC0" w:rsidRPr="005F1388" w:rsidRDefault="00E65EC0"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5C728" w14:textId="78AD2CF8" w:rsidR="00E65EC0" w:rsidRPr="005F1388" w:rsidRDefault="00E65EC0"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BE996" w14:textId="06938B10" w:rsidR="00E65EC0" w:rsidRDefault="00E65EC0" w:rsidP="00150195">
    <w:pPr>
      <w:pStyle w:val="Header"/>
      <w:keepNext w:v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FF63A" w14:textId="57FBF1A7" w:rsidR="00E65EC0" w:rsidRDefault="00E65EC0" w:rsidP="00715914">
    <w:pPr>
      <w:rPr>
        <w:sz w:val="20"/>
      </w:rPr>
    </w:pPr>
  </w:p>
  <w:p w14:paraId="16A5BBA8" w14:textId="77777777" w:rsidR="00E65EC0" w:rsidRDefault="00E65EC0" w:rsidP="00715914">
    <w:pPr>
      <w:rPr>
        <w:sz w:val="20"/>
      </w:rPr>
    </w:pPr>
  </w:p>
  <w:p w14:paraId="6F1CD26E" w14:textId="77777777" w:rsidR="00E65EC0" w:rsidRPr="007A1328" w:rsidRDefault="00E65EC0" w:rsidP="00715914">
    <w:pPr>
      <w:rPr>
        <w:sz w:val="20"/>
      </w:rPr>
    </w:pPr>
  </w:p>
  <w:p w14:paraId="3FC1A939" w14:textId="77777777" w:rsidR="00E65EC0" w:rsidRPr="007A1328" w:rsidRDefault="00E65EC0" w:rsidP="00715914">
    <w:pPr>
      <w:rPr>
        <w:b/>
        <w:sz w:val="24"/>
      </w:rPr>
    </w:pPr>
  </w:p>
  <w:p w14:paraId="0385C4E8" w14:textId="77777777" w:rsidR="00E65EC0" w:rsidRPr="007A1328" w:rsidRDefault="00E65EC0" w:rsidP="00D6537E">
    <w:pPr>
      <w:pBdr>
        <w:bottom w:val="single" w:sz="6" w:space="1" w:color="auto"/>
      </w:pBdr>
      <w:spacing w:after="120"/>
      <w:rPr>
        <w:sz w:val="24"/>
      </w:rPr>
    </w:pPr>
  </w:p>
  <w:p w14:paraId="3DDF998D" w14:textId="77777777" w:rsidR="00E65EC0" w:rsidRDefault="00E65EC0"/>
  <w:p w14:paraId="46128293" w14:textId="77777777" w:rsidR="00E65EC0" w:rsidRDefault="00E65EC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1051E" w14:textId="7772858E" w:rsidR="00E65EC0" w:rsidRPr="007A1328" w:rsidRDefault="00E65EC0" w:rsidP="00150195">
    <w:pPr>
      <w:pStyle w:val="Header"/>
      <w:keepNext w:val="0"/>
      <w:pBdr>
        <w:bottom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10FD" w14:textId="26A30B79" w:rsidR="00E65EC0" w:rsidRDefault="00E65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90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8C63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8A6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40AE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16C4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52E8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2272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6EAA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D808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103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769E"/>
    <w:multiLevelType w:val="hybridMultilevel"/>
    <w:tmpl w:val="11B00A36"/>
    <w:lvl w:ilvl="0" w:tplc="707CC408">
      <w:start w:val="1"/>
      <w:numFmt w:val="decimal"/>
      <w:lvlText w:val="(%1)"/>
      <w:lvlJc w:val="left"/>
      <w:pPr>
        <w:ind w:left="1137" w:hanging="57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7B56B7"/>
    <w:multiLevelType w:val="hybridMultilevel"/>
    <w:tmpl w:val="5B565954"/>
    <w:lvl w:ilvl="0" w:tplc="5CA45F72">
      <w:start w:val="1"/>
      <w:numFmt w:val="lowerLetter"/>
      <w:lvlText w:val="(%1)"/>
      <w:lvlJc w:val="left"/>
      <w:pPr>
        <w:ind w:left="1494" w:hanging="360"/>
      </w:pPr>
      <w:rPr>
        <w:rFonts w:hint="default"/>
        <w:b w:val="0"/>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197D0B44"/>
    <w:multiLevelType w:val="hybridMultilevel"/>
    <w:tmpl w:val="E60A8F5E"/>
    <w:lvl w:ilvl="0" w:tplc="966AC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391BF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360" w:hanging="360"/>
      </w:pPr>
    </w:lvl>
    <w:lvl w:ilvl="5">
      <w:start w:val="1"/>
      <w:numFmt w:val="lowerRoman"/>
      <w:lvlText w:val="(%6)"/>
      <w:lvlJc w:val="left"/>
      <w:pPr>
        <w:ind w:left="927"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C91684"/>
    <w:multiLevelType w:val="hybridMultilevel"/>
    <w:tmpl w:val="BE5EAD6A"/>
    <w:lvl w:ilvl="0" w:tplc="43F47AE2">
      <w:start w:val="1"/>
      <w:numFmt w:val="decimal"/>
      <w:lvlText w:val="(%1)"/>
      <w:lvlJc w:val="left"/>
      <w:pPr>
        <w:ind w:left="1587" w:hanging="10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F00ECC"/>
    <w:multiLevelType w:val="hybridMultilevel"/>
    <w:tmpl w:val="14D0F1E0"/>
    <w:lvl w:ilvl="0" w:tplc="985692B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4C92060"/>
    <w:multiLevelType w:val="hybridMultilevel"/>
    <w:tmpl w:val="8592D72C"/>
    <w:lvl w:ilvl="0" w:tplc="E640B1C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51783E28"/>
    <w:multiLevelType w:val="hybridMultilevel"/>
    <w:tmpl w:val="7DA8110A"/>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1" w15:restartNumberingAfterBreak="0">
    <w:nsid w:val="51D47A80"/>
    <w:multiLevelType w:val="hybridMultilevel"/>
    <w:tmpl w:val="3190D15E"/>
    <w:lvl w:ilvl="0" w:tplc="473AFEC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2" w15:restartNumberingAfterBreak="0">
    <w:nsid w:val="5A315118"/>
    <w:multiLevelType w:val="hybridMultilevel"/>
    <w:tmpl w:val="977E2E3E"/>
    <w:lvl w:ilvl="0" w:tplc="5BE49AF8">
      <w:start w:val="1"/>
      <w:numFmt w:val="bullet"/>
      <w:pStyle w:val="LD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E2A30DF"/>
    <w:multiLevelType w:val="hybridMultilevel"/>
    <w:tmpl w:val="889EB14C"/>
    <w:lvl w:ilvl="0" w:tplc="88D250E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68525973"/>
    <w:multiLevelType w:val="hybridMultilevel"/>
    <w:tmpl w:val="B0482A00"/>
    <w:lvl w:ilvl="0" w:tplc="0C09001B">
      <w:start w:val="1"/>
      <w:numFmt w:val="lowerRoman"/>
      <w:lvlText w:val="%1."/>
      <w:lvlJc w:val="right"/>
      <w:pPr>
        <w:ind w:left="2360" w:hanging="360"/>
      </w:pPr>
    </w:lvl>
    <w:lvl w:ilvl="1" w:tplc="0C090019" w:tentative="1">
      <w:start w:val="1"/>
      <w:numFmt w:val="lowerLetter"/>
      <w:lvlText w:val="%2."/>
      <w:lvlJc w:val="left"/>
      <w:pPr>
        <w:ind w:left="3080" w:hanging="360"/>
      </w:pPr>
    </w:lvl>
    <w:lvl w:ilvl="2" w:tplc="0C09001B" w:tentative="1">
      <w:start w:val="1"/>
      <w:numFmt w:val="lowerRoman"/>
      <w:lvlText w:val="%3."/>
      <w:lvlJc w:val="right"/>
      <w:pPr>
        <w:ind w:left="3800" w:hanging="180"/>
      </w:pPr>
    </w:lvl>
    <w:lvl w:ilvl="3" w:tplc="0C09000F" w:tentative="1">
      <w:start w:val="1"/>
      <w:numFmt w:val="decimal"/>
      <w:lvlText w:val="%4."/>
      <w:lvlJc w:val="left"/>
      <w:pPr>
        <w:ind w:left="4520" w:hanging="360"/>
      </w:pPr>
    </w:lvl>
    <w:lvl w:ilvl="4" w:tplc="0C090019" w:tentative="1">
      <w:start w:val="1"/>
      <w:numFmt w:val="lowerLetter"/>
      <w:lvlText w:val="%5."/>
      <w:lvlJc w:val="left"/>
      <w:pPr>
        <w:ind w:left="5240" w:hanging="360"/>
      </w:pPr>
    </w:lvl>
    <w:lvl w:ilvl="5" w:tplc="0C09001B" w:tentative="1">
      <w:start w:val="1"/>
      <w:numFmt w:val="lowerRoman"/>
      <w:lvlText w:val="%6."/>
      <w:lvlJc w:val="right"/>
      <w:pPr>
        <w:ind w:left="5960" w:hanging="180"/>
      </w:pPr>
    </w:lvl>
    <w:lvl w:ilvl="6" w:tplc="0C09000F" w:tentative="1">
      <w:start w:val="1"/>
      <w:numFmt w:val="decimal"/>
      <w:lvlText w:val="%7."/>
      <w:lvlJc w:val="left"/>
      <w:pPr>
        <w:ind w:left="6680" w:hanging="360"/>
      </w:pPr>
    </w:lvl>
    <w:lvl w:ilvl="7" w:tplc="0C090019" w:tentative="1">
      <w:start w:val="1"/>
      <w:numFmt w:val="lowerLetter"/>
      <w:lvlText w:val="%8."/>
      <w:lvlJc w:val="left"/>
      <w:pPr>
        <w:ind w:left="7400" w:hanging="360"/>
      </w:pPr>
    </w:lvl>
    <w:lvl w:ilvl="8" w:tplc="0C09001B" w:tentative="1">
      <w:start w:val="1"/>
      <w:numFmt w:val="lowerRoman"/>
      <w:lvlText w:val="%9."/>
      <w:lvlJc w:val="right"/>
      <w:pPr>
        <w:ind w:left="8120" w:hanging="180"/>
      </w:pPr>
    </w:lvl>
  </w:abstractNum>
  <w:abstractNum w:abstractNumId="25" w15:restartNumberingAfterBreak="0">
    <w:nsid w:val="6C6655B9"/>
    <w:multiLevelType w:val="hybridMultilevel"/>
    <w:tmpl w:val="32D8CE38"/>
    <w:lvl w:ilvl="0" w:tplc="4F0002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6F6761"/>
    <w:multiLevelType w:val="hybridMultilevel"/>
    <w:tmpl w:val="40DCB20E"/>
    <w:lvl w:ilvl="0" w:tplc="3A0AF2AC">
      <w:start w:val="1"/>
      <w:numFmt w:val="decimal"/>
      <w:lvlText w:val="(%1)"/>
      <w:lvlJc w:val="left"/>
      <w:pPr>
        <w:ind w:left="737" w:hanging="555"/>
      </w:pPr>
      <w:rPr>
        <w:rFonts w:hint="default"/>
      </w:rPr>
    </w:lvl>
    <w:lvl w:ilvl="1" w:tplc="0C090019" w:tentative="1">
      <w:start w:val="1"/>
      <w:numFmt w:val="lowerLetter"/>
      <w:lvlText w:val="%2."/>
      <w:lvlJc w:val="left"/>
      <w:pPr>
        <w:ind w:left="1262" w:hanging="360"/>
      </w:pPr>
    </w:lvl>
    <w:lvl w:ilvl="2" w:tplc="0C09001B" w:tentative="1">
      <w:start w:val="1"/>
      <w:numFmt w:val="lowerRoman"/>
      <w:lvlText w:val="%3."/>
      <w:lvlJc w:val="right"/>
      <w:pPr>
        <w:ind w:left="1982" w:hanging="180"/>
      </w:pPr>
    </w:lvl>
    <w:lvl w:ilvl="3" w:tplc="0C09000F" w:tentative="1">
      <w:start w:val="1"/>
      <w:numFmt w:val="decimal"/>
      <w:lvlText w:val="%4."/>
      <w:lvlJc w:val="left"/>
      <w:pPr>
        <w:ind w:left="2702" w:hanging="360"/>
      </w:pPr>
    </w:lvl>
    <w:lvl w:ilvl="4" w:tplc="0C090019" w:tentative="1">
      <w:start w:val="1"/>
      <w:numFmt w:val="lowerLetter"/>
      <w:lvlText w:val="%5."/>
      <w:lvlJc w:val="left"/>
      <w:pPr>
        <w:ind w:left="3422" w:hanging="360"/>
      </w:pPr>
    </w:lvl>
    <w:lvl w:ilvl="5" w:tplc="0C09001B" w:tentative="1">
      <w:start w:val="1"/>
      <w:numFmt w:val="lowerRoman"/>
      <w:lvlText w:val="%6."/>
      <w:lvlJc w:val="right"/>
      <w:pPr>
        <w:ind w:left="4142" w:hanging="180"/>
      </w:pPr>
    </w:lvl>
    <w:lvl w:ilvl="6" w:tplc="0C09000F" w:tentative="1">
      <w:start w:val="1"/>
      <w:numFmt w:val="decimal"/>
      <w:lvlText w:val="%7."/>
      <w:lvlJc w:val="left"/>
      <w:pPr>
        <w:ind w:left="4862" w:hanging="360"/>
      </w:pPr>
    </w:lvl>
    <w:lvl w:ilvl="7" w:tplc="0C090019" w:tentative="1">
      <w:start w:val="1"/>
      <w:numFmt w:val="lowerLetter"/>
      <w:lvlText w:val="%8."/>
      <w:lvlJc w:val="left"/>
      <w:pPr>
        <w:ind w:left="5582" w:hanging="360"/>
      </w:pPr>
    </w:lvl>
    <w:lvl w:ilvl="8" w:tplc="0C09001B" w:tentative="1">
      <w:start w:val="1"/>
      <w:numFmt w:val="lowerRoman"/>
      <w:lvlText w:val="%9."/>
      <w:lvlJc w:val="right"/>
      <w:pPr>
        <w:ind w:left="6302" w:hanging="180"/>
      </w:pPr>
    </w:lvl>
  </w:abstractNum>
  <w:abstractNum w:abstractNumId="27" w15:restartNumberingAfterBreak="0">
    <w:nsid w:val="7E3B6677"/>
    <w:multiLevelType w:val="hybridMultilevel"/>
    <w:tmpl w:val="FFD41C6C"/>
    <w:lvl w:ilvl="0" w:tplc="109476B8">
      <w:start w:val="1"/>
      <w:numFmt w:val="lowerLetter"/>
      <w:lvlText w:val="(%1)"/>
      <w:lvlJc w:val="left"/>
      <w:pPr>
        <w:ind w:left="1497" w:hanging="36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4"/>
  </w:num>
  <w:num w:numId="14">
    <w:abstractNumId w:val="16"/>
  </w:num>
  <w:num w:numId="15">
    <w:abstractNumId w:val="13"/>
  </w:num>
  <w:num w:numId="16">
    <w:abstractNumId w:val="15"/>
  </w:num>
  <w:num w:numId="17">
    <w:abstractNumId w:val="19"/>
  </w:num>
  <w:num w:numId="18">
    <w:abstractNumId w:val="21"/>
  </w:num>
  <w:num w:numId="19">
    <w:abstractNumId w:val="10"/>
  </w:num>
  <w:num w:numId="20">
    <w:abstractNumId w:val="27"/>
  </w:num>
  <w:num w:numId="21">
    <w:abstractNumId w:val="17"/>
  </w:num>
  <w:num w:numId="22">
    <w:abstractNumId w:val="20"/>
  </w:num>
  <w:num w:numId="23">
    <w:abstractNumId w:val="23"/>
  </w:num>
  <w:num w:numId="24">
    <w:abstractNumId w:val="24"/>
  </w:num>
  <w:num w:numId="25">
    <w:abstractNumId w:val="12"/>
  </w:num>
  <w:num w:numId="26">
    <w:abstractNumId w:val="22"/>
  </w:num>
  <w:num w:numId="27">
    <w:abstractNumId w:val="2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formatting="1" w:enforcement="0"/>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BA"/>
    <w:rsid w:val="00000F86"/>
    <w:rsid w:val="00003AA8"/>
    <w:rsid w:val="00004174"/>
    <w:rsid w:val="00004470"/>
    <w:rsid w:val="00004F25"/>
    <w:rsid w:val="0000660A"/>
    <w:rsid w:val="000102EE"/>
    <w:rsid w:val="000136AF"/>
    <w:rsid w:val="00014524"/>
    <w:rsid w:val="00022466"/>
    <w:rsid w:val="00024496"/>
    <w:rsid w:val="000253DC"/>
    <w:rsid w:val="000258B1"/>
    <w:rsid w:val="00033155"/>
    <w:rsid w:val="00034447"/>
    <w:rsid w:val="000352C3"/>
    <w:rsid w:val="00040A89"/>
    <w:rsid w:val="000437C1"/>
    <w:rsid w:val="0004455A"/>
    <w:rsid w:val="0005365D"/>
    <w:rsid w:val="000536D3"/>
    <w:rsid w:val="00054977"/>
    <w:rsid w:val="0005691F"/>
    <w:rsid w:val="000614BF"/>
    <w:rsid w:val="000629BC"/>
    <w:rsid w:val="0006709C"/>
    <w:rsid w:val="00073F15"/>
    <w:rsid w:val="00074376"/>
    <w:rsid w:val="0007722C"/>
    <w:rsid w:val="00090CBD"/>
    <w:rsid w:val="00091D13"/>
    <w:rsid w:val="00096E51"/>
    <w:rsid w:val="000978F5"/>
    <w:rsid w:val="000A3E46"/>
    <w:rsid w:val="000B14AD"/>
    <w:rsid w:val="000B15CD"/>
    <w:rsid w:val="000B35EB"/>
    <w:rsid w:val="000B3719"/>
    <w:rsid w:val="000D05EF"/>
    <w:rsid w:val="000D081D"/>
    <w:rsid w:val="000E0351"/>
    <w:rsid w:val="000E0BC4"/>
    <w:rsid w:val="000E2261"/>
    <w:rsid w:val="000E7118"/>
    <w:rsid w:val="000E78B7"/>
    <w:rsid w:val="000F21C1"/>
    <w:rsid w:val="000F2760"/>
    <w:rsid w:val="000F29C1"/>
    <w:rsid w:val="000F5B84"/>
    <w:rsid w:val="001031F5"/>
    <w:rsid w:val="00104FF7"/>
    <w:rsid w:val="0010745C"/>
    <w:rsid w:val="0011242F"/>
    <w:rsid w:val="001244DA"/>
    <w:rsid w:val="00132CEB"/>
    <w:rsid w:val="001339B0"/>
    <w:rsid w:val="00134429"/>
    <w:rsid w:val="00142B62"/>
    <w:rsid w:val="001441B7"/>
    <w:rsid w:val="001446F7"/>
    <w:rsid w:val="00150195"/>
    <w:rsid w:val="001516CB"/>
    <w:rsid w:val="00152336"/>
    <w:rsid w:val="00157B8B"/>
    <w:rsid w:val="00166C2F"/>
    <w:rsid w:val="001809D7"/>
    <w:rsid w:val="00182C05"/>
    <w:rsid w:val="00182EAC"/>
    <w:rsid w:val="00183124"/>
    <w:rsid w:val="00190E8A"/>
    <w:rsid w:val="00191881"/>
    <w:rsid w:val="001939E1"/>
    <w:rsid w:val="00194C3E"/>
    <w:rsid w:val="00195382"/>
    <w:rsid w:val="001979C7"/>
    <w:rsid w:val="001B2CB6"/>
    <w:rsid w:val="001B30CC"/>
    <w:rsid w:val="001C1715"/>
    <w:rsid w:val="001C48BA"/>
    <w:rsid w:val="001C61C5"/>
    <w:rsid w:val="001C6494"/>
    <w:rsid w:val="001C69C4"/>
    <w:rsid w:val="001D37EF"/>
    <w:rsid w:val="001D681A"/>
    <w:rsid w:val="001D729F"/>
    <w:rsid w:val="001E3590"/>
    <w:rsid w:val="001E48E3"/>
    <w:rsid w:val="001E7407"/>
    <w:rsid w:val="001F5B44"/>
    <w:rsid w:val="001F5D5E"/>
    <w:rsid w:val="001F6219"/>
    <w:rsid w:val="001F6CD4"/>
    <w:rsid w:val="00201FF6"/>
    <w:rsid w:val="002029EE"/>
    <w:rsid w:val="00206C4D"/>
    <w:rsid w:val="00215AF1"/>
    <w:rsid w:val="00216F9C"/>
    <w:rsid w:val="002200EA"/>
    <w:rsid w:val="0023050D"/>
    <w:rsid w:val="002321E8"/>
    <w:rsid w:val="00232984"/>
    <w:rsid w:val="00237C31"/>
    <w:rsid w:val="0024010F"/>
    <w:rsid w:val="00240749"/>
    <w:rsid w:val="00243018"/>
    <w:rsid w:val="002564A4"/>
    <w:rsid w:val="0026736C"/>
    <w:rsid w:val="002707CD"/>
    <w:rsid w:val="002725C3"/>
    <w:rsid w:val="0027325B"/>
    <w:rsid w:val="00281308"/>
    <w:rsid w:val="00281AEE"/>
    <w:rsid w:val="00284719"/>
    <w:rsid w:val="00297ECB"/>
    <w:rsid w:val="002A506E"/>
    <w:rsid w:val="002A7BCF"/>
    <w:rsid w:val="002C0B29"/>
    <w:rsid w:val="002C3FD1"/>
    <w:rsid w:val="002D043A"/>
    <w:rsid w:val="002D266B"/>
    <w:rsid w:val="002D43A4"/>
    <w:rsid w:val="002D6224"/>
    <w:rsid w:val="002D65D7"/>
    <w:rsid w:val="002D67E8"/>
    <w:rsid w:val="002E07A6"/>
    <w:rsid w:val="002F5727"/>
    <w:rsid w:val="00304F8B"/>
    <w:rsid w:val="0030586B"/>
    <w:rsid w:val="003134D9"/>
    <w:rsid w:val="00315359"/>
    <w:rsid w:val="003218F9"/>
    <w:rsid w:val="003320F9"/>
    <w:rsid w:val="00335BC6"/>
    <w:rsid w:val="003415D3"/>
    <w:rsid w:val="00343D01"/>
    <w:rsid w:val="00344338"/>
    <w:rsid w:val="00344701"/>
    <w:rsid w:val="00350C8A"/>
    <w:rsid w:val="00352B0F"/>
    <w:rsid w:val="003551C7"/>
    <w:rsid w:val="00355410"/>
    <w:rsid w:val="00360459"/>
    <w:rsid w:val="00365E41"/>
    <w:rsid w:val="00367778"/>
    <w:rsid w:val="00367958"/>
    <w:rsid w:val="003777EC"/>
    <w:rsid w:val="0038049F"/>
    <w:rsid w:val="003845AA"/>
    <w:rsid w:val="00385E7E"/>
    <w:rsid w:val="003B3646"/>
    <w:rsid w:val="003C12FE"/>
    <w:rsid w:val="003C1CA9"/>
    <w:rsid w:val="003C6231"/>
    <w:rsid w:val="003C7F9F"/>
    <w:rsid w:val="003D0BFE"/>
    <w:rsid w:val="003D3084"/>
    <w:rsid w:val="003D34D7"/>
    <w:rsid w:val="003D4259"/>
    <w:rsid w:val="003D5700"/>
    <w:rsid w:val="003E151D"/>
    <w:rsid w:val="003E183E"/>
    <w:rsid w:val="003E341B"/>
    <w:rsid w:val="003E4D00"/>
    <w:rsid w:val="003F11EF"/>
    <w:rsid w:val="003F28BC"/>
    <w:rsid w:val="004114C3"/>
    <w:rsid w:val="004116CD"/>
    <w:rsid w:val="00412E3A"/>
    <w:rsid w:val="00412F0A"/>
    <w:rsid w:val="00417EB9"/>
    <w:rsid w:val="00424CA9"/>
    <w:rsid w:val="004276DF"/>
    <w:rsid w:val="00431E9B"/>
    <w:rsid w:val="004379E3"/>
    <w:rsid w:val="0044015E"/>
    <w:rsid w:val="004414D2"/>
    <w:rsid w:val="0044291A"/>
    <w:rsid w:val="004436D7"/>
    <w:rsid w:val="00447809"/>
    <w:rsid w:val="00457979"/>
    <w:rsid w:val="00463222"/>
    <w:rsid w:val="00463EDF"/>
    <w:rsid w:val="0046718A"/>
    <w:rsid w:val="00467661"/>
    <w:rsid w:val="00472DBE"/>
    <w:rsid w:val="00472F12"/>
    <w:rsid w:val="00474A19"/>
    <w:rsid w:val="00477830"/>
    <w:rsid w:val="00480BB0"/>
    <w:rsid w:val="00487764"/>
    <w:rsid w:val="00490D54"/>
    <w:rsid w:val="00494112"/>
    <w:rsid w:val="00494305"/>
    <w:rsid w:val="004951EF"/>
    <w:rsid w:val="00496F97"/>
    <w:rsid w:val="004A23DC"/>
    <w:rsid w:val="004A78E0"/>
    <w:rsid w:val="004B6182"/>
    <w:rsid w:val="004B6C48"/>
    <w:rsid w:val="004C3385"/>
    <w:rsid w:val="004C4E59"/>
    <w:rsid w:val="004C6809"/>
    <w:rsid w:val="004D4AAE"/>
    <w:rsid w:val="004D4B19"/>
    <w:rsid w:val="004D6E62"/>
    <w:rsid w:val="004E063A"/>
    <w:rsid w:val="004E1307"/>
    <w:rsid w:val="004E498B"/>
    <w:rsid w:val="004E7BEC"/>
    <w:rsid w:val="004F3A8C"/>
    <w:rsid w:val="00505D3D"/>
    <w:rsid w:val="00506AF6"/>
    <w:rsid w:val="0051232F"/>
    <w:rsid w:val="00516B8D"/>
    <w:rsid w:val="00525780"/>
    <w:rsid w:val="005303C8"/>
    <w:rsid w:val="00535126"/>
    <w:rsid w:val="00537FBC"/>
    <w:rsid w:val="00541EBC"/>
    <w:rsid w:val="00554826"/>
    <w:rsid w:val="00562877"/>
    <w:rsid w:val="005734D4"/>
    <w:rsid w:val="005756C1"/>
    <w:rsid w:val="005801D9"/>
    <w:rsid w:val="00580C9B"/>
    <w:rsid w:val="00584811"/>
    <w:rsid w:val="00585784"/>
    <w:rsid w:val="0058793E"/>
    <w:rsid w:val="0059049F"/>
    <w:rsid w:val="00591E31"/>
    <w:rsid w:val="0059331C"/>
    <w:rsid w:val="00593AA6"/>
    <w:rsid w:val="00594161"/>
    <w:rsid w:val="00594749"/>
    <w:rsid w:val="005A2ACC"/>
    <w:rsid w:val="005A65D5"/>
    <w:rsid w:val="005A6D33"/>
    <w:rsid w:val="005B1244"/>
    <w:rsid w:val="005B4067"/>
    <w:rsid w:val="005C2C89"/>
    <w:rsid w:val="005C2D26"/>
    <w:rsid w:val="005C3BE8"/>
    <w:rsid w:val="005C3F41"/>
    <w:rsid w:val="005C48B1"/>
    <w:rsid w:val="005D1D92"/>
    <w:rsid w:val="005D2D09"/>
    <w:rsid w:val="005E432A"/>
    <w:rsid w:val="005F024D"/>
    <w:rsid w:val="00600219"/>
    <w:rsid w:val="00601A15"/>
    <w:rsid w:val="00604F2A"/>
    <w:rsid w:val="00607C3E"/>
    <w:rsid w:val="0061320A"/>
    <w:rsid w:val="00620076"/>
    <w:rsid w:val="006224B1"/>
    <w:rsid w:val="0062438A"/>
    <w:rsid w:val="006273BE"/>
    <w:rsid w:val="00627E0A"/>
    <w:rsid w:val="006303E3"/>
    <w:rsid w:val="006504D5"/>
    <w:rsid w:val="0065488B"/>
    <w:rsid w:val="006603C4"/>
    <w:rsid w:val="006707B2"/>
    <w:rsid w:val="00670EA1"/>
    <w:rsid w:val="00672160"/>
    <w:rsid w:val="00677CC2"/>
    <w:rsid w:val="00681F8B"/>
    <w:rsid w:val="00684D78"/>
    <w:rsid w:val="0068744B"/>
    <w:rsid w:val="006905DE"/>
    <w:rsid w:val="0069207B"/>
    <w:rsid w:val="00692BFD"/>
    <w:rsid w:val="0069408C"/>
    <w:rsid w:val="00694E6D"/>
    <w:rsid w:val="00695A3E"/>
    <w:rsid w:val="006A154F"/>
    <w:rsid w:val="006A437B"/>
    <w:rsid w:val="006A548A"/>
    <w:rsid w:val="006B3D76"/>
    <w:rsid w:val="006B5789"/>
    <w:rsid w:val="006C30C5"/>
    <w:rsid w:val="006C507A"/>
    <w:rsid w:val="006C5CDD"/>
    <w:rsid w:val="006C7F8C"/>
    <w:rsid w:val="006E2E1C"/>
    <w:rsid w:val="006E6246"/>
    <w:rsid w:val="006E69C2"/>
    <w:rsid w:val="006E6DCC"/>
    <w:rsid w:val="006E6E00"/>
    <w:rsid w:val="006F318F"/>
    <w:rsid w:val="006F595B"/>
    <w:rsid w:val="006F7D48"/>
    <w:rsid w:val="0070017E"/>
    <w:rsid w:val="00700B2C"/>
    <w:rsid w:val="00700ECA"/>
    <w:rsid w:val="007050A2"/>
    <w:rsid w:val="00711993"/>
    <w:rsid w:val="00713084"/>
    <w:rsid w:val="007136FD"/>
    <w:rsid w:val="0071448F"/>
    <w:rsid w:val="00714F20"/>
    <w:rsid w:val="0071590F"/>
    <w:rsid w:val="00715914"/>
    <w:rsid w:val="00715D5E"/>
    <w:rsid w:val="0072147A"/>
    <w:rsid w:val="00723791"/>
    <w:rsid w:val="00727DCA"/>
    <w:rsid w:val="00730942"/>
    <w:rsid w:val="00731E00"/>
    <w:rsid w:val="007375FC"/>
    <w:rsid w:val="007440B7"/>
    <w:rsid w:val="00745E80"/>
    <w:rsid w:val="007500C8"/>
    <w:rsid w:val="00751C33"/>
    <w:rsid w:val="00756272"/>
    <w:rsid w:val="00761DC1"/>
    <w:rsid w:val="00762D38"/>
    <w:rsid w:val="007715C9"/>
    <w:rsid w:val="00771613"/>
    <w:rsid w:val="00774EDD"/>
    <w:rsid w:val="007757EC"/>
    <w:rsid w:val="0078011C"/>
    <w:rsid w:val="00783E89"/>
    <w:rsid w:val="00793263"/>
    <w:rsid w:val="00793915"/>
    <w:rsid w:val="00795866"/>
    <w:rsid w:val="007A656F"/>
    <w:rsid w:val="007A73D5"/>
    <w:rsid w:val="007A73F1"/>
    <w:rsid w:val="007B13E2"/>
    <w:rsid w:val="007B3652"/>
    <w:rsid w:val="007B3795"/>
    <w:rsid w:val="007B66E6"/>
    <w:rsid w:val="007C2253"/>
    <w:rsid w:val="007C343A"/>
    <w:rsid w:val="007C5FDD"/>
    <w:rsid w:val="007D1046"/>
    <w:rsid w:val="007D7671"/>
    <w:rsid w:val="007D7911"/>
    <w:rsid w:val="007E11B9"/>
    <w:rsid w:val="007E163D"/>
    <w:rsid w:val="007E666A"/>
    <w:rsid w:val="007E667A"/>
    <w:rsid w:val="007F1B35"/>
    <w:rsid w:val="007F28C9"/>
    <w:rsid w:val="007F51B2"/>
    <w:rsid w:val="007F5A95"/>
    <w:rsid w:val="0080349D"/>
    <w:rsid w:val="0080359A"/>
    <w:rsid w:val="008040DD"/>
    <w:rsid w:val="00807D62"/>
    <w:rsid w:val="008117E9"/>
    <w:rsid w:val="00824498"/>
    <w:rsid w:val="00825587"/>
    <w:rsid w:val="00826BD1"/>
    <w:rsid w:val="008300B1"/>
    <w:rsid w:val="00832258"/>
    <w:rsid w:val="00832267"/>
    <w:rsid w:val="00841744"/>
    <w:rsid w:val="0084208C"/>
    <w:rsid w:val="008430A9"/>
    <w:rsid w:val="00850046"/>
    <w:rsid w:val="00854D0B"/>
    <w:rsid w:val="00856A31"/>
    <w:rsid w:val="00857D83"/>
    <w:rsid w:val="00860B4E"/>
    <w:rsid w:val="00861378"/>
    <w:rsid w:val="00867B37"/>
    <w:rsid w:val="008754D0"/>
    <w:rsid w:val="00875D13"/>
    <w:rsid w:val="0087629A"/>
    <w:rsid w:val="00881923"/>
    <w:rsid w:val="008855C9"/>
    <w:rsid w:val="00886035"/>
    <w:rsid w:val="00886456"/>
    <w:rsid w:val="0089029F"/>
    <w:rsid w:val="00896176"/>
    <w:rsid w:val="0089731A"/>
    <w:rsid w:val="008A12F5"/>
    <w:rsid w:val="008A46E1"/>
    <w:rsid w:val="008A4F43"/>
    <w:rsid w:val="008A755E"/>
    <w:rsid w:val="008A75B6"/>
    <w:rsid w:val="008B16EF"/>
    <w:rsid w:val="008B2706"/>
    <w:rsid w:val="008B4BA0"/>
    <w:rsid w:val="008B62D8"/>
    <w:rsid w:val="008C25AE"/>
    <w:rsid w:val="008C2EAC"/>
    <w:rsid w:val="008C3379"/>
    <w:rsid w:val="008C5A19"/>
    <w:rsid w:val="008D0EE0"/>
    <w:rsid w:val="008E0027"/>
    <w:rsid w:val="008E31A1"/>
    <w:rsid w:val="008E6067"/>
    <w:rsid w:val="008F2D57"/>
    <w:rsid w:val="008F3675"/>
    <w:rsid w:val="008F54E7"/>
    <w:rsid w:val="00902E57"/>
    <w:rsid w:val="00903422"/>
    <w:rsid w:val="0090428F"/>
    <w:rsid w:val="00905A44"/>
    <w:rsid w:val="00906CEE"/>
    <w:rsid w:val="00910D55"/>
    <w:rsid w:val="009139CE"/>
    <w:rsid w:val="00916E8D"/>
    <w:rsid w:val="009215AE"/>
    <w:rsid w:val="009228CB"/>
    <w:rsid w:val="00922BC7"/>
    <w:rsid w:val="00923013"/>
    <w:rsid w:val="009254C3"/>
    <w:rsid w:val="00932377"/>
    <w:rsid w:val="00937972"/>
    <w:rsid w:val="00941236"/>
    <w:rsid w:val="009420F1"/>
    <w:rsid w:val="00943FD5"/>
    <w:rsid w:val="009464C5"/>
    <w:rsid w:val="00947D5A"/>
    <w:rsid w:val="009532A5"/>
    <w:rsid w:val="009545BD"/>
    <w:rsid w:val="009550E2"/>
    <w:rsid w:val="00964CF0"/>
    <w:rsid w:val="00965F36"/>
    <w:rsid w:val="009713DE"/>
    <w:rsid w:val="00973DC6"/>
    <w:rsid w:val="00977806"/>
    <w:rsid w:val="00982242"/>
    <w:rsid w:val="009868E9"/>
    <w:rsid w:val="009900A3"/>
    <w:rsid w:val="00994EB3"/>
    <w:rsid w:val="00995433"/>
    <w:rsid w:val="00995DE3"/>
    <w:rsid w:val="009A7C1F"/>
    <w:rsid w:val="009B3278"/>
    <w:rsid w:val="009C215C"/>
    <w:rsid w:val="009C3413"/>
    <w:rsid w:val="009C4B44"/>
    <w:rsid w:val="009C72C6"/>
    <w:rsid w:val="009D0C05"/>
    <w:rsid w:val="009D2D43"/>
    <w:rsid w:val="009D6730"/>
    <w:rsid w:val="009E3D4E"/>
    <w:rsid w:val="009F13F4"/>
    <w:rsid w:val="009F49B2"/>
    <w:rsid w:val="009F69F1"/>
    <w:rsid w:val="00A0441E"/>
    <w:rsid w:val="00A06CA5"/>
    <w:rsid w:val="00A12128"/>
    <w:rsid w:val="00A127E7"/>
    <w:rsid w:val="00A21B5F"/>
    <w:rsid w:val="00A22426"/>
    <w:rsid w:val="00A22C98"/>
    <w:rsid w:val="00A231E2"/>
    <w:rsid w:val="00A252F1"/>
    <w:rsid w:val="00A369E3"/>
    <w:rsid w:val="00A4566F"/>
    <w:rsid w:val="00A47350"/>
    <w:rsid w:val="00A57600"/>
    <w:rsid w:val="00A6347E"/>
    <w:rsid w:val="00A64396"/>
    <w:rsid w:val="00A64912"/>
    <w:rsid w:val="00A70A74"/>
    <w:rsid w:val="00A72548"/>
    <w:rsid w:val="00A75A0B"/>
    <w:rsid w:val="00A75FE9"/>
    <w:rsid w:val="00A800DE"/>
    <w:rsid w:val="00A8241B"/>
    <w:rsid w:val="00A94216"/>
    <w:rsid w:val="00A97745"/>
    <w:rsid w:val="00AA05E4"/>
    <w:rsid w:val="00AA2CB1"/>
    <w:rsid w:val="00AA7A1C"/>
    <w:rsid w:val="00AB085C"/>
    <w:rsid w:val="00AC0AF9"/>
    <w:rsid w:val="00AC6BB1"/>
    <w:rsid w:val="00AC7B08"/>
    <w:rsid w:val="00AD204D"/>
    <w:rsid w:val="00AD53CC"/>
    <w:rsid w:val="00AD5641"/>
    <w:rsid w:val="00AD7A13"/>
    <w:rsid w:val="00AE09AC"/>
    <w:rsid w:val="00AE6A5E"/>
    <w:rsid w:val="00AF06CF"/>
    <w:rsid w:val="00B02230"/>
    <w:rsid w:val="00B05E22"/>
    <w:rsid w:val="00B06ED2"/>
    <w:rsid w:val="00B07CDB"/>
    <w:rsid w:val="00B14A2D"/>
    <w:rsid w:val="00B16A31"/>
    <w:rsid w:val="00B16C72"/>
    <w:rsid w:val="00B17DFD"/>
    <w:rsid w:val="00B21768"/>
    <w:rsid w:val="00B25306"/>
    <w:rsid w:val="00B258A0"/>
    <w:rsid w:val="00B27831"/>
    <w:rsid w:val="00B308FE"/>
    <w:rsid w:val="00B30F82"/>
    <w:rsid w:val="00B33709"/>
    <w:rsid w:val="00B33B3C"/>
    <w:rsid w:val="00B36392"/>
    <w:rsid w:val="00B418CB"/>
    <w:rsid w:val="00B4644E"/>
    <w:rsid w:val="00B47444"/>
    <w:rsid w:val="00B50640"/>
    <w:rsid w:val="00B50ADC"/>
    <w:rsid w:val="00B528A6"/>
    <w:rsid w:val="00B566B1"/>
    <w:rsid w:val="00B601A4"/>
    <w:rsid w:val="00B62662"/>
    <w:rsid w:val="00B63834"/>
    <w:rsid w:val="00B643F6"/>
    <w:rsid w:val="00B661D6"/>
    <w:rsid w:val="00B664BA"/>
    <w:rsid w:val="00B714F2"/>
    <w:rsid w:val="00B73647"/>
    <w:rsid w:val="00B80199"/>
    <w:rsid w:val="00B83204"/>
    <w:rsid w:val="00B856E7"/>
    <w:rsid w:val="00B869EF"/>
    <w:rsid w:val="00B86A3C"/>
    <w:rsid w:val="00B95F66"/>
    <w:rsid w:val="00B97BDE"/>
    <w:rsid w:val="00BA0007"/>
    <w:rsid w:val="00BA220B"/>
    <w:rsid w:val="00BA3A57"/>
    <w:rsid w:val="00BA4C74"/>
    <w:rsid w:val="00BA4E21"/>
    <w:rsid w:val="00BA72C4"/>
    <w:rsid w:val="00BB1533"/>
    <w:rsid w:val="00BB29D5"/>
    <w:rsid w:val="00BB4E1A"/>
    <w:rsid w:val="00BB6030"/>
    <w:rsid w:val="00BC015E"/>
    <w:rsid w:val="00BC76AC"/>
    <w:rsid w:val="00BD08C0"/>
    <w:rsid w:val="00BD0ECB"/>
    <w:rsid w:val="00BE0195"/>
    <w:rsid w:val="00BE2155"/>
    <w:rsid w:val="00BE6053"/>
    <w:rsid w:val="00BE719A"/>
    <w:rsid w:val="00BE720A"/>
    <w:rsid w:val="00BF0D73"/>
    <w:rsid w:val="00BF2465"/>
    <w:rsid w:val="00BF71C9"/>
    <w:rsid w:val="00C06FBA"/>
    <w:rsid w:val="00C16619"/>
    <w:rsid w:val="00C2445B"/>
    <w:rsid w:val="00C25E7F"/>
    <w:rsid w:val="00C2746F"/>
    <w:rsid w:val="00C323D6"/>
    <w:rsid w:val="00C324A0"/>
    <w:rsid w:val="00C37299"/>
    <w:rsid w:val="00C42BF8"/>
    <w:rsid w:val="00C42E88"/>
    <w:rsid w:val="00C50043"/>
    <w:rsid w:val="00C55DA5"/>
    <w:rsid w:val="00C562C7"/>
    <w:rsid w:val="00C5770A"/>
    <w:rsid w:val="00C6778B"/>
    <w:rsid w:val="00C73B6F"/>
    <w:rsid w:val="00C7573B"/>
    <w:rsid w:val="00C94181"/>
    <w:rsid w:val="00C96D4F"/>
    <w:rsid w:val="00C97A54"/>
    <w:rsid w:val="00CA57A3"/>
    <w:rsid w:val="00CA5B23"/>
    <w:rsid w:val="00CB5177"/>
    <w:rsid w:val="00CB602E"/>
    <w:rsid w:val="00CB7E90"/>
    <w:rsid w:val="00CC6838"/>
    <w:rsid w:val="00CC77B2"/>
    <w:rsid w:val="00CD0A7C"/>
    <w:rsid w:val="00CD3A74"/>
    <w:rsid w:val="00CD757E"/>
    <w:rsid w:val="00CE051D"/>
    <w:rsid w:val="00CE1335"/>
    <w:rsid w:val="00CE1B34"/>
    <w:rsid w:val="00CE1CF1"/>
    <w:rsid w:val="00CE493D"/>
    <w:rsid w:val="00CF07FA"/>
    <w:rsid w:val="00CF0BB2"/>
    <w:rsid w:val="00CF0CFA"/>
    <w:rsid w:val="00CF0F5C"/>
    <w:rsid w:val="00CF0F68"/>
    <w:rsid w:val="00CF1D18"/>
    <w:rsid w:val="00CF269A"/>
    <w:rsid w:val="00CF3EE8"/>
    <w:rsid w:val="00D13441"/>
    <w:rsid w:val="00D150E7"/>
    <w:rsid w:val="00D32EA1"/>
    <w:rsid w:val="00D52DC2"/>
    <w:rsid w:val="00D53BCC"/>
    <w:rsid w:val="00D54C9E"/>
    <w:rsid w:val="00D56422"/>
    <w:rsid w:val="00D6537E"/>
    <w:rsid w:val="00D70DFB"/>
    <w:rsid w:val="00D766DF"/>
    <w:rsid w:val="00D8206C"/>
    <w:rsid w:val="00D910DF"/>
    <w:rsid w:val="00D91F10"/>
    <w:rsid w:val="00D93DB7"/>
    <w:rsid w:val="00D979C7"/>
    <w:rsid w:val="00DA186E"/>
    <w:rsid w:val="00DA4116"/>
    <w:rsid w:val="00DA56DD"/>
    <w:rsid w:val="00DB251C"/>
    <w:rsid w:val="00DB2569"/>
    <w:rsid w:val="00DB2C9E"/>
    <w:rsid w:val="00DB3F45"/>
    <w:rsid w:val="00DB4630"/>
    <w:rsid w:val="00DC4F88"/>
    <w:rsid w:val="00DC51B5"/>
    <w:rsid w:val="00DC7258"/>
    <w:rsid w:val="00DD22E6"/>
    <w:rsid w:val="00DD2D35"/>
    <w:rsid w:val="00DD54CD"/>
    <w:rsid w:val="00DE08BC"/>
    <w:rsid w:val="00DE107C"/>
    <w:rsid w:val="00DE69E6"/>
    <w:rsid w:val="00DF096E"/>
    <w:rsid w:val="00DF2388"/>
    <w:rsid w:val="00DF7DEA"/>
    <w:rsid w:val="00E05704"/>
    <w:rsid w:val="00E05CB5"/>
    <w:rsid w:val="00E13901"/>
    <w:rsid w:val="00E145F7"/>
    <w:rsid w:val="00E14961"/>
    <w:rsid w:val="00E14CC3"/>
    <w:rsid w:val="00E1663F"/>
    <w:rsid w:val="00E171A2"/>
    <w:rsid w:val="00E23301"/>
    <w:rsid w:val="00E33196"/>
    <w:rsid w:val="00E338EF"/>
    <w:rsid w:val="00E544BB"/>
    <w:rsid w:val="00E54817"/>
    <w:rsid w:val="00E5722B"/>
    <w:rsid w:val="00E6051C"/>
    <w:rsid w:val="00E6260D"/>
    <w:rsid w:val="00E65EC0"/>
    <w:rsid w:val="00E721CF"/>
    <w:rsid w:val="00E74DC7"/>
    <w:rsid w:val="00E8075A"/>
    <w:rsid w:val="00E85F33"/>
    <w:rsid w:val="00E91D70"/>
    <w:rsid w:val="00E940D8"/>
    <w:rsid w:val="00E94D5E"/>
    <w:rsid w:val="00EA4D9D"/>
    <w:rsid w:val="00EA7100"/>
    <w:rsid w:val="00EA74EE"/>
    <w:rsid w:val="00EA7F9F"/>
    <w:rsid w:val="00EB1274"/>
    <w:rsid w:val="00EB26BF"/>
    <w:rsid w:val="00EB48A5"/>
    <w:rsid w:val="00EB6695"/>
    <w:rsid w:val="00EC769A"/>
    <w:rsid w:val="00ED2ABE"/>
    <w:rsid w:val="00ED2BB6"/>
    <w:rsid w:val="00ED2BFB"/>
    <w:rsid w:val="00ED34E1"/>
    <w:rsid w:val="00ED3B8D"/>
    <w:rsid w:val="00EE5E36"/>
    <w:rsid w:val="00EF2E3A"/>
    <w:rsid w:val="00F00697"/>
    <w:rsid w:val="00F02C7C"/>
    <w:rsid w:val="00F072A7"/>
    <w:rsid w:val="00F078DC"/>
    <w:rsid w:val="00F16327"/>
    <w:rsid w:val="00F167DD"/>
    <w:rsid w:val="00F17CC6"/>
    <w:rsid w:val="00F21744"/>
    <w:rsid w:val="00F22C46"/>
    <w:rsid w:val="00F2330E"/>
    <w:rsid w:val="00F2737A"/>
    <w:rsid w:val="00F27438"/>
    <w:rsid w:val="00F32BA8"/>
    <w:rsid w:val="00F32EE0"/>
    <w:rsid w:val="00F349F1"/>
    <w:rsid w:val="00F4350D"/>
    <w:rsid w:val="00F45483"/>
    <w:rsid w:val="00F479C4"/>
    <w:rsid w:val="00F567F7"/>
    <w:rsid w:val="00F623F6"/>
    <w:rsid w:val="00F6696E"/>
    <w:rsid w:val="00F7066A"/>
    <w:rsid w:val="00F72DF8"/>
    <w:rsid w:val="00F73BD6"/>
    <w:rsid w:val="00F7570C"/>
    <w:rsid w:val="00F83989"/>
    <w:rsid w:val="00F85099"/>
    <w:rsid w:val="00F86FAC"/>
    <w:rsid w:val="00F875DC"/>
    <w:rsid w:val="00F87F6A"/>
    <w:rsid w:val="00F9379C"/>
    <w:rsid w:val="00F9632C"/>
    <w:rsid w:val="00FA1E52"/>
    <w:rsid w:val="00FA5409"/>
    <w:rsid w:val="00FB0E50"/>
    <w:rsid w:val="00FB5A08"/>
    <w:rsid w:val="00FC0830"/>
    <w:rsid w:val="00FC3B35"/>
    <w:rsid w:val="00FC6A80"/>
    <w:rsid w:val="00FD227E"/>
    <w:rsid w:val="00FD2FC0"/>
    <w:rsid w:val="00FD68CC"/>
    <w:rsid w:val="00FD7481"/>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B986AAA"/>
  <w15:docId w15:val="{588799E8-27AE-46A7-9C66-2655ED3A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10DF"/>
    <w:pPr>
      <w:spacing w:line="260" w:lineRule="atLeast"/>
    </w:pPr>
    <w:rPr>
      <w:sz w:val="22"/>
    </w:rPr>
  </w:style>
  <w:style w:type="paragraph" w:styleId="Heading1">
    <w:name w:val="heading 1"/>
    <w:basedOn w:val="Normal"/>
    <w:next w:val="Normal"/>
    <w:link w:val="Heading1Char"/>
    <w:uiPriority w:val="9"/>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DHeader"/>
    <w:link w:val="HeaderChar"/>
    <w:unhideWhenUsed/>
    <w:rsid w:val="00A75A0B"/>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aliases w:val="LDHeader Char"/>
    <w:basedOn w:val="DefaultParagraphFont"/>
    <w:link w:val="Header"/>
    <w:rsid w:val="00A75A0B"/>
    <w:rPr>
      <w:rFonts w:eastAsia="Times New Roman" w:cs="Times New Roman"/>
      <w:sz w:val="16"/>
      <w:lang w:eastAsia="en-AU"/>
    </w:rPr>
  </w:style>
  <w:style w:type="paragraph" w:customStyle="1" w:styleId="LDP3A">
    <w:name w:val="LDP3(A)"/>
    <w:rsid w:val="009713DE"/>
    <w:pPr>
      <w:tabs>
        <w:tab w:val="left" w:pos="1985"/>
      </w:tabs>
      <w:ind w:left="1985" w:hanging="425"/>
    </w:pPr>
    <w:rPr>
      <w:rFonts w:eastAsia="Times New Roman" w:cs="Times New Roman"/>
      <w:sz w:val="24"/>
      <w:szCs w:val="24"/>
    </w:rPr>
  </w:style>
  <w:style w:type="paragraph" w:customStyle="1" w:styleId="LDP4I">
    <w:name w:val="LDP4(I)"/>
    <w:basedOn w:val="LDP2i"/>
    <w:rsid w:val="009713DE"/>
    <w:pPr>
      <w:tabs>
        <w:tab w:val="clear" w:pos="1418"/>
        <w:tab w:val="clear" w:pos="1559"/>
        <w:tab w:val="right" w:pos="1985"/>
        <w:tab w:val="left" w:pos="2127"/>
      </w:tabs>
      <w:ind w:left="1985" w:hanging="709"/>
    </w:pPr>
  </w:style>
  <w:style w:type="paragraph" w:styleId="TOC1">
    <w:name w:val="toc 1"/>
    <w:next w:val="TOC2"/>
    <w:uiPriority w:val="39"/>
    <w:unhideWhenUsed/>
    <w:rsid w:val="007D7671"/>
    <w:pPr>
      <w:keepNext/>
      <w:keepLines/>
      <w:tabs>
        <w:tab w:val="left" w:pos="1560"/>
        <w:tab w:val="right" w:pos="9498"/>
      </w:tabs>
      <w:spacing w:before="120"/>
      <w:ind w:left="1560" w:right="141" w:hanging="1560"/>
    </w:pPr>
    <w:rPr>
      <w:rFonts w:ascii="Arial" w:eastAsia="Times New Roman" w:hAnsi="Arial" w:cs="Times New Roman"/>
      <w:b/>
      <w:noProof/>
      <w:kern w:val="28"/>
      <w:sz w:val="26"/>
      <w:lang w:eastAsia="en-AU"/>
    </w:rPr>
  </w:style>
  <w:style w:type="paragraph" w:styleId="TOC2">
    <w:name w:val="toc 2"/>
    <w:next w:val="TOC3"/>
    <w:uiPriority w:val="39"/>
    <w:unhideWhenUsed/>
    <w:rsid w:val="007D7671"/>
    <w:pPr>
      <w:tabs>
        <w:tab w:val="left" w:pos="1843"/>
        <w:tab w:val="right" w:pos="9498"/>
      </w:tabs>
      <w:spacing w:before="120"/>
      <w:ind w:left="1843" w:hanging="1843"/>
    </w:pPr>
    <w:rPr>
      <w:rFonts w:ascii="Arial" w:eastAsia="Times New Roman" w:hAnsi="Arial" w:cs="Times New Roman"/>
      <w:b/>
      <w:noProof/>
      <w:kern w:val="28"/>
      <w:sz w:val="24"/>
      <w:lang w:eastAsia="en-AU"/>
    </w:rPr>
  </w:style>
  <w:style w:type="paragraph" w:styleId="TOC3">
    <w:name w:val="toc 3"/>
    <w:next w:val="TOC4"/>
    <w:uiPriority w:val="39"/>
    <w:unhideWhenUsed/>
    <w:rsid w:val="007D7671"/>
    <w:pPr>
      <w:tabs>
        <w:tab w:val="left" w:pos="1985"/>
        <w:tab w:val="right" w:pos="9498"/>
      </w:tabs>
      <w:spacing w:before="80"/>
      <w:ind w:left="1985" w:hanging="1985"/>
    </w:pPr>
    <w:rPr>
      <w:rFonts w:ascii="Arial" w:eastAsia="Times New Roman" w:hAnsi="Arial" w:cs="Times New Roman"/>
      <w:b/>
      <w:noProof/>
      <w:kern w:val="28"/>
      <w:sz w:val="22"/>
      <w:lang w:eastAsia="en-AU"/>
    </w:rPr>
  </w:style>
  <w:style w:type="paragraph" w:styleId="TOC4">
    <w:name w:val="toc 4"/>
    <w:uiPriority w:val="39"/>
    <w:unhideWhenUsed/>
    <w:rsid w:val="007D7671"/>
    <w:pPr>
      <w:tabs>
        <w:tab w:val="left" w:pos="426"/>
        <w:tab w:val="right" w:pos="9498"/>
      </w:tabs>
      <w:spacing w:before="40"/>
      <w:ind w:left="425" w:hanging="425"/>
    </w:pPr>
    <w:rPr>
      <w:rFonts w:ascii="Arial" w:eastAsiaTheme="majorEastAsia" w:hAnsi="Arial" w:cs="Arial"/>
      <w:b/>
      <w:noProof/>
      <w:spacing w:val="-10"/>
      <w:kern w:val="28"/>
      <w:sz w:val="22"/>
      <w:szCs w:val="22"/>
    </w:rPr>
  </w:style>
  <w:style w:type="paragraph" w:styleId="TOC5">
    <w:name w:val="toc 5"/>
    <w:basedOn w:val="Normal"/>
    <w:next w:val="Normal"/>
    <w:uiPriority w:val="39"/>
    <w:unhideWhenUsed/>
    <w:rsid w:val="00B869EF"/>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B869E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869E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semiHidden/>
    <w:unhideWhenUsed/>
    <w:rsid w:val="00B869E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869EF"/>
    <w:pPr>
      <w:keepLines/>
      <w:tabs>
        <w:tab w:val="right" w:pos="8278"/>
      </w:tabs>
      <w:spacing w:before="80" w:line="240" w:lineRule="auto"/>
      <w:ind w:left="851" w:right="567"/>
    </w:pPr>
    <w:rPr>
      <w:rFonts w:eastAsia="Times New Roman" w:cs="Times New Roman"/>
      <w:i/>
      <w:kern w:val="28"/>
      <w:sz w:val="20"/>
      <w:lang w:eastAsia="en-AU"/>
    </w:rPr>
  </w:style>
  <w:style w:type="character" w:styleId="LineNumber">
    <w:name w:val="line number"/>
    <w:basedOn w:val="DefaultParagraphFont"/>
    <w:uiPriority w:val="99"/>
    <w:semiHidden/>
    <w:unhideWhenUsed/>
    <w:rsid w:val="00B869EF"/>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PCBodyList">
    <w:name w:val="OPCBodyList"/>
    <w:uiPriority w:val="99"/>
    <w:rsid w:val="00CA5B23"/>
    <w:pPr>
      <w:numPr>
        <w:numId w:val="13"/>
      </w:numPr>
    </w:p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uiPriority w:val="99"/>
    <w:semiHidden/>
    <w:unhideWhenUsed/>
    <w:rsid w:val="0062438A"/>
    <w:pPr>
      <w:spacing w:line="240" w:lineRule="auto"/>
    </w:pPr>
    <w:rPr>
      <w:sz w:val="20"/>
    </w:rPr>
  </w:style>
  <w:style w:type="character" w:customStyle="1" w:styleId="EndnoteTextChar">
    <w:name w:val="Endnote Text Char"/>
    <w:basedOn w:val="DefaultParagraphFont"/>
    <w:link w:val="EndnoteText"/>
    <w:uiPriority w:val="99"/>
    <w:semiHidden/>
    <w:rsid w:val="0062438A"/>
  </w:style>
  <w:style w:type="character" w:styleId="EndnoteReference">
    <w:name w:val="endnote reference"/>
    <w:basedOn w:val="DefaultParagraphFont"/>
    <w:uiPriority w:val="99"/>
    <w:semiHidden/>
    <w:unhideWhenUsed/>
    <w:rsid w:val="0062438A"/>
    <w:rPr>
      <w:vertAlign w:val="superscript"/>
    </w:rPr>
  </w:style>
  <w:style w:type="character" w:styleId="CommentReference">
    <w:name w:val="annotation reference"/>
    <w:basedOn w:val="DefaultParagraphFont"/>
    <w:uiPriority w:val="99"/>
    <w:semiHidden/>
    <w:unhideWhenUsed/>
    <w:rsid w:val="005801D9"/>
    <w:rPr>
      <w:sz w:val="16"/>
      <w:szCs w:val="16"/>
    </w:rPr>
  </w:style>
  <w:style w:type="paragraph" w:styleId="CommentText">
    <w:name w:val="annotation text"/>
    <w:basedOn w:val="Normal"/>
    <w:link w:val="CommentTextChar"/>
    <w:uiPriority w:val="99"/>
    <w:semiHidden/>
    <w:unhideWhenUsed/>
    <w:rsid w:val="005801D9"/>
    <w:pPr>
      <w:spacing w:line="240" w:lineRule="auto"/>
    </w:pPr>
    <w:rPr>
      <w:sz w:val="20"/>
    </w:rPr>
  </w:style>
  <w:style w:type="character" w:customStyle="1" w:styleId="CommentTextChar">
    <w:name w:val="Comment Text Char"/>
    <w:basedOn w:val="DefaultParagraphFont"/>
    <w:link w:val="CommentText"/>
    <w:uiPriority w:val="99"/>
    <w:semiHidden/>
    <w:rsid w:val="005801D9"/>
  </w:style>
  <w:style w:type="paragraph" w:styleId="CommentSubject">
    <w:name w:val="annotation subject"/>
    <w:basedOn w:val="CommentText"/>
    <w:next w:val="CommentText"/>
    <w:link w:val="CommentSubjectChar"/>
    <w:uiPriority w:val="99"/>
    <w:semiHidden/>
    <w:unhideWhenUsed/>
    <w:rsid w:val="005801D9"/>
    <w:rPr>
      <w:b/>
      <w:bCs/>
    </w:rPr>
  </w:style>
  <w:style w:type="character" w:customStyle="1" w:styleId="CommentSubjectChar">
    <w:name w:val="Comment Subject Char"/>
    <w:basedOn w:val="CommentTextChar"/>
    <w:link w:val="CommentSubject"/>
    <w:uiPriority w:val="99"/>
    <w:semiHidden/>
    <w:rsid w:val="005801D9"/>
    <w:rPr>
      <w:b/>
      <w:bCs/>
    </w:rPr>
  </w:style>
  <w:style w:type="paragraph" w:customStyle="1" w:styleId="LDDescription">
    <w:name w:val="LD Description"/>
    <w:rsid w:val="00D93DB7"/>
    <w:pPr>
      <w:pBdr>
        <w:bottom w:val="single" w:sz="4" w:space="3" w:color="auto"/>
      </w:pBdr>
      <w:spacing w:before="600" w:after="120"/>
    </w:pPr>
    <w:rPr>
      <w:rFonts w:ascii="Arial" w:eastAsia="Times New Roman" w:hAnsi="Arial" w:cs="Times New Roman"/>
      <w:b/>
      <w:sz w:val="24"/>
      <w:szCs w:val="24"/>
    </w:rPr>
  </w:style>
  <w:style w:type="paragraph" w:customStyle="1" w:styleId="LDBodytext">
    <w:name w:val="LDBody text"/>
    <w:link w:val="LDBodytextChar"/>
    <w:rsid w:val="00365E41"/>
    <w:pPr>
      <w:spacing w:before="120"/>
    </w:pPr>
    <w:rPr>
      <w:rFonts w:eastAsia="Times New Roman" w:cs="Times New Roman"/>
      <w:sz w:val="24"/>
      <w:szCs w:val="24"/>
    </w:rPr>
  </w:style>
  <w:style w:type="character" w:customStyle="1" w:styleId="LDBodytextChar">
    <w:name w:val="LDBody text Char"/>
    <w:link w:val="LDBodytext"/>
    <w:rsid w:val="00365E41"/>
    <w:rPr>
      <w:rFonts w:eastAsia="Times New Roman" w:cs="Times New Roman"/>
      <w:sz w:val="24"/>
      <w:szCs w:val="24"/>
    </w:rPr>
  </w:style>
  <w:style w:type="paragraph" w:customStyle="1" w:styleId="LDDate">
    <w:name w:val="LDDate"/>
    <w:next w:val="LDSign"/>
    <w:rsid w:val="000B14AD"/>
    <w:pPr>
      <w:tabs>
        <w:tab w:val="left" w:pos="3402"/>
      </w:tabs>
      <w:spacing w:before="240"/>
    </w:pPr>
    <w:rPr>
      <w:rFonts w:eastAsia="Times New Roman" w:cs="Times New Roman"/>
      <w:sz w:val="24"/>
      <w:szCs w:val="24"/>
    </w:rPr>
  </w:style>
  <w:style w:type="paragraph" w:customStyle="1" w:styleId="LDSign">
    <w:name w:val="LDSign"/>
    <w:qFormat/>
    <w:rsid w:val="000E7118"/>
    <w:pPr>
      <w:tabs>
        <w:tab w:val="left" w:pos="3402"/>
      </w:tabs>
      <w:spacing w:before="1440" w:line="300" w:lineRule="atLeast"/>
      <w:ind w:right="397"/>
    </w:pPr>
    <w:rPr>
      <w:rFonts w:ascii="Arial" w:eastAsia="Calibri" w:hAnsi="Arial" w:cs="Times New Roman"/>
      <w:b/>
      <w:sz w:val="24"/>
      <w:szCs w:val="22"/>
      <w:lang w:eastAsia="en-AU"/>
    </w:rPr>
  </w:style>
  <w:style w:type="paragraph" w:customStyle="1" w:styleId="LDSecHead">
    <w:name w:val="LDSecHead"/>
    <w:next w:val="LDSec1"/>
    <w:link w:val="LDSecHeadChar"/>
    <w:rsid w:val="000B14AD"/>
    <w:pPr>
      <w:keepNext/>
      <w:tabs>
        <w:tab w:val="left" w:pos="737"/>
      </w:tabs>
      <w:spacing w:before="180" w:after="60" w:line="259" w:lineRule="auto"/>
      <w:ind w:left="737" w:hanging="737"/>
      <w:outlineLvl w:val="3"/>
    </w:pPr>
    <w:rPr>
      <w:rFonts w:ascii="Arial" w:eastAsia="Calibri" w:hAnsi="Arial" w:cs="Arial"/>
      <w:b/>
      <w:sz w:val="22"/>
      <w:szCs w:val="22"/>
    </w:rPr>
  </w:style>
  <w:style w:type="character" w:customStyle="1" w:styleId="LDSecHeadChar">
    <w:name w:val="LDSecHead Char"/>
    <w:link w:val="LDSecHead"/>
    <w:locked/>
    <w:rsid w:val="000B14AD"/>
    <w:rPr>
      <w:rFonts w:ascii="Arial" w:eastAsia="Calibri" w:hAnsi="Arial" w:cs="Arial"/>
      <w:b/>
      <w:sz w:val="22"/>
      <w:szCs w:val="22"/>
    </w:rPr>
  </w:style>
  <w:style w:type="paragraph" w:customStyle="1" w:styleId="LDNote">
    <w:name w:val="LDNote"/>
    <w:link w:val="LDNoteChar"/>
    <w:rsid w:val="00D93DB7"/>
    <w:pPr>
      <w:tabs>
        <w:tab w:val="left" w:pos="993"/>
      </w:tabs>
      <w:spacing w:before="60" w:after="60"/>
      <w:ind w:left="993" w:hanging="851"/>
    </w:pPr>
    <w:rPr>
      <w:rFonts w:eastAsia="Times New Roman" w:cs="Times New Roman"/>
      <w:szCs w:val="24"/>
    </w:rPr>
  </w:style>
  <w:style w:type="character" w:customStyle="1" w:styleId="LDNoteChar">
    <w:name w:val="LDNote Char"/>
    <w:basedOn w:val="DefaultParagraphFont"/>
    <w:link w:val="LDNote"/>
    <w:rsid w:val="00D93DB7"/>
    <w:rPr>
      <w:rFonts w:eastAsia="Times New Roman" w:cs="Times New Roman"/>
      <w:szCs w:val="24"/>
    </w:rPr>
  </w:style>
  <w:style w:type="character" w:customStyle="1" w:styleId="LDItal">
    <w:name w:val="LDItal"/>
    <w:basedOn w:val="DefaultParagraphFont"/>
    <w:uiPriority w:val="1"/>
    <w:rsid w:val="000B14AD"/>
    <w:rPr>
      <w:i/>
    </w:rPr>
  </w:style>
  <w:style w:type="paragraph" w:customStyle="1" w:styleId="LDSec1">
    <w:name w:val="LDSec(1)"/>
    <w:link w:val="LDSec1Char"/>
    <w:rsid w:val="000B14AD"/>
    <w:pPr>
      <w:tabs>
        <w:tab w:val="right" w:pos="454"/>
        <w:tab w:val="left" w:pos="737"/>
      </w:tabs>
      <w:spacing w:before="60" w:after="60"/>
      <w:ind w:left="737" w:hanging="1021"/>
    </w:pPr>
    <w:rPr>
      <w:rFonts w:eastAsia="Times New Roman" w:cs="Times New Roman"/>
      <w:sz w:val="24"/>
      <w:szCs w:val="24"/>
    </w:rPr>
  </w:style>
  <w:style w:type="character" w:customStyle="1" w:styleId="LDSec1Char">
    <w:name w:val="LDSec(1) Char"/>
    <w:basedOn w:val="DefaultParagraphFont"/>
    <w:link w:val="LDSec1"/>
    <w:rsid w:val="000B14AD"/>
    <w:rPr>
      <w:rFonts w:eastAsia="Times New Roman" w:cs="Times New Roman"/>
      <w:sz w:val="24"/>
      <w:szCs w:val="24"/>
    </w:rPr>
  </w:style>
  <w:style w:type="character" w:customStyle="1" w:styleId="LDBoldItal">
    <w:name w:val="LDBoldItal"/>
    <w:uiPriority w:val="1"/>
    <w:qFormat/>
    <w:rsid w:val="000B14AD"/>
    <w:rPr>
      <w:b/>
      <w:i/>
    </w:rPr>
  </w:style>
  <w:style w:type="paragraph" w:customStyle="1" w:styleId="LDdefinition">
    <w:name w:val="LDdefinition"/>
    <w:link w:val="LDdefinitionChar"/>
    <w:rsid w:val="00D93DB7"/>
    <w:pPr>
      <w:keepNext/>
      <w:ind w:left="709"/>
    </w:pPr>
    <w:rPr>
      <w:rFonts w:eastAsia="Times New Roman" w:cs="Times New Roman"/>
      <w:sz w:val="24"/>
      <w:szCs w:val="24"/>
    </w:rPr>
  </w:style>
  <w:style w:type="character" w:customStyle="1" w:styleId="LDdefinitionChar">
    <w:name w:val="LDdefinition Char"/>
    <w:link w:val="LDdefinition"/>
    <w:locked/>
    <w:rsid w:val="00D93DB7"/>
    <w:rPr>
      <w:rFonts w:eastAsia="Times New Roman" w:cs="Times New Roman"/>
      <w:sz w:val="24"/>
      <w:szCs w:val="24"/>
    </w:rPr>
  </w:style>
  <w:style w:type="paragraph" w:customStyle="1" w:styleId="LDP1a">
    <w:name w:val="LDP1(a)"/>
    <w:link w:val="LDP1aChar"/>
    <w:rsid w:val="000B14AD"/>
    <w:pPr>
      <w:tabs>
        <w:tab w:val="left" w:pos="1191"/>
      </w:tabs>
      <w:spacing w:before="60" w:after="60"/>
      <w:ind w:left="1191" w:hanging="454"/>
    </w:pPr>
    <w:rPr>
      <w:rFonts w:eastAsia="Times New Roman" w:cs="Times New Roman"/>
      <w:sz w:val="24"/>
      <w:szCs w:val="24"/>
    </w:rPr>
  </w:style>
  <w:style w:type="character" w:customStyle="1" w:styleId="LDP1aChar">
    <w:name w:val="LDP1(a) Char"/>
    <w:link w:val="LDP1a"/>
    <w:locked/>
    <w:rsid w:val="000B14AD"/>
    <w:rPr>
      <w:rFonts w:eastAsia="Times New Roman" w:cs="Times New Roman"/>
      <w:sz w:val="24"/>
      <w:szCs w:val="24"/>
    </w:rPr>
  </w:style>
  <w:style w:type="paragraph" w:customStyle="1" w:styleId="LDP2i">
    <w:name w:val="LDP2(i)"/>
    <w:link w:val="LDP2iChar"/>
    <w:rsid w:val="00D93DB7"/>
    <w:pPr>
      <w:tabs>
        <w:tab w:val="right" w:pos="1418"/>
        <w:tab w:val="left" w:pos="1559"/>
      </w:tabs>
      <w:ind w:left="1588" w:hanging="1134"/>
    </w:pPr>
    <w:rPr>
      <w:rFonts w:eastAsia="Times New Roman" w:cs="Times New Roman"/>
      <w:sz w:val="24"/>
      <w:szCs w:val="24"/>
    </w:rPr>
  </w:style>
  <w:style w:type="character" w:customStyle="1" w:styleId="LDP2iChar">
    <w:name w:val="LDP2(i) Char"/>
    <w:link w:val="LDP2i"/>
    <w:locked/>
    <w:rsid w:val="00D93DB7"/>
    <w:rPr>
      <w:rFonts w:eastAsia="Times New Roman" w:cs="Times New Roman"/>
      <w:sz w:val="24"/>
      <w:szCs w:val="24"/>
    </w:rPr>
  </w:style>
  <w:style w:type="paragraph" w:customStyle="1" w:styleId="LDDraftOnly">
    <w:name w:val="LDDraftOnly"/>
    <w:next w:val="LDFooter"/>
    <w:rsid w:val="007C5FDD"/>
    <w:pPr>
      <w:pBdr>
        <w:top w:val="single" w:sz="4" w:space="1" w:color="auto"/>
      </w:pBdr>
      <w:jc w:val="center"/>
    </w:pPr>
    <w:rPr>
      <w:rFonts w:ascii="Arial" w:hAnsi="Arial" w:cs="Arial"/>
      <w:sz w:val="32"/>
      <w:szCs w:val="16"/>
    </w:rPr>
  </w:style>
  <w:style w:type="paragraph" w:customStyle="1" w:styleId="LDFooter">
    <w:name w:val="LDFooter"/>
    <w:rsid w:val="007C5FDD"/>
    <w:pPr>
      <w:pBdr>
        <w:top w:val="single" w:sz="4" w:space="1" w:color="auto"/>
      </w:pBdr>
    </w:pPr>
    <w:rPr>
      <w:sz w:val="18"/>
      <w:szCs w:val="16"/>
    </w:rPr>
  </w:style>
  <w:style w:type="character" w:customStyle="1" w:styleId="LDBold">
    <w:name w:val="LDBold"/>
    <w:basedOn w:val="DefaultParagraphFont"/>
    <w:uiPriority w:val="1"/>
    <w:rsid w:val="007E11B9"/>
    <w:rPr>
      <w:b/>
    </w:rPr>
  </w:style>
  <w:style w:type="paragraph" w:customStyle="1" w:styleId="LDTableheading">
    <w:name w:val="LDTableheading"/>
    <w:basedOn w:val="Normal"/>
    <w:rsid w:val="000D081D"/>
    <w:pPr>
      <w:keepNext/>
      <w:tabs>
        <w:tab w:val="right" w:pos="1134"/>
        <w:tab w:val="left" w:pos="1276"/>
        <w:tab w:val="right" w:pos="1843"/>
        <w:tab w:val="left" w:pos="1985"/>
        <w:tab w:val="right" w:pos="2552"/>
        <w:tab w:val="left" w:pos="2693"/>
      </w:tabs>
      <w:spacing w:before="120" w:after="60" w:line="240" w:lineRule="auto"/>
    </w:pPr>
    <w:rPr>
      <w:rFonts w:ascii="Arial" w:eastAsia="Times New Roman" w:hAnsi="Arial" w:cs="Times New Roman"/>
      <w:b/>
      <w:sz w:val="20"/>
    </w:rPr>
  </w:style>
  <w:style w:type="paragraph" w:customStyle="1" w:styleId="LDTabletext">
    <w:name w:val="LDTabletext"/>
    <w:basedOn w:val="Normal"/>
    <w:rsid w:val="000D081D"/>
    <w:pPr>
      <w:tabs>
        <w:tab w:val="right" w:pos="1134"/>
        <w:tab w:val="left" w:pos="1276"/>
        <w:tab w:val="right" w:pos="1843"/>
        <w:tab w:val="left" w:pos="1985"/>
        <w:tab w:val="right" w:pos="2552"/>
        <w:tab w:val="left" w:pos="2693"/>
      </w:tabs>
      <w:spacing w:before="60" w:after="60" w:line="240" w:lineRule="auto"/>
    </w:pPr>
    <w:rPr>
      <w:rFonts w:ascii="Arial" w:eastAsia="Times New Roman" w:hAnsi="Arial" w:cs="Arial"/>
      <w:sz w:val="20"/>
    </w:rPr>
  </w:style>
  <w:style w:type="paragraph" w:customStyle="1" w:styleId="LDPartHead">
    <w:name w:val="LDPartHead"/>
    <w:next w:val="LDSecHead"/>
    <w:rsid w:val="002707CD"/>
    <w:pPr>
      <w:keepNext/>
      <w:keepLines/>
      <w:tabs>
        <w:tab w:val="left" w:pos="1701"/>
      </w:tabs>
      <w:spacing w:before="180" w:after="60"/>
      <w:ind w:left="1701" w:hanging="1701"/>
      <w:outlineLvl w:val="0"/>
    </w:pPr>
    <w:rPr>
      <w:rFonts w:ascii="Arial" w:eastAsia="Times New Roman" w:hAnsi="Arial" w:cs="Times New Roman"/>
      <w:b/>
      <w:sz w:val="28"/>
      <w:szCs w:val="24"/>
    </w:rPr>
  </w:style>
  <w:style w:type="paragraph" w:customStyle="1" w:styleId="LDDivHead">
    <w:name w:val="LDDivHead"/>
    <w:next w:val="LDSecHead"/>
    <w:rsid w:val="002707CD"/>
    <w:pPr>
      <w:keepNext/>
      <w:keepLines/>
      <w:tabs>
        <w:tab w:val="left" w:pos="1701"/>
      </w:tabs>
      <w:spacing w:before="240" w:after="120"/>
      <w:ind w:left="1701" w:hanging="1701"/>
      <w:outlineLvl w:val="1"/>
    </w:pPr>
    <w:rPr>
      <w:rFonts w:ascii="Arial" w:eastAsia="Times New Roman" w:hAnsi="Arial" w:cs="Times New Roman"/>
      <w:b/>
      <w:sz w:val="26"/>
      <w:szCs w:val="24"/>
    </w:rPr>
  </w:style>
  <w:style w:type="paragraph" w:customStyle="1" w:styleId="LDSubdivHead">
    <w:name w:val="LDSubdivHead"/>
    <w:next w:val="LDSecHead"/>
    <w:qFormat/>
    <w:rsid w:val="002707CD"/>
    <w:pPr>
      <w:keepNext/>
      <w:spacing w:before="120"/>
      <w:ind w:left="2268" w:hanging="2268"/>
      <w:outlineLvl w:val="2"/>
    </w:pPr>
    <w:rPr>
      <w:rFonts w:ascii="Arial" w:eastAsia="Times New Roman" w:hAnsi="Arial" w:cs="Times New Roman"/>
      <w:b/>
      <w:sz w:val="24"/>
      <w:szCs w:val="24"/>
    </w:rPr>
  </w:style>
  <w:style w:type="paragraph" w:customStyle="1" w:styleId="LDTableP1a">
    <w:name w:val="LDTableP1(a)"/>
    <w:rsid w:val="00CD757E"/>
    <w:pPr>
      <w:tabs>
        <w:tab w:val="left" w:pos="318"/>
      </w:tabs>
      <w:ind w:left="317" w:hanging="317"/>
    </w:pPr>
    <w:rPr>
      <w:rFonts w:ascii="Arial" w:eastAsia="Times New Roman" w:hAnsi="Arial" w:cs="Arial"/>
    </w:rPr>
  </w:style>
  <w:style w:type="paragraph" w:customStyle="1" w:styleId="LDTableP2i">
    <w:name w:val="LDTableP2(i)"/>
    <w:basedOn w:val="LDP2i"/>
    <w:rsid w:val="0078011C"/>
    <w:pPr>
      <w:tabs>
        <w:tab w:val="clear" w:pos="1418"/>
        <w:tab w:val="clear" w:pos="1559"/>
        <w:tab w:val="right" w:pos="459"/>
        <w:tab w:val="left" w:pos="601"/>
      </w:tabs>
      <w:ind w:left="459" w:hanging="459"/>
    </w:pPr>
    <w:rPr>
      <w:rFonts w:ascii="Arial" w:hAnsi="Arial"/>
      <w:sz w:val="20"/>
    </w:rPr>
  </w:style>
  <w:style w:type="paragraph" w:customStyle="1" w:styleId="LDTableP3A">
    <w:name w:val="LDTableP3(A)"/>
    <w:rsid w:val="0078011C"/>
    <w:pPr>
      <w:tabs>
        <w:tab w:val="left" w:pos="743"/>
      </w:tabs>
      <w:ind w:left="743" w:hanging="317"/>
    </w:pPr>
    <w:rPr>
      <w:rFonts w:ascii="Arial" w:eastAsia="Times New Roman" w:hAnsi="Arial" w:cs="Times New Roman"/>
      <w:szCs w:val="24"/>
    </w:rPr>
  </w:style>
  <w:style w:type="character" w:styleId="Hyperlink">
    <w:name w:val="Hyperlink"/>
    <w:basedOn w:val="DefaultParagraphFont"/>
    <w:uiPriority w:val="99"/>
    <w:unhideWhenUsed/>
    <w:rsid w:val="007A656F"/>
    <w:rPr>
      <w:color w:val="0000FF" w:themeColor="hyperlink"/>
      <w:u w:val="single"/>
    </w:rPr>
  </w:style>
  <w:style w:type="paragraph" w:customStyle="1" w:styleId="LDSchedule">
    <w:name w:val="LDSchedule"/>
    <w:rsid w:val="00A252F1"/>
    <w:rPr>
      <w:rFonts w:ascii="Arial" w:eastAsia="Times New Roman" w:hAnsi="Arial" w:cs="Times New Roman"/>
      <w:b/>
      <w:sz w:val="28"/>
      <w:szCs w:val="24"/>
    </w:rPr>
  </w:style>
  <w:style w:type="paragraph" w:customStyle="1" w:styleId="LDSchedref">
    <w:name w:val="LDSchedref"/>
    <w:rsid w:val="00A252F1"/>
    <w:pPr>
      <w:ind w:left="2127"/>
    </w:pPr>
    <w:rPr>
      <w:rFonts w:eastAsia="Times New Roman" w:cs="Times New Roman"/>
    </w:rPr>
  </w:style>
  <w:style w:type="paragraph" w:customStyle="1" w:styleId="LDSchedClauseHead">
    <w:name w:val="LDSchedClauseHead"/>
    <w:basedOn w:val="LDSecHead"/>
    <w:rsid w:val="00692BFD"/>
  </w:style>
  <w:style w:type="paragraph" w:customStyle="1" w:styleId="LDSchedClause">
    <w:name w:val="LDSchedClause"/>
    <w:rsid w:val="0080359A"/>
    <w:pPr>
      <w:tabs>
        <w:tab w:val="right" w:pos="284"/>
        <w:tab w:val="left" w:pos="709"/>
      </w:tabs>
      <w:spacing w:before="120"/>
      <w:ind w:left="709" w:hanging="709"/>
    </w:pPr>
    <w:rPr>
      <w:rFonts w:eastAsia="Calibri" w:cs="Times New Roman"/>
      <w:sz w:val="24"/>
      <w:szCs w:val="24"/>
    </w:rPr>
  </w:style>
  <w:style w:type="paragraph" w:customStyle="1" w:styleId="LDSchedItem">
    <w:name w:val="LDSchedItem"/>
    <w:rsid w:val="008A12F5"/>
    <w:pPr>
      <w:tabs>
        <w:tab w:val="left" w:pos="426"/>
      </w:tabs>
      <w:ind w:left="426" w:hanging="426"/>
    </w:pPr>
    <w:rPr>
      <w:rFonts w:eastAsia="Calibri" w:cs="Times New Roman"/>
      <w:b/>
      <w:sz w:val="24"/>
      <w:szCs w:val="24"/>
    </w:rPr>
  </w:style>
  <w:style w:type="paragraph" w:customStyle="1" w:styleId="LDLine">
    <w:name w:val="LDLine"/>
    <w:rsid w:val="00C562C7"/>
    <w:pPr>
      <w:pBdr>
        <w:bottom w:val="single" w:sz="4" w:space="1" w:color="auto"/>
      </w:pBdr>
    </w:pPr>
    <w:rPr>
      <w:rFonts w:eastAsia="Times New Roman" w:cs="Times New Roman"/>
      <w:sz w:val="24"/>
      <w:szCs w:val="24"/>
    </w:rPr>
  </w:style>
  <w:style w:type="paragraph" w:customStyle="1" w:styleId="LDSubsecHead">
    <w:name w:val="LDSubsecHead"/>
    <w:next w:val="LDSec1"/>
    <w:rsid w:val="004D4B19"/>
    <w:pPr>
      <w:spacing w:before="120"/>
      <w:ind w:left="737"/>
    </w:pPr>
    <w:rPr>
      <w:rFonts w:ascii="Arial" w:eastAsia="Times New Roman" w:hAnsi="Arial" w:cs="Arial"/>
      <w:i/>
      <w:sz w:val="24"/>
      <w:szCs w:val="24"/>
    </w:rPr>
  </w:style>
  <w:style w:type="paragraph" w:customStyle="1" w:styleId="LDNoteP1a">
    <w:name w:val="LDNoteP1(a)"/>
    <w:basedOn w:val="LDNote"/>
    <w:rsid w:val="0080359A"/>
    <w:pPr>
      <w:tabs>
        <w:tab w:val="clear" w:pos="993"/>
        <w:tab w:val="left" w:pos="1276"/>
      </w:tabs>
      <w:ind w:left="1276" w:hanging="283"/>
    </w:pPr>
  </w:style>
  <w:style w:type="paragraph" w:customStyle="1" w:styleId="LDBodyP1a">
    <w:name w:val="LDBodyP1(a)"/>
    <w:rsid w:val="00365E41"/>
    <w:pPr>
      <w:tabs>
        <w:tab w:val="left" w:pos="709"/>
      </w:tabs>
      <w:spacing w:before="120"/>
      <w:ind w:left="709" w:hanging="567"/>
    </w:pPr>
    <w:rPr>
      <w:rFonts w:eastAsia="Times New Roman" w:cs="Times New Roman"/>
      <w:sz w:val="24"/>
      <w:szCs w:val="24"/>
    </w:rPr>
  </w:style>
  <w:style w:type="paragraph" w:customStyle="1" w:styleId="LDBullet">
    <w:name w:val="LDBullet"/>
    <w:basedOn w:val="LDNoteP1a"/>
    <w:rsid w:val="006C507A"/>
    <w:pPr>
      <w:numPr>
        <w:numId w:val="26"/>
      </w:numPr>
    </w:pPr>
  </w:style>
  <w:style w:type="paragraph" w:customStyle="1" w:styleId="LDTitle">
    <w:name w:val="LDTitle"/>
    <w:rsid w:val="009E3D4E"/>
    <w:pPr>
      <w:spacing w:before="480" w:after="480"/>
    </w:pPr>
    <w:rPr>
      <w:rFonts w:ascii="Arial" w:eastAsia="Times New Roman" w:hAnsi="Arial" w:cs="Times New Roman"/>
      <w:sz w:val="24"/>
      <w:szCs w:val="24"/>
    </w:rPr>
  </w:style>
  <w:style w:type="paragraph" w:customStyle="1" w:styleId="LDComment">
    <w:name w:val="LDComment"/>
    <w:basedOn w:val="LDBodytext"/>
    <w:rsid w:val="00922BC7"/>
    <w:pPr>
      <w:ind w:left="1276" w:hanging="1276"/>
    </w:pPr>
    <w:rPr>
      <w:b/>
      <w:i/>
    </w:rPr>
  </w:style>
  <w:style w:type="character" w:styleId="Emphasis">
    <w:name w:val="Emphasis"/>
    <w:basedOn w:val="DefaultParagraphFont"/>
    <w:uiPriority w:val="20"/>
    <w:qFormat/>
    <w:rsid w:val="00EC769A"/>
    <w:rPr>
      <w:i/>
      <w:iCs/>
    </w:rPr>
  </w:style>
  <w:style w:type="paragraph" w:styleId="Footer">
    <w:name w:val="footer"/>
    <w:basedOn w:val="Normal"/>
    <w:link w:val="FooterChar"/>
    <w:unhideWhenUsed/>
    <w:rsid w:val="00003AA8"/>
    <w:pPr>
      <w:tabs>
        <w:tab w:val="center" w:pos="4513"/>
        <w:tab w:val="right" w:pos="9026"/>
      </w:tabs>
      <w:spacing w:line="240" w:lineRule="auto"/>
    </w:pPr>
  </w:style>
  <w:style w:type="character" w:customStyle="1" w:styleId="FooterChar">
    <w:name w:val="Footer Char"/>
    <w:basedOn w:val="DefaultParagraphFont"/>
    <w:link w:val="Footer"/>
    <w:rsid w:val="00003AA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2692">
      <w:bodyDiv w:val="1"/>
      <w:marLeft w:val="0"/>
      <w:marRight w:val="0"/>
      <w:marTop w:val="0"/>
      <w:marBottom w:val="0"/>
      <w:divBdr>
        <w:top w:val="none" w:sz="0" w:space="0" w:color="auto"/>
        <w:left w:val="none" w:sz="0" w:space="0" w:color="auto"/>
        <w:bottom w:val="none" w:sz="0" w:space="0" w:color="auto"/>
        <w:right w:val="none" w:sz="0" w:space="0" w:color="auto"/>
      </w:divBdr>
    </w:div>
    <w:div w:id="69429746">
      <w:bodyDiv w:val="1"/>
      <w:marLeft w:val="0"/>
      <w:marRight w:val="0"/>
      <w:marTop w:val="0"/>
      <w:marBottom w:val="0"/>
      <w:divBdr>
        <w:top w:val="none" w:sz="0" w:space="0" w:color="auto"/>
        <w:left w:val="none" w:sz="0" w:space="0" w:color="auto"/>
        <w:bottom w:val="none" w:sz="0" w:space="0" w:color="auto"/>
        <w:right w:val="none" w:sz="0" w:space="0" w:color="auto"/>
      </w:divBdr>
    </w:div>
    <w:div w:id="118183564">
      <w:bodyDiv w:val="1"/>
      <w:marLeft w:val="0"/>
      <w:marRight w:val="0"/>
      <w:marTop w:val="0"/>
      <w:marBottom w:val="0"/>
      <w:divBdr>
        <w:top w:val="none" w:sz="0" w:space="0" w:color="auto"/>
        <w:left w:val="none" w:sz="0" w:space="0" w:color="auto"/>
        <w:bottom w:val="none" w:sz="0" w:space="0" w:color="auto"/>
        <w:right w:val="none" w:sz="0" w:space="0" w:color="auto"/>
      </w:divBdr>
    </w:div>
    <w:div w:id="181284375">
      <w:bodyDiv w:val="1"/>
      <w:marLeft w:val="0"/>
      <w:marRight w:val="0"/>
      <w:marTop w:val="0"/>
      <w:marBottom w:val="0"/>
      <w:divBdr>
        <w:top w:val="none" w:sz="0" w:space="0" w:color="auto"/>
        <w:left w:val="none" w:sz="0" w:space="0" w:color="auto"/>
        <w:bottom w:val="none" w:sz="0" w:space="0" w:color="auto"/>
        <w:right w:val="none" w:sz="0" w:space="0" w:color="auto"/>
      </w:divBdr>
    </w:div>
    <w:div w:id="197668860">
      <w:bodyDiv w:val="1"/>
      <w:marLeft w:val="0"/>
      <w:marRight w:val="0"/>
      <w:marTop w:val="0"/>
      <w:marBottom w:val="0"/>
      <w:divBdr>
        <w:top w:val="none" w:sz="0" w:space="0" w:color="auto"/>
        <w:left w:val="none" w:sz="0" w:space="0" w:color="auto"/>
        <w:bottom w:val="none" w:sz="0" w:space="0" w:color="auto"/>
        <w:right w:val="none" w:sz="0" w:space="0" w:color="auto"/>
      </w:divBdr>
    </w:div>
    <w:div w:id="309939467">
      <w:bodyDiv w:val="1"/>
      <w:marLeft w:val="0"/>
      <w:marRight w:val="0"/>
      <w:marTop w:val="0"/>
      <w:marBottom w:val="0"/>
      <w:divBdr>
        <w:top w:val="none" w:sz="0" w:space="0" w:color="auto"/>
        <w:left w:val="none" w:sz="0" w:space="0" w:color="auto"/>
        <w:bottom w:val="none" w:sz="0" w:space="0" w:color="auto"/>
        <w:right w:val="none" w:sz="0" w:space="0" w:color="auto"/>
      </w:divBdr>
    </w:div>
    <w:div w:id="364864115">
      <w:bodyDiv w:val="1"/>
      <w:marLeft w:val="0"/>
      <w:marRight w:val="0"/>
      <w:marTop w:val="0"/>
      <w:marBottom w:val="0"/>
      <w:divBdr>
        <w:top w:val="none" w:sz="0" w:space="0" w:color="auto"/>
        <w:left w:val="none" w:sz="0" w:space="0" w:color="auto"/>
        <w:bottom w:val="none" w:sz="0" w:space="0" w:color="auto"/>
        <w:right w:val="none" w:sz="0" w:space="0" w:color="auto"/>
      </w:divBdr>
    </w:div>
    <w:div w:id="641807468">
      <w:bodyDiv w:val="1"/>
      <w:marLeft w:val="0"/>
      <w:marRight w:val="0"/>
      <w:marTop w:val="0"/>
      <w:marBottom w:val="0"/>
      <w:divBdr>
        <w:top w:val="none" w:sz="0" w:space="0" w:color="auto"/>
        <w:left w:val="none" w:sz="0" w:space="0" w:color="auto"/>
        <w:bottom w:val="none" w:sz="0" w:space="0" w:color="auto"/>
        <w:right w:val="none" w:sz="0" w:space="0" w:color="auto"/>
      </w:divBdr>
    </w:div>
    <w:div w:id="715080235">
      <w:bodyDiv w:val="1"/>
      <w:marLeft w:val="0"/>
      <w:marRight w:val="0"/>
      <w:marTop w:val="0"/>
      <w:marBottom w:val="0"/>
      <w:divBdr>
        <w:top w:val="none" w:sz="0" w:space="0" w:color="auto"/>
        <w:left w:val="none" w:sz="0" w:space="0" w:color="auto"/>
        <w:bottom w:val="none" w:sz="0" w:space="0" w:color="auto"/>
        <w:right w:val="none" w:sz="0" w:space="0" w:color="auto"/>
      </w:divBdr>
    </w:div>
    <w:div w:id="829366660">
      <w:bodyDiv w:val="1"/>
      <w:marLeft w:val="0"/>
      <w:marRight w:val="0"/>
      <w:marTop w:val="0"/>
      <w:marBottom w:val="0"/>
      <w:divBdr>
        <w:top w:val="none" w:sz="0" w:space="0" w:color="auto"/>
        <w:left w:val="none" w:sz="0" w:space="0" w:color="auto"/>
        <w:bottom w:val="none" w:sz="0" w:space="0" w:color="auto"/>
        <w:right w:val="none" w:sz="0" w:space="0" w:color="auto"/>
      </w:divBdr>
    </w:div>
    <w:div w:id="851802352">
      <w:bodyDiv w:val="1"/>
      <w:marLeft w:val="0"/>
      <w:marRight w:val="0"/>
      <w:marTop w:val="0"/>
      <w:marBottom w:val="0"/>
      <w:divBdr>
        <w:top w:val="none" w:sz="0" w:space="0" w:color="auto"/>
        <w:left w:val="none" w:sz="0" w:space="0" w:color="auto"/>
        <w:bottom w:val="none" w:sz="0" w:space="0" w:color="auto"/>
        <w:right w:val="none" w:sz="0" w:space="0" w:color="auto"/>
      </w:divBdr>
    </w:div>
    <w:div w:id="1259413075">
      <w:bodyDiv w:val="1"/>
      <w:marLeft w:val="0"/>
      <w:marRight w:val="0"/>
      <w:marTop w:val="0"/>
      <w:marBottom w:val="0"/>
      <w:divBdr>
        <w:top w:val="none" w:sz="0" w:space="0" w:color="auto"/>
        <w:left w:val="none" w:sz="0" w:space="0" w:color="auto"/>
        <w:bottom w:val="none" w:sz="0" w:space="0" w:color="auto"/>
        <w:right w:val="none" w:sz="0" w:space="0" w:color="auto"/>
      </w:divBdr>
    </w:div>
    <w:div w:id="1280456614">
      <w:bodyDiv w:val="1"/>
      <w:marLeft w:val="0"/>
      <w:marRight w:val="0"/>
      <w:marTop w:val="0"/>
      <w:marBottom w:val="0"/>
      <w:divBdr>
        <w:top w:val="none" w:sz="0" w:space="0" w:color="auto"/>
        <w:left w:val="none" w:sz="0" w:space="0" w:color="auto"/>
        <w:bottom w:val="none" w:sz="0" w:space="0" w:color="auto"/>
        <w:right w:val="none" w:sz="0" w:space="0" w:color="auto"/>
      </w:divBdr>
    </w:div>
    <w:div w:id="1285228875">
      <w:bodyDiv w:val="1"/>
      <w:marLeft w:val="0"/>
      <w:marRight w:val="0"/>
      <w:marTop w:val="0"/>
      <w:marBottom w:val="0"/>
      <w:divBdr>
        <w:top w:val="none" w:sz="0" w:space="0" w:color="auto"/>
        <w:left w:val="none" w:sz="0" w:space="0" w:color="auto"/>
        <w:bottom w:val="none" w:sz="0" w:space="0" w:color="auto"/>
        <w:right w:val="none" w:sz="0" w:space="0" w:color="auto"/>
      </w:divBdr>
    </w:div>
    <w:div w:id="1456098255">
      <w:bodyDiv w:val="1"/>
      <w:marLeft w:val="0"/>
      <w:marRight w:val="0"/>
      <w:marTop w:val="0"/>
      <w:marBottom w:val="0"/>
      <w:divBdr>
        <w:top w:val="none" w:sz="0" w:space="0" w:color="auto"/>
        <w:left w:val="none" w:sz="0" w:space="0" w:color="auto"/>
        <w:bottom w:val="none" w:sz="0" w:space="0" w:color="auto"/>
        <w:right w:val="none" w:sz="0" w:space="0" w:color="auto"/>
      </w:divBdr>
    </w:div>
    <w:div w:id="1767191660">
      <w:bodyDiv w:val="1"/>
      <w:marLeft w:val="0"/>
      <w:marRight w:val="0"/>
      <w:marTop w:val="0"/>
      <w:marBottom w:val="0"/>
      <w:divBdr>
        <w:top w:val="none" w:sz="0" w:space="0" w:color="auto"/>
        <w:left w:val="none" w:sz="0" w:space="0" w:color="auto"/>
        <w:bottom w:val="none" w:sz="0" w:space="0" w:color="auto"/>
        <w:right w:val="none" w:sz="0" w:space="0" w:color="auto"/>
      </w:divBdr>
    </w:div>
    <w:div w:id="212908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D0E1668-83BF-4573-8A8D-7850E6D93E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41625D4D4321D4D97BEA80A95153DFD" ma:contentTypeVersion="" ma:contentTypeDescription="PDMS Document Site Content Type" ma:contentTypeScope="" ma:versionID="894cd9f41b941a1e2066c03167c839e6">
  <xsd:schema xmlns:xsd="http://www.w3.org/2001/XMLSchema" xmlns:xs="http://www.w3.org/2001/XMLSchema" xmlns:p="http://schemas.microsoft.com/office/2006/metadata/properties" xmlns:ns2="9D0E1668-83BF-4573-8A8D-7850E6D93ED8" targetNamespace="http://schemas.microsoft.com/office/2006/metadata/properties" ma:root="true" ma:fieldsID="a590c4330bb3eabb235d1c8091a72ed5" ns2:_="">
    <xsd:import namespace="9D0E1668-83BF-4573-8A8D-7850E6D93ED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E1668-83BF-4573-8A8D-7850E6D93ED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3FB77-FCDE-41DC-BBD2-5D6986A8F03A}">
  <ds:schemaRefs>
    <ds:schemaRef ds:uri="http://purl.org/dc/terms/"/>
    <ds:schemaRef ds:uri="http://schemas.microsoft.com/office/2006/documentManagement/types"/>
    <ds:schemaRef ds:uri="http://www.w3.org/XML/1998/namespace"/>
    <ds:schemaRef ds:uri="http://purl.org/dc/elements/1.1/"/>
    <ds:schemaRef ds:uri="9D0E1668-83BF-4573-8A8D-7850E6D93ED8"/>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C4A06F7-680D-4C31-8363-40AB8119292F}">
  <ds:schemaRefs>
    <ds:schemaRef ds:uri="http://schemas.microsoft.com/sharepoint/v3/contenttype/forms"/>
  </ds:schemaRefs>
</ds:datastoreItem>
</file>

<file path=customXml/itemProps3.xml><?xml version="1.0" encoding="utf-8"?>
<ds:datastoreItem xmlns:ds="http://schemas.openxmlformats.org/officeDocument/2006/customXml" ds:itemID="{9989AA07-16DB-40D6-8E7D-1FA9E31E9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E1668-83BF-4573-8A8D-7850E6D93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F5552-CF90-4D4C-83E7-E301B001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HU</dc:creator>
  <cp:lastModifiedBy>Jayde KOMINIARSKI</cp:lastModifiedBy>
  <cp:revision>3</cp:revision>
  <cp:lastPrinted>2020-01-16T22:25:00Z</cp:lastPrinted>
  <dcterms:created xsi:type="dcterms:W3CDTF">2022-03-04T03:37:00Z</dcterms:created>
  <dcterms:modified xsi:type="dcterms:W3CDTF">2022-03-04T03:38:00Z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0x010100266966F133664895A6EE3632470D45F500741625D4D4321D4D97BEA80A95153DFD</vt:lpwstr>
  </property>
</Properties>
</file>