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E9F40" w14:textId="77777777" w:rsidR="00FB640B" w:rsidRPr="008B24C8" w:rsidRDefault="0057002B" w:rsidP="00BB0CF2">
      <w:pPr>
        <w:pStyle w:val="ESTitleHeader"/>
      </w:pPr>
      <w:bookmarkStart w:id="0" w:name="_GoBack"/>
      <w:bookmarkEnd w:id="0"/>
      <w:r w:rsidRPr="008B24C8">
        <w:t>EXPLANATORY STATEMENT</w:t>
      </w:r>
    </w:p>
    <w:p w14:paraId="66602806" w14:textId="25C8F37C" w:rsidR="0057002B" w:rsidRPr="008B24C8" w:rsidRDefault="0057002B" w:rsidP="00BB0CF2">
      <w:pPr>
        <w:pStyle w:val="ESTitleDecisionMaker"/>
      </w:pPr>
      <w:r w:rsidRPr="008B24C8">
        <w:t xml:space="preserve">Issued by authority of the </w:t>
      </w:r>
      <w:r w:rsidR="004C2B0E">
        <w:t xml:space="preserve">Minister for </w:t>
      </w:r>
      <w:r w:rsidR="004C2B0E" w:rsidRPr="004C2B0E">
        <w:t>Immigration, Citizenship, Migrant Affairs and Multicultural Affairs</w:t>
      </w:r>
    </w:p>
    <w:p w14:paraId="11EC5CDA" w14:textId="77777777" w:rsidR="0057002B" w:rsidRPr="008B24C8" w:rsidRDefault="009A3133" w:rsidP="00BB0CF2">
      <w:pPr>
        <w:pStyle w:val="ESTitleEnablingLegislation"/>
      </w:pPr>
      <w:r>
        <w:t>Migration Regulations 1994</w:t>
      </w:r>
    </w:p>
    <w:p w14:paraId="33B2D589" w14:textId="5DC58AB2" w:rsidR="0057002B" w:rsidRPr="008B24C8" w:rsidRDefault="009A3133" w:rsidP="00BB0CF2">
      <w:pPr>
        <w:pStyle w:val="ESTitleInstrumentName"/>
      </w:pPr>
      <w:r w:rsidRPr="009A3133">
        <w:t xml:space="preserve">Migration (Nil VAC for Work and Holiday and Working Holiday visas) Instrument </w:t>
      </w:r>
      <w:r w:rsidR="00AB28CF">
        <w:t>(LIN </w:t>
      </w:r>
      <w:r w:rsidRPr="009A3133">
        <w:t>22/042) 2022</w:t>
      </w:r>
    </w:p>
    <w:p w14:paraId="775F700F" w14:textId="77777777" w:rsidR="00FC2D90" w:rsidRDefault="0057002B" w:rsidP="004A055E">
      <w:pPr>
        <w:pStyle w:val="ESPara"/>
      </w:pPr>
      <w:r w:rsidRPr="008B24C8">
        <w:t>The inst</w:t>
      </w:r>
      <w:r w:rsidR="009A3133">
        <w:t xml:space="preserve">rument, Departmental reference </w:t>
      </w:r>
      <w:r w:rsidRPr="008B24C8">
        <w:t>LIN</w:t>
      </w:r>
      <w:r w:rsidR="009A3133">
        <w:t xml:space="preserve"> 22/042, is made under </w:t>
      </w:r>
      <w:proofErr w:type="spellStart"/>
      <w:r w:rsidR="009A3133">
        <w:t>subregulation</w:t>
      </w:r>
      <w:proofErr w:type="spellEnd"/>
      <w:r w:rsidR="009A3133">
        <w:t xml:space="preserve"> 2.07(5)</w:t>
      </w:r>
      <w:r w:rsidRPr="008B24C8">
        <w:t xml:space="preserve"> of the </w:t>
      </w:r>
      <w:r w:rsidRPr="008B24C8">
        <w:rPr>
          <w:i/>
        </w:rPr>
        <w:t>Migration Regulations 1994</w:t>
      </w:r>
      <w:r w:rsidRPr="008B24C8">
        <w:t xml:space="preserve"> (the </w:t>
      </w:r>
      <w:r w:rsidR="009A3133">
        <w:t>Regulations)</w:t>
      </w:r>
      <w:r w:rsidR="004A055E">
        <w:t>.</w:t>
      </w:r>
    </w:p>
    <w:p w14:paraId="3B003B2F" w14:textId="1BAAEBBD" w:rsidR="00AB28CF" w:rsidRPr="008B24C8" w:rsidRDefault="00FC2D90" w:rsidP="00AB28CF">
      <w:pPr>
        <w:pStyle w:val="ESPara"/>
      </w:pPr>
      <w:r w:rsidRPr="00FC2D90">
        <w:t>The instrument repeal</w:t>
      </w:r>
      <w:r>
        <w:t>s</w:t>
      </w:r>
      <w:r w:rsidRPr="00FC2D90">
        <w:t xml:space="preserve"> </w:t>
      </w:r>
      <w:r w:rsidRPr="00FC2D90">
        <w:rPr>
          <w:i/>
        </w:rPr>
        <w:t>Migration (Class of persons: Nil VAC for Work and Holiday and Working Holiday visas) Instrument (LIN 21/043) 2021</w:t>
      </w:r>
      <w:r>
        <w:t xml:space="preserve"> (LIN 21/043</w:t>
      </w:r>
      <w:r w:rsidRPr="00FC2D90">
        <w:t>) in accordance with subsection 33(3) of th</w:t>
      </w:r>
      <w:r>
        <w:t xml:space="preserve">e </w:t>
      </w:r>
      <w:r w:rsidRPr="00FC2D90">
        <w:rPr>
          <w:i/>
        </w:rPr>
        <w:t>Acts Interpretation Act 1901</w:t>
      </w:r>
      <w:r w:rsidRPr="00FC2D90">
        <w:t xml:space="preserve">.  That subsection provides that a power to make a legislative instrument includes a power to amend or repeal that instrument in the same manner, and subject to the same conditions, as the power to make the instrument.  </w:t>
      </w:r>
      <w:r w:rsidR="00AB28CF" w:rsidRPr="00875E85">
        <w:t xml:space="preserve">This means that </w:t>
      </w:r>
      <w:proofErr w:type="spellStart"/>
      <w:r w:rsidR="00AB28CF">
        <w:t>subregulation</w:t>
      </w:r>
      <w:proofErr w:type="spellEnd"/>
      <w:r w:rsidR="00AB28CF">
        <w:t xml:space="preserve"> 2.07(5)</w:t>
      </w:r>
      <w:r w:rsidR="00AB28CF" w:rsidRPr="00875E85">
        <w:t xml:space="preserve"> of the Regulations also include a power to amend or repeal an instrument made under that provision.</w:t>
      </w:r>
    </w:p>
    <w:p w14:paraId="750CA410" w14:textId="6FA3E8A4" w:rsidR="00BD598E" w:rsidRPr="008B24C8" w:rsidRDefault="009F4465" w:rsidP="002D167E">
      <w:pPr>
        <w:pStyle w:val="ESPara"/>
      </w:pPr>
      <w:r>
        <w:t xml:space="preserve">The instrument commences on </w:t>
      </w:r>
      <w:r w:rsidR="00AB28CF">
        <w:t>5 March 2022</w:t>
      </w:r>
      <w:r>
        <w:t>,</w:t>
      </w:r>
      <w:r w:rsidR="00AA4557">
        <w:t xml:space="preserve"> and i</w:t>
      </w:r>
      <w:r w:rsidR="00BD598E" w:rsidRPr="008B24C8">
        <w:t xml:space="preserve">s a </w:t>
      </w:r>
      <w:r w:rsidR="00AA4557">
        <w:t>legislative</w:t>
      </w:r>
      <w:r w:rsidR="00BD598E" w:rsidRPr="008B24C8">
        <w:t xml:space="preserve"> instrument for </w:t>
      </w:r>
      <w:r w:rsidR="00B75478">
        <w:t xml:space="preserve">the </w:t>
      </w:r>
      <w:r w:rsidR="00AB28CF">
        <w:rPr>
          <w:i/>
        </w:rPr>
        <w:t>Legislation Act </w:t>
      </w:r>
      <w:r w:rsidR="00100DFC">
        <w:rPr>
          <w:i/>
        </w:rPr>
        <w:t>2003</w:t>
      </w:r>
      <w:r w:rsidR="00AB28CF">
        <w:rPr>
          <w:i/>
        </w:rPr>
        <w:t xml:space="preserve"> </w:t>
      </w:r>
      <w:r w:rsidR="00AB28CF">
        <w:t>(the Legislation Act)</w:t>
      </w:r>
      <w:r w:rsidR="00BD598E" w:rsidRPr="008B24C8">
        <w:t xml:space="preserve">.  </w:t>
      </w:r>
    </w:p>
    <w:p w14:paraId="70F97088" w14:textId="68CE38B6" w:rsidR="005F73BA" w:rsidRPr="0093716A" w:rsidRDefault="00BD598E" w:rsidP="003D0323">
      <w:pPr>
        <w:pStyle w:val="ESHeading"/>
      </w:pPr>
      <w:r w:rsidRPr="008B24C8">
        <w:t>Purpose</w:t>
      </w:r>
    </w:p>
    <w:p w14:paraId="1B29CB1C" w14:textId="5D842005" w:rsidR="00F83580" w:rsidRDefault="002F3929" w:rsidP="00F83580">
      <w:pPr>
        <w:pStyle w:val="ESPara"/>
      </w:pPr>
      <w:r>
        <w:t xml:space="preserve">The Working Holiday Maker (WHM) program consists of two visa subclasses, </w:t>
      </w:r>
      <w:r w:rsidR="003D0323">
        <w:t xml:space="preserve">the </w:t>
      </w:r>
      <w:r w:rsidR="003D0323" w:rsidRPr="0020036E">
        <w:t xml:space="preserve">Working Holiday (Subclass 417) visa </w:t>
      </w:r>
      <w:r w:rsidR="003D0323">
        <w:t>(subclass 417</w:t>
      </w:r>
      <w:r w:rsidR="003D0323" w:rsidRPr="0020036E">
        <w:t xml:space="preserve"> visa</w:t>
      </w:r>
      <w:r w:rsidR="003D0323">
        <w:t>)</w:t>
      </w:r>
      <w:r w:rsidR="003D0323" w:rsidRPr="0020036E">
        <w:t xml:space="preserve"> </w:t>
      </w:r>
      <w:r w:rsidR="003D0323">
        <w:t xml:space="preserve">and the </w:t>
      </w:r>
      <w:r w:rsidR="003D0323" w:rsidRPr="0020036E">
        <w:t>Work and Holida</w:t>
      </w:r>
      <w:r w:rsidR="003D0323">
        <w:t>y (Subclass 462) visa (subclass 462</w:t>
      </w:r>
      <w:r w:rsidR="003D0323" w:rsidRPr="0020036E">
        <w:t xml:space="preserve"> visa</w:t>
      </w:r>
      <w:r w:rsidR="003D0323">
        <w:t>)</w:t>
      </w:r>
      <w:r w:rsidRPr="0020036E">
        <w:t>.</w:t>
      </w:r>
      <w:r>
        <w:t xml:space="preserve">  </w:t>
      </w:r>
      <w:r w:rsidR="00F83580" w:rsidRPr="0057761E">
        <w:t>The</w:t>
      </w:r>
      <w:r w:rsidR="00F83580" w:rsidRPr="002F3929">
        <w:rPr>
          <w:i/>
        </w:rPr>
        <w:t xml:space="preserve"> Migration Amendment (Subclass 417 and 462 Visas) Regulations 2022</w:t>
      </w:r>
      <w:r w:rsidR="00F83580">
        <w:t xml:space="preserve"> (the Amendment Regulations) amends the Regulations to provide concessional arrangements for certain WHMs in Australia affected by the COVID-19 pandemic.</w:t>
      </w:r>
    </w:p>
    <w:p w14:paraId="4AC85A61" w14:textId="5AA501B7" w:rsidR="00342542" w:rsidRDefault="00362C49" w:rsidP="00342542">
      <w:pPr>
        <w:pStyle w:val="ESPara"/>
      </w:pPr>
      <w:r>
        <w:t>The Amendment Regulations</w:t>
      </w:r>
      <w:r w:rsidR="00F83580">
        <w:t xml:space="preserve"> </w:t>
      </w:r>
      <w:r w:rsidR="00A75850">
        <w:t>insert</w:t>
      </w:r>
      <w:r w:rsidR="005F73BA" w:rsidRPr="005F73BA">
        <w:t xml:space="preserve"> two new defined terms</w:t>
      </w:r>
      <w:r>
        <w:t xml:space="preserve"> to the </w:t>
      </w:r>
      <w:r w:rsidRPr="005F73BA">
        <w:t xml:space="preserve">definition of </w:t>
      </w:r>
      <w:r w:rsidRPr="00342542">
        <w:rPr>
          <w:i/>
        </w:rPr>
        <w:t>COVID-19 affected visa</w:t>
      </w:r>
      <w:r w:rsidRPr="005F73BA">
        <w:t xml:space="preserve"> in regulation 1.03</w:t>
      </w:r>
      <w:r>
        <w:t xml:space="preserve"> of the Regulations</w:t>
      </w:r>
      <w:r w:rsidR="00F83580">
        <w:t>,</w:t>
      </w:r>
      <w:r w:rsidR="005F73BA" w:rsidRPr="005F73BA">
        <w:t xml:space="preserve"> </w:t>
      </w:r>
      <w:r>
        <w:t xml:space="preserve">being </w:t>
      </w:r>
      <w:r w:rsidR="005F73BA" w:rsidRPr="00342542">
        <w:rPr>
          <w:i/>
        </w:rPr>
        <w:t>offshore COVID-19 affected visa</w:t>
      </w:r>
      <w:r w:rsidR="005F73BA">
        <w:t xml:space="preserve"> and </w:t>
      </w:r>
      <w:r w:rsidR="005F73BA" w:rsidRPr="00342542">
        <w:rPr>
          <w:i/>
        </w:rPr>
        <w:t>onshore COVID-19 affected visa</w:t>
      </w:r>
      <w:r w:rsidR="005F73BA" w:rsidRPr="005F73BA">
        <w:t>.</w:t>
      </w:r>
      <w:r w:rsidR="002F3929">
        <w:rPr>
          <w:rStyle w:val="FootnoteReference"/>
        </w:rPr>
        <w:footnoteReference w:id="1"/>
      </w:r>
      <w:r w:rsidR="005F73BA" w:rsidRPr="005F73BA">
        <w:t xml:space="preserve"> </w:t>
      </w:r>
      <w:r w:rsidR="005F73BA">
        <w:t xml:space="preserve"> </w:t>
      </w:r>
      <w:r w:rsidR="005F73BA" w:rsidRPr="00342542">
        <w:rPr>
          <w:szCs w:val="24"/>
        </w:rPr>
        <w:t xml:space="preserve">The establishment of the new term </w:t>
      </w:r>
      <w:r w:rsidR="005F73BA" w:rsidRPr="00342542">
        <w:rPr>
          <w:i/>
          <w:szCs w:val="24"/>
        </w:rPr>
        <w:t>onshore COVID-19 affected visa</w:t>
      </w:r>
      <w:r w:rsidR="005F73BA" w:rsidRPr="00342542">
        <w:rPr>
          <w:szCs w:val="24"/>
        </w:rPr>
        <w:t xml:space="preserve"> establishes a cohort that </w:t>
      </w:r>
      <w:r w:rsidR="00342542" w:rsidRPr="00342542">
        <w:rPr>
          <w:szCs w:val="24"/>
        </w:rPr>
        <w:t>may be eligible, in certain circumstances, for a ‘nil’ visa application charge</w:t>
      </w:r>
      <w:r w:rsidR="00342542">
        <w:rPr>
          <w:szCs w:val="24"/>
        </w:rPr>
        <w:t xml:space="preserve"> (VAC)</w:t>
      </w:r>
      <w:r w:rsidR="00342542" w:rsidRPr="00342542">
        <w:rPr>
          <w:szCs w:val="24"/>
        </w:rPr>
        <w:t xml:space="preserve"> concession</w:t>
      </w:r>
      <w:r w:rsidR="00342542">
        <w:t>.</w:t>
      </w:r>
    </w:p>
    <w:p w14:paraId="3CC7638D" w14:textId="3F5FD04C" w:rsidR="003D0323" w:rsidRPr="00342542" w:rsidRDefault="003D0323" w:rsidP="00342542">
      <w:pPr>
        <w:pStyle w:val="ESPara"/>
      </w:pPr>
      <w:r>
        <w:t>The purpose of the instrument is to specify</w:t>
      </w:r>
      <w:r w:rsidR="00AE01E9">
        <w:t xml:space="preserve"> </w:t>
      </w:r>
      <w:r>
        <w:t xml:space="preserve">the class of persons for whom </w:t>
      </w:r>
      <w:r w:rsidRPr="00423034">
        <w:t xml:space="preserve">the base application charge (payable at the time </w:t>
      </w:r>
      <w:r>
        <w:t>a visa</w:t>
      </w:r>
      <w:r w:rsidRPr="00423034">
        <w:t xml:space="preserve"> application is made) </w:t>
      </w:r>
      <w:r>
        <w:t>for a subclass 417</w:t>
      </w:r>
      <w:r w:rsidRPr="0020036E">
        <w:t xml:space="preserve"> visa </w:t>
      </w:r>
      <w:r>
        <w:t>or</w:t>
      </w:r>
      <w:r w:rsidRPr="0020036E">
        <w:t xml:space="preserve"> </w:t>
      </w:r>
      <w:r>
        <w:t>subclass 462</w:t>
      </w:r>
      <w:r w:rsidRPr="0020036E">
        <w:t xml:space="preserve"> visa</w:t>
      </w:r>
      <w:r>
        <w:t xml:space="preserve"> </w:t>
      </w:r>
      <w:r w:rsidRPr="00423034">
        <w:t>is</w:t>
      </w:r>
      <w:r>
        <w:t xml:space="preserve"> nil</w:t>
      </w:r>
      <w:r w:rsidR="00504CEB">
        <w:t>, for subparagraph 1224A(2)(a)(</w:t>
      </w:r>
      <w:proofErr w:type="spellStart"/>
      <w:r w:rsidR="00504CEB">
        <w:t>i</w:t>
      </w:r>
      <w:proofErr w:type="spellEnd"/>
      <w:r w:rsidR="00504CEB">
        <w:t>) and 1225(2)(a)(</w:t>
      </w:r>
      <w:proofErr w:type="spellStart"/>
      <w:r w:rsidR="00504CEB">
        <w:t>i</w:t>
      </w:r>
      <w:proofErr w:type="spellEnd"/>
      <w:r w:rsidR="00504CEB">
        <w:t>) of Schedule 1 to the Regulations.</w:t>
      </w:r>
    </w:p>
    <w:p w14:paraId="23D1FE29" w14:textId="01D090F6" w:rsidR="00E14F12" w:rsidRDefault="00693239" w:rsidP="00E14F12">
      <w:pPr>
        <w:pStyle w:val="ESPara"/>
      </w:pPr>
      <w:r>
        <w:t>An applicant for a subclass 417</w:t>
      </w:r>
      <w:r w:rsidRPr="0020036E">
        <w:t xml:space="preserve"> visa </w:t>
      </w:r>
      <w:r>
        <w:t>or</w:t>
      </w:r>
      <w:r w:rsidRPr="0020036E">
        <w:t xml:space="preserve"> </w:t>
      </w:r>
      <w:r>
        <w:t>a subclass 462</w:t>
      </w:r>
      <w:r w:rsidRPr="0020036E">
        <w:t xml:space="preserve"> visa</w:t>
      </w:r>
      <w:r>
        <w:t xml:space="preserve"> is in the class of persons for nil VAC if</w:t>
      </w:r>
      <w:r w:rsidR="009B645D">
        <w:t xml:space="preserve"> they are not an excluded applicant,</w:t>
      </w:r>
      <w:r w:rsidR="009B645D" w:rsidRPr="009B645D">
        <w:rPr>
          <w:rStyle w:val="FootnoteReference"/>
          <w:shd w:val="clear" w:color="auto" w:fill="FFFFFF"/>
        </w:rPr>
        <w:t xml:space="preserve"> </w:t>
      </w:r>
      <w:r w:rsidR="009B645D">
        <w:rPr>
          <w:rStyle w:val="FootnoteReference"/>
          <w:shd w:val="clear" w:color="auto" w:fill="FFFFFF"/>
        </w:rPr>
        <w:footnoteReference w:id="2"/>
      </w:r>
      <w:r w:rsidR="009B645D">
        <w:t xml:space="preserve"> and either</w:t>
      </w:r>
      <w:r>
        <w:t>:</w:t>
      </w:r>
    </w:p>
    <w:p w14:paraId="4A1031ED" w14:textId="13278EA8" w:rsidR="00E14F12" w:rsidRPr="00371B1A" w:rsidRDefault="00693239" w:rsidP="00E14F12">
      <w:pPr>
        <w:pStyle w:val="ESSubparaList"/>
      </w:pPr>
      <w:r>
        <w:rPr>
          <w:shd w:val="clear" w:color="auto" w:fill="FFFFFF"/>
        </w:rPr>
        <w:t xml:space="preserve">last held an offshore COVID-19 affected visa and </w:t>
      </w:r>
      <w:r w:rsidR="00E14F12">
        <w:rPr>
          <w:shd w:val="clear" w:color="auto" w:fill="FFFFFF"/>
        </w:rPr>
        <w:t xml:space="preserve">applies for </w:t>
      </w:r>
      <w:r>
        <w:t>a subclass 417</w:t>
      </w:r>
      <w:r w:rsidRPr="0020036E">
        <w:t xml:space="preserve"> visa </w:t>
      </w:r>
      <w:r>
        <w:t>or</w:t>
      </w:r>
      <w:r w:rsidRPr="0020036E">
        <w:t xml:space="preserve"> </w:t>
      </w:r>
      <w:r>
        <w:t>a subclass</w:t>
      </w:r>
      <w:r w:rsidR="009B645D">
        <w:t> </w:t>
      </w:r>
      <w:r>
        <w:t>462</w:t>
      </w:r>
      <w:r w:rsidRPr="0020036E">
        <w:t xml:space="preserve"> visa</w:t>
      </w:r>
      <w:r w:rsidR="00E14F12">
        <w:rPr>
          <w:shd w:val="clear" w:color="auto" w:fill="FFFFFF"/>
        </w:rPr>
        <w:t xml:space="preserve"> outside Australia; or </w:t>
      </w:r>
      <w:r>
        <w:rPr>
          <w:shd w:val="clear" w:color="auto" w:fill="FFFFFF"/>
        </w:rPr>
        <w:t xml:space="preserve"> </w:t>
      </w:r>
    </w:p>
    <w:p w14:paraId="15D4E7EC" w14:textId="6A79FC8D" w:rsidR="00E14F12" w:rsidRPr="00E14F12" w:rsidRDefault="009B645D" w:rsidP="00E14F12">
      <w:pPr>
        <w:pStyle w:val="ESSubparaList"/>
      </w:pPr>
      <w:proofErr w:type="gramStart"/>
      <w:r>
        <w:rPr>
          <w:shd w:val="clear" w:color="auto" w:fill="FFFFFF"/>
        </w:rPr>
        <w:lastRenderedPageBreak/>
        <w:t>last</w:t>
      </w:r>
      <w:proofErr w:type="gramEnd"/>
      <w:r w:rsidR="00693239">
        <w:rPr>
          <w:shd w:val="clear" w:color="auto" w:fill="FFFFFF"/>
        </w:rPr>
        <w:t xml:space="preserve"> held an onshore COVID-19 affected visa and </w:t>
      </w:r>
      <w:r w:rsidR="00E14F12">
        <w:rPr>
          <w:shd w:val="clear" w:color="auto" w:fill="FFFFFF"/>
        </w:rPr>
        <w:t xml:space="preserve">applies for </w:t>
      </w:r>
      <w:r w:rsidR="00693239">
        <w:t>a subclass 417</w:t>
      </w:r>
      <w:r w:rsidR="00693239" w:rsidRPr="0020036E">
        <w:t xml:space="preserve"> visa </w:t>
      </w:r>
      <w:r w:rsidR="00693239">
        <w:t>or</w:t>
      </w:r>
      <w:r w:rsidR="00693239" w:rsidRPr="0020036E">
        <w:t xml:space="preserve"> </w:t>
      </w:r>
      <w:r w:rsidR="00693239">
        <w:t>a subclass</w:t>
      </w:r>
      <w:r>
        <w:t> </w:t>
      </w:r>
      <w:r w:rsidR="00693239">
        <w:t>462</w:t>
      </w:r>
      <w:r w:rsidR="00693239" w:rsidRPr="0020036E">
        <w:t xml:space="preserve"> visa</w:t>
      </w:r>
      <w:r w:rsidR="00693239">
        <w:rPr>
          <w:shd w:val="clear" w:color="auto" w:fill="FFFFFF"/>
        </w:rPr>
        <w:t xml:space="preserve"> in</w:t>
      </w:r>
      <w:r w:rsidR="00E14F12">
        <w:rPr>
          <w:shd w:val="clear" w:color="auto" w:fill="FFFFFF"/>
        </w:rPr>
        <w:t xml:space="preserve"> Australia. </w:t>
      </w:r>
      <w:r w:rsidR="00693239">
        <w:rPr>
          <w:shd w:val="clear" w:color="auto" w:fill="FFFFFF"/>
        </w:rPr>
        <w:t xml:space="preserve"> </w:t>
      </w:r>
    </w:p>
    <w:p w14:paraId="7EB088DB" w14:textId="7924DA3A" w:rsidR="00AC3713" w:rsidRDefault="00732102" w:rsidP="00732102">
      <w:pPr>
        <w:pStyle w:val="ESPara"/>
      </w:pPr>
      <w:r>
        <w:rPr>
          <w:szCs w:val="24"/>
        </w:rPr>
        <w:t xml:space="preserve">This </w:t>
      </w:r>
      <w:r w:rsidR="000359A6" w:rsidRPr="00296AFA">
        <w:rPr>
          <w:szCs w:val="24"/>
        </w:rPr>
        <w:t>extend</w:t>
      </w:r>
      <w:r>
        <w:rPr>
          <w:szCs w:val="24"/>
        </w:rPr>
        <w:t>s</w:t>
      </w:r>
      <w:r w:rsidR="000359A6" w:rsidRPr="00296AFA">
        <w:rPr>
          <w:szCs w:val="24"/>
        </w:rPr>
        <w:t xml:space="preserve"> the </w:t>
      </w:r>
      <w:r>
        <w:rPr>
          <w:szCs w:val="24"/>
        </w:rPr>
        <w:t xml:space="preserve">‘nil’ VAC </w:t>
      </w:r>
      <w:r w:rsidR="000359A6" w:rsidRPr="00296AFA">
        <w:rPr>
          <w:szCs w:val="24"/>
        </w:rPr>
        <w:t>concession introduced by</w:t>
      </w:r>
      <w:r w:rsidRPr="00732102">
        <w:t xml:space="preserve"> </w:t>
      </w:r>
      <w:r>
        <w:t>LIN 21/043</w:t>
      </w:r>
      <w:r w:rsidR="000359A6" w:rsidRPr="009437B9">
        <w:rPr>
          <w:i/>
          <w:szCs w:val="24"/>
        </w:rPr>
        <w:t xml:space="preserve">, </w:t>
      </w:r>
      <w:r>
        <w:rPr>
          <w:szCs w:val="24"/>
        </w:rPr>
        <w:t>which is</w:t>
      </w:r>
      <w:r w:rsidR="000359A6" w:rsidRPr="009437B9">
        <w:rPr>
          <w:szCs w:val="24"/>
        </w:rPr>
        <w:t xml:space="preserve"> available to certain WHM visa applicants who apply outside Australia</w:t>
      </w:r>
      <w:r w:rsidRPr="009437B9">
        <w:rPr>
          <w:szCs w:val="24"/>
        </w:rPr>
        <w:t>, subject to meeting eligibility requirements</w:t>
      </w:r>
      <w:r w:rsidR="000359A6" w:rsidRPr="009437B9">
        <w:rPr>
          <w:szCs w:val="24"/>
        </w:rPr>
        <w:t xml:space="preserve">. </w:t>
      </w:r>
      <w:r>
        <w:rPr>
          <w:szCs w:val="24"/>
        </w:rPr>
        <w:t xml:space="preserve"> </w:t>
      </w:r>
      <w:r w:rsidR="00E7392D">
        <w:t>The</w:t>
      </w:r>
      <w:r w:rsidR="00360CDF">
        <w:t xml:space="preserve"> </w:t>
      </w:r>
      <w:r w:rsidR="00181EAE">
        <w:t xml:space="preserve">expanded </w:t>
      </w:r>
      <w:r w:rsidR="00D811F5">
        <w:t>class</w:t>
      </w:r>
      <w:r w:rsidR="00360CDF">
        <w:t xml:space="preserve"> </w:t>
      </w:r>
      <w:r w:rsidR="00181EAE">
        <w:t xml:space="preserve">includes </w:t>
      </w:r>
      <w:r w:rsidR="00393F9D">
        <w:t>working holiday makers</w:t>
      </w:r>
      <w:r w:rsidR="00360CDF">
        <w:t xml:space="preserve"> who were unable to come to Australia or had to leave early due to COVID-19, as well as </w:t>
      </w:r>
      <w:r w:rsidR="00393F9D">
        <w:t>working holiday makers</w:t>
      </w:r>
      <w:r w:rsidR="00181EAE">
        <w:t xml:space="preserve"> who remained in Australia but were unable to take advantage of their </w:t>
      </w:r>
      <w:r w:rsidR="00393F9D">
        <w:t>visa</w:t>
      </w:r>
      <w:r w:rsidR="00181EAE">
        <w:t xml:space="preserve"> due to significant disruptions in employment and travel opportunities.</w:t>
      </w:r>
      <w:r w:rsidR="00360CDF">
        <w:t xml:space="preserve"> </w:t>
      </w:r>
      <w:r w:rsidR="00D811F5">
        <w:t xml:space="preserve"> </w:t>
      </w:r>
    </w:p>
    <w:p w14:paraId="15F73C94" w14:textId="2AC3AC5D" w:rsidR="00AC3713" w:rsidRDefault="00AC3713" w:rsidP="00AC3713">
      <w:pPr>
        <w:pStyle w:val="ESHeading"/>
      </w:pPr>
      <w:r w:rsidRPr="008B24C8">
        <w:t>Consultation</w:t>
      </w:r>
    </w:p>
    <w:p w14:paraId="38434A57" w14:textId="19C06803" w:rsidR="00AC3713" w:rsidRPr="00D931FF" w:rsidRDefault="001A525A" w:rsidP="005A3733">
      <w:pPr>
        <w:pStyle w:val="ESPara"/>
        <w:rPr>
          <w:sz w:val="24"/>
        </w:rPr>
      </w:pPr>
      <w:r w:rsidRPr="00D931FF">
        <w:rPr>
          <w:szCs w:val="21"/>
        </w:rPr>
        <w:t>The policy measure supported by the instrument was announced on 22 June 2021 by the Minister for Immigration, Citizenship, Migrant Services and Multicultural Affairs, following approval from the Prime Minister and with the support of key ministerial colleagues including the then Minister for Trade, Tourism and Investment.</w:t>
      </w:r>
    </w:p>
    <w:p w14:paraId="0AB1C10B" w14:textId="304C683F" w:rsidR="00AA4557" w:rsidRDefault="008B24C8" w:rsidP="00AC6EDA">
      <w:pPr>
        <w:pStyle w:val="ESPara"/>
      </w:pPr>
      <w:r w:rsidRPr="008B24C8">
        <w:t>The Office of Best Practice Regulation (OBPR) was consulted and considered that the instrument dealt with m</w:t>
      </w:r>
      <w:r w:rsidR="00B84197">
        <w:t>atters of a machinery</w:t>
      </w:r>
      <w:r w:rsidRPr="008B24C8">
        <w:t xml:space="preserve"> nature and no regulatory impact statement was required.  </w:t>
      </w:r>
      <w:r>
        <w:t>The OBPR reference n</w:t>
      </w:r>
      <w:r w:rsidR="00B84197">
        <w:t>umber is 44225</w:t>
      </w:r>
      <w:r w:rsidRPr="008B24C8">
        <w:t>.</w:t>
      </w:r>
    </w:p>
    <w:p w14:paraId="61596432" w14:textId="6BDE435B" w:rsidR="00E64F2E" w:rsidRDefault="00E64F2E" w:rsidP="000359A6">
      <w:pPr>
        <w:pStyle w:val="ESPara"/>
      </w:pPr>
      <w:r>
        <w:t xml:space="preserve">No further specific consultation was undertaken for the instrument.  This is because the matters implemented by the instrument follow changes made to the Regulations by the Amendment Regulations.  </w:t>
      </w:r>
      <w:r w:rsidR="000359A6" w:rsidRPr="000359A6">
        <w:t xml:space="preserve">Consultation undertaken in relation </w:t>
      </w:r>
      <w:r w:rsidR="00417C0A">
        <w:t xml:space="preserve">to </w:t>
      </w:r>
      <w:r w:rsidR="000359A6">
        <w:t xml:space="preserve">the </w:t>
      </w:r>
      <w:r w:rsidR="00417C0A">
        <w:t>concessional arrangements f</w:t>
      </w:r>
      <w:r w:rsidR="000359A6">
        <w:t>o</w:t>
      </w:r>
      <w:r w:rsidR="00417C0A">
        <w:t>r</w:t>
      </w:r>
      <w:r w:rsidR="000359A6">
        <w:t xml:space="preserve"> WHM</w:t>
      </w:r>
      <w:r w:rsidR="00780A89">
        <w:t>s</w:t>
      </w:r>
      <w:r w:rsidR="000359A6" w:rsidRPr="000359A6">
        <w:t xml:space="preserve"> generally is set out in the Explanatory Statement for the </w:t>
      </w:r>
      <w:r w:rsidR="000359A6">
        <w:t>Amendment Regulations</w:t>
      </w:r>
      <w:r w:rsidR="000359A6" w:rsidRPr="000359A6">
        <w:t>.</w:t>
      </w:r>
    </w:p>
    <w:p w14:paraId="60477439" w14:textId="77777777" w:rsidR="00AA4557" w:rsidRDefault="00464080" w:rsidP="00100DFC">
      <w:pPr>
        <w:pStyle w:val="ESHeading"/>
      </w:pPr>
      <w:r>
        <w:t>Details</w:t>
      </w:r>
      <w:r w:rsidR="00AA4557">
        <w:t xml:space="preserve"> of the instrument</w:t>
      </w:r>
    </w:p>
    <w:p w14:paraId="30429583" w14:textId="77777777" w:rsidR="00AA4557" w:rsidRDefault="00AA4557" w:rsidP="002D167E">
      <w:pPr>
        <w:pStyle w:val="ESPara"/>
      </w:pPr>
      <w:r>
        <w:t>Section 1 sets out</w:t>
      </w:r>
      <w:r w:rsidR="00E03DCC">
        <w:t xml:space="preserve"> the name of the instrument. </w:t>
      </w:r>
    </w:p>
    <w:p w14:paraId="056E7E29" w14:textId="1F7881CF" w:rsidR="00AA4557" w:rsidRDefault="00AA4557" w:rsidP="002D167E">
      <w:pPr>
        <w:pStyle w:val="ESPara"/>
      </w:pPr>
      <w:r>
        <w:t>Section 2 provides for the commencement of</w:t>
      </w:r>
      <w:r w:rsidR="00951DD3">
        <w:t xml:space="preserve"> the instrument on 5 March 2022</w:t>
      </w:r>
      <w:r>
        <w:t>.</w:t>
      </w:r>
      <w:r w:rsidR="002E19C4">
        <w:t xml:space="preserve"> </w:t>
      </w:r>
    </w:p>
    <w:p w14:paraId="31D1A7DF" w14:textId="22746E61" w:rsidR="00700539" w:rsidRDefault="001D3179" w:rsidP="00D931FF">
      <w:pPr>
        <w:pStyle w:val="ESPara"/>
      </w:pPr>
      <w:r>
        <w:t xml:space="preserve">Section 3 sets </w:t>
      </w:r>
      <w:r w:rsidRPr="002E19C4">
        <w:t>out</w:t>
      </w:r>
      <w:r>
        <w:t xml:space="preserve"> the definitions</w:t>
      </w:r>
      <w:r w:rsidR="00951DD3">
        <w:t xml:space="preserve"> of terms</w:t>
      </w:r>
      <w:r>
        <w:t xml:space="preserve"> used in the instrument. </w:t>
      </w:r>
      <w:r w:rsidR="00700539">
        <w:t xml:space="preserve"> </w:t>
      </w:r>
      <w:r w:rsidR="00700539" w:rsidRPr="00DE39DD">
        <w:t>Under this section</w:t>
      </w:r>
      <w:r w:rsidR="002E19C4">
        <w:t xml:space="preserve">, </w:t>
      </w:r>
      <w:r w:rsidR="00700539" w:rsidRPr="002E19C4">
        <w:rPr>
          <w:b/>
          <w:i/>
        </w:rPr>
        <w:t xml:space="preserve">excluded applicant </w:t>
      </w:r>
      <w:r w:rsidR="00700539" w:rsidRPr="00700539">
        <w:t>means</w:t>
      </w:r>
      <w:r w:rsidR="00700539" w:rsidRPr="002E19C4">
        <w:rPr>
          <w:b/>
          <w:i/>
        </w:rPr>
        <w:t xml:space="preserve"> </w:t>
      </w:r>
      <w:r w:rsidR="00700539" w:rsidRPr="00700539">
        <w:t>a</w:t>
      </w:r>
      <w:r w:rsidR="00700539">
        <w:t>n applicant who has applied for a subclass 417 visa</w:t>
      </w:r>
      <w:r w:rsidR="00700539" w:rsidRPr="00700539">
        <w:t xml:space="preserve"> or a subclass 462 visa</w:t>
      </w:r>
      <w:r w:rsidR="00700539">
        <w:t xml:space="preserve"> with nil VAC and:</w:t>
      </w:r>
    </w:p>
    <w:p w14:paraId="5DA7573C" w14:textId="77777777" w:rsidR="00700539" w:rsidRDefault="00700539" w:rsidP="00D931FF">
      <w:pPr>
        <w:pStyle w:val="ESSubparaList"/>
      </w:pPr>
      <w:r w:rsidRPr="00700539">
        <w:t>the appl</w:t>
      </w:r>
      <w:r>
        <w:t>icant has been granted the visa;</w:t>
      </w:r>
      <w:r w:rsidRPr="00700539">
        <w:t xml:space="preserve"> or</w:t>
      </w:r>
      <w:r>
        <w:t xml:space="preserve"> </w:t>
      </w:r>
    </w:p>
    <w:p w14:paraId="7B233071" w14:textId="77777777" w:rsidR="00700539" w:rsidRDefault="00700539" w:rsidP="00D931FF">
      <w:pPr>
        <w:pStyle w:val="ESSubparaList"/>
      </w:pPr>
      <w:r w:rsidRPr="00700539">
        <w:t>the applicant</w:t>
      </w:r>
      <w:r>
        <w:t xml:space="preserve"> has been refused the visa;</w:t>
      </w:r>
      <w:r w:rsidRPr="00700539">
        <w:t xml:space="preserve"> or</w:t>
      </w:r>
      <w:r>
        <w:t xml:space="preserve"> </w:t>
      </w:r>
    </w:p>
    <w:p w14:paraId="39FAD46A" w14:textId="2E0118DA" w:rsidR="00700539" w:rsidRPr="00700539" w:rsidRDefault="00700539" w:rsidP="00D931FF">
      <w:pPr>
        <w:pStyle w:val="ESSubparaList"/>
      </w:pPr>
      <w:proofErr w:type="gramStart"/>
      <w:r w:rsidRPr="00700539">
        <w:t>the</w:t>
      </w:r>
      <w:proofErr w:type="gramEnd"/>
      <w:r w:rsidRPr="00700539">
        <w:t xml:space="preserve"> application is not finalised.  </w:t>
      </w:r>
    </w:p>
    <w:p w14:paraId="13E86C13" w14:textId="64944E77" w:rsidR="00423034" w:rsidRDefault="005F73BA" w:rsidP="00423034">
      <w:pPr>
        <w:pStyle w:val="ESPara"/>
      </w:pPr>
      <w:r w:rsidRPr="005F73BA">
        <w:t xml:space="preserve">These criteria capture WHMs whose visas were affected by COVID-19, so that they can apply for another </w:t>
      </w:r>
      <w:r w:rsidR="00884140">
        <w:t xml:space="preserve">subclass 417 visa or </w:t>
      </w:r>
      <w:r w:rsidR="00884140" w:rsidRPr="00700539">
        <w:t>subclass 462 visa</w:t>
      </w:r>
      <w:r w:rsidR="00884140" w:rsidRPr="008C2B78">
        <w:rPr>
          <w:szCs w:val="24"/>
        </w:rPr>
        <w:t xml:space="preserve"> </w:t>
      </w:r>
      <w:r w:rsidR="00E14F12" w:rsidRPr="008C2B78">
        <w:rPr>
          <w:szCs w:val="24"/>
        </w:rPr>
        <w:t xml:space="preserve">without needing to pay a </w:t>
      </w:r>
      <w:r w:rsidR="00BE58E4">
        <w:rPr>
          <w:szCs w:val="24"/>
        </w:rPr>
        <w:t>VAC</w:t>
      </w:r>
      <w:r w:rsidRPr="005F73BA">
        <w:t xml:space="preserve">. </w:t>
      </w:r>
      <w:r w:rsidR="00423034">
        <w:t xml:space="preserve"> </w:t>
      </w:r>
      <w:r w:rsidRPr="005F73BA">
        <w:t xml:space="preserve">Additionally, the </w:t>
      </w:r>
      <w:r w:rsidR="005F5059">
        <w:t>class of persons</w:t>
      </w:r>
      <w:r w:rsidRPr="005F73BA">
        <w:t xml:space="preserve"> is limited so that an applicant</w:t>
      </w:r>
      <w:r w:rsidR="005F5059">
        <w:t xml:space="preserve"> for a subclass 417 visa</w:t>
      </w:r>
      <w:r w:rsidR="005F5059" w:rsidRPr="00700539">
        <w:t xml:space="preserve"> or a subclass 462 visa</w:t>
      </w:r>
      <w:r w:rsidRPr="005F73BA">
        <w:t xml:space="preserve"> can only be granted one nil VAC visa, and cannot make repeat applications if it is refused. </w:t>
      </w:r>
      <w:r w:rsidR="00423034">
        <w:t xml:space="preserve"> </w:t>
      </w:r>
      <w:r w:rsidRPr="005F73BA">
        <w:t>However, an applicant who withdraws a nil VAC application can reapply.</w:t>
      </w:r>
    </w:p>
    <w:p w14:paraId="28FDBFF3" w14:textId="5DB82CF0" w:rsidR="00445424" w:rsidRDefault="00445424" w:rsidP="00951DD3">
      <w:pPr>
        <w:pStyle w:val="ESPara"/>
      </w:pPr>
      <w:r>
        <w:t>Section 4 provides that t</w:t>
      </w:r>
      <w:r w:rsidRPr="00423034">
        <w:t xml:space="preserve">he </w:t>
      </w:r>
      <w:r>
        <w:t>VAC amount is nil for subclass 417 visa</w:t>
      </w:r>
      <w:r w:rsidRPr="00423034">
        <w:t xml:space="preserve"> applica</w:t>
      </w:r>
      <w:r>
        <w:t>nts captured in</w:t>
      </w:r>
      <w:r w:rsidRPr="00445424">
        <w:t xml:space="preserve"> </w:t>
      </w:r>
      <w:r>
        <w:t xml:space="preserve">subsections 4(2) and (3). </w:t>
      </w:r>
    </w:p>
    <w:p w14:paraId="7DA0E899" w14:textId="210BC3F8" w:rsidR="00445424" w:rsidRDefault="00445424" w:rsidP="00951DD3">
      <w:pPr>
        <w:pStyle w:val="ESPara"/>
      </w:pPr>
      <w:r>
        <w:lastRenderedPageBreak/>
        <w:t>Section 5 provides that t</w:t>
      </w:r>
      <w:r w:rsidRPr="00423034">
        <w:t xml:space="preserve">he </w:t>
      </w:r>
      <w:r>
        <w:t>VAC amount is nil for subclass 462 visa</w:t>
      </w:r>
      <w:r w:rsidRPr="00423034">
        <w:t xml:space="preserve"> applica</w:t>
      </w:r>
      <w:r>
        <w:t>nts captured in</w:t>
      </w:r>
      <w:r w:rsidRPr="00445424">
        <w:t xml:space="preserve"> </w:t>
      </w:r>
      <w:r>
        <w:t>subsections 5(2) and (3).</w:t>
      </w:r>
    </w:p>
    <w:p w14:paraId="3DC7A7E8" w14:textId="6F4302A6" w:rsidR="00927B70" w:rsidRDefault="00CD30A8" w:rsidP="00927B70">
      <w:pPr>
        <w:pStyle w:val="ESPara"/>
      </w:pPr>
      <w:r>
        <w:t xml:space="preserve">Section </w:t>
      </w:r>
      <w:r w:rsidR="009B645D">
        <w:t>6</w:t>
      </w:r>
      <w:r w:rsidR="00927B70">
        <w:t xml:space="preserve"> repeals </w:t>
      </w:r>
      <w:r w:rsidR="00927B70" w:rsidRPr="00927B70">
        <w:rPr>
          <w:i/>
        </w:rPr>
        <w:t>Migration (Class of persons: Nil VAC for Work and Holiday and Working Holiday visas) Instrument (LIN 21/043) 2021</w:t>
      </w:r>
      <w:r w:rsidR="00927B70" w:rsidRPr="00927B70">
        <w:t>.</w:t>
      </w:r>
    </w:p>
    <w:p w14:paraId="2F81454D" w14:textId="77777777" w:rsidR="00E03DCC" w:rsidRPr="00464080" w:rsidRDefault="00AA4557" w:rsidP="00723277">
      <w:pPr>
        <w:pStyle w:val="ESHeading"/>
      </w:pPr>
      <w:r>
        <w:t xml:space="preserve">Parliamentary scrutiny etc.  </w:t>
      </w:r>
    </w:p>
    <w:p w14:paraId="2E55FD5C" w14:textId="4169D576" w:rsidR="00AC3713" w:rsidRDefault="00E03DCC" w:rsidP="002D167E">
      <w:pPr>
        <w:pStyle w:val="ESPara"/>
      </w:pPr>
      <w:r>
        <w:t xml:space="preserve">The instrument is exempt from disallowance under section 42 of the Legislation Act.  </w:t>
      </w:r>
      <w:r w:rsidR="00AC3713" w:rsidRPr="00005F0C">
        <w:t>This is because it is an instrument made under</w:t>
      </w:r>
      <w:r w:rsidR="00AC3713" w:rsidRPr="001919D7">
        <w:t xml:space="preserve"> </w:t>
      </w:r>
      <w:proofErr w:type="spellStart"/>
      <w:r w:rsidR="00AC3713">
        <w:t>subregulation</w:t>
      </w:r>
      <w:proofErr w:type="spellEnd"/>
      <w:r w:rsidR="00AC3713">
        <w:t xml:space="preserve"> 2.07(5)</w:t>
      </w:r>
      <w:r w:rsidR="00AC3713" w:rsidRPr="009C339B">
        <w:t xml:space="preserve"> of </w:t>
      </w:r>
      <w:r w:rsidR="00AC3713" w:rsidRPr="00005F0C">
        <w:t xml:space="preserve">the Regulations, which is exempt from disallowance under paragraph (b) of item 20 in section 10 of the </w:t>
      </w:r>
      <w:r w:rsidR="00AC3713" w:rsidRPr="00005F0C">
        <w:rPr>
          <w:i/>
          <w:iCs/>
        </w:rPr>
        <w:t>Legislation (Exemptions and Other Matters) Regulation 2015</w:t>
      </w:r>
      <w:r w:rsidR="00AC3713" w:rsidRPr="00005F0C">
        <w:t>.</w:t>
      </w:r>
      <w:r w:rsidR="00AC3713">
        <w:t xml:space="preserve"> </w:t>
      </w:r>
    </w:p>
    <w:p w14:paraId="466CC0CA" w14:textId="2583F68F" w:rsidR="00915032" w:rsidRPr="00AC6EDA" w:rsidRDefault="00B75478" w:rsidP="00100DFC">
      <w:pPr>
        <w:pStyle w:val="ESPara"/>
      </w:pPr>
      <w:r w:rsidRPr="00B75478">
        <w:t xml:space="preserve">The </w:t>
      </w:r>
      <w:r w:rsidR="004C2B0E">
        <w:t>instrument was made by a delegate of the Minister</w:t>
      </w:r>
      <w:r w:rsidR="00AC6EDA">
        <w:t xml:space="preserve">, in accordance with </w:t>
      </w:r>
      <w:proofErr w:type="spellStart"/>
      <w:r w:rsidR="00AC6EDA">
        <w:t>subregulation</w:t>
      </w:r>
      <w:proofErr w:type="spellEnd"/>
      <w:r>
        <w:t xml:space="preserve"> </w:t>
      </w:r>
      <w:r w:rsidR="00AC6EDA">
        <w:t>2.07(5) of the Regulations.</w:t>
      </w:r>
    </w:p>
    <w:sectPr w:rsidR="00915032" w:rsidRPr="00AC6EDA"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9B40E" w14:textId="77777777" w:rsidR="002F3929" w:rsidRDefault="002F3929" w:rsidP="002F3929">
      <w:pPr>
        <w:spacing w:after="0" w:line="240" w:lineRule="auto"/>
      </w:pPr>
      <w:r>
        <w:separator/>
      </w:r>
    </w:p>
  </w:endnote>
  <w:endnote w:type="continuationSeparator" w:id="0">
    <w:p w14:paraId="6317CB27" w14:textId="77777777" w:rsidR="002F3929" w:rsidRDefault="002F3929" w:rsidP="002F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8886E" w14:textId="77777777" w:rsidR="002F3929" w:rsidRDefault="002F3929" w:rsidP="002F3929">
      <w:pPr>
        <w:spacing w:after="0" w:line="240" w:lineRule="auto"/>
      </w:pPr>
      <w:r>
        <w:separator/>
      </w:r>
    </w:p>
  </w:footnote>
  <w:footnote w:type="continuationSeparator" w:id="0">
    <w:p w14:paraId="7C349C90" w14:textId="77777777" w:rsidR="002F3929" w:rsidRDefault="002F3929" w:rsidP="002F3929">
      <w:pPr>
        <w:spacing w:after="0" w:line="240" w:lineRule="auto"/>
      </w:pPr>
      <w:r>
        <w:continuationSeparator/>
      </w:r>
    </w:p>
  </w:footnote>
  <w:footnote w:id="1">
    <w:p w14:paraId="1D274C2D" w14:textId="0C852DC6" w:rsidR="002F3929" w:rsidRPr="00D931FF" w:rsidRDefault="002F3929">
      <w:pPr>
        <w:pStyle w:val="FootnoteText"/>
        <w:rPr>
          <w:rFonts w:ascii="Times New Roman" w:hAnsi="Times New Roman" w:cs="Times New Roman"/>
        </w:rPr>
      </w:pPr>
      <w:r w:rsidRPr="00D931FF">
        <w:rPr>
          <w:rStyle w:val="FootnoteReference"/>
          <w:rFonts w:ascii="Times New Roman" w:hAnsi="Times New Roman" w:cs="Times New Roman"/>
        </w:rPr>
        <w:footnoteRef/>
      </w:r>
      <w:r w:rsidRPr="00D931FF">
        <w:rPr>
          <w:rFonts w:ascii="Times New Roman" w:hAnsi="Times New Roman" w:cs="Times New Roman"/>
        </w:rPr>
        <w:t xml:space="preserve"> </w:t>
      </w:r>
      <w:proofErr w:type="spellStart"/>
      <w:r w:rsidR="0057761E" w:rsidRPr="00D931FF">
        <w:rPr>
          <w:rFonts w:ascii="Times New Roman" w:hAnsi="Times New Roman" w:cs="Times New Roman"/>
        </w:rPr>
        <w:t>Subregulation</w:t>
      </w:r>
      <w:proofErr w:type="spellEnd"/>
      <w:r w:rsidR="0057761E" w:rsidRPr="00D931FF">
        <w:rPr>
          <w:rFonts w:ascii="Times New Roman" w:hAnsi="Times New Roman" w:cs="Times New Roman"/>
        </w:rPr>
        <w:t xml:space="preserve"> 1.15P(2A) of the </w:t>
      </w:r>
      <w:r w:rsidR="0057761E" w:rsidRPr="00D931FF">
        <w:rPr>
          <w:rFonts w:ascii="Times New Roman" w:hAnsi="Times New Roman" w:cs="Times New Roman"/>
          <w:i/>
        </w:rPr>
        <w:t>Migration Amendment (Subclass 417 and 462 Visas) Regulations 2022</w:t>
      </w:r>
      <w:r w:rsidR="0057761E" w:rsidRPr="00D931FF">
        <w:rPr>
          <w:rFonts w:ascii="Times New Roman" w:hAnsi="Times New Roman" w:cs="Times New Roman"/>
        </w:rPr>
        <w:t xml:space="preserve"> provides that a subclass 417 visa or subclass 462 visa is an </w:t>
      </w:r>
      <w:r w:rsidR="0057761E" w:rsidRPr="00D931FF">
        <w:rPr>
          <w:rFonts w:ascii="Times New Roman" w:hAnsi="Times New Roman" w:cs="Times New Roman"/>
          <w:i/>
        </w:rPr>
        <w:t>onshore COVID-19 affected visa</w:t>
      </w:r>
      <w:r w:rsidR="0057761E" w:rsidRPr="00D931FF">
        <w:rPr>
          <w:rFonts w:ascii="Times New Roman" w:hAnsi="Times New Roman" w:cs="Times New Roman"/>
        </w:rPr>
        <w:t xml:space="preserve"> if certain requirements are met.</w:t>
      </w:r>
    </w:p>
  </w:footnote>
  <w:footnote w:id="2">
    <w:p w14:paraId="039B8F2E" w14:textId="77777777" w:rsidR="009B645D" w:rsidRPr="00DC144E" w:rsidRDefault="009B645D" w:rsidP="009B645D">
      <w:pPr>
        <w:pStyle w:val="FootnoteText"/>
        <w:rPr>
          <w:rFonts w:ascii="Times New Roman" w:hAnsi="Times New Roman" w:cs="Times New Roman"/>
        </w:rPr>
      </w:pPr>
      <w:r w:rsidRPr="00DC144E">
        <w:rPr>
          <w:rStyle w:val="FootnoteReference"/>
          <w:rFonts w:ascii="Times New Roman" w:hAnsi="Times New Roman" w:cs="Times New Roman"/>
        </w:rPr>
        <w:footnoteRef/>
      </w:r>
      <w:r w:rsidRPr="00DC144E">
        <w:rPr>
          <w:rFonts w:ascii="Times New Roman" w:hAnsi="Times New Roman" w:cs="Times New Roman"/>
        </w:rPr>
        <w:t xml:space="preserve"> </w:t>
      </w:r>
      <w:proofErr w:type="gramStart"/>
      <w:r w:rsidRPr="00DC144E">
        <w:rPr>
          <w:rFonts w:ascii="Times New Roman" w:hAnsi="Times New Roman" w:cs="Times New Roman"/>
          <w:i/>
        </w:rPr>
        <w:t>excluded</w:t>
      </w:r>
      <w:proofErr w:type="gramEnd"/>
      <w:r w:rsidRPr="00DC144E">
        <w:rPr>
          <w:rFonts w:ascii="Times New Roman" w:hAnsi="Times New Roman" w:cs="Times New Roman"/>
          <w:i/>
        </w:rPr>
        <w:t xml:space="preserve"> applicant</w:t>
      </w:r>
      <w:r w:rsidRPr="00DC144E">
        <w:rPr>
          <w:rFonts w:ascii="Times New Roman" w:hAnsi="Times New Roman" w:cs="Times New Roman"/>
        </w:rPr>
        <w:t xml:space="preserve"> is defined in section 3 of the instrument.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comment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98"/>
    <w:rsid w:val="000135F2"/>
    <w:rsid w:val="000359A6"/>
    <w:rsid w:val="00056553"/>
    <w:rsid w:val="00081740"/>
    <w:rsid w:val="000867B7"/>
    <w:rsid w:val="000A3C13"/>
    <w:rsid w:val="000D014F"/>
    <w:rsid w:val="00100DFC"/>
    <w:rsid w:val="00124ECF"/>
    <w:rsid w:val="0017648F"/>
    <w:rsid w:val="00181EAE"/>
    <w:rsid w:val="001877C3"/>
    <w:rsid w:val="0019164E"/>
    <w:rsid w:val="001A525A"/>
    <w:rsid w:val="001D3179"/>
    <w:rsid w:val="0020036E"/>
    <w:rsid w:val="002003EF"/>
    <w:rsid w:val="0022321D"/>
    <w:rsid w:val="002402E0"/>
    <w:rsid w:val="00253124"/>
    <w:rsid w:val="00260B11"/>
    <w:rsid w:val="00262DE8"/>
    <w:rsid w:val="002A17AC"/>
    <w:rsid w:val="002B1F08"/>
    <w:rsid w:val="002D1396"/>
    <w:rsid w:val="002D167E"/>
    <w:rsid w:val="002E19C4"/>
    <w:rsid w:val="002F3929"/>
    <w:rsid w:val="00342542"/>
    <w:rsid w:val="00360CDF"/>
    <w:rsid w:val="00362C49"/>
    <w:rsid w:val="00364FA1"/>
    <w:rsid w:val="00371B1A"/>
    <w:rsid w:val="00393F9D"/>
    <w:rsid w:val="003D0323"/>
    <w:rsid w:val="0040744F"/>
    <w:rsid w:val="00410CE5"/>
    <w:rsid w:val="00417C0A"/>
    <w:rsid w:val="00423034"/>
    <w:rsid w:val="00436DDC"/>
    <w:rsid w:val="00445424"/>
    <w:rsid w:val="00457D4A"/>
    <w:rsid w:val="00460668"/>
    <w:rsid w:val="00464080"/>
    <w:rsid w:val="004962A4"/>
    <w:rsid w:val="004A055E"/>
    <w:rsid w:val="004C2B0E"/>
    <w:rsid w:val="004F5CE4"/>
    <w:rsid w:val="00504CEB"/>
    <w:rsid w:val="00521BE5"/>
    <w:rsid w:val="005227AF"/>
    <w:rsid w:val="00525E76"/>
    <w:rsid w:val="00535176"/>
    <w:rsid w:val="00555552"/>
    <w:rsid w:val="00560B24"/>
    <w:rsid w:val="005635A7"/>
    <w:rsid w:val="0057002B"/>
    <w:rsid w:val="0057761E"/>
    <w:rsid w:val="005A3733"/>
    <w:rsid w:val="005D5065"/>
    <w:rsid w:val="005F3771"/>
    <w:rsid w:val="005F5059"/>
    <w:rsid w:val="005F73BA"/>
    <w:rsid w:val="006014CE"/>
    <w:rsid w:val="00602909"/>
    <w:rsid w:val="00604E06"/>
    <w:rsid w:val="00606333"/>
    <w:rsid w:val="006079C3"/>
    <w:rsid w:val="00693239"/>
    <w:rsid w:val="00700539"/>
    <w:rsid w:val="00716702"/>
    <w:rsid w:val="00723277"/>
    <w:rsid w:val="00732102"/>
    <w:rsid w:val="00756303"/>
    <w:rsid w:val="00774126"/>
    <w:rsid w:val="00780A89"/>
    <w:rsid w:val="007E4691"/>
    <w:rsid w:val="007E752F"/>
    <w:rsid w:val="00802134"/>
    <w:rsid w:val="0088407D"/>
    <w:rsid w:val="00884140"/>
    <w:rsid w:val="008B24C8"/>
    <w:rsid w:val="008E19FC"/>
    <w:rsid w:val="00905EAD"/>
    <w:rsid w:val="00915032"/>
    <w:rsid w:val="00927B70"/>
    <w:rsid w:val="0093716A"/>
    <w:rsid w:val="0095083B"/>
    <w:rsid w:val="00951DD3"/>
    <w:rsid w:val="009719B4"/>
    <w:rsid w:val="00980EEF"/>
    <w:rsid w:val="009A3133"/>
    <w:rsid w:val="009B645D"/>
    <w:rsid w:val="009B6758"/>
    <w:rsid w:val="009F4465"/>
    <w:rsid w:val="00A75850"/>
    <w:rsid w:val="00AA4557"/>
    <w:rsid w:val="00AA4F77"/>
    <w:rsid w:val="00AB28CF"/>
    <w:rsid w:val="00AC3713"/>
    <w:rsid w:val="00AC6EDA"/>
    <w:rsid w:val="00AE01E9"/>
    <w:rsid w:val="00B10625"/>
    <w:rsid w:val="00B31B67"/>
    <w:rsid w:val="00B445D9"/>
    <w:rsid w:val="00B65A06"/>
    <w:rsid w:val="00B703C9"/>
    <w:rsid w:val="00B75478"/>
    <w:rsid w:val="00B84197"/>
    <w:rsid w:val="00BB0CF2"/>
    <w:rsid w:val="00BD598E"/>
    <w:rsid w:val="00BE3E7F"/>
    <w:rsid w:val="00BE58E4"/>
    <w:rsid w:val="00C807FA"/>
    <w:rsid w:val="00C81A5E"/>
    <w:rsid w:val="00C930F2"/>
    <w:rsid w:val="00CC6B9C"/>
    <w:rsid w:val="00CD30A8"/>
    <w:rsid w:val="00D323E3"/>
    <w:rsid w:val="00D40E1E"/>
    <w:rsid w:val="00D475A1"/>
    <w:rsid w:val="00D811F5"/>
    <w:rsid w:val="00D931FF"/>
    <w:rsid w:val="00DF6185"/>
    <w:rsid w:val="00E03DCC"/>
    <w:rsid w:val="00E07DD7"/>
    <w:rsid w:val="00E14F12"/>
    <w:rsid w:val="00E45FE2"/>
    <w:rsid w:val="00E64F2E"/>
    <w:rsid w:val="00E7392D"/>
    <w:rsid w:val="00E97CC4"/>
    <w:rsid w:val="00EA12C9"/>
    <w:rsid w:val="00EF37E5"/>
    <w:rsid w:val="00F1204A"/>
    <w:rsid w:val="00F12198"/>
    <w:rsid w:val="00F21E9B"/>
    <w:rsid w:val="00F83580"/>
    <w:rsid w:val="00FC2D90"/>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768D"/>
  <w15:chartTrackingRefBased/>
  <w15:docId w15:val="{2CA3C847-0886-4EC2-879C-7A01CD20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B84197"/>
    <w:rPr>
      <w:sz w:val="16"/>
      <w:szCs w:val="16"/>
    </w:rPr>
  </w:style>
  <w:style w:type="paragraph" w:styleId="CommentText">
    <w:name w:val="annotation text"/>
    <w:basedOn w:val="Normal"/>
    <w:link w:val="CommentTextChar"/>
    <w:uiPriority w:val="99"/>
    <w:semiHidden/>
    <w:unhideWhenUsed/>
    <w:rsid w:val="00B84197"/>
    <w:pPr>
      <w:spacing w:line="240" w:lineRule="auto"/>
    </w:pPr>
    <w:rPr>
      <w:sz w:val="20"/>
      <w:szCs w:val="20"/>
    </w:rPr>
  </w:style>
  <w:style w:type="character" w:customStyle="1" w:styleId="CommentTextChar">
    <w:name w:val="Comment Text Char"/>
    <w:basedOn w:val="DefaultParagraphFont"/>
    <w:link w:val="CommentText"/>
    <w:uiPriority w:val="99"/>
    <w:semiHidden/>
    <w:rsid w:val="00B84197"/>
    <w:rPr>
      <w:sz w:val="20"/>
      <w:szCs w:val="20"/>
    </w:rPr>
  </w:style>
  <w:style w:type="paragraph" w:styleId="CommentSubject">
    <w:name w:val="annotation subject"/>
    <w:basedOn w:val="CommentText"/>
    <w:next w:val="CommentText"/>
    <w:link w:val="CommentSubjectChar"/>
    <w:uiPriority w:val="99"/>
    <w:semiHidden/>
    <w:unhideWhenUsed/>
    <w:rsid w:val="00B84197"/>
    <w:rPr>
      <w:b/>
      <w:bCs/>
    </w:rPr>
  </w:style>
  <w:style w:type="character" w:customStyle="1" w:styleId="CommentSubjectChar">
    <w:name w:val="Comment Subject Char"/>
    <w:basedOn w:val="CommentTextChar"/>
    <w:link w:val="CommentSubject"/>
    <w:uiPriority w:val="99"/>
    <w:semiHidden/>
    <w:rsid w:val="00B84197"/>
    <w:rPr>
      <w:b/>
      <w:bCs/>
      <w:sz w:val="20"/>
      <w:szCs w:val="20"/>
    </w:rPr>
  </w:style>
  <w:style w:type="paragraph" w:styleId="BalloonText">
    <w:name w:val="Balloon Text"/>
    <w:basedOn w:val="Normal"/>
    <w:link w:val="BalloonTextChar"/>
    <w:uiPriority w:val="99"/>
    <w:semiHidden/>
    <w:unhideWhenUsed/>
    <w:rsid w:val="00B8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197"/>
    <w:rPr>
      <w:rFonts w:ascii="Segoe UI" w:hAnsi="Segoe UI" w:cs="Segoe UI"/>
      <w:sz w:val="18"/>
      <w:szCs w:val="18"/>
    </w:rPr>
  </w:style>
  <w:style w:type="character" w:customStyle="1" w:styleId="LDBoldItal">
    <w:name w:val="LDBoldItal"/>
    <w:uiPriority w:val="1"/>
    <w:qFormat/>
    <w:rsid w:val="00700539"/>
    <w:rPr>
      <w:b/>
      <w:i/>
    </w:rPr>
  </w:style>
  <w:style w:type="paragraph" w:customStyle="1" w:styleId="LDdefinition">
    <w:name w:val="LDdefinition"/>
    <w:link w:val="LDdefinitionChar"/>
    <w:rsid w:val="00700539"/>
    <w:pPr>
      <w:keepNext/>
      <w:spacing w:after="0" w:line="240" w:lineRule="auto"/>
      <w:ind w:left="709"/>
    </w:pPr>
    <w:rPr>
      <w:rFonts w:ascii="Times New Roman" w:eastAsia="Times New Roman" w:hAnsi="Times New Roman" w:cs="Times New Roman"/>
      <w:sz w:val="24"/>
      <w:szCs w:val="24"/>
    </w:rPr>
  </w:style>
  <w:style w:type="character" w:customStyle="1" w:styleId="LDdefinitionChar">
    <w:name w:val="LDdefinition Char"/>
    <w:link w:val="LDdefinition"/>
    <w:locked/>
    <w:rsid w:val="00700539"/>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F39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929"/>
    <w:rPr>
      <w:sz w:val="20"/>
      <w:szCs w:val="20"/>
    </w:rPr>
  </w:style>
  <w:style w:type="character" w:styleId="EndnoteReference">
    <w:name w:val="endnote reference"/>
    <w:basedOn w:val="DefaultParagraphFont"/>
    <w:uiPriority w:val="99"/>
    <w:semiHidden/>
    <w:unhideWhenUsed/>
    <w:rsid w:val="002F3929"/>
    <w:rPr>
      <w:vertAlign w:val="superscript"/>
    </w:rPr>
  </w:style>
  <w:style w:type="paragraph" w:styleId="FootnoteText">
    <w:name w:val="footnote text"/>
    <w:basedOn w:val="Normal"/>
    <w:link w:val="FootnoteTextChar"/>
    <w:uiPriority w:val="99"/>
    <w:semiHidden/>
    <w:unhideWhenUsed/>
    <w:rsid w:val="002F39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929"/>
    <w:rPr>
      <w:sz w:val="20"/>
      <w:szCs w:val="20"/>
    </w:rPr>
  </w:style>
  <w:style w:type="character" w:styleId="FootnoteReference">
    <w:name w:val="footnote reference"/>
    <w:basedOn w:val="DefaultParagraphFont"/>
    <w:uiPriority w:val="99"/>
    <w:semiHidden/>
    <w:unhideWhenUsed/>
    <w:rsid w:val="002F39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F4CF-924B-4FB2-B07B-7251A89D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BURBURY</dc:creator>
  <cp:keywords/>
  <dc:description/>
  <cp:lastModifiedBy>Thomas BURBURY</cp:lastModifiedBy>
  <cp:revision>2</cp:revision>
  <cp:lastPrinted>2022-03-04T01:11:00Z</cp:lastPrinted>
  <dcterms:created xsi:type="dcterms:W3CDTF">2022-03-04T03:40:00Z</dcterms:created>
  <dcterms:modified xsi:type="dcterms:W3CDTF">2022-03-04T03:40:00Z</dcterms:modified>
</cp:coreProperties>
</file>