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9533" w14:textId="3C288B11" w:rsidR="009F6F07" w:rsidRDefault="009F6F07" w:rsidP="009F6F07">
      <w:pPr>
        <w:shd w:val="clear" w:color="auto" w:fill="FFFFFF"/>
        <w:spacing w:before="120"/>
        <w:jc w:val="center"/>
        <w:rPr>
          <w:b/>
          <w:bCs/>
          <w:szCs w:val="24"/>
          <w:u w:val="single"/>
        </w:rPr>
      </w:pPr>
      <w:bookmarkStart w:id="0" w:name="_GoBack"/>
      <w:bookmarkEnd w:id="0"/>
      <w:r w:rsidRPr="00A53E58">
        <w:rPr>
          <w:b/>
          <w:bCs/>
          <w:szCs w:val="24"/>
          <w:u w:val="single"/>
        </w:rPr>
        <w:t>EXPLANATORY STATEMENT</w:t>
      </w:r>
    </w:p>
    <w:p w14:paraId="7A6BF0B3" w14:textId="77777777" w:rsidR="009F6F07" w:rsidRPr="00A53E58" w:rsidRDefault="009F6F07" w:rsidP="009F6F07">
      <w:pPr>
        <w:shd w:val="clear" w:color="auto" w:fill="FFFFFF"/>
        <w:spacing w:before="120"/>
        <w:jc w:val="center"/>
        <w:rPr>
          <w:szCs w:val="24"/>
          <w:lang w:val="en-US"/>
        </w:rPr>
      </w:pPr>
    </w:p>
    <w:p w14:paraId="32D980AA" w14:textId="0C5C735B" w:rsidR="009F6F07" w:rsidRDefault="009F6F07" w:rsidP="009F6F07">
      <w:pPr>
        <w:shd w:val="clear" w:color="auto" w:fill="FFFFFF"/>
        <w:spacing w:before="120"/>
        <w:jc w:val="center"/>
        <w:rPr>
          <w:szCs w:val="24"/>
          <w:u w:val="single"/>
        </w:rPr>
      </w:pPr>
      <w:r w:rsidRPr="00A53E58">
        <w:rPr>
          <w:szCs w:val="24"/>
          <w:u w:val="single"/>
        </w:rPr>
        <w:t>Issued b</w:t>
      </w:r>
      <w:r>
        <w:rPr>
          <w:szCs w:val="24"/>
          <w:u w:val="single"/>
        </w:rPr>
        <w:t>y Authority of the Deputy Prime Minister and Minister for Infrastructure,</w:t>
      </w:r>
    </w:p>
    <w:p w14:paraId="42049641" w14:textId="4904170D" w:rsidR="009F6F07" w:rsidRDefault="009F6F07" w:rsidP="009F6F07">
      <w:pPr>
        <w:shd w:val="clear" w:color="auto" w:fill="FFFFFF"/>
        <w:spacing w:before="120"/>
        <w:jc w:val="center"/>
        <w:rPr>
          <w:szCs w:val="24"/>
          <w:u w:val="single"/>
        </w:rPr>
      </w:pPr>
      <w:r>
        <w:rPr>
          <w:szCs w:val="24"/>
          <w:u w:val="single"/>
        </w:rPr>
        <w:t>Transport and Regional Development</w:t>
      </w:r>
    </w:p>
    <w:p w14:paraId="3CF53832" w14:textId="77777777" w:rsidR="009F6F07" w:rsidRPr="009F6F07" w:rsidRDefault="009F6F07" w:rsidP="009F6F07">
      <w:pPr>
        <w:shd w:val="clear" w:color="auto" w:fill="FFFFFF"/>
        <w:spacing w:before="120"/>
        <w:jc w:val="center"/>
        <w:rPr>
          <w:szCs w:val="24"/>
          <w:u w:val="single"/>
        </w:rPr>
      </w:pPr>
    </w:p>
    <w:p w14:paraId="4A04F10D" w14:textId="65850B42" w:rsidR="009F6F07" w:rsidRDefault="009F6F07" w:rsidP="009F6F07">
      <w:pPr>
        <w:shd w:val="clear" w:color="auto" w:fill="FFFFFF"/>
        <w:spacing w:before="120"/>
        <w:jc w:val="center"/>
        <w:rPr>
          <w:i/>
          <w:iCs/>
          <w:szCs w:val="24"/>
        </w:rPr>
      </w:pPr>
      <w:r w:rsidRPr="009F6F07">
        <w:rPr>
          <w:i/>
          <w:iCs/>
          <w:szCs w:val="24"/>
        </w:rPr>
        <w:t>Aviation Fuel Revenues (Special Appropriation) Act 1988</w:t>
      </w:r>
    </w:p>
    <w:p w14:paraId="3C0DC548" w14:textId="77777777" w:rsidR="009F6F07" w:rsidRPr="009F6F07" w:rsidRDefault="009F6F07" w:rsidP="009F6F07">
      <w:pPr>
        <w:shd w:val="clear" w:color="auto" w:fill="FFFFFF"/>
        <w:spacing w:before="120"/>
        <w:jc w:val="center"/>
        <w:rPr>
          <w:i/>
          <w:iCs/>
          <w:szCs w:val="24"/>
        </w:rPr>
      </w:pPr>
    </w:p>
    <w:p w14:paraId="4FFB6D65" w14:textId="5DE37070" w:rsidR="009F6F07" w:rsidRPr="00A53E58" w:rsidRDefault="009F6F07" w:rsidP="009F6F07">
      <w:pPr>
        <w:pStyle w:val="Definition"/>
        <w:ind w:left="0"/>
        <w:jc w:val="center"/>
        <w:rPr>
          <w:sz w:val="24"/>
          <w:szCs w:val="24"/>
          <w:lang w:val="en-US"/>
        </w:rPr>
      </w:pPr>
      <w:r w:rsidRPr="009F6F07">
        <w:rPr>
          <w:i/>
          <w:sz w:val="24"/>
          <w:szCs w:val="24"/>
        </w:rPr>
        <w:t>Aviation Fuel Revenues (Special Appropriation) Determination 2022</w:t>
      </w:r>
    </w:p>
    <w:p w14:paraId="7BA09886" w14:textId="46B4F3E4" w:rsidR="009F6F07" w:rsidRDefault="009F6F07" w:rsidP="009F6F07">
      <w:pPr>
        <w:shd w:val="clear" w:color="auto" w:fill="FFFFFF"/>
        <w:spacing w:before="120"/>
        <w:rPr>
          <w:b/>
          <w:bCs/>
          <w:szCs w:val="24"/>
        </w:rPr>
      </w:pPr>
      <w:r w:rsidRPr="00A53E58">
        <w:rPr>
          <w:b/>
          <w:bCs/>
          <w:szCs w:val="24"/>
        </w:rPr>
        <w:t> </w:t>
      </w:r>
    </w:p>
    <w:p w14:paraId="26FD479F" w14:textId="77777777" w:rsidR="00C81F77" w:rsidRPr="00A53E58" w:rsidRDefault="00C81F77" w:rsidP="009F6F07">
      <w:pPr>
        <w:shd w:val="clear" w:color="auto" w:fill="FFFFFF"/>
        <w:spacing w:before="120"/>
        <w:rPr>
          <w:szCs w:val="24"/>
          <w:lang w:val="en-US"/>
        </w:rPr>
      </w:pPr>
    </w:p>
    <w:p w14:paraId="582CAF1B" w14:textId="70212BC1" w:rsidR="009F6F07" w:rsidRPr="00A53E58" w:rsidRDefault="009F6F07" w:rsidP="00A15467">
      <w:pPr>
        <w:shd w:val="clear" w:color="auto" w:fill="FFFFFF"/>
        <w:spacing w:before="120" w:after="120"/>
        <w:rPr>
          <w:szCs w:val="24"/>
          <w:lang w:val="en-US"/>
        </w:rPr>
      </w:pPr>
      <w:r w:rsidRPr="00A53E58">
        <w:rPr>
          <w:b/>
          <w:bCs/>
          <w:szCs w:val="24"/>
        </w:rPr>
        <w:t>Purpose</w:t>
      </w:r>
    </w:p>
    <w:p w14:paraId="7BE2E829" w14:textId="15D7D74D" w:rsidR="00A15467" w:rsidRDefault="009F6F07" w:rsidP="00A15467">
      <w:pPr>
        <w:pStyle w:val="ItemHead"/>
        <w:spacing w:before="120" w:after="120"/>
        <w:ind w:left="0" w:firstLine="0"/>
        <w:rPr>
          <w:rFonts w:ascii="Times New Roman" w:hAnsi="Times New Roman"/>
          <w:b w:val="0"/>
          <w:szCs w:val="24"/>
        </w:rPr>
      </w:pPr>
      <w:r w:rsidRPr="00A53E58">
        <w:rPr>
          <w:rFonts w:ascii="Times New Roman" w:hAnsi="Times New Roman"/>
          <w:b w:val="0"/>
          <w:szCs w:val="24"/>
        </w:rPr>
        <w:t xml:space="preserve">The purpose of the </w:t>
      </w:r>
      <w:r w:rsidR="00D6476C" w:rsidRPr="00D6476C">
        <w:rPr>
          <w:rFonts w:ascii="Times New Roman" w:hAnsi="Times New Roman"/>
          <w:b w:val="0"/>
          <w:i/>
          <w:szCs w:val="24"/>
        </w:rPr>
        <w:t>Aviation Fuel Revenues (Special Appropriation) Determination 2022</w:t>
      </w:r>
      <w:r w:rsidRPr="00A53E58">
        <w:rPr>
          <w:rFonts w:ascii="Times New Roman" w:hAnsi="Times New Roman"/>
          <w:b w:val="0"/>
          <w:i/>
          <w:iCs/>
          <w:szCs w:val="24"/>
        </w:rPr>
        <w:t xml:space="preserve"> </w:t>
      </w:r>
      <w:r w:rsidRPr="00A53E58">
        <w:rPr>
          <w:rFonts w:ascii="Times New Roman" w:hAnsi="Times New Roman"/>
          <w:b w:val="0"/>
          <w:szCs w:val="24"/>
        </w:rPr>
        <w:t xml:space="preserve">(the </w:t>
      </w:r>
      <w:r w:rsidR="00E5475B">
        <w:rPr>
          <w:rFonts w:ascii="Times New Roman" w:hAnsi="Times New Roman"/>
          <w:b w:val="0"/>
          <w:szCs w:val="24"/>
        </w:rPr>
        <w:t xml:space="preserve">2022 </w:t>
      </w:r>
      <w:r w:rsidR="00D37ED0">
        <w:rPr>
          <w:rFonts w:ascii="Times New Roman" w:hAnsi="Times New Roman"/>
          <w:b w:val="0"/>
          <w:szCs w:val="24"/>
        </w:rPr>
        <w:t>Instrument</w:t>
      </w:r>
      <w:r w:rsidR="00D6476C" w:rsidRPr="00D6476C">
        <w:rPr>
          <w:rFonts w:ascii="Times New Roman" w:hAnsi="Times New Roman"/>
          <w:b w:val="0"/>
          <w:szCs w:val="24"/>
        </w:rPr>
        <w:t xml:space="preserve">) </w:t>
      </w:r>
      <w:r w:rsidRPr="00A53E58">
        <w:rPr>
          <w:rFonts w:ascii="Times New Roman" w:hAnsi="Times New Roman"/>
          <w:b w:val="0"/>
          <w:szCs w:val="24"/>
        </w:rPr>
        <w:t xml:space="preserve">is to </w:t>
      </w:r>
      <w:r w:rsidR="00E5475B">
        <w:rPr>
          <w:rFonts w:ascii="Times New Roman" w:hAnsi="Times New Roman"/>
          <w:b w:val="0"/>
          <w:szCs w:val="24"/>
        </w:rPr>
        <w:t xml:space="preserve">repeal and </w:t>
      </w:r>
      <w:r w:rsidRPr="00A53E58">
        <w:rPr>
          <w:rFonts w:ascii="Times New Roman" w:hAnsi="Times New Roman"/>
          <w:b w:val="0"/>
          <w:szCs w:val="24"/>
        </w:rPr>
        <w:t xml:space="preserve">replace the </w:t>
      </w:r>
      <w:r w:rsidR="00D6476C" w:rsidRPr="00D6476C">
        <w:rPr>
          <w:rFonts w:ascii="Times New Roman" w:hAnsi="Times New Roman"/>
          <w:b w:val="0"/>
          <w:i/>
          <w:szCs w:val="24"/>
        </w:rPr>
        <w:t xml:space="preserve">Aviation Fuel Revenues (Special Appropriation) Act 1988 - Determination under Section 3A(2) Setting the Statutory Rate, Determination under Section 4(1A) Setting the Respective Share of the Civil Aviation Safety Authority's (CASA's) Payment </w:t>
      </w:r>
      <w:r w:rsidRPr="00A53E58">
        <w:rPr>
          <w:rFonts w:ascii="Times New Roman" w:hAnsi="Times New Roman"/>
          <w:b w:val="0"/>
          <w:szCs w:val="24"/>
        </w:rPr>
        <w:t xml:space="preserve">(the </w:t>
      </w:r>
      <w:r w:rsidR="00D6476C" w:rsidRPr="00D6476C">
        <w:rPr>
          <w:rFonts w:ascii="Times New Roman" w:hAnsi="Times New Roman"/>
          <w:b w:val="0"/>
          <w:szCs w:val="24"/>
        </w:rPr>
        <w:t xml:space="preserve">2010 </w:t>
      </w:r>
      <w:r w:rsidR="00D37ED0">
        <w:rPr>
          <w:rFonts w:ascii="Times New Roman" w:hAnsi="Times New Roman"/>
          <w:b w:val="0"/>
          <w:szCs w:val="24"/>
        </w:rPr>
        <w:t>Instrument</w:t>
      </w:r>
      <w:r w:rsidRPr="00A53E58">
        <w:rPr>
          <w:rFonts w:ascii="Times New Roman" w:hAnsi="Times New Roman"/>
          <w:b w:val="0"/>
          <w:szCs w:val="24"/>
        </w:rPr>
        <w:t>)</w:t>
      </w:r>
      <w:r w:rsidR="006B20D7">
        <w:rPr>
          <w:rFonts w:ascii="Times New Roman" w:hAnsi="Times New Roman"/>
          <w:b w:val="0"/>
          <w:szCs w:val="24"/>
        </w:rPr>
        <w:t>.</w:t>
      </w:r>
    </w:p>
    <w:p w14:paraId="011286BE" w14:textId="77777777" w:rsidR="00A15467" w:rsidRPr="00A53E58" w:rsidRDefault="00A15467" w:rsidP="00A15467">
      <w:pPr>
        <w:shd w:val="clear" w:color="auto" w:fill="FFFFFF"/>
        <w:spacing w:before="120" w:after="120"/>
        <w:rPr>
          <w:szCs w:val="24"/>
          <w:lang w:val="en-US"/>
        </w:rPr>
      </w:pPr>
      <w:r w:rsidRPr="00A53E58">
        <w:rPr>
          <w:b/>
          <w:bCs/>
          <w:szCs w:val="24"/>
        </w:rPr>
        <w:t>Background</w:t>
      </w:r>
    </w:p>
    <w:p w14:paraId="15C1FE7A" w14:textId="34B55380" w:rsidR="00865150" w:rsidRDefault="00865150" w:rsidP="00865150">
      <w:pPr>
        <w:shd w:val="clear" w:color="auto" w:fill="FFFFFF"/>
        <w:spacing w:before="120" w:after="120"/>
        <w:rPr>
          <w:iCs/>
          <w:szCs w:val="24"/>
        </w:rPr>
      </w:pPr>
      <w:r>
        <w:rPr>
          <w:szCs w:val="24"/>
        </w:rPr>
        <w:t xml:space="preserve">Subsection 4(4) of the </w:t>
      </w:r>
      <w:r w:rsidRPr="009F6F07">
        <w:rPr>
          <w:i/>
          <w:iCs/>
          <w:szCs w:val="24"/>
        </w:rPr>
        <w:t>Aviation Fuel Revenues (Special Appropriation) Act 1988</w:t>
      </w:r>
      <w:r>
        <w:rPr>
          <w:i/>
          <w:iCs/>
          <w:szCs w:val="24"/>
        </w:rPr>
        <w:t xml:space="preserve"> </w:t>
      </w:r>
      <w:r>
        <w:rPr>
          <w:iCs/>
          <w:szCs w:val="24"/>
        </w:rPr>
        <w:t>(the Act) appropriates funds received from certain taxes imposed on aviation fuel.</w:t>
      </w:r>
      <w:r w:rsidR="005F4142">
        <w:rPr>
          <w:iCs/>
          <w:szCs w:val="24"/>
        </w:rPr>
        <w:t xml:space="preserve"> </w:t>
      </w:r>
      <w:r>
        <w:rPr>
          <w:iCs/>
          <w:szCs w:val="24"/>
        </w:rPr>
        <w:t>The appropriated funds are payable out of the Consolidated Revenue Fund, and they may go to Airservices Australia</w:t>
      </w:r>
      <w:r w:rsidR="001868B4">
        <w:rPr>
          <w:iCs/>
          <w:szCs w:val="24"/>
        </w:rPr>
        <w:t xml:space="preserve"> (AA)</w:t>
      </w:r>
      <w:r>
        <w:rPr>
          <w:iCs/>
          <w:szCs w:val="24"/>
        </w:rPr>
        <w:t xml:space="preserve"> and the Civil Aviation Safety Authority (CASA).</w:t>
      </w:r>
      <w:r w:rsidR="005F4142">
        <w:rPr>
          <w:iCs/>
          <w:szCs w:val="24"/>
        </w:rPr>
        <w:t xml:space="preserve"> </w:t>
      </w:r>
    </w:p>
    <w:p w14:paraId="4E4C49D0" w14:textId="77777777" w:rsidR="00865150" w:rsidRDefault="00865150" w:rsidP="00865150">
      <w:pPr>
        <w:shd w:val="clear" w:color="auto" w:fill="FFFFFF"/>
        <w:spacing w:before="120" w:after="120"/>
        <w:rPr>
          <w:iCs/>
          <w:szCs w:val="24"/>
        </w:rPr>
      </w:pPr>
      <w:r>
        <w:rPr>
          <w:iCs/>
          <w:szCs w:val="24"/>
        </w:rPr>
        <w:t>The Act allows the Minister to make two categories of determination:</w:t>
      </w:r>
    </w:p>
    <w:p w14:paraId="5FB892F1" w14:textId="77777777" w:rsidR="00865150" w:rsidRPr="00D6476C" w:rsidRDefault="00865150" w:rsidP="0086515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rPr>
          <w:iCs/>
          <w:szCs w:val="24"/>
        </w:rPr>
      </w:pPr>
      <w:r>
        <w:rPr>
          <w:iCs/>
          <w:szCs w:val="24"/>
        </w:rPr>
        <w:t>d</w:t>
      </w:r>
      <w:r w:rsidRPr="00D6476C">
        <w:rPr>
          <w:iCs/>
          <w:szCs w:val="24"/>
        </w:rPr>
        <w:t>etermination</w:t>
      </w:r>
      <w:r>
        <w:rPr>
          <w:iCs/>
          <w:szCs w:val="24"/>
        </w:rPr>
        <w:t>s</w:t>
      </w:r>
      <w:r w:rsidRPr="00D6476C">
        <w:rPr>
          <w:iCs/>
          <w:szCs w:val="24"/>
        </w:rPr>
        <w:t xml:space="preserve"> fixing rate</w:t>
      </w:r>
      <w:r>
        <w:rPr>
          <w:iCs/>
          <w:szCs w:val="24"/>
        </w:rPr>
        <w:t>s</w:t>
      </w:r>
      <w:r w:rsidRPr="00D6476C">
        <w:rPr>
          <w:iCs/>
          <w:szCs w:val="24"/>
        </w:rPr>
        <w:t xml:space="preserve"> of </w:t>
      </w:r>
      <w:r>
        <w:rPr>
          <w:iCs/>
          <w:szCs w:val="24"/>
        </w:rPr>
        <w:t>appropriation in relation to ‘</w:t>
      </w:r>
      <w:r w:rsidRPr="00D6476C">
        <w:rPr>
          <w:iCs/>
          <w:szCs w:val="24"/>
        </w:rPr>
        <w:t>eligible aviation fuel</w:t>
      </w:r>
      <w:r>
        <w:rPr>
          <w:iCs/>
          <w:szCs w:val="24"/>
        </w:rPr>
        <w:t>’</w:t>
      </w:r>
      <w:r w:rsidRPr="00D6476C">
        <w:rPr>
          <w:iCs/>
          <w:szCs w:val="24"/>
        </w:rPr>
        <w:t xml:space="preserve"> (subsections 3A(1) and 3A(2)); and </w:t>
      </w:r>
    </w:p>
    <w:p w14:paraId="46EA1459" w14:textId="45320881" w:rsidR="00865150" w:rsidRPr="00D6476C" w:rsidRDefault="00865150" w:rsidP="00865150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rPr>
          <w:iCs/>
          <w:szCs w:val="24"/>
        </w:rPr>
      </w:pPr>
      <w:r>
        <w:rPr>
          <w:iCs/>
          <w:szCs w:val="24"/>
        </w:rPr>
        <w:t>d</w:t>
      </w:r>
      <w:r w:rsidRPr="00D6476C">
        <w:rPr>
          <w:iCs/>
          <w:szCs w:val="24"/>
        </w:rPr>
        <w:t>etermination</w:t>
      </w:r>
      <w:r>
        <w:rPr>
          <w:iCs/>
          <w:szCs w:val="24"/>
        </w:rPr>
        <w:t>s</w:t>
      </w:r>
      <w:r w:rsidRPr="00D6476C">
        <w:rPr>
          <w:iCs/>
          <w:szCs w:val="24"/>
        </w:rPr>
        <w:t xml:space="preserve"> on the </w:t>
      </w:r>
      <w:r>
        <w:rPr>
          <w:iCs/>
          <w:szCs w:val="24"/>
        </w:rPr>
        <w:t>allocation of appropriated funds between</w:t>
      </w:r>
      <w:r w:rsidR="001868B4">
        <w:rPr>
          <w:iCs/>
          <w:szCs w:val="24"/>
        </w:rPr>
        <w:t xml:space="preserve"> AA </w:t>
      </w:r>
      <w:r>
        <w:rPr>
          <w:iCs/>
          <w:szCs w:val="24"/>
        </w:rPr>
        <w:t xml:space="preserve">and CASA </w:t>
      </w:r>
      <w:r w:rsidRPr="00D6476C">
        <w:rPr>
          <w:iCs/>
          <w:szCs w:val="24"/>
        </w:rPr>
        <w:t>(subsection 4(1A)</w:t>
      </w:r>
      <w:r>
        <w:rPr>
          <w:iCs/>
          <w:szCs w:val="24"/>
        </w:rPr>
        <w:t>)</w:t>
      </w:r>
      <w:r w:rsidRPr="00D6476C">
        <w:rPr>
          <w:iCs/>
          <w:szCs w:val="24"/>
        </w:rPr>
        <w:t xml:space="preserve">. </w:t>
      </w:r>
    </w:p>
    <w:p w14:paraId="1D1B6A48" w14:textId="11CF40C2" w:rsidR="00865150" w:rsidRPr="0004007F" w:rsidRDefault="00865150" w:rsidP="00865150">
      <w:pPr>
        <w:shd w:val="clear" w:color="auto" w:fill="FFFFFF"/>
        <w:spacing w:before="120" w:after="120"/>
        <w:rPr>
          <w:bCs/>
          <w:szCs w:val="24"/>
        </w:rPr>
      </w:pPr>
      <w:r>
        <w:rPr>
          <w:bCs/>
          <w:szCs w:val="24"/>
        </w:rPr>
        <w:t>While t</w:t>
      </w:r>
      <w:r w:rsidRPr="0004007F">
        <w:rPr>
          <w:bCs/>
          <w:szCs w:val="24"/>
        </w:rPr>
        <w:t>he Act does</w:t>
      </w:r>
      <w:r>
        <w:rPr>
          <w:bCs/>
          <w:szCs w:val="24"/>
        </w:rPr>
        <w:t xml:space="preserve"> </w:t>
      </w:r>
      <w:r w:rsidRPr="0004007F">
        <w:rPr>
          <w:bCs/>
          <w:szCs w:val="24"/>
        </w:rPr>
        <w:t>no</w:t>
      </w:r>
      <w:r>
        <w:rPr>
          <w:bCs/>
          <w:szCs w:val="24"/>
        </w:rPr>
        <w:t>t</w:t>
      </w:r>
      <w:r w:rsidRPr="0004007F">
        <w:rPr>
          <w:bCs/>
          <w:szCs w:val="24"/>
        </w:rPr>
        <w:t xml:space="preserve"> require</w:t>
      </w:r>
      <w:r>
        <w:rPr>
          <w:bCs/>
          <w:szCs w:val="24"/>
        </w:rPr>
        <w:t xml:space="preserve"> either category of determination to be contained in a legislative instrument, both the 2010 </w:t>
      </w:r>
      <w:r w:rsidR="00D37ED0">
        <w:rPr>
          <w:bCs/>
          <w:szCs w:val="24"/>
        </w:rPr>
        <w:t>Instrument</w:t>
      </w:r>
      <w:r>
        <w:rPr>
          <w:bCs/>
          <w:szCs w:val="24"/>
        </w:rPr>
        <w:t xml:space="preserve"> and the 2022 </w:t>
      </w:r>
      <w:r w:rsidR="00D37ED0">
        <w:rPr>
          <w:bCs/>
          <w:szCs w:val="24"/>
        </w:rPr>
        <w:t>Instrument</w:t>
      </w:r>
      <w:r>
        <w:rPr>
          <w:bCs/>
          <w:szCs w:val="24"/>
        </w:rPr>
        <w:t xml:space="preserve"> have been prepared to promote accountability and transparency, and to enhance Parliamentary oversight of the operations of government. </w:t>
      </w:r>
    </w:p>
    <w:p w14:paraId="45469545" w14:textId="02FD9C2B" w:rsidR="009F6F07" w:rsidRPr="00A53E58" w:rsidRDefault="00A15467" w:rsidP="006B20D7">
      <w:pPr>
        <w:pStyle w:val="ItemHead"/>
        <w:spacing w:before="120" w:after="120"/>
        <w:ind w:left="0" w:firstLine="0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 xml:space="preserve">The 2010 </w:t>
      </w:r>
      <w:r w:rsidR="00D37ED0">
        <w:rPr>
          <w:rFonts w:ascii="Times New Roman" w:hAnsi="Times New Roman"/>
          <w:b w:val="0"/>
          <w:szCs w:val="24"/>
        </w:rPr>
        <w:t>Instrument</w:t>
      </w:r>
      <w:r>
        <w:rPr>
          <w:rFonts w:ascii="Times New Roman" w:hAnsi="Times New Roman"/>
          <w:b w:val="0"/>
          <w:szCs w:val="24"/>
        </w:rPr>
        <w:t xml:space="preserve"> </w:t>
      </w:r>
      <w:r w:rsidR="006B20D7">
        <w:rPr>
          <w:rFonts w:ascii="Times New Roman" w:hAnsi="Times New Roman"/>
          <w:b w:val="0"/>
          <w:szCs w:val="24"/>
        </w:rPr>
        <w:t>will</w:t>
      </w:r>
      <w:r>
        <w:rPr>
          <w:rFonts w:ascii="Times New Roman" w:hAnsi="Times New Roman"/>
          <w:b w:val="0"/>
          <w:szCs w:val="24"/>
        </w:rPr>
        <w:t xml:space="preserve"> sunset on 1 October 2022</w:t>
      </w:r>
      <w:r w:rsidR="006B20D7">
        <w:rPr>
          <w:rFonts w:ascii="Times New Roman" w:hAnsi="Times New Roman"/>
          <w:b w:val="0"/>
          <w:szCs w:val="24"/>
        </w:rPr>
        <w:t xml:space="preserve">, </w:t>
      </w:r>
      <w:r w:rsidR="006E6BA1">
        <w:rPr>
          <w:rFonts w:ascii="Times New Roman" w:hAnsi="Times New Roman"/>
          <w:b w:val="0"/>
          <w:szCs w:val="24"/>
        </w:rPr>
        <w:t>through the operation of</w:t>
      </w:r>
      <w:r w:rsidR="00183AFA">
        <w:rPr>
          <w:rFonts w:ascii="Times New Roman" w:hAnsi="Times New Roman"/>
          <w:b w:val="0"/>
          <w:szCs w:val="24"/>
        </w:rPr>
        <w:t xml:space="preserve"> </w:t>
      </w:r>
      <w:r w:rsidR="006B20D7">
        <w:rPr>
          <w:rFonts w:ascii="Times New Roman" w:hAnsi="Times New Roman"/>
          <w:b w:val="0"/>
          <w:szCs w:val="24"/>
        </w:rPr>
        <w:t xml:space="preserve">sections 50 and 51 of </w:t>
      </w:r>
      <w:r w:rsidR="00292D69">
        <w:rPr>
          <w:rFonts w:ascii="Times New Roman" w:hAnsi="Times New Roman"/>
          <w:b w:val="0"/>
          <w:szCs w:val="24"/>
        </w:rPr>
        <w:t xml:space="preserve">the </w:t>
      </w:r>
      <w:r w:rsidR="00292D69" w:rsidRPr="00292D69">
        <w:rPr>
          <w:rFonts w:ascii="Times New Roman" w:hAnsi="Times New Roman"/>
          <w:b w:val="0"/>
          <w:i/>
          <w:szCs w:val="24"/>
        </w:rPr>
        <w:t>Legislation Act 2003</w:t>
      </w:r>
      <w:r w:rsidR="006B20D7">
        <w:rPr>
          <w:rFonts w:ascii="Times New Roman" w:hAnsi="Times New Roman"/>
          <w:b w:val="0"/>
          <w:szCs w:val="24"/>
        </w:rPr>
        <w:t xml:space="preserve">, together with </w:t>
      </w:r>
      <w:r w:rsidR="00D6476C">
        <w:rPr>
          <w:rFonts w:ascii="Times New Roman" w:hAnsi="Times New Roman"/>
          <w:b w:val="0"/>
          <w:szCs w:val="24"/>
        </w:rPr>
        <w:t>the</w:t>
      </w:r>
      <w:r w:rsidR="00D6476C" w:rsidRPr="00D6476C">
        <w:rPr>
          <w:rFonts w:ascii="Times New Roman" w:hAnsi="Times New Roman"/>
          <w:b w:val="0"/>
          <w:snapToGrid w:val="0"/>
          <w:szCs w:val="24"/>
        </w:rPr>
        <w:t xml:space="preserve"> </w:t>
      </w:r>
      <w:r w:rsidR="00D6476C" w:rsidRPr="00D6476C">
        <w:rPr>
          <w:rFonts w:ascii="Times New Roman" w:hAnsi="Times New Roman"/>
          <w:b w:val="0"/>
          <w:i/>
          <w:snapToGrid w:val="0"/>
          <w:szCs w:val="24"/>
        </w:rPr>
        <w:t xml:space="preserve">Legislation (Deferral of Sunsetting—Aviation Fuel Revenues (Special Appropriation) Determination) Certificate 2020 </w:t>
      </w:r>
      <w:r w:rsidR="00292D69">
        <w:rPr>
          <w:rFonts w:ascii="Times New Roman" w:hAnsi="Times New Roman"/>
          <w:b w:val="0"/>
          <w:szCs w:val="24"/>
        </w:rPr>
        <w:t>(the Deferral Instrument).</w:t>
      </w:r>
      <w:r w:rsidR="00893904">
        <w:rPr>
          <w:rFonts w:ascii="Times New Roman" w:hAnsi="Times New Roman"/>
          <w:b w:val="0"/>
          <w:szCs w:val="24"/>
        </w:rPr>
        <w:t xml:space="preserve"> </w:t>
      </w:r>
    </w:p>
    <w:p w14:paraId="79F09AF0" w14:textId="1261C0FF" w:rsidR="00E5475B" w:rsidRDefault="00A15467" w:rsidP="009F6F07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The </w:t>
      </w:r>
      <w:r w:rsidR="006B20D7">
        <w:rPr>
          <w:szCs w:val="24"/>
        </w:rPr>
        <w:t xml:space="preserve">Deferral Instrument </w:t>
      </w:r>
      <w:r w:rsidR="00F23EBA">
        <w:rPr>
          <w:szCs w:val="24"/>
        </w:rPr>
        <w:t>postponed</w:t>
      </w:r>
      <w:r w:rsidR="006B20D7">
        <w:rPr>
          <w:szCs w:val="24"/>
        </w:rPr>
        <w:t xml:space="preserve"> the </w:t>
      </w:r>
      <w:r>
        <w:rPr>
          <w:szCs w:val="24"/>
        </w:rPr>
        <w:t xml:space="preserve">2010 </w:t>
      </w:r>
      <w:r w:rsidR="005F4142">
        <w:rPr>
          <w:szCs w:val="24"/>
        </w:rPr>
        <w:t>Instrument</w:t>
      </w:r>
      <w:r w:rsidR="006B20D7">
        <w:rPr>
          <w:szCs w:val="24"/>
        </w:rPr>
        <w:t xml:space="preserve">’s original sunsetting date of </w:t>
      </w:r>
      <w:r>
        <w:rPr>
          <w:szCs w:val="24"/>
        </w:rPr>
        <w:t>1</w:t>
      </w:r>
      <w:r w:rsidR="006B20D7">
        <w:rPr>
          <w:szCs w:val="24"/>
        </w:rPr>
        <w:t> </w:t>
      </w:r>
      <w:r>
        <w:rPr>
          <w:szCs w:val="24"/>
        </w:rPr>
        <w:t>October 2020</w:t>
      </w:r>
      <w:r w:rsidR="006B20D7">
        <w:rPr>
          <w:szCs w:val="24"/>
        </w:rPr>
        <w:t>.</w:t>
      </w:r>
      <w:r w:rsidR="006E6BA1">
        <w:rPr>
          <w:szCs w:val="24"/>
        </w:rPr>
        <w:t xml:space="preserve"> </w:t>
      </w:r>
      <w:r w:rsidR="009F6F07" w:rsidRPr="00A53E58">
        <w:rPr>
          <w:szCs w:val="24"/>
        </w:rPr>
        <w:t xml:space="preserve">The </w:t>
      </w:r>
      <w:r w:rsidR="004B5312">
        <w:rPr>
          <w:szCs w:val="24"/>
        </w:rPr>
        <w:t>D</w:t>
      </w:r>
      <w:r>
        <w:rPr>
          <w:szCs w:val="24"/>
        </w:rPr>
        <w:t xml:space="preserve">eferral </w:t>
      </w:r>
      <w:r w:rsidR="004B5312">
        <w:rPr>
          <w:szCs w:val="24"/>
        </w:rPr>
        <w:t>Instrument was made by the Attorney-General on 21</w:t>
      </w:r>
      <w:r w:rsidR="006E6BA1">
        <w:rPr>
          <w:szCs w:val="24"/>
        </w:rPr>
        <w:t> </w:t>
      </w:r>
      <w:r w:rsidR="004B5312">
        <w:rPr>
          <w:szCs w:val="24"/>
        </w:rPr>
        <w:t>March</w:t>
      </w:r>
      <w:r w:rsidR="006E6BA1">
        <w:rPr>
          <w:szCs w:val="24"/>
        </w:rPr>
        <w:t> </w:t>
      </w:r>
      <w:r w:rsidR="004B5312">
        <w:rPr>
          <w:szCs w:val="24"/>
        </w:rPr>
        <w:t xml:space="preserve">2020 </w:t>
      </w:r>
      <w:r>
        <w:rPr>
          <w:szCs w:val="24"/>
        </w:rPr>
        <w:t xml:space="preserve">to allow </w:t>
      </w:r>
      <w:r w:rsidR="004B5312">
        <w:rPr>
          <w:szCs w:val="24"/>
        </w:rPr>
        <w:t xml:space="preserve">time to complete </w:t>
      </w:r>
      <w:r w:rsidR="00B126D4">
        <w:rPr>
          <w:snapToGrid w:val="0"/>
        </w:rPr>
        <w:t xml:space="preserve">a review </w:t>
      </w:r>
      <w:r w:rsidR="0059647E">
        <w:rPr>
          <w:snapToGrid w:val="0"/>
        </w:rPr>
        <w:t>of CASA’s charges.</w:t>
      </w:r>
      <w:r w:rsidR="00F909B6">
        <w:rPr>
          <w:snapToGrid w:val="0"/>
        </w:rPr>
        <w:t xml:space="preserve"> </w:t>
      </w:r>
      <w:r w:rsidR="0059647E">
        <w:rPr>
          <w:snapToGrid w:val="0"/>
        </w:rPr>
        <w:t>This review w</w:t>
      </w:r>
      <w:r w:rsidR="00C81F77">
        <w:rPr>
          <w:snapToGrid w:val="0"/>
        </w:rPr>
        <w:t>as to involve</w:t>
      </w:r>
      <w:r w:rsidR="0059647E">
        <w:rPr>
          <w:snapToGrid w:val="0"/>
        </w:rPr>
        <w:t xml:space="preserve"> costing each</w:t>
      </w:r>
      <w:r w:rsidR="00B126D4">
        <w:rPr>
          <w:snapToGrid w:val="0"/>
        </w:rPr>
        <w:t xml:space="preserve"> of the regulatory services </w:t>
      </w:r>
      <w:r w:rsidR="0059647E">
        <w:rPr>
          <w:snapToGrid w:val="0"/>
        </w:rPr>
        <w:t>CASA</w:t>
      </w:r>
      <w:r w:rsidR="00B126D4">
        <w:rPr>
          <w:snapToGrid w:val="0"/>
        </w:rPr>
        <w:t xml:space="preserve"> provides</w:t>
      </w:r>
      <w:r w:rsidR="0059647E">
        <w:rPr>
          <w:snapToGrid w:val="0"/>
        </w:rPr>
        <w:t>.</w:t>
      </w:r>
      <w:r w:rsidR="00F909B6">
        <w:rPr>
          <w:snapToGrid w:val="0"/>
        </w:rPr>
        <w:t xml:space="preserve"> </w:t>
      </w:r>
      <w:r w:rsidR="00B126D4">
        <w:rPr>
          <w:snapToGrid w:val="0"/>
        </w:rPr>
        <w:t xml:space="preserve">Given the </w:t>
      </w:r>
      <w:r w:rsidR="00E30CD7">
        <w:rPr>
          <w:snapToGrid w:val="0"/>
        </w:rPr>
        <w:t xml:space="preserve">implementation of the review’s recommendations </w:t>
      </w:r>
      <w:r w:rsidR="0059647E">
        <w:rPr>
          <w:snapToGrid w:val="0"/>
        </w:rPr>
        <w:t xml:space="preserve">could </w:t>
      </w:r>
      <w:r w:rsidR="00E30CD7">
        <w:rPr>
          <w:snapToGrid w:val="0"/>
        </w:rPr>
        <w:t>have impacted on</w:t>
      </w:r>
      <w:r w:rsidR="00B126D4">
        <w:rPr>
          <w:snapToGrid w:val="0"/>
        </w:rPr>
        <w:t xml:space="preserve"> CASA</w:t>
      </w:r>
      <w:r w:rsidR="00D971F1">
        <w:rPr>
          <w:snapToGrid w:val="0"/>
        </w:rPr>
        <w:t>’s</w:t>
      </w:r>
      <w:r w:rsidR="00B126D4">
        <w:rPr>
          <w:snapToGrid w:val="0"/>
        </w:rPr>
        <w:t xml:space="preserve"> re</w:t>
      </w:r>
      <w:r w:rsidR="00D971F1">
        <w:rPr>
          <w:snapToGrid w:val="0"/>
        </w:rPr>
        <w:t>venue base</w:t>
      </w:r>
      <w:r w:rsidR="00B126D4">
        <w:rPr>
          <w:snapToGrid w:val="0"/>
        </w:rPr>
        <w:t>,</w:t>
      </w:r>
      <w:r w:rsidR="00906FC8">
        <w:rPr>
          <w:szCs w:val="24"/>
        </w:rPr>
        <w:t xml:space="preserve"> </w:t>
      </w:r>
      <w:r w:rsidR="005F4142">
        <w:rPr>
          <w:szCs w:val="24"/>
        </w:rPr>
        <w:t>i</w:t>
      </w:r>
      <w:r w:rsidR="00E5475B">
        <w:rPr>
          <w:szCs w:val="24"/>
        </w:rPr>
        <w:t xml:space="preserve">t was decided to extend the duration of the 2010 </w:t>
      </w:r>
      <w:r w:rsidR="00D37ED0">
        <w:rPr>
          <w:szCs w:val="24"/>
        </w:rPr>
        <w:t xml:space="preserve">Instrument </w:t>
      </w:r>
      <w:r w:rsidR="006E6BA1">
        <w:rPr>
          <w:szCs w:val="24"/>
        </w:rPr>
        <w:t xml:space="preserve">to allow time </w:t>
      </w:r>
      <w:r w:rsidR="0059647E">
        <w:rPr>
          <w:szCs w:val="24"/>
        </w:rPr>
        <w:t>for</w:t>
      </w:r>
      <w:r w:rsidR="00906FC8">
        <w:rPr>
          <w:szCs w:val="24"/>
        </w:rPr>
        <w:t xml:space="preserve"> the </w:t>
      </w:r>
      <w:r w:rsidR="006E6BA1">
        <w:rPr>
          <w:szCs w:val="24"/>
        </w:rPr>
        <w:t>review</w:t>
      </w:r>
      <w:r w:rsidR="0059647E">
        <w:rPr>
          <w:szCs w:val="24"/>
        </w:rPr>
        <w:t xml:space="preserve"> to be completed</w:t>
      </w:r>
      <w:r w:rsidR="006E6BA1">
        <w:rPr>
          <w:szCs w:val="24"/>
        </w:rPr>
        <w:t>.</w:t>
      </w:r>
      <w:r w:rsidR="00DA7FF0">
        <w:rPr>
          <w:szCs w:val="24"/>
        </w:rPr>
        <w:t xml:space="preserve"> </w:t>
      </w:r>
    </w:p>
    <w:p w14:paraId="66E122DA" w14:textId="26E39DEA" w:rsidR="003620FB" w:rsidRPr="00DB2314" w:rsidRDefault="00080518" w:rsidP="009F6F07">
      <w:pPr>
        <w:shd w:val="clear" w:color="auto" w:fill="FFFFFF"/>
        <w:spacing w:before="120"/>
        <w:rPr>
          <w:b/>
          <w:szCs w:val="24"/>
        </w:rPr>
      </w:pPr>
      <w:r w:rsidRPr="00DB2314">
        <w:rPr>
          <w:b/>
          <w:szCs w:val="24"/>
        </w:rPr>
        <w:lastRenderedPageBreak/>
        <w:t>Review</w:t>
      </w:r>
      <w:r w:rsidR="00E30CD7">
        <w:rPr>
          <w:b/>
          <w:szCs w:val="24"/>
        </w:rPr>
        <w:t xml:space="preserve"> of the 2010 Instrument</w:t>
      </w:r>
    </w:p>
    <w:p w14:paraId="20C19FB6" w14:textId="0AA8E555" w:rsidR="004362B9" w:rsidRDefault="001868B4" w:rsidP="00DB2314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In light of the approaching sunsetting date, </w:t>
      </w:r>
      <w:r w:rsidR="00707F46">
        <w:rPr>
          <w:szCs w:val="24"/>
        </w:rPr>
        <w:t>the</w:t>
      </w:r>
      <w:r w:rsidR="00865150">
        <w:rPr>
          <w:szCs w:val="24"/>
        </w:rPr>
        <w:t xml:space="preserve"> </w:t>
      </w:r>
      <w:r w:rsidR="00080518" w:rsidRPr="00DB2314">
        <w:rPr>
          <w:szCs w:val="24"/>
        </w:rPr>
        <w:t xml:space="preserve">Department </w:t>
      </w:r>
      <w:r w:rsidR="00865150">
        <w:rPr>
          <w:szCs w:val="24"/>
        </w:rPr>
        <w:t xml:space="preserve">of Infrastructure, Transport, Regional Development and Communications has reviewed the 2010 </w:t>
      </w:r>
      <w:r w:rsidR="00D37ED0">
        <w:rPr>
          <w:szCs w:val="24"/>
        </w:rPr>
        <w:t>Instrument</w:t>
      </w:r>
      <w:r w:rsidR="00080518" w:rsidRPr="00DB2314">
        <w:rPr>
          <w:szCs w:val="24"/>
        </w:rPr>
        <w:t xml:space="preserve">. </w:t>
      </w:r>
      <w:r w:rsidR="00DB2314">
        <w:rPr>
          <w:szCs w:val="24"/>
        </w:rPr>
        <w:t xml:space="preserve">Following </w:t>
      </w:r>
      <w:r w:rsidR="00865150">
        <w:rPr>
          <w:szCs w:val="24"/>
        </w:rPr>
        <w:t>this review, it is clear that a successor instrument is required</w:t>
      </w:r>
      <w:r w:rsidR="00707F46">
        <w:rPr>
          <w:szCs w:val="24"/>
        </w:rPr>
        <w:t xml:space="preserve"> </w:t>
      </w:r>
      <w:r w:rsidR="0059647E">
        <w:rPr>
          <w:szCs w:val="24"/>
        </w:rPr>
        <w:t xml:space="preserve">to confirm the </w:t>
      </w:r>
      <w:r w:rsidR="00C81F77">
        <w:rPr>
          <w:szCs w:val="24"/>
        </w:rPr>
        <w:t>authorisation</w:t>
      </w:r>
      <w:r w:rsidR="0059647E">
        <w:rPr>
          <w:szCs w:val="24"/>
        </w:rPr>
        <w:t xml:space="preserve"> </w:t>
      </w:r>
      <w:r w:rsidR="00C81F77">
        <w:rPr>
          <w:szCs w:val="24"/>
        </w:rPr>
        <w:t>of payment</w:t>
      </w:r>
      <w:r>
        <w:rPr>
          <w:szCs w:val="24"/>
        </w:rPr>
        <w:t xml:space="preserve"> of </w:t>
      </w:r>
      <w:r w:rsidR="004362B9">
        <w:rPr>
          <w:szCs w:val="24"/>
        </w:rPr>
        <w:t xml:space="preserve">appropriated funds </w:t>
      </w:r>
      <w:r w:rsidR="0059647E">
        <w:rPr>
          <w:szCs w:val="24"/>
        </w:rPr>
        <w:t>to</w:t>
      </w:r>
      <w:r w:rsidR="004362B9">
        <w:rPr>
          <w:szCs w:val="24"/>
        </w:rPr>
        <w:t xml:space="preserve"> CASA. </w:t>
      </w:r>
    </w:p>
    <w:p w14:paraId="7463A484" w14:textId="2098E56D" w:rsidR="004D12CC" w:rsidRDefault="004362B9" w:rsidP="00DB2314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The 2022 Instrument </w:t>
      </w:r>
      <w:r w:rsidR="00773C3B">
        <w:rPr>
          <w:szCs w:val="24"/>
        </w:rPr>
        <w:t>contains</w:t>
      </w:r>
      <w:r>
        <w:rPr>
          <w:szCs w:val="24"/>
        </w:rPr>
        <w:t xml:space="preserve"> a determination under subsection 4(1A) of the Act, but does not </w:t>
      </w:r>
      <w:r w:rsidR="00773C3B">
        <w:rPr>
          <w:szCs w:val="24"/>
        </w:rPr>
        <w:t>contain</w:t>
      </w:r>
      <w:r>
        <w:rPr>
          <w:szCs w:val="24"/>
        </w:rPr>
        <w:t xml:space="preserve"> a</w:t>
      </w:r>
      <w:r w:rsidR="00773C3B">
        <w:rPr>
          <w:szCs w:val="24"/>
        </w:rPr>
        <w:t>ny</w:t>
      </w:r>
      <w:r>
        <w:rPr>
          <w:szCs w:val="24"/>
        </w:rPr>
        <w:t xml:space="preserve"> </w:t>
      </w:r>
      <w:r w:rsidR="00DB2314">
        <w:rPr>
          <w:szCs w:val="24"/>
        </w:rPr>
        <w:t xml:space="preserve">determination under </w:t>
      </w:r>
      <w:r w:rsidR="00865150">
        <w:rPr>
          <w:szCs w:val="24"/>
        </w:rPr>
        <w:t>sub</w:t>
      </w:r>
      <w:r w:rsidR="00DB2314">
        <w:rPr>
          <w:szCs w:val="24"/>
        </w:rPr>
        <w:t>sections 3A(1) or 3A(2)</w:t>
      </w:r>
      <w:r w:rsidR="004D12CC">
        <w:rPr>
          <w:szCs w:val="24"/>
        </w:rPr>
        <w:t>, for the reasons discussed below</w:t>
      </w:r>
      <w:r w:rsidR="00DB2314">
        <w:rPr>
          <w:szCs w:val="24"/>
        </w:rPr>
        <w:t>.</w:t>
      </w:r>
      <w:r w:rsidR="005F4142">
        <w:rPr>
          <w:szCs w:val="24"/>
        </w:rPr>
        <w:t xml:space="preserve"> </w:t>
      </w:r>
    </w:p>
    <w:p w14:paraId="41690363" w14:textId="0C76F19D" w:rsidR="004D12CC" w:rsidRDefault="004D12CC" w:rsidP="004D12CC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>S</w:t>
      </w:r>
      <w:r w:rsidR="00893904">
        <w:rPr>
          <w:szCs w:val="24"/>
        </w:rPr>
        <w:t>ubs</w:t>
      </w:r>
      <w:r>
        <w:rPr>
          <w:szCs w:val="24"/>
        </w:rPr>
        <w:t>ection 4(1)</w:t>
      </w:r>
      <w:r w:rsidR="004362B9">
        <w:rPr>
          <w:szCs w:val="24"/>
        </w:rPr>
        <w:t xml:space="preserve"> of the Act</w:t>
      </w:r>
      <w:r>
        <w:rPr>
          <w:szCs w:val="24"/>
        </w:rPr>
        <w:t xml:space="preserve"> provides that the money appropriated and payable to </w:t>
      </w:r>
      <w:r w:rsidR="001868B4">
        <w:rPr>
          <w:szCs w:val="24"/>
        </w:rPr>
        <w:t>AA</w:t>
      </w:r>
      <w:r w:rsidR="00707F46">
        <w:rPr>
          <w:szCs w:val="24"/>
        </w:rPr>
        <w:t xml:space="preserve"> </w:t>
      </w:r>
      <w:r>
        <w:rPr>
          <w:szCs w:val="24"/>
        </w:rPr>
        <w:t xml:space="preserve">and CASA will be the product of the </w:t>
      </w:r>
      <w:r w:rsidR="00E30CD7">
        <w:rPr>
          <w:szCs w:val="24"/>
        </w:rPr>
        <w:t>‘</w:t>
      </w:r>
      <w:r>
        <w:rPr>
          <w:szCs w:val="24"/>
        </w:rPr>
        <w:t>statutory rate</w:t>
      </w:r>
      <w:r w:rsidR="00E30CD7">
        <w:rPr>
          <w:szCs w:val="24"/>
        </w:rPr>
        <w:t>’</w:t>
      </w:r>
      <w:r>
        <w:rPr>
          <w:szCs w:val="24"/>
        </w:rPr>
        <w:t xml:space="preserve"> multiplied by the number of litres of </w:t>
      </w:r>
      <w:r w:rsidR="00E30CD7">
        <w:rPr>
          <w:szCs w:val="24"/>
        </w:rPr>
        <w:t>‘</w:t>
      </w:r>
      <w:r>
        <w:rPr>
          <w:szCs w:val="24"/>
        </w:rPr>
        <w:t>eligible aviation fuel</w:t>
      </w:r>
      <w:r w:rsidR="00E30CD7">
        <w:rPr>
          <w:szCs w:val="24"/>
        </w:rPr>
        <w:t>’</w:t>
      </w:r>
      <w:r>
        <w:rPr>
          <w:szCs w:val="24"/>
        </w:rPr>
        <w:t xml:space="preserve">. </w:t>
      </w:r>
    </w:p>
    <w:p w14:paraId="022DE7B5" w14:textId="2B94237A" w:rsidR="004D12CC" w:rsidRDefault="004D12CC" w:rsidP="004D12CC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>The term ‘</w:t>
      </w:r>
      <w:r w:rsidRPr="006D1EE1">
        <w:rPr>
          <w:szCs w:val="24"/>
        </w:rPr>
        <w:t>statutory rate</w:t>
      </w:r>
      <w:r>
        <w:rPr>
          <w:szCs w:val="24"/>
        </w:rPr>
        <w:t>’ is defined in section 3</w:t>
      </w:r>
      <w:r w:rsidR="0059647E">
        <w:rPr>
          <w:szCs w:val="24"/>
        </w:rPr>
        <w:t>,</w:t>
      </w:r>
      <w:r>
        <w:rPr>
          <w:szCs w:val="24"/>
        </w:rPr>
        <w:t xml:space="preserve"> and is the lowest of: </w:t>
      </w:r>
    </w:p>
    <w:p w14:paraId="361EB4CA" w14:textId="21F1B688" w:rsidR="004D12CC" w:rsidRPr="006D1EE1" w:rsidRDefault="004D12CC" w:rsidP="004D12CC">
      <w:pPr>
        <w:pStyle w:val="ListParagraph"/>
        <w:numPr>
          <w:ilvl w:val="0"/>
          <w:numId w:val="16"/>
        </w:num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any </w:t>
      </w:r>
      <w:r w:rsidRPr="006D1EE1">
        <w:rPr>
          <w:szCs w:val="24"/>
        </w:rPr>
        <w:t xml:space="preserve">determination </w:t>
      </w:r>
      <w:r>
        <w:rPr>
          <w:szCs w:val="24"/>
        </w:rPr>
        <w:t xml:space="preserve">made </w:t>
      </w:r>
      <w:r w:rsidRPr="006D1EE1">
        <w:rPr>
          <w:szCs w:val="24"/>
        </w:rPr>
        <w:t xml:space="preserve">under </w:t>
      </w:r>
      <w:r w:rsidR="00893904">
        <w:rPr>
          <w:szCs w:val="24"/>
        </w:rPr>
        <w:t>sub</w:t>
      </w:r>
      <w:r w:rsidRPr="006D1EE1">
        <w:rPr>
          <w:szCs w:val="24"/>
        </w:rPr>
        <w:t>section 3A(1)</w:t>
      </w:r>
      <w:r>
        <w:rPr>
          <w:szCs w:val="24"/>
        </w:rPr>
        <w:t>;</w:t>
      </w:r>
    </w:p>
    <w:p w14:paraId="530A7F67" w14:textId="45D78F2D" w:rsidR="004D12CC" w:rsidRPr="006D1EE1" w:rsidRDefault="004D12CC" w:rsidP="004D12CC">
      <w:pPr>
        <w:pStyle w:val="ListParagraph"/>
        <w:numPr>
          <w:ilvl w:val="0"/>
          <w:numId w:val="16"/>
        </w:numPr>
        <w:shd w:val="clear" w:color="auto" w:fill="FFFFFF"/>
        <w:spacing w:before="120"/>
        <w:rPr>
          <w:szCs w:val="24"/>
        </w:rPr>
      </w:pPr>
      <w:r>
        <w:rPr>
          <w:szCs w:val="24"/>
        </w:rPr>
        <w:t>t</w:t>
      </w:r>
      <w:r w:rsidRPr="006D1EE1">
        <w:rPr>
          <w:szCs w:val="24"/>
        </w:rPr>
        <w:t xml:space="preserve">he rate of duty imposed on eligible aviation fuel under the </w:t>
      </w:r>
      <w:r w:rsidRPr="006D1EE1">
        <w:rPr>
          <w:i/>
          <w:szCs w:val="24"/>
        </w:rPr>
        <w:t>Excise Tariff Act 1921</w:t>
      </w:r>
      <w:r w:rsidRPr="006D1EE1">
        <w:rPr>
          <w:szCs w:val="24"/>
        </w:rPr>
        <w:t xml:space="preserve"> (either as customs o</w:t>
      </w:r>
      <w:r w:rsidR="004D4301">
        <w:rPr>
          <w:szCs w:val="24"/>
        </w:rPr>
        <w:t>r</w:t>
      </w:r>
      <w:r w:rsidRPr="006D1EE1">
        <w:rPr>
          <w:szCs w:val="24"/>
        </w:rPr>
        <w:t xml:space="preserve"> excise duty)</w:t>
      </w:r>
      <w:r>
        <w:rPr>
          <w:szCs w:val="24"/>
        </w:rPr>
        <w:t>; or</w:t>
      </w:r>
    </w:p>
    <w:p w14:paraId="54C670FA" w14:textId="12AD36C1" w:rsidR="004D12CC" w:rsidRPr="006D1EE1" w:rsidRDefault="004D12CC" w:rsidP="004D12CC">
      <w:pPr>
        <w:pStyle w:val="ListParagraph"/>
        <w:numPr>
          <w:ilvl w:val="0"/>
          <w:numId w:val="16"/>
        </w:numPr>
        <w:shd w:val="clear" w:color="auto" w:fill="FFFFFF"/>
        <w:spacing w:before="120"/>
        <w:rPr>
          <w:szCs w:val="24"/>
        </w:rPr>
      </w:pPr>
      <w:r>
        <w:rPr>
          <w:szCs w:val="24"/>
        </w:rPr>
        <w:t>any</w:t>
      </w:r>
      <w:r w:rsidRPr="006D1EE1">
        <w:rPr>
          <w:szCs w:val="24"/>
        </w:rPr>
        <w:t xml:space="preserve"> determination </w:t>
      </w:r>
      <w:r>
        <w:rPr>
          <w:szCs w:val="24"/>
        </w:rPr>
        <w:t xml:space="preserve">made </w:t>
      </w:r>
      <w:r w:rsidRPr="006D1EE1">
        <w:rPr>
          <w:szCs w:val="24"/>
        </w:rPr>
        <w:t xml:space="preserve">under </w:t>
      </w:r>
      <w:r w:rsidR="00893904">
        <w:rPr>
          <w:szCs w:val="24"/>
        </w:rPr>
        <w:t>sub</w:t>
      </w:r>
      <w:r w:rsidRPr="006D1EE1">
        <w:rPr>
          <w:szCs w:val="24"/>
        </w:rPr>
        <w:t>section 3A(2)</w:t>
      </w:r>
      <w:r>
        <w:rPr>
          <w:szCs w:val="24"/>
        </w:rPr>
        <w:t>.</w:t>
      </w:r>
      <w:r w:rsidRPr="006D1EE1">
        <w:rPr>
          <w:szCs w:val="24"/>
        </w:rPr>
        <w:t xml:space="preserve"> </w:t>
      </w:r>
    </w:p>
    <w:p w14:paraId="5BE90980" w14:textId="3FE5D3BE" w:rsidR="004D12CC" w:rsidRDefault="004D12CC" w:rsidP="004D12CC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>The 2010 Instrument fixes the statutory rate of eligible aviation fuel (both gasoline and kerosene) to be 3.556 cents per litre, under subsection 3A(2).</w:t>
      </w:r>
      <w:r w:rsidR="00893904">
        <w:rPr>
          <w:szCs w:val="24"/>
        </w:rPr>
        <w:t xml:space="preserve"> </w:t>
      </w:r>
      <w:r>
        <w:rPr>
          <w:szCs w:val="24"/>
        </w:rPr>
        <w:t xml:space="preserve">There is no determination under subsection 3A(1). </w:t>
      </w:r>
    </w:p>
    <w:p w14:paraId="161E55CF" w14:textId="7CB6A7A1" w:rsidR="004D12CC" w:rsidRPr="004C33DA" w:rsidRDefault="004D12CC" w:rsidP="004D12CC">
      <w:pPr>
        <w:shd w:val="clear" w:color="auto" w:fill="FFFFFF"/>
        <w:spacing w:before="120"/>
        <w:rPr>
          <w:szCs w:val="24"/>
        </w:rPr>
      </w:pPr>
      <w:r>
        <w:t>S</w:t>
      </w:r>
      <w:r w:rsidRPr="004C33DA">
        <w:t xml:space="preserve">ubitems 10.6 and 10.17 in Item 10 in </w:t>
      </w:r>
      <w:r w:rsidR="0059647E">
        <w:t>t</w:t>
      </w:r>
      <w:r w:rsidRPr="004C33DA">
        <w:t>he Schedule</w:t>
      </w:r>
      <w:r>
        <w:t xml:space="preserve"> to </w:t>
      </w:r>
      <w:r w:rsidRPr="004C33DA">
        <w:t xml:space="preserve">the </w:t>
      </w:r>
      <w:r w:rsidRPr="004C33DA">
        <w:rPr>
          <w:i/>
          <w:iCs/>
        </w:rPr>
        <w:t>Excise Tariff Act 1921</w:t>
      </w:r>
      <w:r w:rsidRPr="004C33DA">
        <w:t xml:space="preserve"> fix the rate </w:t>
      </w:r>
      <w:r>
        <w:t xml:space="preserve">of excise </w:t>
      </w:r>
      <w:r w:rsidRPr="004C33DA">
        <w:t>at 3.556 cents per litre for both aviation gasoline and aviation kerosene</w:t>
      </w:r>
      <w:r>
        <w:t xml:space="preserve">. This is the same rate as provided in the 2010 Instrument. </w:t>
      </w:r>
    </w:p>
    <w:p w14:paraId="24CEA5AA" w14:textId="3924E686" w:rsidR="004D12CC" w:rsidRDefault="004D12CC" w:rsidP="004D12CC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The definition of </w:t>
      </w:r>
      <w:r w:rsidR="00AD5A6C">
        <w:rPr>
          <w:szCs w:val="24"/>
        </w:rPr>
        <w:t>‘</w:t>
      </w:r>
      <w:r>
        <w:rPr>
          <w:szCs w:val="24"/>
        </w:rPr>
        <w:t>statutory rate</w:t>
      </w:r>
      <w:r w:rsidR="00AD5A6C">
        <w:rPr>
          <w:szCs w:val="24"/>
        </w:rPr>
        <w:t>’</w:t>
      </w:r>
      <w:r>
        <w:rPr>
          <w:szCs w:val="24"/>
        </w:rPr>
        <w:t xml:space="preserve"> in section 3 </w:t>
      </w:r>
      <w:r w:rsidR="00AD5A6C">
        <w:rPr>
          <w:szCs w:val="24"/>
        </w:rPr>
        <w:t xml:space="preserve">of the Act </w:t>
      </w:r>
      <w:r>
        <w:rPr>
          <w:szCs w:val="24"/>
        </w:rPr>
        <w:t xml:space="preserve">means that if no determination is made under made </w:t>
      </w:r>
      <w:r w:rsidR="00893904">
        <w:rPr>
          <w:szCs w:val="24"/>
        </w:rPr>
        <w:t>sub</w:t>
      </w:r>
      <w:r>
        <w:rPr>
          <w:szCs w:val="24"/>
        </w:rPr>
        <w:t xml:space="preserve">sections 3A(1) or 3A(2), the statutory rate will be the rate imposed under the </w:t>
      </w:r>
      <w:r w:rsidRPr="006D1EE1">
        <w:rPr>
          <w:i/>
          <w:szCs w:val="24"/>
        </w:rPr>
        <w:t>Excise Tariff Act 1921</w:t>
      </w:r>
      <w:r>
        <w:rPr>
          <w:szCs w:val="24"/>
        </w:rPr>
        <w:t xml:space="preserve">. It is therefore unnecessary to make a determination under either s3A(1) or s3A(2). </w:t>
      </w:r>
    </w:p>
    <w:p w14:paraId="045C6568" w14:textId="0BC14B30" w:rsidR="004D12CC" w:rsidRDefault="004D12CC" w:rsidP="004D12CC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Having no determination under </w:t>
      </w:r>
      <w:r w:rsidR="00893904">
        <w:rPr>
          <w:szCs w:val="24"/>
        </w:rPr>
        <w:t>sub</w:t>
      </w:r>
      <w:r>
        <w:rPr>
          <w:szCs w:val="24"/>
        </w:rPr>
        <w:t xml:space="preserve">sections 3A(1) or 3A(2) means that the amount appropriated will precisely equal the amount relevantly raised under the </w:t>
      </w:r>
      <w:r w:rsidRPr="006D1EE1">
        <w:rPr>
          <w:i/>
          <w:szCs w:val="24"/>
        </w:rPr>
        <w:t>Excise Tariff Act 1921</w:t>
      </w:r>
      <w:r>
        <w:rPr>
          <w:szCs w:val="24"/>
        </w:rPr>
        <w:t xml:space="preserve">. The current Administrative Arrangements Order </w:t>
      </w:r>
      <w:r w:rsidR="00E30CD7">
        <w:rPr>
          <w:szCs w:val="24"/>
        </w:rPr>
        <w:t xml:space="preserve">confers authority over the </w:t>
      </w:r>
      <w:r w:rsidRPr="006D1EE1">
        <w:rPr>
          <w:i/>
          <w:szCs w:val="24"/>
        </w:rPr>
        <w:t xml:space="preserve">Excise Tariff Act 1921 </w:t>
      </w:r>
      <w:r>
        <w:rPr>
          <w:szCs w:val="24"/>
        </w:rPr>
        <w:t xml:space="preserve">to the </w:t>
      </w:r>
      <w:r w:rsidR="00E30CD7">
        <w:rPr>
          <w:szCs w:val="24"/>
        </w:rPr>
        <w:t xml:space="preserve">Minister administering the </w:t>
      </w:r>
      <w:r>
        <w:rPr>
          <w:szCs w:val="24"/>
        </w:rPr>
        <w:t>Department of the Treasury.</w:t>
      </w:r>
    </w:p>
    <w:p w14:paraId="3DA437E3" w14:textId="74596B85" w:rsidR="00080518" w:rsidRDefault="00D37ED0" w:rsidP="00DB2314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A determination under subsection 4(1A) </w:t>
      </w:r>
      <w:r w:rsidR="004D12CC">
        <w:rPr>
          <w:szCs w:val="24"/>
        </w:rPr>
        <w:t xml:space="preserve">is </w:t>
      </w:r>
      <w:r>
        <w:rPr>
          <w:szCs w:val="24"/>
        </w:rPr>
        <w:t xml:space="preserve">still </w:t>
      </w:r>
      <w:r w:rsidR="004D12CC">
        <w:rPr>
          <w:szCs w:val="24"/>
        </w:rPr>
        <w:t>required</w:t>
      </w:r>
      <w:r w:rsidR="002C3719">
        <w:rPr>
          <w:szCs w:val="24"/>
        </w:rPr>
        <w:t>, to specify the allocation of funds between</w:t>
      </w:r>
      <w:r w:rsidR="001868B4">
        <w:rPr>
          <w:szCs w:val="24"/>
        </w:rPr>
        <w:t xml:space="preserve"> AA </w:t>
      </w:r>
      <w:r w:rsidR="002C3719">
        <w:rPr>
          <w:szCs w:val="24"/>
        </w:rPr>
        <w:t>and CASA</w:t>
      </w:r>
      <w:r>
        <w:rPr>
          <w:szCs w:val="24"/>
        </w:rPr>
        <w:t>.</w:t>
      </w:r>
      <w:r w:rsidR="00B7487A">
        <w:rPr>
          <w:szCs w:val="24"/>
        </w:rPr>
        <w:t xml:space="preserve"> </w:t>
      </w:r>
      <w:r w:rsidR="00E30CD7">
        <w:rPr>
          <w:szCs w:val="24"/>
        </w:rPr>
        <w:t>It has been decided that all funds appropriated under the Act will continue to go to CASA.</w:t>
      </w:r>
    </w:p>
    <w:p w14:paraId="435EE6B9" w14:textId="6E94B1B6" w:rsidR="00D37ED0" w:rsidRDefault="00D37ED0" w:rsidP="00DB2314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 xml:space="preserve">The 2022 Instrument which has been prepared </w:t>
      </w:r>
      <w:r w:rsidR="00893904">
        <w:rPr>
          <w:szCs w:val="24"/>
        </w:rPr>
        <w:t xml:space="preserve">following this review </w:t>
      </w:r>
      <w:r>
        <w:rPr>
          <w:szCs w:val="24"/>
        </w:rPr>
        <w:t xml:space="preserve">is narrower in scope </w:t>
      </w:r>
      <w:r w:rsidR="004D12CC">
        <w:rPr>
          <w:szCs w:val="24"/>
        </w:rPr>
        <w:t xml:space="preserve">than the 2010 Instrument, </w:t>
      </w:r>
      <w:r>
        <w:rPr>
          <w:szCs w:val="24"/>
        </w:rPr>
        <w:t>as it contains one determination rather than two.</w:t>
      </w:r>
      <w:r w:rsidR="00893904">
        <w:rPr>
          <w:szCs w:val="24"/>
        </w:rPr>
        <w:t xml:space="preserve"> </w:t>
      </w:r>
    </w:p>
    <w:p w14:paraId="3B99A8E6" w14:textId="3C147678" w:rsidR="009E4322" w:rsidRDefault="009E4322" w:rsidP="009F6F07">
      <w:pPr>
        <w:shd w:val="clear" w:color="auto" w:fill="FFFFFF"/>
        <w:spacing w:before="120"/>
        <w:rPr>
          <w:b/>
          <w:bCs/>
          <w:szCs w:val="24"/>
        </w:rPr>
      </w:pPr>
      <w:r>
        <w:rPr>
          <w:b/>
          <w:bCs/>
          <w:szCs w:val="24"/>
        </w:rPr>
        <w:t>Authority</w:t>
      </w:r>
    </w:p>
    <w:p w14:paraId="7811A69E" w14:textId="12B047AD" w:rsidR="009E4322" w:rsidRPr="009E4322" w:rsidRDefault="009E4322" w:rsidP="009F6F07">
      <w:pPr>
        <w:shd w:val="clear" w:color="auto" w:fill="FFFFFF"/>
        <w:spacing w:before="120"/>
        <w:rPr>
          <w:bCs/>
          <w:szCs w:val="24"/>
        </w:rPr>
      </w:pPr>
      <w:r w:rsidRPr="009E4322">
        <w:rPr>
          <w:bCs/>
          <w:szCs w:val="24"/>
        </w:rPr>
        <w:t>Subsection</w:t>
      </w:r>
      <w:r>
        <w:rPr>
          <w:bCs/>
          <w:szCs w:val="24"/>
        </w:rPr>
        <w:t xml:space="preserve"> 4(1A) of the Act provides authority for the 2022 </w:t>
      </w:r>
      <w:r w:rsidR="007C6046">
        <w:rPr>
          <w:bCs/>
          <w:szCs w:val="24"/>
        </w:rPr>
        <w:t>Instrument</w:t>
      </w:r>
      <w:r>
        <w:rPr>
          <w:bCs/>
          <w:szCs w:val="24"/>
        </w:rPr>
        <w:t>.</w:t>
      </w:r>
      <w:r w:rsidRPr="009E4322">
        <w:rPr>
          <w:bCs/>
          <w:szCs w:val="24"/>
        </w:rPr>
        <w:t xml:space="preserve"> </w:t>
      </w:r>
    </w:p>
    <w:p w14:paraId="63A1E7BF" w14:textId="3A1465FF" w:rsidR="009F6F07" w:rsidRPr="00A53E58" w:rsidRDefault="000E6486" w:rsidP="009F6F07">
      <w:pPr>
        <w:shd w:val="clear" w:color="auto" w:fill="FFFFFF"/>
        <w:spacing w:before="120"/>
        <w:rPr>
          <w:szCs w:val="24"/>
          <w:lang w:val="en-US"/>
        </w:rPr>
      </w:pPr>
      <w:r>
        <w:rPr>
          <w:b/>
          <w:bCs/>
          <w:szCs w:val="24"/>
        </w:rPr>
        <w:t>C</w:t>
      </w:r>
      <w:r w:rsidR="009F6F07" w:rsidRPr="00A53E58">
        <w:rPr>
          <w:b/>
          <w:bCs/>
          <w:szCs w:val="24"/>
        </w:rPr>
        <w:t>onsultation</w:t>
      </w:r>
    </w:p>
    <w:p w14:paraId="18F7700C" w14:textId="2D276676" w:rsidR="004D12CC" w:rsidRPr="00DB2314" w:rsidRDefault="004D12CC" w:rsidP="004D12CC">
      <w:pPr>
        <w:shd w:val="clear" w:color="auto" w:fill="FFFFFF"/>
        <w:spacing w:before="120"/>
        <w:rPr>
          <w:szCs w:val="24"/>
        </w:rPr>
      </w:pPr>
      <w:r w:rsidRPr="00B34C10">
        <w:rPr>
          <w:szCs w:val="24"/>
        </w:rPr>
        <w:t xml:space="preserve">The Office of Best Practice Regulation in the Department of the Prime Minister and Cabinet was </w:t>
      </w:r>
      <w:r w:rsidR="00E30CD7">
        <w:rPr>
          <w:szCs w:val="24"/>
        </w:rPr>
        <w:t xml:space="preserve">consulted, </w:t>
      </w:r>
      <w:r w:rsidRPr="00B34C10">
        <w:rPr>
          <w:szCs w:val="24"/>
        </w:rPr>
        <w:t xml:space="preserve">and they </w:t>
      </w:r>
      <w:r w:rsidR="00E30CD7">
        <w:rPr>
          <w:szCs w:val="24"/>
        </w:rPr>
        <w:t>agreed that the</w:t>
      </w:r>
      <w:r w:rsidR="0059647E">
        <w:rPr>
          <w:szCs w:val="24"/>
        </w:rPr>
        <w:t xml:space="preserve"> 2022 </w:t>
      </w:r>
      <w:r w:rsidR="007945F6">
        <w:rPr>
          <w:szCs w:val="24"/>
        </w:rPr>
        <w:t>Instrument</w:t>
      </w:r>
      <w:r w:rsidR="0059647E">
        <w:rPr>
          <w:szCs w:val="24"/>
        </w:rPr>
        <w:t xml:space="preserve"> </w:t>
      </w:r>
      <w:r w:rsidR="00E30CD7">
        <w:rPr>
          <w:szCs w:val="24"/>
        </w:rPr>
        <w:t xml:space="preserve">has no regulatory impact and that accordingly, </w:t>
      </w:r>
      <w:r w:rsidR="00B34C10">
        <w:rPr>
          <w:szCs w:val="24"/>
        </w:rPr>
        <w:t xml:space="preserve">no Regulatory Impact Statement is required </w:t>
      </w:r>
      <w:r w:rsidRPr="00B34C10">
        <w:rPr>
          <w:szCs w:val="24"/>
        </w:rPr>
        <w:t>(reference number OBPR22-01723).</w:t>
      </w:r>
    </w:p>
    <w:p w14:paraId="088A2AB1" w14:textId="088C670E" w:rsidR="000E6486" w:rsidRDefault="000E6486" w:rsidP="009F6F07">
      <w:pPr>
        <w:shd w:val="clear" w:color="auto" w:fill="FFFFFF"/>
        <w:spacing w:before="120"/>
        <w:rPr>
          <w:szCs w:val="24"/>
        </w:rPr>
      </w:pPr>
      <w:r w:rsidRPr="0059647E">
        <w:rPr>
          <w:szCs w:val="24"/>
        </w:rPr>
        <w:lastRenderedPageBreak/>
        <w:t xml:space="preserve">The </w:t>
      </w:r>
      <w:r w:rsidR="00773C3B">
        <w:rPr>
          <w:szCs w:val="24"/>
        </w:rPr>
        <w:t xml:space="preserve">Attorney-General’s Department, the </w:t>
      </w:r>
      <w:r w:rsidR="00707F46" w:rsidRPr="0059647E">
        <w:rPr>
          <w:szCs w:val="24"/>
        </w:rPr>
        <w:t>Department</w:t>
      </w:r>
      <w:r w:rsidR="00773C3B">
        <w:rPr>
          <w:szCs w:val="24"/>
        </w:rPr>
        <w:t xml:space="preserve">s of Finance and </w:t>
      </w:r>
      <w:r w:rsidR="00B34C10" w:rsidRPr="0059647E">
        <w:rPr>
          <w:szCs w:val="24"/>
        </w:rPr>
        <w:t xml:space="preserve">the </w:t>
      </w:r>
      <w:r w:rsidRPr="0059647E">
        <w:rPr>
          <w:szCs w:val="24"/>
        </w:rPr>
        <w:t xml:space="preserve">Treasury, </w:t>
      </w:r>
      <w:r w:rsidR="0059647E" w:rsidRPr="0059647E">
        <w:rPr>
          <w:szCs w:val="24"/>
        </w:rPr>
        <w:t xml:space="preserve">CASA and AA </w:t>
      </w:r>
      <w:r w:rsidR="00773C3B">
        <w:rPr>
          <w:szCs w:val="24"/>
        </w:rPr>
        <w:t>were</w:t>
      </w:r>
      <w:r w:rsidRPr="0059647E">
        <w:rPr>
          <w:szCs w:val="24"/>
        </w:rPr>
        <w:t xml:space="preserve"> </w:t>
      </w:r>
      <w:r w:rsidR="0059647E" w:rsidRPr="0059647E">
        <w:rPr>
          <w:szCs w:val="24"/>
        </w:rPr>
        <w:t>also</w:t>
      </w:r>
      <w:r w:rsidRPr="0059647E">
        <w:rPr>
          <w:szCs w:val="24"/>
        </w:rPr>
        <w:t xml:space="preserve"> consulted in </w:t>
      </w:r>
      <w:r w:rsidR="0059647E" w:rsidRPr="0059647E">
        <w:rPr>
          <w:szCs w:val="24"/>
        </w:rPr>
        <w:t xml:space="preserve">relation to the 2022 </w:t>
      </w:r>
      <w:r w:rsidR="007945F6">
        <w:rPr>
          <w:szCs w:val="24"/>
        </w:rPr>
        <w:t>Instrument</w:t>
      </w:r>
      <w:r w:rsidR="0059647E" w:rsidRPr="0059647E">
        <w:rPr>
          <w:szCs w:val="24"/>
        </w:rPr>
        <w:t>.</w:t>
      </w:r>
    </w:p>
    <w:p w14:paraId="6D3625D4" w14:textId="29B5F7F6" w:rsidR="00893904" w:rsidRDefault="0074504F" w:rsidP="009F6F07">
      <w:pPr>
        <w:shd w:val="clear" w:color="auto" w:fill="FFFFFF"/>
        <w:spacing w:before="120"/>
        <w:rPr>
          <w:bCs/>
          <w:szCs w:val="24"/>
        </w:rPr>
      </w:pPr>
      <w:r w:rsidRPr="001868B4">
        <w:rPr>
          <w:bCs/>
          <w:szCs w:val="24"/>
        </w:rPr>
        <w:t xml:space="preserve">A broader </w:t>
      </w:r>
      <w:r w:rsidR="00573C41">
        <w:rPr>
          <w:bCs/>
          <w:szCs w:val="24"/>
        </w:rPr>
        <w:t xml:space="preserve">public </w:t>
      </w:r>
      <w:r w:rsidRPr="001868B4">
        <w:rPr>
          <w:bCs/>
          <w:szCs w:val="24"/>
        </w:rPr>
        <w:t xml:space="preserve">consultation </w:t>
      </w:r>
      <w:r w:rsidR="00573C41">
        <w:rPr>
          <w:bCs/>
          <w:szCs w:val="24"/>
        </w:rPr>
        <w:t>process</w:t>
      </w:r>
      <w:r w:rsidRPr="001868B4">
        <w:rPr>
          <w:bCs/>
          <w:szCs w:val="24"/>
        </w:rPr>
        <w:t xml:space="preserve"> was not </w:t>
      </w:r>
      <w:r w:rsidR="0059647E">
        <w:rPr>
          <w:bCs/>
          <w:szCs w:val="24"/>
        </w:rPr>
        <w:t>undertaken</w:t>
      </w:r>
      <w:r w:rsidRPr="001868B4">
        <w:rPr>
          <w:bCs/>
          <w:szCs w:val="24"/>
        </w:rPr>
        <w:t xml:space="preserve"> as </w:t>
      </w:r>
      <w:r w:rsidR="0059647E">
        <w:rPr>
          <w:bCs/>
          <w:szCs w:val="24"/>
        </w:rPr>
        <w:t xml:space="preserve">both the 2010 and 2022 </w:t>
      </w:r>
      <w:r w:rsidR="007945F6">
        <w:rPr>
          <w:bCs/>
          <w:szCs w:val="24"/>
        </w:rPr>
        <w:t>Instruments</w:t>
      </w:r>
      <w:r w:rsidR="0059647E">
        <w:rPr>
          <w:bCs/>
          <w:szCs w:val="24"/>
        </w:rPr>
        <w:t xml:space="preserve"> </w:t>
      </w:r>
      <w:r w:rsidR="00A70F42">
        <w:rPr>
          <w:bCs/>
          <w:szCs w:val="24"/>
        </w:rPr>
        <w:t xml:space="preserve">focus </w:t>
      </w:r>
      <w:r w:rsidRPr="001868B4">
        <w:rPr>
          <w:bCs/>
          <w:szCs w:val="24"/>
        </w:rPr>
        <w:t>solely</w:t>
      </w:r>
      <w:r w:rsidR="001868B4">
        <w:rPr>
          <w:bCs/>
          <w:szCs w:val="24"/>
        </w:rPr>
        <w:t xml:space="preserve"> on the </w:t>
      </w:r>
      <w:r w:rsidRPr="001868B4">
        <w:rPr>
          <w:bCs/>
          <w:szCs w:val="24"/>
        </w:rPr>
        <w:t xml:space="preserve">transfer of funds between </w:t>
      </w:r>
      <w:r w:rsidR="001868B4">
        <w:rPr>
          <w:bCs/>
          <w:szCs w:val="24"/>
        </w:rPr>
        <w:t>government agencies.</w:t>
      </w:r>
    </w:p>
    <w:p w14:paraId="44F6586E" w14:textId="5CC5F0D5" w:rsidR="00573C41" w:rsidRDefault="00573C41" w:rsidP="009F6F07">
      <w:pPr>
        <w:shd w:val="clear" w:color="auto" w:fill="FFFFFF"/>
        <w:spacing w:before="120"/>
        <w:rPr>
          <w:bCs/>
          <w:szCs w:val="24"/>
        </w:rPr>
      </w:pPr>
      <w:r>
        <w:rPr>
          <w:bCs/>
          <w:szCs w:val="24"/>
        </w:rPr>
        <w:t xml:space="preserve">The 2022 Instrument is a legislative instrument for the purposes of the </w:t>
      </w:r>
      <w:r w:rsidRPr="00573C41">
        <w:rPr>
          <w:bCs/>
          <w:i/>
          <w:szCs w:val="24"/>
        </w:rPr>
        <w:t>Legislation Act 2003</w:t>
      </w:r>
      <w:r>
        <w:rPr>
          <w:bCs/>
          <w:szCs w:val="24"/>
        </w:rPr>
        <w:t>.</w:t>
      </w:r>
    </w:p>
    <w:p w14:paraId="30B50F72" w14:textId="2B75C6F0" w:rsidR="00573C41" w:rsidRDefault="00573C41" w:rsidP="009F6F07">
      <w:pPr>
        <w:shd w:val="clear" w:color="auto" w:fill="FFFFFF"/>
        <w:spacing w:before="120"/>
        <w:rPr>
          <w:bCs/>
          <w:szCs w:val="24"/>
        </w:rPr>
      </w:pPr>
      <w:r>
        <w:rPr>
          <w:bCs/>
          <w:szCs w:val="24"/>
        </w:rPr>
        <w:t>The 2022 Instrument commences on the day after registration on the Federal Register of Legislation.</w:t>
      </w:r>
    </w:p>
    <w:p w14:paraId="605DAC4B" w14:textId="12E9A27E" w:rsidR="00573C41" w:rsidRPr="001868B4" w:rsidRDefault="00573C41" w:rsidP="009F6F07">
      <w:pPr>
        <w:shd w:val="clear" w:color="auto" w:fill="FFFFFF"/>
        <w:spacing w:before="120"/>
        <w:rPr>
          <w:bCs/>
          <w:szCs w:val="24"/>
        </w:rPr>
      </w:pPr>
      <w:r>
        <w:rPr>
          <w:bCs/>
          <w:szCs w:val="24"/>
        </w:rPr>
        <w:t>A Statement of Compatibility with Human Rights is at Attachment A.</w:t>
      </w:r>
    </w:p>
    <w:p w14:paraId="059DAB78" w14:textId="74AEB3D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b/>
          <w:bCs/>
          <w:szCs w:val="24"/>
        </w:rPr>
        <w:t xml:space="preserve">Details of the </w:t>
      </w:r>
      <w:r w:rsidR="003573D0" w:rsidRPr="00D6476C">
        <w:rPr>
          <w:b/>
          <w:i/>
          <w:szCs w:val="24"/>
        </w:rPr>
        <w:t>Aviation Fuel Revenues (Special Appropriation) Determination 2022</w:t>
      </w:r>
    </w:p>
    <w:p w14:paraId="0CC7DCD5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  <w:u w:val="single"/>
        </w:rPr>
        <w:t xml:space="preserve">Section 1 - Name </w:t>
      </w:r>
    </w:p>
    <w:p w14:paraId="6A6FA0BB" w14:textId="0B9D90B4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 xml:space="preserve">This section provides that the name of the </w:t>
      </w:r>
      <w:r w:rsidR="00DB2314">
        <w:rPr>
          <w:szCs w:val="24"/>
        </w:rPr>
        <w:t>instrument</w:t>
      </w:r>
      <w:r w:rsidRPr="00A53E58">
        <w:rPr>
          <w:szCs w:val="24"/>
        </w:rPr>
        <w:t xml:space="preserve"> is</w:t>
      </w:r>
      <w:r w:rsidR="00DB2314">
        <w:rPr>
          <w:szCs w:val="24"/>
        </w:rPr>
        <w:t xml:space="preserve"> </w:t>
      </w:r>
      <w:r w:rsidR="00DB2314" w:rsidRPr="009C2562">
        <w:t xml:space="preserve">the </w:t>
      </w:r>
      <w:bookmarkStart w:id="1" w:name="BKCheck15B_3"/>
      <w:bookmarkEnd w:id="1"/>
      <w:r w:rsidR="00DB2314">
        <w:rPr>
          <w:i/>
        </w:rPr>
        <w:t xml:space="preserve">Aviation Fuel Revenues (Special Appropriation) </w:t>
      </w:r>
      <w:r w:rsidR="00DB2314" w:rsidRPr="00316681">
        <w:rPr>
          <w:i/>
        </w:rPr>
        <w:t>Determination 20</w:t>
      </w:r>
      <w:r w:rsidR="00DB2314">
        <w:rPr>
          <w:i/>
        </w:rPr>
        <w:t>22</w:t>
      </w:r>
      <w:r w:rsidR="00DB2314" w:rsidRPr="00316681">
        <w:t>.</w:t>
      </w:r>
      <w:r w:rsidRPr="00A53E58">
        <w:rPr>
          <w:szCs w:val="24"/>
        </w:rPr>
        <w:t xml:space="preserve"> </w:t>
      </w:r>
    </w:p>
    <w:p w14:paraId="57761F77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  <w:u w:val="single"/>
        </w:rPr>
        <w:t>Section 2 - Commencement</w:t>
      </w:r>
    </w:p>
    <w:p w14:paraId="69A209E5" w14:textId="18198E2B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This section provides</w:t>
      </w:r>
      <w:r w:rsidR="00DB2314">
        <w:rPr>
          <w:szCs w:val="24"/>
        </w:rPr>
        <w:t xml:space="preserve"> </w:t>
      </w:r>
      <w:r w:rsidR="0059647E">
        <w:rPr>
          <w:szCs w:val="24"/>
        </w:rPr>
        <w:t xml:space="preserve">the instrument </w:t>
      </w:r>
      <w:r w:rsidR="00DB2314">
        <w:t>commences on the day after it is registered.</w:t>
      </w:r>
      <w:r w:rsidRPr="00A53E58">
        <w:rPr>
          <w:szCs w:val="24"/>
        </w:rPr>
        <w:t xml:space="preserve"> </w:t>
      </w:r>
    </w:p>
    <w:p w14:paraId="08628517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  <w:u w:val="single"/>
        </w:rPr>
        <w:t>Section 3 - Authority</w:t>
      </w:r>
    </w:p>
    <w:p w14:paraId="4698703D" w14:textId="4CE447A4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This section provides</w:t>
      </w:r>
      <w:r w:rsidR="00DB2314">
        <w:rPr>
          <w:szCs w:val="24"/>
        </w:rPr>
        <w:t xml:space="preserve"> the </w:t>
      </w:r>
      <w:r w:rsidR="00DB2314" w:rsidRPr="009C2562">
        <w:t xml:space="preserve">instrument is made under </w:t>
      </w:r>
      <w:r w:rsidR="00DB2314">
        <w:t xml:space="preserve">subsection 4(1A) of the </w:t>
      </w:r>
      <w:r w:rsidR="00DB2314">
        <w:rPr>
          <w:iCs/>
        </w:rPr>
        <w:t>Act</w:t>
      </w:r>
      <w:r w:rsidR="0059647E">
        <w:rPr>
          <w:iCs/>
        </w:rPr>
        <w:t>.</w:t>
      </w:r>
      <w:r w:rsidR="00F909B6">
        <w:rPr>
          <w:iCs/>
        </w:rPr>
        <w:t xml:space="preserve"> </w:t>
      </w:r>
      <w:r w:rsidR="0059647E">
        <w:rPr>
          <w:iCs/>
        </w:rPr>
        <w:t>‘The Act’</w:t>
      </w:r>
      <w:r w:rsidR="00DB2314">
        <w:rPr>
          <w:iCs/>
        </w:rPr>
        <w:t xml:space="preserve"> is defined in the following section to be </w:t>
      </w:r>
      <w:r w:rsidR="00DB2314" w:rsidRPr="009C2562">
        <w:t xml:space="preserve">the </w:t>
      </w:r>
      <w:r w:rsidR="00DB2314">
        <w:rPr>
          <w:i/>
          <w:iCs/>
        </w:rPr>
        <w:t>Aviation Fuel Revenues (Special Appropriation) Act 1988</w:t>
      </w:r>
      <w:r w:rsidR="00DB2314">
        <w:t>.</w:t>
      </w:r>
      <w:r w:rsidR="005F4142">
        <w:rPr>
          <w:iCs/>
        </w:rPr>
        <w:t xml:space="preserve"> </w:t>
      </w:r>
    </w:p>
    <w:p w14:paraId="6116A66E" w14:textId="55845D3D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  <w:u w:val="single"/>
        </w:rPr>
        <w:t xml:space="preserve">Section 4 - </w:t>
      </w:r>
      <w:r w:rsidR="003573D0">
        <w:rPr>
          <w:szCs w:val="24"/>
          <w:u w:val="single"/>
        </w:rPr>
        <w:t>Definitions</w:t>
      </w:r>
    </w:p>
    <w:p w14:paraId="3CFBB4BC" w14:textId="1ED66E9A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 xml:space="preserve">This section </w:t>
      </w:r>
      <w:r w:rsidR="00B0235C">
        <w:rPr>
          <w:szCs w:val="24"/>
        </w:rPr>
        <w:t xml:space="preserve">provides definitions for both </w:t>
      </w:r>
      <w:r w:rsidR="00B0235C" w:rsidRPr="00B0235C">
        <w:rPr>
          <w:b/>
          <w:i/>
          <w:szCs w:val="24"/>
        </w:rPr>
        <w:t>Act</w:t>
      </w:r>
      <w:r w:rsidR="00B0235C">
        <w:rPr>
          <w:szCs w:val="24"/>
        </w:rPr>
        <w:t xml:space="preserve"> and </w:t>
      </w:r>
      <w:r w:rsidR="00B0235C" w:rsidRPr="00B0235C">
        <w:rPr>
          <w:b/>
          <w:i/>
          <w:szCs w:val="24"/>
        </w:rPr>
        <w:t>CASA</w:t>
      </w:r>
      <w:r w:rsidR="00B0235C">
        <w:rPr>
          <w:szCs w:val="24"/>
        </w:rPr>
        <w:t>.</w:t>
      </w:r>
      <w:r w:rsidR="00DA7FF0">
        <w:rPr>
          <w:szCs w:val="24"/>
        </w:rPr>
        <w:t xml:space="preserve"> </w:t>
      </w:r>
    </w:p>
    <w:p w14:paraId="1072FD20" w14:textId="78848816" w:rsidR="009F6F07" w:rsidRDefault="009F6F07" w:rsidP="009F6F07">
      <w:pPr>
        <w:shd w:val="clear" w:color="auto" w:fill="FFFFFF"/>
        <w:spacing w:before="120"/>
        <w:rPr>
          <w:szCs w:val="24"/>
          <w:u w:val="single"/>
        </w:rPr>
      </w:pPr>
      <w:r w:rsidRPr="00A53E58">
        <w:rPr>
          <w:szCs w:val="24"/>
          <w:u w:val="single"/>
        </w:rPr>
        <w:t xml:space="preserve">Section 5 </w:t>
      </w:r>
      <w:r w:rsidR="003573D0">
        <w:rPr>
          <w:szCs w:val="24"/>
          <w:u w:val="single"/>
        </w:rPr>
        <w:t>–</w:t>
      </w:r>
      <w:r w:rsidRPr="00A53E58">
        <w:rPr>
          <w:szCs w:val="24"/>
          <w:u w:val="single"/>
        </w:rPr>
        <w:t xml:space="preserve"> </w:t>
      </w:r>
      <w:r w:rsidR="003573D0">
        <w:rPr>
          <w:szCs w:val="24"/>
          <w:u w:val="single"/>
        </w:rPr>
        <w:t>Schedule</w:t>
      </w:r>
    </w:p>
    <w:p w14:paraId="751789D2" w14:textId="58BBBF04" w:rsidR="003573D0" w:rsidRDefault="003573D0" w:rsidP="009F6F07">
      <w:pPr>
        <w:shd w:val="clear" w:color="auto" w:fill="FFFFFF"/>
        <w:spacing w:before="120"/>
        <w:rPr>
          <w:szCs w:val="24"/>
        </w:rPr>
      </w:pPr>
      <w:r>
        <w:rPr>
          <w:szCs w:val="24"/>
        </w:rPr>
        <w:t>Th</w:t>
      </w:r>
      <w:r w:rsidR="00DA7FF0">
        <w:rPr>
          <w:szCs w:val="24"/>
        </w:rPr>
        <w:t>is section provides</w:t>
      </w:r>
      <w:r w:rsidR="00B0235C">
        <w:rPr>
          <w:szCs w:val="24"/>
        </w:rPr>
        <w:t xml:space="preserve"> that </w:t>
      </w:r>
      <w:r w:rsidR="00285F6A">
        <w:rPr>
          <w:szCs w:val="24"/>
        </w:rPr>
        <w:t xml:space="preserve">the </w:t>
      </w:r>
      <w:r w:rsidR="00B0235C" w:rsidRPr="006065DA">
        <w:t xml:space="preserve">instrument specified in </w:t>
      </w:r>
      <w:r w:rsidR="00B0235C">
        <w:t>the</w:t>
      </w:r>
      <w:r w:rsidR="00B0235C" w:rsidRPr="006065DA">
        <w:t xml:space="preserve"> Schedule is repealed</w:t>
      </w:r>
      <w:r w:rsidR="00B0235C">
        <w:t>.</w:t>
      </w:r>
    </w:p>
    <w:p w14:paraId="3D3F65A5" w14:textId="098BA894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  <w:u w:val="single"/>
        </w:rPr>
        <w:t xml:space="preserve">Section 6 </w:t>
      </w:r>
      <w:r w:rsidR="003573D0">
        <w:rPr>
          <w:szCs w:val="24"/>
          <w:u w:val="single"/>
        </w:rPr>
        <w:t>–</w:t>
      </w:r>
      <w:r w:rsidRPr="00A53E58">
        <w:rPr>
          <w:szCs w:val="24"/>
          <w:u w:val="single"/>
        </w:rPr>
        <w:t xml:space="preserve"> </w:t>
      </w:r>
      <w:r w:rsidR="003573D0">
        <w:rPr>
          <w:szCs w:val="24"/>
          <w:u w:val="single"/>
        </w:rPr>
        <w:t>Proportion of payments to CASA</w:t>
      </w:r>
      <w:r w:rsidRPr="00A53E58">
        <w:rPr>
          <w:szCs w:val="24"/>
          <w:u w:val="single"/>
        </w:rPr>
        <w:t xml:space="preserve"> </w:t>
      </w:r>
    </w:p>
    <w:p w14:paraId="6A022C76" w14:textId="305B54A0" w:rsidR="003573D0" w:rsidRDefault="009F6F07" w:rsidP="009F6F07">
      <w:pPr>
        <w:spacing w:before="120"/>
        <w:jc w:val="both"/>
        <w:rPr>
          <w:szCs w:val="24"/>
        </w:rPr>
      </w:pPr>
      <w:r w:rsidRPr="00A53E58">
        <w:rPr>
          <w:szCs w:val="24"/>
        </w:rPr>
        <w:t xml:space="preserve">This section </w:t>
      </w:r>
      <w:r w:rsidR="00DA7FF0">
        <w:rPr>
          <w:szCs w:val="24"/>
        </w:rPr>
        <w:t>provides</w:t>
      </w:r>
      <w:r w:rsidR="00B0235C">
        <w:rPr>
          <w:szCs w:val="24"/>
        </w:rPr>
        <w:t xml:space="preserve"> that </w:t>
      </w:r>
      <w:r w:rsidR="00B0235C" w:rsidRPr="0020330E">
        <w:t xml:space="preserve">CASA is entitled to the whole of the payments </w:t>
      </w:r>
      <w:r w:rsidR="00893904">
        <w:t>appropriated</w:t>
      </w:r>
      <w:r w:rsidR="00B0235C" w:rsidRPr="0020330E">
        <w:t xml:space="preserve"> </w:t>
      </w:r>
      <w:r w:rsidR="00773C3B">
        <w:t>un</w:t>
      </w:r>
      <w:r w:rsidR="00B0235C" w:rsidRPr="0020330E">
        <w:t xml:space="preserve">der </w:t>
      </w:r>
      <w:r w:rsidR="00B0235C">
        <w:t>sub</w:t>
      </w:r>
      <w:r w:rsidR="00B0235C" w:rsidRPr="0020330E">
        <w:t>section 4(</w:t>
      </w:r>
      <w:r w:rsidR="00893904">
        <w:t>4</w:t>
      </w:r>
      <w:r w:rsidR="00B0235C" w:rsidRPr="0020330E">
        <w:t>)</w:t>
      </w:r>
      <w:r w:rsidR="00B0235C">
        <w:t xml:space="preserve"> </w:t>
      </w:r>
      <w:r w:rsidR="00B0235C" w:rsidRPr="0020330E">
        <w:t>of the Act</w:t>
      </w:r>
      <w:r w:rsidR="00B0235C">
        <w:t>.</w:t>
      </w:r>
    </w:p>
    <w:p w14:paraId="1F652236" w14:textId="42581602" w:rsidR="00DA7FF0" w:rsidRPr="00DA7FF0" w:rsidRDefault="00DA7FF0" w:rsidP="009F6F07">
      <w:pPr>
        <w:spacing w:before="120"/>
        <w:jc w:val="both"/>
        <w:rPr>
          <w:szCs w:val="24"/>
          <w:u w:val="single"/>
        </w:rPr>
      </w:pPr>
      <w:r w:rsidRPr="00DA7FF0">
        <w:rPr>
          <w:szCs w:val="24"/>
          <w:u w:val="single"/>
        </w:rPr>
        <w:t>Schedule – Repeal</w:t>
      </w:r>
    </w:p>
    <w:p w14:paraId="6EFC2E86" w14:textId="4F4B8418" w:rsidR="00B0235C" w:rsidRPr="00B0235C" w:rsidRDefault="00DA7FF0" w:rsidP="00B0235C">
      <w:pPr>
        <w:pStyle w:val="ItemHead"/>
        <w:ind w:left="0" w:firstLine="0"/>
        <w:rPr>
          <w:rFonts w:ascii="Times New Roman" w:hAnsi="Times New Roman"/>
          <w:b w:val="0"/>
          <w:szCs w:val="24"/>
        </w:rPr>
      </w:pPr>
      <w:r w:rsidRPr="00B0235C">
        <w:rPr>
          <w:rFonts w:ascii="Times New Roman" w:hAnsi="Times New Roman"/>
          <w:b w:val="0"/>
          <w:szCs w:val="24"/>
        </w:rPr>
        <w:t xml:space="preserve">This schedule </w:t>
      </w:r>
      <w:r w:rsidR="00773C3B">
        <w:rPr>
          <w:rFonts w:ascii="Times New Roman" w:hAnsi="Times New Roman"/>
          <w:b w:val="0"/>
          <w:szCs w:val="24"/>
        </w:rPr>
        <w:t>lists</w:t>
      </w:r>
      <w:r w:rsidR="00B0235C" w:rsidRPr="00B0235C">
        <w:rPr>
          <w:rFonts w:ascii="Times New Roman" w:hAnsi="Times New Roman"/>
          <w:b w:val="0"/>
          <w:szCs w:val="24"/>
        </w:rPr>
        <w:t xml:space="preserve"> the entirety of the instrument known as the </w:t>
      </w:r>
      <w:r w:rsidR="00B0235C" w:rsidRPr="00B0235C">
        <w:rPr>
          <w:rFonts w:ascii="Times New Roman" w:hAnsi="Times New Roman"/>
          <w:b w:val="0"/>
          <w:i/>
          <w:szCs w:val="24"/>
        </w:rPr>
        <w:t>Aviation Fuel Revenues (Special Appropriation) Act 1988 - Determination under Section 3A(2) Setting the Statutory Rate, Determination under Section 4(1A) Setting the Respective Share of the Civil Aviation Safety Authority's (CASA's) Payment</w:t>
      </w:r>
      <w:r w:rsidR="00B0235C">
        <w:rPr>
          <w:rFonts w:ascii="Times New Roman" w:hAnsi="Times New Roman"/>
          <w:b w:val="0"/>
          <w:bCs/>
          <w:szCs w:val="24"/>
        </w:rPr>
        <w:t>.</w:t>
      </w:r>
    </w:p>
    <w:p w14:paraId="74EA32C3" w14:textId="58C141E2" w:rsidR="00DA7FF0" w:rsidRPr="00B0235C" w:rsidRDefault="00DA7FF0" w:rsidP="009F6F07">
      <w:pPr>
        <w:spacing w:before="120"/>
        <w:jc w:val="both"/>
        <w:rPr>
          <w:szCs w:val="24"/>
        </w:rPr>
      </w:pPr>
    </w:p>
    <w:p w14:paraId="694E3CE5" w14:textId="77777777" w:rsidR="00DA7FF0" w:rsidRDefault="00DA7FF0" w:rsidP="009F6F07">
      <w:pPr>
        <w:spacing w:before="120"/>
        <w:jc w:val="both"/>
        <w:rPr>
          <w:szCs w:val="24"/>
        </w:rPr>
      </w:pPr>
    </w:p>
    <w:p w14:paraId="61E33332" w14:textId="77777777" w:rsidR="009F6F07" w:rsidRPr="00A53E58" w:rsidRDefault="009F6F07" w:rsidP="009F6F07">
      <w:pPr>
        <w:shd w:val="clear" w:color="auto" w:fill="FFFFFF"/>
        <w:spacing w:before="120"/>
        <w:jc w:val="both"/>
        <w:rPr>
          <w:szCs w:val="24"/>
          <w:lang w:val="en-US"/>
        </w:rPr>
      </w:pPr>
      <w:r w:rsidRPr="00A53E58">
        <w:rPr>
          <w:szCs w:val="24"/>
        </w:rPr>
        <w:br w:type="page"/>
      </w:r>
      <w:r w:rsidRPr="00A53E58">
        <w:rPr>
          <w:szCs w:val="24"/>
        </w:rPr>
        <w:lastRenderedPageBreak/>
        <w:t> </w:t>
      </w:r>
    </w:p>
    <w:p w14:paraId="642FF0D6" w14:textId="77777777" w:rsidR="009F6F07" w:rsidRPr="00A53E58" w:rsidRDefault="009F6F07" w:rsidP="009F6F07">
      <w:pPr>
        <w:shd w:val="clear" w:color="auto" w:fill="FFFFFF"/>
        <w:spacing w:before="120"/>
        <w:jc w:val="right"/>
        <w:rPr>
          <w:szCs w:val="24"/>
          <w:lang w:val="en-US"/>
        </w:rPr>
      </w:pPr>
      <w:r w:rsidRPr="00A53E58">
        <w:rPr>
          <w:b/>
          <w:bCs/>
          <w:szCs w:val="24"/>
          <w:u w:val="single"/>
        </w:rPr>
        <w:t>ATTACHMENT A</w:t>
      </w:r>
    </w:p>
    <w:p w14:paraId="1E371C42" w14:textId="77777777" w:rsidR="009F6F07" w:rsidRPr="00A53E58" w:rsidRDefault="009F6F07" w:rsidP="009F6F07">
      <w:pPr>
        <w:shd w:val="clear" w:color="auto" w:fill="FFFFFF"/>
        <w:spacing w:before="120"/>
        <w:jc w:val="center"/>
        <w:rPr>
          <w:szCs w:val="24"/>
          <w:lang w:val="en-US"/>
        </w:rPr>
      </w:pPr>
      <w:r w:rsidRPr="00A53E58">
        <w:rPr>
          <w:b/>
          <w:bCs/>
          <w:szCs w:val="24"/>
        </w:rPr>
        <w:t>Statement of Compatibility with Human Rights</w:t>
      </w:r>
    </w:p>
    <w:p w14:paraId="4343D3A3" w14:textId="77777777" w:rsidR="009F6F07" w:rsidRPr="00A53E58" w:rsidRDefault="009F6F07" w:rsidP="009F6F07">
      <w:pPr>
        <w:shd w:val="clear" w:color="auto" w:fill="FFFFFF"/>
        <w:spacing w:before="120"/>
        <w:jc w:val="center"/>
        <w:rPr>
          <w:szCs w:val="24"/>
          <w:lang w:val="en-US"/>
        </w:rPr>
      </w:pPr>
      <w:r w:rsidRPr="00A53E58">
        <w:rPr>
          <w:i/>
          <w:iCs/>
          <w:szCs w:val="24"/>
        </w:rPr>
        <w:t> </w:t>
      </w:r>
    </w:p>
    <w:p w14:paraId="1C1AEEE1" w14:textId="77777777" w:rsidR="009F6F07" w:rsidRPr="00A53E58" w:rsidRDefault="009F6F07" w:rsidP="009F6F07">
      <w:pPr>
        <w:shd w:val="clear" w:color="auto" w:fill="FFFFFF"/>
        <w:spacing w:before="120"/>
        <w:jc w:val="center"/>
        <w:rPr>
          <w:szCs w:val="24"/>
          <w:lang w:val="en-US"/>
        </w:rPr>
      </w:pPr>
      <w:r w:rsidRPr="00A53E58">
        <w:rPr>
          <w:i/>
          <w:iCs/>
          <w:szCs w:val="24"/>
        </w:rPr>
        <w:t>Prepared in accordance with Part 3 of the Human Rights (Parliamentary Scrutiny) Act 2011</w:t>
      </w:r>
    </w:p>
    <w:p w14:paraId="504AFF56" w14:textId="77777777" w:rsidR="009F6F07" w:rsidRPr="00A53E58" w:rsidRDefault="009F6F07" w:rsidP="009F6F07">
      <w:pPr>
        <w:shd w:val="clear" w:color="auto" w:fill="FFFFFF"/>
        <w:spacing w:before="120"/>
        <w:jc w:val="center"/>
        <w:rPr>
          <w:szCs w:val="24"/>
          <w:lang w:val="en-US"/>
        </w:rPr>
      </w:pPr>
      <w:r w:rsidRPr="00A53E58">
        <w:rPr>
          <w:szCs w:val="24"/>
        </w:rPr>
        <w:t> </w:t>
      </w:r>
    </w:p>
    <w:p w14:paraId="5D388BC2" w14:textId="77777777" w:rsidR="003573D0" w:rsidRPr="00A53E58" w:rsidRDefault="003573D0" w:rsidP="003573D0">
      <w:pPr>
        <w:pStyle w:val="Definition"/>
        <w:ind w:left="0"/>
        <w:jc w:val="center"/>
        <w:rPr>
          <w:sz w:val="24"/>
          <w:szCs w:val="24"/>
          <w:lang w:val="en-US"/>
        </w:rPr>
      </w:pPr>
      <w:r w:rsidRPr="009F6F07">
        <w:rPr>
          <w:i/>
          <w:sz w:val="24"/>
          <w:szCs w:val="24"/>
        </w:rPr>
        <w:t>Aviation Fuel Revenues (Special Appropriation) Determination 2022</w:t>
      </w:r>
    </w:p>
    <w:p w14:paraId="6E80441A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 </w:t>
      </w:r>
    </w:p>
    <w:p w14:paraId="49C18B30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A53E58">
        <w:rPr>
          <w:i/>
          <w:iCs/>
          <w:szCs w:val="24"/>
        </w:rPr>
        <w:t>Human Rights (Parliamentary Scrutiny) Act 2011</w:t>
      </w:r>
      <w:r w:rsidRPr="00A53E58">
        <w:rPr>
          <w:szCs w:val="24"/>
        </w:rPr>
        <w:t>.</w:t>
      </w:r>
    </w:p>
    <w:p w14:paraId="6B0FA90D" w14:textId="62596D52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b/>
          <w:bCs/>
          <w:szCs w:val="24"/>
        </w:rPr>
        <w:t>Overview of the Legislative Instrument</w:t>
      </w:r>
    </w:p>
    <w:p w14:paraId="290A4900" w14:textId="1F0C0531" w:rsidR="00405A14" w:rsidRPr="00405A14" w:rsidRDefault="003573D0" w:rsidP="00405A14">
      <w:pPr>
        <w:pStyle w:val="ItemHead"/>
        <w:spacing w:before="120" w:after="120"/>
        <w:ind w:left="0" w:firstLine="0"/>
        <w:rPr>
          <w:rFonts w:ascii="Times New Roman" w:hAnsi="Times New Roman"/>
          <w:b w:val="0"/>
          <w:szCs w:val="24"/>
        </w:rPr>
      </w:pPr>
      <w:r w:rsidRPr="00A53E58">
        <w:rPr>
          <w:rFonts w:ascii="Times New Roman" w:hAnsi="Times New Roman"/>
          <w:b w:val="0"/>
          <w:szCs w:val="24"/>
        </w:rPr>
        <w:t xml:space="preserve">The purpose of the </w:t>
      </w:r>
      <w:r w:rsidRPr="00D6476C">
        <w:rPr>
          <w:rFonts w:ascii="Times New Roman" w:hAnsi="Times New Roman"/>
          <w:b w:val="0"/>
          <w:i/>
          <w:szCs w:val="24"/>
        </w:rPr>
        <w:t>Aviation Fuel Revenues (Special Appropriation) Determination 2022</w:t>
      </w:r>
      <w:r w:rsidRPr="00A53E58">
        <w:rPr>
          <w:rFonts w:ascii="Times New Roman" w:hAnsi="Times New Roman"/>
          <w:b w:val="0"/>
          <w:i/>
          <w:iCs/>
          <w:szCs w:val="24"/>
        </w:rPr>
        <w:t xml:space="preserve"> </w:t>
      </w:r>
      <w:r w:rsidRPr="00A53E58">
        <w:rPr>
          <w:rFonts w:ascii="Times New Roman" w:hAnsi="Times New Roman"/>
          <w:b w:val="0"/>
          <w:szCs w:val="24"/>
        </w:rPr>
        <w:t xml:space="preserve">is to </w:t>
      </w:r>
      <w:r w:rsidR="00893904">
        <w:rPr>
          <w:rFonts w:ascii="Times New Roman" w:hAnsi="Times New Roman"/>
          <w:b w:val="0"/>
          <w:szCs w:val="24"/>
        </w:rPr>
        <w:t xml:space="preserve">repeal and </w:t>
      </w:r>
      <w:r w:rsidRPr="00A53E58">
        <w:rPr>
          <w:rFonts w:ascii="Times New Roman" w:hAnsi="Times New Roman"/>
          <w:b w:val="0"/>
          <w:szCs w:val="24"/>
        </w:rPr>
        <w:t xml:space="preserve">replace the </w:t>
      </w:r>
      <w:r w:rsidRPr="00D6476C">
        <w:rPr>
          <w:rFonts w:ascii="Times New Roman" w:hAnsi="Times New Roman"/>
          <w:b w:val="0"/>
          <w:i/>
          <w:szCs w:val="24"/>
        </w:rPr>
        <w:t>Aviation Fuel Revenues (Special Appropriation) Act 1988 - Determination under Section 3A(2) Setting the Statutory Rate, Determination under Section 4(1A) Setting the Respective Share of the Civil Aviation Safety Authority's (CASA's) Payment</w:t>
      </w:r>
      <w:r w:rsidR="00405A14" w:rsidRPr="00405A14">
        <w:rPr>
          <w:rFonts w:ascii="Times New Roman" w:hAnsi="Times New Roman"/>
          <w:b w:val="0"/>
          <w:szCs w:val="24"/>
        </w:rPr>
        <w:t xml:space="preserve">, which is due to </w:t>
      </w:r>
      <w:r w:rsidRPr="00405A14">
        <w:rPr>
          <w:rFonts w:ascii="Times New Roman" w:hAnsi="Times New Roman"/>
          <w:b w:val="0"/>
          <w:szCs w:val="24"/>
        </w:rPr>
        <w:t>sunset on 1 October 2022</w:t>
      </w:r>
      <w:r w:rsidR="00405A14" w:rsidRPr="00405A14">
        <w:rPr>
          <w:rFonts w:ascii="Times New Roman" w:hAnsi="Times New Roman"/>
          <w:b w:val="0"/>
          <w:szCs w:val="24"/>
        </w:rPr>
        <w:t>.</w:t>
      </w:r>
    </w:p>
    <w:p w14:paraId="5819D491" w14:textId="48B9A586" w:rsidR="009F6F07" w:rsidRPr="00A53E58" w:rsidRDefault="009F6F07" w:rsidP="00405A14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 xml:space="preserve">The </w:t>
      </w:r>
      <w:r w:rsidR="00405A14" w:rsidRPr="00405A14">
        <w:rPr>
          <w:i/>
          <w:szCs w:val="24"/>
        </w:rPr>
        <w:t>Aviation Fuel Revenues (Special Appropriation) Determination 2022</w:t>
      </w:r>
      <w:r w:rsidRPr="00A53E58">
        <w:rPr>
          <w:i/>
          <w:iCs/>
          <w:szCs w:val="24"/>
        </w:rPr>
        <w:t xml:space="preserve"> </w:t>
      </w:r>
      <w:r w:rsidR="00893904">
        <w:rPr>
          <w:szCs w:val="24"/>
        </w:rPr>
        <w:t xml:space="preserve">provides that all money appropriated under the </w:t>
      </w:r>
      <w:r w:rsidR="00893904" w:rsidRPr="00D6476C">
        <w:rPr>
          <w:i/>
          <w:szCs w:val="24"/>
        </w:rPr>
        <w:t>Aviation Fuel Revenues (Special Appropriation) Act 1988</w:t>
      </w:r>
      <w:r w:rsidR="00893904">
        <w:rPr>
          <w:szCs w:val="24"/>
        </w:rPr>
        <w:t xml:space="preserve"> will continue to be payable to the Civil Aviation Safety Authority (CASA).</w:t>
      </w:r>
      <w:r w:rsidRPr="00A53E58">
        <w:rPr>
          <w:szCs w:val="24"/>
        </w:rPr>
        <w:t xml:space="preserve"> </w:t>
      </w:r>
    </w:p>
    <w:p w14:paraId="3B3E33B6" w14:textId="27EA42E2" w:rsidR="009F6F07" w:rsidRPr="00A53E58" w:rsidRDefault="009F6F07" w:rsidP="00893904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b/>
          <w:bCs/>
          <w:szCs w:val="24"/>
        </w:rPr>
        <w:t>Human rights implications</w:t>
      </w:r>
    </w:p>
    <w:p w14:paraId="66388093" w14:textId="7F1B7C96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This Legislative Instrument does not engage any of the applicable rights or freedoms.</w:t>
      </w:r>
    </w:p>
    <w:p w14:paraId="219364B1" w14:textId="77777777" w:rsidR="009F6F07" w:rsidRPr="00A53E58" w:rsidRDefault="009F6F07" w:rsidP="009F6F07">
      <w:pPr>
        <w:shd w:val="clear" w:color="auto" w:fill="FFFFFF"/>
        <w:spacing w:before="120"/>
        <w:jc w:val="both"/>
        <w:rPr>
          <w:szCs w:val="24"/>
          <w:lang w:val="en-US"/>
        </w:rPr>
      </w:pPr>
      <w:r w:rsidRPr="00A53E58">
        <w:rPr>
          <w:b/>
          <w:bCs/>
          <w:szCs w:val="24"/>
        </w:rPr>
        <w:t>Conclusion</w:t>
      </w:r>
    </w:p>
    <w:p w14:paraId="1695C423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This Legislative Instrument is compatible with human rights as it does not raise any human rights issues.</w:t>
      </w:r>
    </w:p>
    <w:p w14:paraId="0A923421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 </w:t>
      </w:r>
    </w:p>
    <w:p w14:paraId="25E69F6C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szCs w:val="24"/>
        </w:rPr>
        <w:t> </w:t>
      </w:r>
    </w:p>
    <w:p w14:paraId="1B7EA603" w14:textId="77777777" w:rsidR="009F6F07" w:rsidRPr="00A53E58" w:rsidRDefault="009F6F07" w:rsidP="009F6F07">
      <w:pPr>
        <w:shd w:val="clear" w:color="auto" w:fill="FFFFFF"/>
        <w:spacing w:before="120"/>
        <w:rPr>
          <w:szCs w:val="24"/>
          <w:lang w:val="en-US"/>
        </w:rPr>
      </w:pPr>
      <w:r w:rsidRPr="00A53E58">
        <w:rPr>
          <w:b/>
          <w:bCs/>
          <w:szCs w:val="24"/>
        </w:rPr>
        <w:t> </w:t>
      </w:r>
    </w:p>
    <w:p w14:paraId="3077B2E2" w14:textId="77777777" w:rsidR="008D754C" w:rsidRDefault="008D754C" w:rsidP="00B45ACC">
      <w:pPr>
        <w:spacing w:before="0"/>
      </w:pPr>
    </w:p>
    <w:p w14:paraId="5B55AB0C" w14:textId="77777777" w:rsidR="00095FCD" w:rsidRDefault="00095FCD" w:rsidP="00B45ACC">
      <w:pPr>
        <w:spacing w:before="0"/>
      </w:pPr>
    </w:p>
    <w:p w14:paraId="6EF53367" w14:textId="0EFC7C93" w:rsidR="00095FCD" w:rsidRPr="009F6F07" w:rsidRDefault="00095FCD" w:rsidP="00B45ACC">
      <w:pPr>
        <w:spacing w:before="0"/>
        <w:rPr>
          <w:szCs w:val="24"/>
        </w:rPr>
      </w:pPr>
    </w:p>
    <w:p w14:paraId="0743BDE4" w14:textId="0D167F7A" w:rsidR="00095FCD" w:rsidRPr="009F6F07" w:rsidRDefault="00095FCD" w:rsidP="00095FCD">
      <w:pPr>
        <w:spacing w:before="0"/>
        <w:jc w:val="center"/>
        <w:rPr>
          <w:b/>
          <w:szCs w:val="24"/>
        </w:rPr>
      </w:pPr>
      <w:r w:rsidRPr="009F6F07">
        <w:rPr>
          <w:b/>
          <w:szCs w:val="24"/>
        </w:rPr>
        <w:t>The Honourable Barnaby Joyce</w:t>
      </w:r>
    </w:p>
    <w:p w14:paraId="3325258A" w14:textId="77777777" w:rsidR="00095FCD" w:rsidRPr="009F6F07" w:rsidRDefault="00095FCD" w:rsidP="00095FCD">
      <w:pPr>
        <w:spacing w:before="0"/>
        <w:jc w:val="center"/>
        <w:rPr>
          <w:b/>
          <w:szCs w:val="24"/>
        </w:rPr>
      </w:pPr>
    </w:p>
    <w:p w14:paraId="6080C897" w14:textId="77777777" w:rsidR="00405A14" w:rsidRDefault="00405A14" w:rsidP="00095FCD">
      <w:pPr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Deputy Prime Minister and </w:t>
      </w:r>
      <w:r w:rsidR="00095FCD" w:rsidRPr="009F6F07">
        <w:rPr>
          <w:b/>
          <w:szCs w:val="24"/>
        </w:rPr>
        <w:t xml:space="preserve">Minister for Infrastructure, </w:t>
      </w:r>
    </w:p>
    <w:p w14:paraId="0D7A882C" w14:textId="36F7EE61" w:rsidR="00095FCD" w:rsidRPr="009F6F07" w:rsidRDefault="00095FCD" w:rsidP="00095FCD">
      <w:pPr>
        <w:spacing w:before="0"/>
        <w:jc w:val="center"/>
        <w:rPr>
          <w:b/>
          <w:szCs w:val="24"/>
        </w:rPr>
      </w:pPr>
      <w:r w:rsidRPr="009F6F07">
        <w:rPr>
          <w:b/>
          <w:szCs w:val="24"/>
        </w:rPr>
        <w:t>Transport and Regional Development</w:t>
      </w:r>
    </w:p>
    <w:sectPr w:rsidR="00095FCD" w:rsidRPr="009F6F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4806" w14:textId="77777777" w:rsidR="00B32B91" w:rsidRDefault="00B32B91" w:rsidP="006B5C3E">
      <w:pPr>
        <w:spacing w:before="0"/>
      </w:pPr>
      <w:r>
        <w:separator/>
      </w:r>
    </w:p>
  </w:endnote>
  <w:endnote w:type="continuationSeparator" w:id="0">
    <w:p w14:paraId="6EE84761" w14:textId="77777777" w:rsidR="00B32B91" w:rsidRDefault="00B32B91" w:rsidP="006B5C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42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E34C" w14:textId="43494DED" w:rsidR="007D2793" w:rsidRDefault="007D27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1E719" w14:textId="77777777" w:rsidR="007D2793" w:rsidRDefault="007D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0977" w14:textId="77777777" w:rsidR="00B32B91" w:rsidRDefault="00B32B91" w:rsidP="006B5C3E">
      <w:pPr>
        <w:spacing w:before="0"/>
      </w:pPr>
      <w:r>
        <w:separator/>
      </w:r>
    </w:p>
  </w:footnote>
  <w:footnote w:type="continuationSeparator" w:id="0">
    <w:p w14:paraId="58DF8035" w14:textId="77777777" w:rsidR="00B32B91" w:rsidRDefault="00B32B91" w:rsidP="006B5C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CE45" w14:textId="77777777" w:rsidR="006B5C3E" w:rsidRPr="006B5C3E" w:rsidRDefault="006B5C3E">
    <w:pPr>
      <w:pStyle w:val="Header"/>
      <w:rPr>
        <w:b/>
        <w:u w:val="single"/>
      </w:rPr>
    </w:pPr>
    <w:r>
      <w:tab/>
    </w:r>
    <w:r>
      <w:tab/>
    </w:r>
  </w:p>
  <w:p w14:paraId="229607BB" w14:textId="77777777" w:rsidR="006B5C3E" w:rsidRDefault="006B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E6E"/>
    <w:multiLevelType w:val="hybridMultilevel"/>
    <w:tmpl w:val="4C129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518"/>
    <w:multiLevelType w:val="hybridMultilevel"/>
    <w:tmpl w:val="6E5056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45B"/>
    <w:multiLevelType w:val="hybridMultilevel"/>
    <w:tmpl w:val="2CBA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60632"/>
    <w:multiLevelType w:val="hybridMultilevel"/>
    <w:tmpl w:val="B4500BAE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A83886"/>
    <w:multiLevelType w:val="hybridMultilevel"/>
    <w:tmpl w:val="1A5CADAE"/>
    <w:lvl w:ilvl="0" w:tplc="758857F0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6599"/>
    <w:multiLevelType w:val="hybridMultilevel"/>
    <w:tmpl w:val="D7A8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6D2B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06A6"/>
    <w:multiLevelType w:val="hybridMultilevel"/>
    <w:tmpl w:val="80F4B1A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2BC8"/>
    <w:multiLevelType w:val="hybridMultilevel"/>
    <w:tmpl w:val="C4DE0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B1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736E"/>
    <w:multiLevelType w:val="hybridMultilevel"/>
    <w:tmpl w:val="3552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05EC"/>
    <w:multiLevelType w:val="hybridMultilevel"/>
    <w:tmpl w:val="B8C02310"/>
    <w:lvl w:ilvl="0" w:tplc="B9603D5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24C46"/>
    <w:multiLevelType w:val="multilevel"/>
    <w:tmpl w:val="BDF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51BE7"/>
    <w:multiLevelType w:val="hybridMultilevel"/>
    <w:tmpl w:val="2FE28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51FCA"/>
    <w:multiLevelType w:val="hybridMultilevel"/>
    <w:tmpl w:val="8F3C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0ADC"/>
    <w:multiLevelType w:val="hybridMultilevel"/>
    <w:tmpl w:val="7BEC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0DDE"/>
    <w:multiLevelType w:val="hybridMultilevel"/>
    <w:tmpl w:val="3D74F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F1243"/>
    <w:multiLevelType w:val="hybridMultilevel"/>
    <w:tmpl w:val="6CCC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6"/>
    <w:rsid w:val="000005F5"/>
    <w:rsid w:val="00002DCE"/>
    <w:rsid w:val="0000352E"/>
    <w:rsid w:val="000228D7"/>
    <w:rsid w:val="00025E91"/>
    <w:rsid w:val="0004007F"/>
    <w:rsid w:val="000410D1"/>
    <w:rsid w:val="00045058"/>
    <w:rsid w:val="000636BA"/>
    <w:rsid w:val="00077568"/>
    <w:rsid w:val="00080518"/>
    <w:rsid w:val="000817C5"/>
    <w:rsid w:val="000841EF"/>
    <w:rsid w:val="00093246"/>
    <w:rsid w:val="00095FCD"/>
    <w:rsid w:val="000967E1"/>
    <w:rsid w:val="000B1967"/>
    <w:rsid w:val="000B25E8"/>
    <w:rsid w:val="000B3786"/>
    <w:rsid w:val="000C7A8E"/>
    <w:rsid w:val="000D5240"/>
    <w:rsid w:val="000E17CE"/>
    <w:rsid w:val="000E51CB"/>
    <w:rsid w:val="000E6486"/>
    <w:rsid w:val="000F61C7"/>
    <w:rsid w:val="001074C4"/>
    <w:rsid w:val="0014377E"/>
    <w:rsid w:val="00146072"/>
    <w:rsid w:val="00155B1E"/>
    <w:rsid w:val="00171573"/>
    <w:rsid w:val="001830D4"/>
    <w:rsid w:val="00183AFA"/>
    <w:rsid w:val="001868B4"/>
    <w:rsid w:val="001A01FC"/>
    <w:rsid w:val="001A06C8"/>
    <w:rsid w:val="001A23E5"/>
    <w:rsid w:val="001A764E"/>
    <w:rsid w:val="001C061A"/>
    <w:rsid w:val="001E1CA8"/>
    <w:rsid w:val="001F17E1"/>
    <w:rsid w:val="001F268A"/>
    <w:rsid w:val="001F2FCA"/>
    <w:rsid w:val="001F3C21"/>
    <w:rsid w:val="002125C4"/>
    <w:rsid w:val="00212AFF"/>
    <w:rsid w:val="00212BEE"/>
    <w:rsid w:val="002152AF"/>
    <w:rsid w:val="00222F49"/>
    <w:rsid w:val="002364CC"/>
    <w:rsid w:val="0024161A"/>
    <w:rsid w:val="00246C9C"/>
    <w:rsid w:val="00261B53"/>
    <w:rsid w:val="00265A2C"/>
    <w:rsid w:val="00285F6A"/>
    <w:rsid w:val="00291E39"/>
    <w:rsid w:val="00292D69"/>
    <w:rsid w:val="002B03BD"/>
    <w:rsid w:val="002B7F72"/>
    <w:rsid w:val="002C3719"/>
    <w:rsid w:val="002C4F63"/>
    <w:rsid w:val="002E7BCE"/>
    <w:rsid w:val="002E7E5B"/>
    <w:rsid w:val="002F1AC0"/>
    <w:rsid w:val="002F1BBF"/>
    <w:rsid w:val="002F64AF"/>
    <w:rsid w:val="003112F7"/>
    <w:rsid w:val="0031296D"/>
    <w:rsid w:val="00312AF7"/>
    <w:rsid w:val="00333F13"/>
    <w:rsid w:val="003376FD"/>
    <w:rsid w:val="003513DA"/>
    <w:rsid w:val="003573D0"/>
    <w:rsid w:val="003620FB"/>
    <w:rsid w:val="00364866"/>
    <w:rsid w:val="00373F1E"/>
    <w:rsid w:val="00380B43"/>
    <w:rsid w:val="0038216F"/>
    <w:rsid w:val="0038659A"/>
    <w:rsid w:val="003A3A64"/>
    <w:rsid w:val="003B3DC4"/>
    <w:rsid w:val="003C2320"/>
    <w:rsid w:val="003C2406"/>
    <w:rsid w:val="003C5138"/>
    <w:rsid w:val="003E406D"/>
    <w:rsid w:val="003F6107"/>
    <w:rsid w:val="0040578A"/>
    <w:rsid w:val="00405A14"/>
    <w:rsid w:val="00411A62"/>
    <w:rsid w:val="00411C5E"/>
    <w:rsid w:val="004141C4"/>
    <w:rsid w:val="004362B9"/>
    <w:rsid w:val="00446CA2"/>
    <w:rsid w:val="00446DCD"/>
    <w:rsid w:val="00451ADD"/>
    <w:rsid w:val="00462E18"/>
    <w:rsid w:val="00464280"/>
    <w:rsid w:val="00475959"/>
    <w:rsid w:val="004A528F"/>
    <w:rsid w:val="004A7E75"/>
    <w:rsid w:val="004B1BA8"/>
    <w:rsid w:val="004B5312"/>
    <w:rsid w:val="004B539B"/>
    <w:rsid w:val="004C1A6D"/>
    <w:rsid w:val="004C33DA"/>
    <w:rsid w:val="004C3AF7"/>
    <w:rsid w:val="004C4F9F"/>
    <w:rsid w:val="004D12CC"/>
    <w:rsid w:val="004D4301"/>
    <w:rsid w:val="004E002B"/>
    <w:rsid w:val="00504B2A"/>
    <w:rsid w:val="005066AD"/>
    <w:rsid w:val="00516C79"/>
    <w:rsid w:val="00521DF8"/>
    <w:rsid w:val="0052435D"/>
    <w:rsid w:val="00536C93"/>
    <w:rsid w:val="005471A4"/>
    <w:rsid w:val="005530F9"/>
    <w:rsid w:val="00573C41"/>
    <w:rsid w:val="00590A93"/>
    <w:rsid w:val="0059647E"/>
    <w:rsid w:val="005A2656"/>
    <w:rsid w:val="005A30A6"/>
    <w:rsid w:val="005D57CD"/>
    <w:rsid w:val="005E612F"/>
    <w:rsid w:val="005F4142"/>
    <w:rsid w:val="005F5A2F"/>
    <w:rsid w:val="0061304F"/>
    <w:rsid w:val="00617281"/>
    <w:rsid w:val="00627959"/>
    <w:rsid w:val="00631B39"/>
    <w:rsid w:val="0063300C"/>
    <w:rsid w:val="0064198F"/>
    <w:rsid w:val="006461D0"/>
    <w:rsid w:val="006465F6"/>
    <w:rsid w:val="0065359A"/>
    <w:rsid w:val="00656208"/>
    <w:rsid w:val="00670ADA"/>
    <w:rsid w:val="00673287"/>
    <w:rsid w:val="006833EF"/>
    <w:rsid w:val="00686116"/>
    <w:rsid w:val="006A1C42"/>
    <w:rsid w:val="006B20D7"/>
    <w:rsid w:val="006B5C3E"/>
    <w:rsid w:val="006B7882"/>
    <w:rsid w:val="006C1BA4"/>
    <w:rsid w:val="006D1EE1"/>
    <w:rsid w:val="006E6BA1"/>
    <w:rsid w:val="006F6FD1"/>
    <w:rsid w:val="00707F46"/>
    <w:rsid w:val="00735BBE"/>
    <w:rsid w:val="0074504F"/>
    <w:rsid w:val="00747F99"/>
    <w:rsid w:val="00757D9C"/>
    <w:rsid w:val="00761D29"/>
    <w:rsid w:val="00773C3B"/>
    <w:rsid w:val="007743B2"/>
    <w:rsid w:val="00782E93"/>
    <w:rsid w:val="007945F6"/>
    <w:rsid w:val="007A08BD"/>
    <w:rsid w:val="007C18FE"/>
    <w:rsid w:val="007C6046"/>
    <w:rsid w:val="007C6540"/>
    <w:rsid w:val="007D105F"/>
    <w:rsid w:val="007D24E0"/>
    <w:rsid w:val="007D2793"/>
    <w:rsid w:val="007E1569"/>
    <w:rsid w:val="007F4040"/>
    <w:rsid w:val="00801F20"/>
    <w:rsid w:val="0080400F"/>
    <w:rsid w:val="00806DAB"/>
    <w:rsid w:val="008237CB"/>
    <w:rsid w:val="0082679D"/>
    <w:rsid w:val="00830A25"/>
    <w:rsid w:val="008316DE"/>
    <w:rsid w:val="00835336"/>
    <w:rsid w:val="00865150"/>
    <w:rsid w:val="008779D6"/>
    <w:rsid w:val="00893904"/>
    <w:rsid w:val="008A4DB5"/>
    <w:rsid w:val="008A76E4"/>
    <w:rsid w:val="008B49DE"/>
    <w:rsid w:val="008B4BF8"/>
    <w:rsid w:val="008C3ACD"/>
    <w:rsid w:val="008D5B60"/>
    <w:rsid w:val="008D754C"/>
    <w:rsid w:val="008F1FFE"/>
    <w:rsid w:val="008F3623"/>
    <w:rsid w:val="008F5D19"/>
    <w:rsid w:val="00906FC8"/>
    <w:rsid w:val="00916C43"/>
    <w:rsid w:val="009174E7"/>
    <w:rsid w:val="0092221D"/>
    <w:rsid w:val="00925163"/>
    <w:rsid w:val="00955416"/>
    <w:rsid w:val="009561AD"/>
    <w:rsid w:val="009572B6"/>
    <w:rsid w:val="00963467"/>
    <w:rsid w:val="00966BE8"/>
    <w:rsid w:val="00971B95"/>
    <w:rsid w:val="00974097"/>
    <w:rsid w:val="009937F4"/>
    <w:rsid w:val="00993C72"/>
    <w:rsid w:val="0099465D"/>
    <w:rsid w:val="00995642"/>
    <w:rsid w:val="009B3FEF"/>
    <w:rsid w:val="009B4D28"/>
    <w:rsid w:val="009B6F28"/>
    <w:rsid w:val="009B75CF"/>
    <w:rsid w:val="009C1CA4"/>
    <w:rsid w:val="009C393F"/>
    <w:rsid w:val="009C4A4E"/>
    <w:rsid w:val="009E4322"/>
    <w:rsid w:val="009E6AB4"/>
    <w:rsid w:val="009F2EB6"/>
    <w:rsid w:val="009F4B41"/>
    <w:rsid w:val="009F6F07"/>
    <w:rsid w:val="009F7684"/>
    <w:rsid w:val="00A007E1"/>
    <w:rsid w:val="00A0218B"/>
    <w:rsid w:val="00A05346"/>
    <w:rsid w:val="00A15467"/>
    <w:rsid w:val="00A2166B"/>
    <w:rsid w:val="00A243D7"/>
    <w:rsid w:val="00A3572F"/>
    <w:rsid w:val="00A41CCF"/>
    <w:rsid w:val="00A51BFA"/>
    <w:rsid w:val="00A70F42"/>
    <w:rsid w:val="00A778C6"/>
    <w:rsid w:val="00A846F2"/>
    <w:rsid w:val="00A86DED"/>
    <w:rsid w:val="00A871AB"/>
    <w:rsid w:val="00AA16EC"/>
    <w:rsid w:val="00AD5433"/>
    <w:rsid w:val="00AD5A6C"/>
    <w:rsid w:val="00AD78FB"/>
    <w:rsid w:val="00AE3074"/>
    <w:rsid w:val="00AF00FF"/>
    <w:rsid w:val="00B0235C"/>
    <w:rsid w:val="00B102C5"/>
    <w:rsid w:val="00B126D4"/>
    <w:rsid w:val="00B1500B"/>
    <w:rsid w:val="00B16119"/>
    <w:rsid w:val="00B20E9A"/>
    <w:rsid w:val="00B24D8D"/>
    <w:rsid w:val="00B32B91"/>
    <w:rsid w:val="00B34C10"/>
    <w:rsid w:val="00B34CD8"/>
    <w:rsid w:val="00B37A12"/>
    <w:rsid w:val="00B45ACC"/>
    <w:rsid w:val="00B47D55"/>
    <w:rsid w:val="00B532FE"/>
    <w:rsid w:val="00B55476"/>
    <w:rsid w:val="00B650A4"/>
    <w:rsid w:val="00B66AE7"/>
    <w:rsid w:val="00B7487A"/>
    <w:rsid w:val="00B82133"/>
    <w:rsid w:val="00B823E1"/>
    <w:rsid w:val="00B826BD"/>
    <w:rsid w:val="00B8475F"/>
    <w:rsid w:val="00BA6F7E"/>
    <w:rsid w:val="00BC480D"/>
    <w:rsid w:val="00BD5AC8"/>
    <w:rsid w:val="00BE50BA"/>
    <w:rsid w:val="00BF257C"/>
    <w:rsid w:val="00C03883"/>
    <w:rsid w:val="00C13F0C"/>
    <w:rsid w:val="00C16B7F"/>
    <w:rsid w:val="00C231E4"/>
    <w:rsid w:val="00C23A32"/>
    <w:rsid w:val="00C23D09"/>
    <w:rsid w:val="00C24A3D"/>
    <w:rsid w:val="00C526F1"/>
    <w:rsid w:val="00C5498D"/>
    <w:rsid w:val="00C6576A"/>
    <w:rsid w:val="00C70099"/>
    <w:rsid w:val="00C737FC"/>
    <w:rsid w:val="00C80917"/>
    <w:rsid w:val="00C81F77"/>
    <w:rsid w:val="00CA7598"/>
    <w:rsid w:val="00CC1DB9"/>
    <w:rsid w:val="00CC5E17"/>
    <w:rsid w:val="00CC763B"/>
    <w:rsid w:val="00CD08D3"/>
    <w:rsid w:val="00CE2B72"/>
    <w:rsid w:val="00CF5D28"/>
    <w:rsid w:val="00CF6E61"/>
    <w:rsid w:val="00D11B34"/>
    <w:rsid w:val="00D218B3"/>
    <w:rsid w:val="00D221C5"/>
    <w:rsid w:val="00D25066"/>
    <w:rsid w:val="00D27B92"/>
    <w:rsid w:val="00D37ED0"/>
    <w:rsid w:val="00D50A19"/>
    <w:rsid w:val="00D6476C"/>
    <w:rsid w:val="00D8675C"/>
    <w:rsid w:val="00D900E7"/>
    <w:rsid w:val="00D90DB8"/>
    <w:rsid w:val="00D971F1"/>
    <w:rsid w:val="00DA7FF0"/>
    <w:rsid w:val="00DB1CEC"/>
    <w:rsid w:val="00DB2314"/>
    <w:rsid w:val="00DB2CC8"/>
    <w:rsid w:val="00DB4F35"/>
    <w:rsid w:val="00DB5487"/>
    <w:rsid w:val="00DC09DF"/>
    <w:rsid w:val="00DF174B"/>
    <w:rsid w:val="00E00D3D"/>
    <w:rsid w:val="00E2671E"/>
    <w:rsid w:val="00E269A2"/>
    <w:rsid w:val="00E30CD7"/>
    <w:rsid w:val="00E5475B"/>
    <w:rsid w:val="00E57B3D"/>
    <w:rsid w:val="00E83801"/>
    <w:rsid w:val="00E8469F"/>
    <w:rsid w:val="00E8778F"/>
    <w:rsid w:val="00E92F61"/>
    <w:rsid w:val="00E9364D"/>
    <w:rsid w:val="00E9798F"/>
    <w:rsid w:val="00EA2D08"/>
    <w:rsid w:val="00EA73FC"/>
    <w:rsid w:val="00EB1E03"/>
    <w:rsid w:val="00ED4716"/>
    <w:rsid w:val="00ED55CB"/>
    <w:rsid w:val="00EE4331"/>
    <w:rsid w:val="00EE4D76"/>
    <w:rsid w:val="00EF680F"/>
    <w:rsid w:val="00EF7ED3"/>
    <w:rsid w:val="00F06E28"/>
    <w:rsid w:val="00F21653"/>
    <w:rsid w:val="00F23EBA"/>
    <w:rsid w:val="00F909B6"/>
    <w:rsid w:val="00FA20A6"/>
    <w:rsid w:val="00FA281E"/>
    <w:rsid w:val="00FA45B7"/>
    <w:rsid w:val="00FA76E9"/>
    <w:rsid w:val="00FB3BBF"/>
    <w:rsid w:val="00FD0B75"/>
    <w:rsid w:val="00FD2C31"/>
    <w:rsid w:val="00FE55B9"/>
    <w:rsid w:val="00FF0221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DC0B"/>
  <w15:chartTrackingRefBased/>
  <w15:docId w15:val="{4391989B-7097-4574-973D-37A0789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8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0B3786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B3786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B5C3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5C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5C3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5C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B1500B"/>
    <w:pPr>
      <w:spacing w:before="0"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B1500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E2B72"/>
    <w:rPr>
      <w:szCs w:val="24"/>
    </w:rPr>
  </w:style>
  <w:style w:type="character" w:styleId="Hyperlink">
    <w:name w:val="Hyperlink"/>
    <w:basedOn w:val="DefaultParagraphFont"/>
    <w:uiPriority w:val="99"/>
    <w:unhideWhenUsed/>
    <w:rsid w:val="00464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E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EC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lpText">
    <w:name w:val="Help Text"/>
    <w:basedOn w:val="DefaultParagraphFont"/>
    <w:uiPriority w:val="99"/>
    <w:semiHidden/>
    <w:rsid w:val="005530F9"/>
    <w:rPr>
      <w:rFonts w:cs="Times New Roman"/>
      <w:color w:val="808080"/>
    </w:rPr>
  </w:style>
  <w:style w:type="paragraph" w:customStyle="1" w:styleId="Definition">
    <w:name w:val="Definition"/>
    <w:aliases w:val="dd"/>
    <w:basedOn w:val="Normal"/>
    <w:rsid w:val="009F6F07"/>
    <w:pPr>
      <w:spacing w:before="180"/>
      <w:ind w:left="1134"/>
    </w:pPr>
    <w:rPr>
      <w:sz w:val="22"/>
    </w:rPr>
  </w:style>
  <w:style w:type="paragraph" w:customStyle="1" w:styleId="ItemHead">
    <w:name w:val="ItemHead"/>
    <w:aliases w:val="ih"/>
    <w:basedOn w:val="Normal"/>
    <w:next w:val="Normal"/>
    <w:rsid w:val="00D6476C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36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2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2B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2B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86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3EA67-5216-4A25-9D36-0AFD4AD483B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8F082D9-C990-4C1C-8CD8-931AAEF8F2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76851-42F5-4B0D-AD2E-01947BF62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530CC-4884-4C73-AFE8-D576B099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 Jiten</dc:creator>
  <cp:keywords/>
  <dc:description/>
  <cp:lastModifiedBy>MCCLUSKEY Ian</cp:lastModifiedBy>
  <cp:revision>2</cp:revision>
  <cp:lastPrinted>2021-04-14T05:25:00Z</cp:lastPrinted>
  <dcterms:created xsi:type="dcterms:W3CDTF">2022-03-07T06:39:00Z</dcterms:created>
  <dcterms:modified xsi:type="dcterms:W3CDTF">2022-03-07T06:39:00Z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</Properties>
</file>