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0DE4" w14:textId="77777777" w:rsidR="008D011C" w:rsidRPr="00F17CC6" w:rsidRDefault="00CB1323" w:rsidP="008D011C">
      <w:pPr>
        <w:pStyle w:val="LDBodytext"/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D8DB4BA" wp14:editId="105AF207">
            <wp:extent cx="1503045" cy="1104900"/>
            <wp:effectExtent l="0" t="0" r="1905" b="0"/>
            <wp:docPr id="2" name="Picture 2" descr="Commonwealth Coat of A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DEB6" w14:textId="75BA9304" w:rsidR="008D011C" w:rsidRPr="000A3524" w:rsidRDefault="008D011C" w:rsidP="008D011C">
      <w:pPr>
        <w:pStyle w:val="LDTitle"/>
      </w:pPr>
      <w:bookmarkStart w:id="0" w:name="LIN"/>
      <w:r>
        <w:t>LIN</w:t>
      </w:r>
      <w:r w:rsidR="00B31A19">
        <w:t xml:space="preserve"> 22/</w:t>
      </w:r>
      <w:r w:rsidR="00FB3B69">
        <w:t>021</w:t>
      </w:r>
      <w:bookmarkEnd w:id="0"/>
    </w:p>
    <w:p w14:paraId="77A2C1C2" w14:textId="7F2BE3E1" w:rsidR="009228CB" w:rsidRPr="009464C5" w:rsidRDefault="00BB243F" w:rsidP="000B14AD">
      <w:pPr>
        <w:pStyle w:val="LDDescription"/>
      </w:pPr>
      <w:bookmarkStart w:id="1" w:name="Title"/>
      <w:r>
        <w:t xml:space="preserve">Security of Critical Infrastructure (Definitions) </w:t>
      </w:r>
      <w:r w:rsidR="008D1341">
        <w:t xml:space="preserve">Amendment </w:t>
      </w:r>
      <w:r>
        <w:t>Rules</w:t>
      </w:r>
      <w:r w:rsidR="00D7152D">
        <w:t xml:space="preserve"> </w:t>
      </w:r>
      <w:r w:rsidR="005A34B4">
        <w:t xml:space="preserve">(LIN 22/021) </w:t>
      </w:r>
      <w:r w:rsidR="00D7152D">
        <w:t>2022</w:t>
      </w:r>
      <w:bookmarkEnd w:id="1"/>
    </w:p>
    <w:p w14:paraId="39F020EB" w14:textId="77777777" w:rsidR="00554826" w:rsidRDefault="00554826" w:rsidP="00365E41">
      <w:pPr>
        <w:pStyle w:val="LDBodytext"/>
      </w:pPr>
      <w:r w:rsidRPr="009464C5">
        <w:t xml:space="preserve">I, </w:t>
      </w:r>
      <w:r w:rsidR="00BB243F">
        <w:t>Karen Andrews</w:t>
      </w:r>
      <w:r w:rsidRPr="009464C5">
        <w:t xml:space="preserve">, </w:t>
      </w:r>
      <w:r w:rsidR="00BB243F">
        <w:t>Minister for Home Affairs</w:t>
      </w:r>
      <w:r w:rsidRPr="009464C5">
        <w:t>, make th</w:t>
      </w:r>
      <w:r w:rsidR="00B73647">
        <w:t>is instrument</w:t>
      </w:r>
      <w:r w:rsidR="003B3646" w:rsidRPr="009464C5">
        <w:t xml:space="preserve"> under </w:t>
      </w:r>
      <w:r w:rsidR="00BB243F">
        <w:t>section 61</w:t>
      </w:r>
      <w:r w:rsidR="00BD08C0">
        <w:t xml:space="preserve"> </w:t>
      </w:r>
      <w:r w:rsidR="00F27438" w:rsidRPr="009464C5">
        <w:t xml:space="preserve">of the </w:t>
      </w:r>
      <w:r w:rsidR="00BB243F">
        <w:rPr>
          <w:i/>
        </w:rPr>
        <w:t>Security of Critical Infrastructure Act 2018</w:t>
      </w:r>
      <w:r w:rsidR="00F27438" w:rsidRPr="009464C5">
        <w:rPr>
          <w:i/>
        </w:rPr>
        <w:t>.</w:t>
      </w:r>
    </w:p>
    <w:p w14:paraId="4C2BB182" w14:textId="303D10BF"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0332E8">
        <w:t xml:space="preserve"> 07 March </w:t>
      </w:r>
      <w:r w:rsidR="008D1341">
        <w:rPr>
          <w:szCs w:val="22"/>
        </w:rPr>
        <w:t>202</w:t>
      </w:r>
      <w:r w:rsidR="00FB3B69">
        <w:rPr>
          <w:szCs w:val="22"/>
        </w:rPr>
        <w:t>2</w:t>
      </w:r>
    </w:p>
    <w:p w14:paraId="4345B5C6" w14:textId="61C93D31" w:rsidR="003B3646" w:rsidRPr="000332E8" w:rsidRDefault="000332E8" w:rsidP="000E7118">
      <w:pPr>
        <w:pStyle w:val="LDSign"/>
        <w:rPr>
          <w:rFonts w:ascii="Times New Roman" w:eastAsia="Times New Roman" w:hAnsi="Times New Roman"/>
          <w:b w:val="0"/>
          <w:szCs w:val="24"/>
          <w:lang w:eastAsia="en-US"/>
        </w:rPr>
      </w:pPr>
      <w:r w:rsidRPr="000332E8">
        <w:rPr>
          <w:rFonts w:ascii="Times New Roman" w:eastAsia="Times New Roman" w:hAnsi="Times New Roman"/>
          <w:b w:val="0"/>
          <w:szCs w:val="24"/>
          <w:lang w:eastAsia="en-US"/>
        </w:rPr>
        <w:t>Karen Andrews</w:t>
      </w:r>
    </w:p>
    <w:p w14:paraId="645B35D5" w14:textId="03FFB58F" w:rsidR="00554826" w:rsidRPr="00F17CC6" w:rsidRDefault="008D1341" w:rsidP="00365E41">
      <w:pPr>
        <w:pStyle w:val="LDBodytext"/>
      </w:pPr>
      <w:r>
        <w:t>Mi</w:t>
      </w:r>
      <w:bookmarkStart w:id="2" w:name="_GoBack"/>
      <w:bookmarkEnd w:id="2"/>
      <w:r>
        <w:t xml:space="preserve">nister for Home Affairs </w:t>
      </w:r>
    </w:p>
    <w:p w14:paraId="1A2D2278" w14:textId="77777777" w:rsidR="007235A0" w:rsidRDefault="007235A0" w:rsidP="004B4FE5">
      <w:pPr>
        <w:pStyle w:val="LDLine"/>
      </w:pPr>
      <w:bookmarkStart w:id="3" w:name="_Toc454512513"/>
      <w:bookmarkStart w:id="4" w:name="_Toc454512517"/>
    </w:p>
    <w:p w14:paraId="50901342" w14:textId="1C97CFED" w:rsidR="003B3646" w:rsidRPr="00F17CC6" w:rsidRDefault="001B155A" w:rsidP="000B14AD">
      <w:pPr>
        <w:pStyle w:val="LDSecHead"/>
      </w:pPr>
      <w:bookmarkStart w:id="5" w:name="_Toc31201286"/>
      <w:r>
        <w:rPr>
          <w:noProof/>
        </w:rPr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5"/>
    </w:p>
    <w:p w14:paraId="423FB79F" w14:textId="3A760B35"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1B155A" w:rsidRPr="001B155A">
        <w:rPr>
          <w:rStyle w:val="LDItal"/>
        </w:rPr>
        <w:t>Security of Critical Infrastructure (Definitions) Amendment Rules (LIN 22/021) 2022</w:t>
      </w:r>
      <w:r>
        <w:t>.</w:t>
      </w:r>
    </w:p>
    <w:p w14:paraId="21743724" w14:textId="269E194C" w:rsidR="003B3646" w:rsidRPr="007E11B9" w:rsidRDefault="001B155A" w:rsidP="000B14AD">
      <w:pPr>
        <w:pStyle w:val="LDSecHead"/>
      </w:pPr>
      <w:bookmarkStart w:id="6" w:name="_Toc454512514"/>
      <w:bookmarkStart w:id="7" w:name="_Toc3120128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14:paraId="02741488" w14:textId="77777777"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724526">
        <w:t>on the day after registration</w:t>
      </w:r>
      <w:r w:rsidR="003B3646" w:rsidRPr="00F17CC6">
        <w:t>.</w:t>
      </w:r>
    </w:p>
    <w:p w14:paraId="3A445E94" w14:textId="00BDF90A" w:rsidR="003B3646" w:rsidRPr="00F17CC6" w:rsidRDefault="001B155A" w:rsidP="000B14AD">
      <w:pPr>
        <w:pStyle w:val="LDSecHead"/>
      </w:pPr>
      <w:bookmarkStart w:id="9" w:name="_Toc454512516"/>
      <w:bookmarkStart w:id="10" w:name="_Toc31201288"/>
      <w:bookmarkEnd w:id="8"/>
      <w:r>
        <w:rPr>
          <w:noProof/>
        </w:rPr>
        <w:t>3</w:t>
      </w:r>
      <w:r w:rsidR="000B14AD">
        <w:tab/>
      </w:r>
      <w:bookmarkEnd w:id="9"/>
      <w:bookmarkEnd w:id="10"/>
      <w:r w:rsidR="007235A0">
        <w:t>Amendment</w:t>
      </w:r>
    </w:p>
    <w:p w14:paraId="6BED1DF2" w14:textId="042E8958" w:rsidR="00E5722B" w:rsidRDefault="000B14AD" w:rsidP="00E5722B">
      <w:pPr>
        <w:pStyle w:val="LDSec1"/>
        <w:keepNext/>
      </w:pPr>
      <w:r>
        <w:tab/>
      </w:r>
      <w:r w:rsidR="003B3646" w:rsidRPr="00F17CC6">
        <w:tab/>
      </w:r>
      <w:r w:rsidR="007235A0">
        <w:t>Schedule 1 amends</w:t>
      </w:r>
      <w:r w:rsidR="00710134">
        <w:t xml:space="preserve"> </w:t>
      </w:r>
      <w:r w:rsidR="00DF0969" w:rsidRPr="00DF0969">
        <w:rPr>
          <w:rStyle w:val="LDItal"/>
        </w:rPr>
        <w:t>Security of Critical Infrastr</w:t>
      </w:r>
      <w:r w:rsidR="00CA7D78">
        <w:rPr>
          <w:rStyle w:val="LDItal"/>
        </w:rPr>
        <w:t>ucture (Definitions) Rules (LIN </w:t>
      </w:r>
      <w:r w:rsidR="00DF0969" w:rsidRPr="00DF0969">
        <w:rPr>
          <w:rStyle w:val="LDItal"/>
        </w:rPr>
        <w:t>21/039) 2021</w:t>
      </w:r>
      <w:r w:rsidR="007235A0">
        <w:t>.</w:t>
      </w:r>
    </w:p>
    <w:p w14:paraId="67581C80" w14:textId="617DD703" w:rsidR="00A93040" w:rsidRDefault="00A93040">
      <w:pPr>
        <w:spacing w:line="240" w:lineRule="auto"/>
        <w:rPr>
          <w:rFonts w:ascii="Arial" w:eastAsia="Times New Roman" w:hAnsi="Arial" w:cs="Times New Roman"/>
          <w:b/>
          <w:sz w:val="28"/>
          <w:szCs w:val="24"/>
        </w:rPr>
      </w:pPr>
      <w:bookmarkStart w:id="11" w:name="_Toc31201296"/>
      <w:bookmarkEnd w:id="4"/>
    </w:p>
    <w:p w14:paraId="3753CFB9" w14:textId="2F0919EF" w:rsidR="00A252F1" w:rsidRDefault="00A252F1" w:rsidP="007235A0">
      <w:pPr>
        <w:pStyle w:val="LDSchedule"/>
      </w:pPr>
      <w:r>
        <w:t xml:space="preserve">Schedule </w:t>
      </w:r>
      <w:bookmarkStart w:id="12" w:name="SchedFirst"/>
      <w:r w:rsidR="001B155A">
        <w:rPr>
          <w:noProof/>
        </w:rPr>
        <w:t>1</w:t>
      </w:r>
      <w:bookmarkEnd w:id="12"/>
      <w:r>
        <w:tab/>
      </w:r>
      <w:bookmarkEnd w:id="11"/>
      <w:r w:rsidR="00C21F16">
        <w:t>Amendment</w:t>
      </w:r>
    </w:p>
    <w:p w14:paraId="2554B9B0" w14:textId="33AE7CE9" w:rsidR="00A252F1" w:rsidRDefault="00A252F1" w:rsidP="007235A0">
      <w:pPr>
        <w:pStyle w:val="LDSchedref"/>
      </w:pPr>
      <w:r w:rsidRPr="00A252F1">
        <w:t>(</w:t>
      </w:r>
      <w:proofErr w:type="gramStart"/>
      <w:r w:rsidRPr="00A252F1">
        <w:t>s</w:t>
      </w:r>
      <w:r w:rsidR="008D1341">
        <w:t>ection</w:t>
      </w:r>
      <w:proofErr w:type="gramEnd"/>
      <w:r w:rsidR="005A34B4">
        <w:t xml:space="preserve"> </w:t>
      </w:r>
      <w:r w:rsidR="007235A0">
        <w:t>3</w:t>
      </w:r>
      <w:r w:rsidRPr="00A252F1">
        <w:t>)</w:t>
      </w:r>
    </w:p>
    <w:p w14:paraId="6E72695B" w14:textId="0CC9D6CF" w:rsidR="00101C86" w:rsidRDefault="000C7C03" w:rsidP="007235A0">
      <w:pPr>
        <w:pStyle w:val="LDAmendHeading"/>
      </w:pPr>
      <w:r>
        <w:rPr>
          <w:noProof/>
        </w:rPr>
        <w:t>[</w:t>
      </w:r>
      <w:r w:rsidR="001B155A">
        <w:rPr>
          <w:noProof/>
        </w:rPr>
        <w:t>1</w:t>
      </w:r>
      <w:r>
        <w:rPr>
          <w:noProof/>
        </w:rPr>
        <w:t>]</w:t>
      </w:r>
      <w:r w:rsidR="007235A0">
        <w:tab/>
      </w:r>
      <w:r w:rsidR="00101C86">
        <w:t>Section 8</w:t>
      </w:r>
    </w:p>
    <w:p w14:paraId="268B9064" w14:textId="6E242B22" w:rsidR="00101C86" w:rsidRDefault="00101C86" w:rsidP="00101C86">
      <w:pPr>
        <w:pStyle w:val="LDAmendInstruction"/>
      </w:pPr>
      <w:proofErr w:type="gramStart"/>
      <w:r>
        <w:t>substitute</w:t>
      </w:r>
      <w:proofErr w:type="gramEnd"/>
    </w:p>
    <w:p w14:paraId="7C97978E" w14:textId="18EFCFCE" w:rsidR="00101C86" w:rsidRDefault="00101C86" w:rsidP="00101C86">
      <w:pPr>
        <w:pStyle w:val="LDSecHead"/>
      </w:pPr>
      <w:r>
        <w:t>8</w:t>
      </w:r>
      <w:r>
        <w:tab/>
        <w:t>Critical freight infrastructure asset</w:t>
      </w:r>
    </w:p>
    <w:p w14:paraId="7F995C78" w14:textId="388A5CDD" w:rsidR="00101C86" w:rsidRDefault="00101C86" w:rsidP="00101C86">
      <w:pPr>
        <w:pStyle w:val="LDSec1"/>
      </w:pPr>
      <w:r>
        <w:tab/>
        <w:t>(1)</w:t>
      </w:r>
      <w:r>
        <w:tab/>
        <w:t>For paragraph 12B(4)(a) of the Act, an intermodal transfer facility at a location mentioned in an item of Schedule 1</w:t>
      </w:r>
      <w:r w:rsidR="00CA7D78">
        <w:t xml:space="preserve"> that is</w:t>
      </w:r>
      <w:r>
        <w:t xml:space="preserve"> </w:t>
      </w:r>
      <w:r w:rsidR="00CA7D78">
        <w:t xml:space="preserve">owned or operated </w:t>
      </w:r>
      <w:r w:rsidR="00C05A87">
        <w:t xml:space="preserve">by the entity mentioned in the item </w:t>
      </w:r>
      <w:r>
        <w:t>is critical to the transportation of goods between:</w:t>
      </w:r>
    </w:p>
    <w:p w14:paraId="6496D6D6" w14:textId="2299E655" w:rsidR="00101C86" w:rsidRDefault="00101C86" w:rsidP="00101C86">
      <w:pPr>
        <w:pStyle w:val="LDP1a"/>
      </w:pPr>
      <w:r>
        <w:t>(a)</w:t>
      </w:r>
      <w:r>
        <w:tab/>
      </w:r>
      <w:r w:rsidR="0088653B">
        <w:t xml:space="preserve">2 States; </w:t>
      </w:r>
    </w:p>
    <w:p w14:paraId="05261CEF" w14:textId="0792ADF0" w:rsidR="0088653B" w:rsidRDefault="0088653B" w:rsidP="00101C86">
      <w:pPr>
        <w:pStyle w:val="LDP1a"/>
      </w:pPr>
      <w:r>
        <w:lastRenderedPageBreak/>
        <w:t>(b)</w:t>
      </w:r>
      <w:r>
        <w:tab/>
      </w:r>
      <w:proofErr w:type="gramStart"/>
      <w:r>
        <w:t>a</w:t>
      </w:r>
      <w:proofErr w:type="gramEnd"/>
      <w:r>
        <w:t xml:space="preserve"> State and a Territory; or </w:t>
      </w:r>
    </w:p>
    <w:p w14:paraId="2127907A" w14:textId="1745D6B9" w:rsidR="0088653B" w:rsidRDefault="0088653B" w:rsidP="00101C86">
      <w:pPr>
        <w:pStyle w:val="LDP1a"/>
      </w:pPr>
      <w:r>
        <w:t>(c)</w:t>
      </w:r>
      <w:r>
        <w:tab/>
        <w:t xml:space="preserve">2 Territories; or </w:t>
      </w:r>
    </w:p>
    <w:p w14:paraId="6D4B25CF" w14:textId="7791076E" w:rsidR="0088653B" w:rsidRDefault="0088653B" w:rsidP="00101C86">
      <w:pPr>
        <w:pStyle w:val="LDP1a"/>
      </w:pPr>
      <w:r>
        <w:t>(d)</w:t>
      </w:r>
      <w:r>
        <w:tab/>
        <w:t xml:space="preserve">2 regional centres.  </w:t>
      </w:r>
    </w:p>
    <w:p w14:paraId="6EEB8A59" w14:textId="39B320A1" w:rsidR="00101C86" w:rsidRPr="00101C86" w:rsidRDefault="00101C86" w:rsidP="00101C86">
      <w:pPr>
        <w:pStyle w:val="LDSec1"/>
      </w:pPr>
      <w:r>
        <w:tab/>
        <w:t>(2)</w:t>
      </w:r>
      <w:r>
        <w:tab/>
        <w:t xml:space="preserve">For </w:t>
      </w:r>
      <w:r w:rsidR="0088653B">
        <w:t>paragraph </w:t>
      </w:r>
      <w:proofErr w:type="gramStart"/>
      <w:r w:rsidR="0088653B">
        <w:t>12L(</w:t>
      </w:r>
      <w:proofErr w:type="gramEnd"/>
      <w:r w:rsidR="0088653B">
        <w:t xml:space="preserve">18)(e) of the Act, the entity mentioned in an item of the table in Schedule 1 is the responsible entity for the asset mentioned in the item.  </w:t>
      </w:r>
    </w:p>
    <w:p w14:paraId="3E645860" w14:textId="4A510D51" w:rsidR="007235A0" w:rsidRPr="00182F81" w:rsidRDefault="000C7C03" w:rsidP="00182F81">
      <w:pPr>
        <w:pStyle w:val="LDAmendHeading"/>
      </w:pPr>
      <w:r>
        <w:rPr>
          <w:noProof/>
        </w:rPr>
        <w:t>[</w:t>
      </w:r>
      <w:r w:rsidR="001B155A">
        <w:rPr>
          <w:noProof/>
        </w:rPr>
        <w:t>2</w:t>
      </w:r>
      <w:r>
        <w:rPr>
          <w:noProof/>
        </w:rPr>
        <w:t>]</w:t>
      </w:r>
      <w:r w:rsidR="00182F81">
        <w:tab/>
      </w:r>
      <w:r w:rsidR="00DF0969" w:rsidRPr="00182F81">
        <w:t>Section 16 (heading)</w:t>
      </w:r>
    </w:p>
    <w:p w14:paraId="2A9F20A3" w14:textId="77777777" w:rsidR="007235A0" w:rsidRPr="002D6EEE" w:rsidRDefault="007235A0" w:rsidP="007235A0">
      <w:pPr>
        <w:pStyle w:val="LDAmendInstruction"/>
      </w:pPr>
      <w:proofErr w:type="gramStart"/>
      <w:r w:rsidRPr="002D6EEE">
        <w:t>omit</w:t>
      </w:r>
      <w:proofErr w:type="gramEnd"/>
    </w:p>
    <w:p w14:paraId="35B3C4D0" w14:textId="77777777" w:rsidR="007235A0" w:rsidRDefault="00DF0969" w:rsidP="00182F81">
      <w:pPr>
        <w:pStyle w:val="LDAmendText"/>
      </w:pPr>
      <w:proofErr w:type="gramStart"/>
      <w:r>
        <w:t>doman</w:t>
      </w:r>
      <w:proofErr w:type="gramEnd"/>
    </w:p>
    <w:p w14:paraId="4C9230DC" w14:textId="77777777" w:rsidR="007235A0" w:rsidRDefault="007235A0" w:rsidP="007235A0">
      <w:pPr>
        <w:pStyle w:val="LDAmendInstruction"/>
      </w:pPr>
      <w:proofErr w:type="gramStart"/>
      <w:r>
        <w:t>insert</w:t>
      </w:r>
      <w:proofErr w:type="gramEnd"/>
    </w:p>
    <w:p w14:paraId="24828236" w14:textId="6A597650" w:rsidR="003040B2" w:rsidRDefault="00DF0969" w:rsidP="0084375B">
      <w:pPr>
        <w:pStyle w:val="LDAmendText"/>
      </w:pPr>
      <w:proofErr w:type="gramStart"/>
      <w:r>
        <w:t>domain</w:t>
      </w:r>
      <w:proofErr w:type="gramEnd"/>
    </w:p>
    <w:p w14:paraId="069511F8" w14:textId="08C86C2E" w:rsidR="005A34B4" w:rsidRDefault="000C7C03" w:rsidP="005A34B4">
      <w:pPr>
        <w:pStyle w:val="LDAmendHeading"/>
      </w:pPr>
      <w:r>
        <w:rPr>
          <w:noProof/>
        </w:rPr>
        <w:t>[</w:t>
      </w:r>
      <w:r w:rsidR="001B155A">
        <w:rPr>
          <w:noProof/>
        </w:rPr>
        <w:t>3</w:t>
      </w:r>
      <w:r>
        <w:rPr>
          <w:noProof/>
        </w:rPr>
        <w:t>]</w:t>
      </w:r>
      <w:r w:rsidR="005A34B4">
        <w:tab/>
        <w:t>After section </w:t>
      </w:r>
      <w:r w:rsidR="00F37FB6">
        <w:t>17</w:t>
      </w:r>
    </w:p>
    <w:p w14:paraId="11B10456" w14:textId="64F20C32" w:rsidR="005A34B4" w:rsidRDefault="00F37FB6" w:rsidP="005A34B4">
      <w:pPr>
        <w:pStyle w:val="LDAmendInstruction"/>
      </w:pPr>
      <w:proofErr w:type="gramStart"/>
      <w:r>
        <w:t>insert</w:t>
      </w:r>
      <w:proofErr w:type="gramEnd"/>
    </w:p>
    <w:p w14:paraId="3BA13DC1" w14:textId="127DB2E0" w:rsidR="00F37FB6" w:rsidRDefault="00F37FB6" w:rsidP="00F37FB6">
      <w:pPr>
        <w:pStyle w:val="LDSecHead"/>
      </w:pPr>
      <w:bookmarkStart w:id="13" w:name="_Toc31201292"/>
      <w:r>
        <w:t>18</w:t>
      </w:r>
      <w:r>
        <w:tab/>
      </w:r>
      <w:bookmarkEnd w:id="13"/>
      <w:r>
        <w:t>Relevant Commonwealth body</w:t>
      </w:r>
    </w:p>
    <w:p w14:paraId="34CAB787" w14:textId="5810CA38" w:rsidR="00F37FB6" w:rsidRDefault="006939CA" w:rsidP="00101C86">
      <w:pPr>
        <w:pStyle w:val="LDSec1"/>
      </w:pPr>
      <w:r>
        <w:tab/>
      </w:r>
      <w:r w:rsidR="00EA6642">
        <w:t>(1)</w:t>
      </w:r>
      <w:r>
        <w:tab/>
        <w:t>For paragraph </w:t>
      </w:r>
      <w:proofErr w:type="gramStart"/>
      <w:r>
        <w:t>30BF(</w:t>
      </w:r>
      <w:proofErr w:type="gramEnd"/>
      <w:r>
        <w:t xml:space="preserve">a) </w:t>
      </w:r>
      <w:r w:rsidR="00101C86">
        <w:t xml:space="preserve">of the Act, </w:t>
      </w:r>
      <w:r>
        <w:t xml:space="preserve">the Department is specified as </w:t>
      </w:r>
      <w:r w:rsidR="00EA6642">
        <w:t>a</w:t>
      </w:r>
      <w:r w:rsidR="00101C86">
        <w:t xml:space="preserve"> relevant Commonwealth body.  </w:t>
      </w:r>
    </w:p>
    <w:p w14:paraId="2EEE4626" w14:textId="6417EFDF" w:rsidR="00EA6642" w:rsidRDefault="00EA6642" w:rsidP="00101C86">
      <w:pPr>
        <w:pStyle w:val="LDSec1"/>
      </w:pPr>
      <w:r>
        <w:tab/>
        <w:t>(2)</w:t>
      </w:r>
      <w:r>
        <w:tab/>
        <w:t>Subsection (1) only applies for subsections </w:t>
      </w:r>
      <w:proofErr w:type="gramStart"/>
      <w:r>
        <w:t>30BC(</w:t>
      </w:r>
      <w:proofErr w:type="gramEnd"/>
      <w:r>
        <w:t xml:space="preserve">5) and 30BD(5) of the Act.  </w:t>
      </w:r>
    </w:p>
    <w:p w14:paraId="055A3C92" w14:textId="5AA54D36" w:rsidR="00EA6642" w:rsidRPr="00EA6642" w:rsidRDefault="00EA6642" w:rsidP="00EA6642">
      <w:pPr>
        <w:pStyle w:val="LDNote"/>
      </w:pPr>
      <w:r>
        <w:rPr>
          <w:i/>
        </w:rPr>
        <w:t>Note</w:t>
      </w:r>
      <w:r>
        <w:rPr>
          <w:i/>
        </w:rPr>
        <w:tab/>
      </w:r>
      <w:r>
        <w:t xml:space="preserve">For other provisions in Part 2B of the Act, the relevant Commonwealth body is ASD.  </w:t>
      </w:r>
    </w:p>
    <w:p w14:paraId="381E8F17" w14:textId="218DA7D1" w:rsidR="00101C86" w:rsidRDefault="000C7C03" w:rsidP="00101C86">
      <w:pPr>
        <w:pStyle w:val="LDAmendHeading"/>
      </w:pPr>
      <w:r>
        <w:rPr>
          <w:noProof/>
        </w:rPr>
        <w:t>[</w:t>
      </w:r>
      <w:r w:rsidR="001B155A">
        <w:rPr>
          <w:noProof/>
        </w:rPr>
        <w:t>4</w:t>
      </w:r>
      <w:r>
        <w:rPr>
          <w:noProof/>
        </w:rPr>
        <w:t>]</w:t>
      </w:r>
      <w:r w:rsidR="00101C86">
        <w:tab/>
      </w:r>
      <w:r w:rsidR="00CF5A39">
        <w:t>Schedule 1, table</w:t>
      </w:r>
    </w:p>
    <w:p w14:paraId="470C3F3F" w14:textId="7A3F81A3" w:rsidR="00CF5A39" w:rsidRPr="00CF5A39" w:rsidRDefault="00CF5A39" w:rsidP="00CF5A39">
      <w:pPr>
        <w:pStyle w:val="LDAmendInstruction"/>
      </w:pPr>
      <w:proofErr w:type="gramStart"/>
      <w:r>
        <w:t>substitute</w:t>
      </w:r>
      <w:proofErr w:type="gramEnd"/>
    </w:p>
    <w:tbl>
      <w:tblPr>
        <w:tblStyle w:val="TableGrid"/>
        <w:tblW w:w="7768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840"/>
        <w:gridCol w:w="4110"/>
      </w:tblGrid>
      <w:tr w:rsidR="00CF5A39" w:rsidRPr="000D081D" w14:paraId="72F93C26" w14:textId="77777777" w:rsidTr="00A011FD">
        <w:trPr>
          <w:tblHeader/>
        </w:trPr>
        <w:tc>
          <w:tcPr>
            <w:tcW w:w="818" w:type="dxa"/>
            <w:tcBorders>
              <w:bottom w:val="single" w:sz="4" w:space="0" w:color="auto"/>
            </w:tcBorders>
            <w:vAlign w:val="bottom"/>
          </w:tcPr>
          <w:p w14:paraId="20E61847" w14:textId="77777777" w:rsidR="00CF5A39" w:rsidRPr="000D081D" w:rsidRDefault="00CF5A39" w:rsidP="00A011FD">
            <w:pPr>
              <w:pStyle w:val="LDTableheading"/>
            </w:pPr>
            <w:r w:rsidRPr="000D081D">
              <w:t>Item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363E21B4" w14:textId="52DE8254" w:rsidR="00CF5A39" w:rsidRPr="000D081D" w:rsidRDefault="00A011FD" w:rsidP="00A011FD">
            <w:pPr>
              <w:pStyle w:val="LDTableheading"/>
            </w:pPr>
            <w:r>
              <w:t>Location of intermodal transfer facility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14:paraId="089FBBEE" w14:textId="465C54F8" w:rsidR="00CF5A39" w:rsidRPr="000D081D" w:rsidRDefault="00C05A87" w:rsidP="00A011FD">
            <w:pPr>
              <w:pStyle w:val="LDTableheading"/>
            </w:pPr>
            <w:r>
              <w:t>Entity</w:t>
            </w:r>
          </w:p>
        </w:tc>
      </w:tr>
      <w:tr w:rsidR="00CF5A39" w:rsidRPr="0059331C" w14:paraId="21DB8FD2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E8581D4" w14:textId="77777777" w:rsidR="00CF5A39" w:rsidRPr="0059331C" w:rsidRDefault="00CF5A39" w:rsidP="00680233">
            <w:pPr>
              <w:pStyle w:val="LDTabletext"/>
            </w:pPr>
            <w:r w:rsidRPr="0059331C">
              <w:t>1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2D27DF4" w14:textId="79A184F5" w:rsidR="00CF5A39" w:rsidRPr="0059331C" w:rsidRDefault="00CF5A39" w:rsidP="00680233">
            <w:pPr>
              <w:pStyle w:val="LDTabletext"/>
            </w:pPr>
            <w:r>
              <w:t>Chullora, NSW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194505B" w14:textId="3298207A" w:rsidR="00CF5A39" w:rsidRPr="0059331C" w:rsidRDefault="00CF5A39" w:rsidP="00CF5A39">
            <w:pPr>
              <w:pStyle w:val="LDTabletext"/>
            </w:pPr>
            <w:r>
              <w:t>Pacific National (ABN 48 052 134 362)</w:t>
            </w:r>
          </w:p>
        </w:tc>
      </w:tr>
      <w:tr w:rsidR="00CF5A39" w:rsidRPr="000D081D" w14:paraId="3C83AFF0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7F29402E" w14:textId="77777777" w:rsidR="00CF5A39" w:rsidRPr="000D081D" w:rsidRDefault="00CF5A39" w:rsidP="00680233">
            <w:pPr>
              <w:pStyle w:val="LDTabletext"/>
            </w:pPr>
            <w:r w:rsidRPr="000D081D">
              <w:t>2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C901D31" w14:textId="1D63769A" w:rsidR="00CF5A39" w:rsidRPr="000D081D" w:rsidRDefault="00C05A87" w:rsidP="00680233">
            <w:pPr>
              <w:pStyle w:val="LDTabletext"/>
            </w:pPr>
            <w:r>
              <w:t>Parkes, NSW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5075BC1" w14:textId="77777777" w:rsidR="00CF5A39" w:rsidRDefault="00C05A87" w:rsidP="00C05A87">
            <w:pPr>
              <w:pStyle w:val="LDTabletext"/>
              <w:numPr>
                <w:ilvl w:val="0"/>
                <w:numId w:val="26"/>
              </w:numPr>
              <w:ind w:left="465"/>
            </w:pPr>
            <w:r>
              <w:t xml:space="preserve">Pacific National (ABN 48 052 134 362); and </w:t>
            </w:r>
          </w:p>
          <w:p w14:paraId="6FBCE3FF" w14:textId="6D4AB4C0" w:rsidR="00C05A87" w:rsidRPr="000D081D" w:rsidRDefault="00C05A87" w:rsidP="00C05A87">
            <w:pPr>
              <w:pStyle w:val="LDTabletext"/>
              <w:numPr>
                <w:ilvl w:val="0"/>
                <w:numId w:val="26"/>
              </w:numPr>
              <w:ind w:left="465"/>
            </w:pPr>
            <w:r>
              <w:t>SCT Logistics (ABN 83 139 383 761)</w:t>
            </w:r>
          </w:p>
        </w:tc>
      </w:tr>
      <w:tr w:rsidR="00CF5A39" w:rsidRPr="000D081D" w14:paraId="1D440964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C1FBC80" w14:textId="7D932685" w:rsidR="00CF5A39" w:rsidRPr="000D081D" w:rsidRDefault="00C05A87" w:rsidP="00680233">
            <w:pPr>
              <w:pStyle w:val="LDTabletext"/>
            </w:pPr>
            <w:r>
              <w:t>3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88F7468" w14:textId="7696B689" w:rsidR="00CF5A39" w:rsidRPr="000D081D" w:rsidRDefault="00C05A87" w:rsidP="00680233">
            <w:pPr>
              <w:pStyle w:val="LDTabletext"/>
            </w:pPr>
            <w:r>
              <w:t>Altona, Victoria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271A7ED" w14:textId="26DD3EA7" w:rsidR="00CF5A39" w:rsidRPr="000D081D" w:rsidRDefault="00C05A87" w:rsidP="00680233">
            <w:pPr>
              <w:pStyle w:val="LDTabletext"/>
            </w:pPr>
            <w:r>
              <w:t>SCT Logistics (ABN 83 139 383 761)</w:t>
            </w:r>
          </w:p>
        </w:tc>
      </w:tr>
      <w:tr w:rsidR="00CF5A39" w:rsidRPr="000D081D" w14:paraId="4640227B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2FFF7F0" w14:textId="20AA8AA4" w:rsidR="00CF5A39" w:rsidRPr="000D081D" w:rsidRDefault="00C05A87" w:rsidP="00680233">
            <w:pPr>
              <w:pStyle w:val="LDTabletext"/>
            </w:pPr>
            <w:r>
              <w:t>4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0D76FDC" w14:textId="79DBF54D" w:rsidR="00CF5A39" w:rsidRPr="000D081D" w:rsidRDefault="00C05A87" w:rsidP="00680233">
            <w:pPr>
              <w:pStyle w:val="LDTabletext"/>
            </w:pPr>
            <w:proofErr w:type="spellStart"/>
            <w:r>
              <w:t>Barnawatha</w:t>
            </w:r>
            <w:proofErr w:type="spellEnd"/>
            <w:r>
              <w:t>, Victoria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63EAEAD7" w14:textId="5180FD27" w:rsidR="00CF5A39" w:rsidRPr="000D081D" w:rsidRDefault="00C05A87" w:rsidP="00680233">
            <w:pPr>
              <w:pStyle w:val="LDTabletext"/>
            </w:pPr>
            <w:r>
              <w:t>SCT Logistics (ABN 83 139 383 761)</w:t>
            </w:r>
          </w:p>
        </w:tc>
      </w:tr>
      <w:tr w:rsidR="00CF5A39" w:rsidRPr="000D081D" w14:paraId="7B6E38A4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3906F961" w14:textId="6095E839" w:rsidR="00CF5A39" w:rsidRPr="000D081D" w:rsidRDefault="00C05A87" w:rsidP="00680233">
            <w:pPr>
              <w:pStyle w:val="LDTabletext"/>
            </w:pPr>
            <w:r>
              <w:t>5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B99C378" w14:textId="18B8815E" w:rsidR="00CF5A39" w:rsidRPr="000D081D" w:rsidRDefault="00C05A87" w:rsidP="00680233">
            <w:pPr>
              <w:pStyle w:val="LDTabletext"/>
            </w:pPr>
            <w:proofErr w:type="spellStart"/>
            <w:r>
              <w:t>Dynon</w:t>
            </w:r>
            <w:proofErr w:type="spellEnd"/>
            <w:r>
              <w:t>—North, Victoria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02664B98" w14:textId="384CB619" w:rsidR="008C379A" w:rsidRDefault="00FA6BB8" w:rsidP="008C379A">
            <w:pPr>
              <w:pStyle w:val="LDTabletext"/>
              <w:numPr>
                <w:ilvl w:val="0"/>
                <w:numId w:val="27"/>
              </w:numPr>
              <w:ind w:left="458"/>
            </w:pPr>
            <w:r>
              <w:t>QUBE Logistics (Victoria) Pty Ltd (</w:t>
            </w:r>
            <w:r w:rsidR="008C379A">
              <w:t>ABN 72 092 352 </w:t>
            </w:r>
            <w:r w:rsidR="00A91E05" w:rsidRPr="00A91E05">
              <w:t>228</w:t>
            </w:r>
            <w:r>
              <w:t>)</w:t>
            </w:r>
            <w:r w:rsidR="008C379A">
              <w:t xml:space="preserve">; and </w:t>
            </w:r>
          </w:p>
          <w:p w14:paraId="34ECCC81" w14:textId="3A309CF9" w:rsidR="00CF5A39" w:rsidRPr="000D081D" w:rsidRDefault="00A91E05" w:rsidP="008C379A">
            <w:pPr>
              <w:pStyle w:val="LDTabletext"/>
              <w:numPr>
                <w:ilvl w:val="0"/>
                <w:numId w:val="27"/>
              </w:numPr>
              <w:ind w:left="458"/>
            </w:pPr>
            <w:r>
              <w:t>Victo</w:t>
            </w:r>
            <w:r w:rsidR="008C379A">
              <w:t>rian Rail Track (</w:t>
            </w:r>
            <w:proofErr w:type="spellStart"/>
            <w:r w:rsidR="008C379A">
              <w:t>VicTrack</w:t>
            </w:r>
            <w:proofErr w:type="spellEnd"/>
            <w:r w:rsidR="008C379A">
              <w:t>) (ABN 55 </w:t>
            </w:r>
            <w:r>
              <w:t>04</w:t>
            </w:r>
            <w:r w:rsidRPr="00A91E05">
              <w:t>7</w:t>
            </w:r>
            <w:r w:rsidR="008C379A">
              <w:t> </w:t>
            </w:r>
            <w:r>
              <w:t>31</w:t>
            </w:r>
            <w:r w:rsidRPr="00A91E05">
              <w:t>6</w:t>
            </w:r>
            <w:r w:rsidR="008C379A">
              <w:t> </w:t>
            </w:r>
            <w:r w:rsidRPr="00A91E05">
              <w:t>805</w:t>
            </w:r>
            <w:r>
              <w:t>)</w:t>
            </w:r>
          </w:p>
        </w:tc>
      </w:tr>
      <w:tr w:rsidR="00CF5A39" w:rsidRPr="000D081D" w14:paraId="07F22BB5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3DCACF8" w14:textId="358C6CC7" w:rsidR="00CF5A39" w:rsidRPr="000D081D" w:rsidRDefault="00C05A87" w:rsidP="00680233">
            <w:pPr>
              <w:pStyle w:val="LDTabletext"/>
            </w:pPr>
            <w:r>
              <w:t>6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3E44F28" w14:textId="186E27F3" w:rsidR="00CF5A39" w:rsidRPr="000D081D" w:rsidRDefault="00C05A87" w:rsidP="00680233">
            <w:pPr>
              <w:pStyle w:val="LDTabletext"/>
            </w:pPr>
            <w:proofErr w:type="spellStart"/>
            <w:r>
              <w:t>Dynon</w:t>
            </w:r>
            <w:proofErr w:type="spellEnd"/>
            <w:r>
              <w:t>—South, Victoria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8BD79B0" w14:textId="3EF8F4F0" w:rsidR="00CF5A39" w:rsidRPr="000D081D" w:rsidRDefault="00C05A87" w:rsidP="00680233">
            <w:pPr>
              <w:pStyle w:val="LDTabletext"/>
            </w:pPr>
            <w:r>
              <w:t>Pacific National (ABN 48 052 134 362)</w:t>
            </w:r>
          </w:p>
        </w:tc>
      </w:tr>
      <w:tr w:rsidR="00CF5A39" w:rsidRPr="000D081D" w14:paraId="33CD2199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76190215" w14:textId="64C44C41" w:rsidR="00CF5A39" w:rsidRPr="000D081D" w:rsidRDefault="00C05A87" w:rsidP="00680233">
            <w:pPr>
              <w:pStyle w:val="LDTabletext"/>
            </w:pPr>
            <w:r>
              <w:t>7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871C60F" w14:textId="6FD01DA0" w:rsidR="00CF5A39" w:rsidRPr="000D081D" w:rsidRDefault="00C05A87" w:rsidP="00680233">
            <w:pPr>
              <w:pStyle w:val="LDTabletext"/>
            </w:pPr>
            <w:r>
              <w:t>Acacia Ridge, Queensland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FC7EC9C" w14:textId="20C92942" w:rsidR="00CF5A39" w:rsidRPr="000D081D" w:rsidRDefault="00C05A87" w:rsidP="00680233">
            <w:pPr>
              <w:pStyle w:val="LDTabletext"/>
            </w:pPr>
            <w:r>
              <w:t>Pacific National (ABN 48 052 134 362)</w:t>
            </w:r>
          </w:p>
        </w:tc>
      </w:tr>
      <w:tr w:rsidR="00CF5A39" w:rsidRPr="000D081D" w14:paraId="2539A5AA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7B98DC89" w14:textId="6816484D" w:rsidR="00CF5A39" w:rsidRPr="000D081D" w:rsidRDefault="00C05A87" w:rsidP="00680233">
            <w:pPr>
              <w:pStyle w:val="LDTabletext"/>
            </w:pPr>
            <w:r>
              <w:t>8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32516ECE" w14:textId="613D01C1" w:rsidR="00CF5A39" w:rsidRPr="000D081D" w:rsidRDefault="00C05A87" w:rsidP="00680233">
            <w:pPr>
              <w:pStyle w:val="LDTabletext"/>
            </w:pPr>
            <w:proofErr w:type="spellStart"/>
            <w:r>
              <w:t>Bromelton</w:t>
            </w:r>
            <w:proofErr w:type="spellEnd"/>
            <w:r>
              <w:t>, Queensland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9149233" w14:textId="74597163" w:rsidR="00CF5A39" w:rsidRPr="000D081D" w:rsidRDefault="00C05A87" w:rsidP="00680233">
            <w:pPr>
              <w:pStyle w:val="LDTabletext"/>
            </w:pPr>
            <w:r>
              <w:t>SCT Logistics (ABN 83 139 383 761)</w:t>
            </w:r>
          </w:p>
        </w:tc>
      </w:tr>
      <w:tr w:rsidR="00CF5A39" w:rsidRPr="000D081D" w14:paraId="5D444F70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39C9270F" w14:textId="08059C47" w:rsidR="00CF5A39" w:rsidRPr="000D081D" w:rsidRDefault="00C05A87" w:rsidP="00680233">
            <w:pPr>
              <w:pStyle w:val="LDTabletext"/>
            </w:pPr>
            <w:r>
              <w:t>9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74EC482E" w14:textId="451C5E89" w:rsidR="00CF5A39" w:rsidRPr="000D081D" w:rsidRDefault="00C05A87" w:rsidP="00680233">
            <w:pPr>
              <w:pStyle w:val="LDTabletext"/>
            </w:pPr>
            <w:r>
              <w:t>Townsville, Queensland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79A15D5" w14:textId="5144A54F" w:rsidR="00CF5A39" w:rsidRPr="000D081D" w:rsidRDefault="00C05A87" w:rsidP="00680233">
            <w:pPr>
              <w:pStyle w:val="LDTabletext"/>
            </w:pPr>
            <w:r>
              <w:t>Linfox (ABN 87 648 327 413)</w:t>
            </w:r>
          </w:p>
        </w:tc>
      </w:tr>
      <w:tr w:rsidR="00C05A87" w:rsidRPr="000D081D" w14:paraId="32A6E2A3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1406B957" w14:textId="543D362F" w:rsidR="00C05A87" w:rsidRDefault="00C05A87" w:rsidP="00680233">
            <w:pPr>
              <w:pStyle w:val="LDTabletext"/>
            </w:pPr>
            <w:r>
              <w:t>10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61010257" w14:textId="5F257288" w:rsidR="00C05A87" w:rsidRDefault="00C05A87" w:rsidP="00680233">
            <w:pPr>
              <w:pStyle w:val="LDTabletext"/>
            </w:pPr>
            <w:r>
              <w:t>Islington, South Australia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EC3A53C" w14:textId="0DAFC8B0" w:rsidR="00C05A87" w:rsidRDefault="00C05A87" w:rsidP="00680233">
            <w:pPr>
              <w:pStyle w:val="LDTabletext"/>
            </w:pPr>
            <w:r>
              <w:t>Pacific National (ABN 48 052 134 362)</w:t>
            </w:r>
          </w:p>
        </w:tc>
      </w:tr>
      <w:tr w:rsidR="00C05A87" w:rsidRPr="000D081D" w14:paraId="2EF00DD2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73A5F22F" w14:textId="3F29E868" w:rsidR="00C05A87" w:rsidRDefault="00C05A87" w:rsidP="00C05A87">
            <w:pPr>
              <w:pStyle w:val="LDTabletext"/>
            </w:pPr>
            <w:r>
              <w:t>11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4048EADD" w14:textId="7AE1FEAB" w:rsidR="00C05A87" w:rsidRDefault="00C05A87" w:rsidP="00C05A87">
            <w:pPr>
              <w:pStyle w:val="LDTabletext"/>
            </w:pPr>
            <w:r>
              <w:t>Penfield, South Australia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866E871" w14:textId="57A7CD4F" w:rsidR="00C05A87" w:rsidRDefault="00C05A87" w:rsidP="00C05A87">
            <w:pPr>
              <w:pStyle w:val="LDTabletext"/>
            </w:pPr>
            <w:r>
              <w:t>SCT Logistics (ABN 83 139 383 761)</w:t>
            </w:r>
          </w:p>
        </w:tc>
      </w:tr>
      <w:tr w:rsidR="00C05A87" w:rsidRPr="000D081D" w14:paraId="32E943BA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0289F431" w14:textId="0F2D7CA6" w:rsidR="00C05A87" w:rsidRPr="000D081D" w:rsidRDefault="00C05A87" w:rsidP="00C05A87">
            <w:pPr>
              <w:pStyle w:val="LDTabletext"/>
            </w:pPr>
            <w:r>
              <w:t>12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0169AF35" w14:textId="348C4247" w:rsidR="00C05A87" w:rsidRPr="000D081D" w:rsidRDefault="00C05A87" w:rsidP="00C05A87">
            <w:pPr>
              <w:pStyle w:val="LDTabletext"/>
            </w:pPr>
            <w:r>
              <w:t>Forrestfield, Western Australia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4E732899" w14:textId="60047662" w:rsidR="00C05A87" w:rsidRPr="000D081D" w:rsidRDefault="00C05A87" w:rsidP="00C05A87">
            <w:pPr>
              <w:pStyle w:val="LDTabletext"/>
            </w:pPr>
            <w:r>
              <w:t>SCT Logistics (ABN 83 139 383 761)</w:t>
            </w:r>
          </w:p>
        </w:tc>
      </w:tr>
      <w:tr w:rsidR="00C05A87" w:rsidRPr="000D081D" w14:paraId="1F0A83F2" w14:textId="77777777" w:rsidTr="00A011FD"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14:paraId="5C6CD631" w14:textId="13010E11" w:rsidR="00C05A87" w:rsidRDefault="00C05A87" w:rsidP="004B4FE5">
            <w:pPr>
              <w:pStyle w:val="LDTabletext"/>
              <w:keepNext/>
            </w:pPr>
            <w:r>
              <w:lastRenderedPageBreak/>
              <w:t>13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</w:tcPr>
          <w:p w14:paraId="5661FC74" w14:textId="071D89CD" w:rsidR="00C05A87" w:rsidRDefault="00C05A87" w:rsidP="004B4FE5">
            <w:pPr>
              <w:pStyle w:val="LDTabletext"/>
              <w:keepNext/>
            </w:pPr>
            <w:r>
              <w:t>Brighton Transport Hub, Tasmania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58F7ED7E" w14:textId="6EC160C5" w:rsidR="008C379A" w:rsidRDefault="00FA6BB8" w:rsidP="004B4FE5">
            <w:pPr>
              <w:pStyle w:val="LDTabletext"/>
              <w:keepNext/>
              <w:numPr>
                <w:ilvl w:val="0"/>
                <w:numId w:val="28"/>
              </w:numPr>
              <w:ind w:left="458"/>
            </w:pPr>
            <w:r>
              <w:t>Tasmanian Railw</w:t>
            </w:r>
            <w:r w:rsidR="008C379A">
              <w:t xml:space="preserve">ay Pty Ltd (ABN 83 139 383 761); and </w:t>
            </w:r>
          </w:p>
          <w:p w14:paraId="081EC224" w14:textId="65E7FC2B" w:rsidR="00C05A87" w:rsidRPr="000D081D" w:rsidRDefault="00C05A87" w:rsidP="004B4FE5">
            <w:pPr>
              <w:pStyle w:val="LDTabletext"/>
              <w:keepNext/>
              <w:numPr>
                <w:ilvl w:val="0"/>
                <w:numId w:val="28"/>
              </w:numPr>
              <w:ind w:left="458"/>
            </w:pPr>
            <w:r>
              <w:t>IPEC Pty Limited (ABN 15 084 157 666)</w:t>
            </w:r>
          </w:p>
        </w:tc>
      </w:tr>
    </w:tbl>
    <w:p w14:paraId="02453A6C" w14:textId="777494A9" w:rsidR="005A34B4" w:rsidRDefault="005A34B4" w:rsidP="001B155A"/>
    <w:sectPr w:rsidR="005A34B4" w:rsidSect="008D011C">
      <w:headerReference w:type="default" r:id="rId12"/>
      <w:footerReference w:type="default" r:id="rId13"/>
      <w:pgSz w:w="11907" w:h="16839" w:code="9"/>
      <w:pgMar w:top="1361" w:right="1701" w:bottom="136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6FFA8" w14:textId="77777777" w:rsidR="004C5E04" w:rsidRDefault="004C5E04" w:rsidP="00715914">
      <w:pPr>
        <w:spacing w:line="240" w:lineRule="auto"/>
      </w:pPr>
      <w:r>
        <w:separator/>
      </w:r>
    </w:p>
    <w:p w14:paraId="157AB94F" w14:textId="77777777" w:rsidR="004C5E04" w:rsidRDefault="004C5E04"/>
    <w:p w14:paraId="2023C70B" w14:textId="77777777" w:rsidR="004C5E04" w:rsidRDefault="004C5E04"/>
  </w:endnote>
  <w:endnote w:type="continuationSeparator" w:id="0">
    <w:p w14:paraId="347E4EBA" w14:textId="77777777" w:rsidR="004C5E04" w:rsidRDefault="004C5E04" w:rsidP="00715914">
      <w:pPr>
        <w:spacing w:line="240" w:lineRule="auto"/>
      </w:pPr>
      <w:r>
        <w:continuationSeparator/>
      </w:r>
    </w:p>
    <w:p w14:paraId="6C9F04C4" w14:textId="77777777" w:rsidR="004C5E04" w:rsidRDefault="004C5E04"/>
    <w:p w14:paraId="2B86D32F" w14:textId="77777777" w:rsidR="004C5E04" w:rsidRDefault="004C5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BAC2D" w14:textId="5852D592" w:rsidR="00494305" w:rsidRPr="007C5FDD" w:rsidRDefault="00C852B5" w:rsidP="00494305">
    <w:pPr>
      <w:pStyle w:val="LDFooter"/>
    </w:pPr>
    <w:r w:rsidRPr="00C852B5">
      <w:rPr>
        <w:rStyle w:val="LDItal"/>
      </w:rPr>
      <w:t>Security of Critical Infrastructure (Definitions) Amendment Rules (LIN 22/021) 2022</w:t>
    </w:r>
  </w:p>
  <w:p w14:paraId="3598F83D" w14:textId="2E44F262" w:rsidR="00B714F2" w:rsidRPr="007C5FDD" w:rsidRDefault="00C852B5" w:rsidP="00494305">
    <w:pPr>
      <w:pStyle w:val="LDFooter"/>
      <w:tabs>
        <w:tab w:val="right" w:pos="9639"/>
      </w:tabs>
    </w:pPr>
    <w:r>
      <w:t>LIN 22/021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0332E8">
      <w:rPr>
        <w:noProof/>
      </w:rPr>
      <w:t>3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2B76B" w14:textId="77777777" w:rsidR="004C5E04" w:rsidRDefault="004C5E04" w:rsidP="00715914">
      <w:pPr>
        <w:spacing w:line="240" w:lineRule="auto"/>
      </w:pPr>
      <w:r>
        <w:separator/>
      </w:r>
    </w:p>
    <w:p w14:paraId="2DE383B3" w14:textId="77777777" w:rsidR="004C5E04" w:rsidRDefault="004C5E04"/>
    <w:p w14:paraId="0C403F60" w14:textId="77777777" w:rsidR="004C5E04" w:rsidRDefault="004C5E04"/>
  </w:footnote>
  <w:footnote w:type="continuationSeparator" w:id="0">
    <w:p w14:paraId="0685EABE" w14:textId="77777777" w:rsidR="004C5E04" w:rsidRDefault="004C5E04" w:rsidP="00715914">
      <w:pPr>
        <w:spacing w:line="240" w:lineRule="auto"/>
      </w:pPr>
      <w:r>
        <w:continuationSeparator/>
      </w:r>
    </w:p>
    <w:p w14:paraId="5A8B32C5" w14:textId="77777777" w:rsidR="004C5E04" w:rsidRDefault="004C5E04"/>
    <w:p w14:paraId="29278ECD" w14:textId="77777777" w:rsidR="004C5E04" w:rsidRDefault="004C5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006B" w14:textId="77777777" w:rsidR="00101C86" w:rsidRDefault="00101C86" w:rsidP="00101C86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B6210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87C5E04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E55CFD"/>
    <w:multiLevelType w:val="hybridMultilevel"/>
    <w:tmpl w:val="55B6BB7E"/>
    <w:lvl w:ilvl="0" w:tplc="7A0A6E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7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20"/>
  </w:num>
  <w:num w:numId="18">
    <w:abstractNumId w:val="22"/>
  </w:num>
  <w:num w:numId="19">
    <w:abstractNumId w:val="10"/>
  </w:num>
  <w:num w:numId="20">
    <w:abstractNumId w:val="27"/>
  </w:num>
  <w:num w:numId="21">
    <w:abstractNumId w:val="18"/>
  </w:num>
  <w:num w:numId="22">
    <w:abstractNumId w:val="21"/>
  </w:num>
  <w:num w:numId="23">
    <w:abstractNumId w:val="24"/>
  </w:num>
  <w:num w:numId="24">
    <w:abstractNumId w:val="26"/>
  </w:num>
  <w:num w:numId="25">
    <w:abstractNumId w:val="12"/>
  </w:num>
  <w:num w:numId="26">
    <w:abstractNumId w:val="17"/>
  </w:num>
  <w:num w:numId="27">
    <w:abstractNumId w:val="2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04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32E8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83E36"/>
    <w:rsid w:val="000978F5"/>
    <w:rsid w:val="000A3E46"/>
    <w:rsid w:val="000B14AD"/>
    <w:rsid w:val="000B15CD"/>
    <w:rsid w:val="000B35EB"/>
    <w:rsid w:val="000B3719"/>
    <w:rsid w:val="000C7C03"/>
    <w:rsid w:val="000D05EF"/>
    <w:rsid w:val="000D081D"/>
    <w:rsid w:val="000E0BC4"/>
    <w:rsid w:val="000E2261"/>
    <w:rsid w:val="000E7118"/>
    <w:rsid w:val="000E78B7"/>
    <w:rsid w:val="000F21C1"/>
    <w:rsid w:val="000F29C1"/>
    <w:rsid w:val="000F5B84"/>
    <w:rsid w:val="00101C86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6C2F"/>
    <w:rsid w:val="001809D7"/>
    <w:rsid w:val="00182C05"/>
    <w:rsid w:val="00182EAC"/>
    <w:rsid w:val="00182F81"/>
    <w:rsid w:val="00191881"/>
    <w:rsid w:val="001939E1"/>
    <w:rsid w:val="00194C3E"/>
    <w:rsid w:val="00195382"/>
    <w:rsid w:val="001979C7"/>
    <w:rsid w:val="001B155A"/>
    <w:rsid w:val="001B1978"/>
    <w:rsid w:val="001B2CB6"/>
    <w:rsid w:val="001C1715"/>
    <w:rsid w:val="001C61C5"/>
    <w:rsid w:val="001C6494"/>
    <w:rsid w:val="001C69C4"/>
    <w:rsid w:val="001D1880"/>
    <w:rsid w:val="001D37EF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22018"/>
    <w:rsid w:val="002321E8"/>
    <w:rsid w:val="00232984"/>
    <w:rsid w:val="00237C31"/>
    <w:rsid w:val="0024010F"/>
    <w:rsid w:val="00240749"/>
    <w:rsid w:val="00243018"/>
    <w:rsid w:val="00247348"/>
    <w:rsid w:val="00252279"/>
    <w:rsid w:val="002564A4"/>
    <w:rsid w:val="0026736C"/>
    <w:rsid w:val="002707CD"/>
    <w:rsid w:val="0027325B"/>
    <w:rsid w:val="00281308"/>
    <w:rsid w:val="00281AEE"/>
    <w:rsid w:val="00284719"/>
    <w:rsid w:val="00297ECB"/>
    <w:rsid w:val="002A506E"/>
    <w:rsid w:val="002A7BCF"/>
    <w:rsid w:val="002B2473"/>
    <w:rsid w:val="002C3FD1"/>
    <w:rsid w:val="002D043A"/>
    <w:rsid w:val="002D266B"/>
    <w:rsid w:val="002D43A4"/>
    <w:rsid w:val="002D6224"/>
    <w:rsid w:val="002D67E8"/>
    <w:rsid w:val="002F5727"/>
    <w:rsid w:val="003040B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76996"/>
    <w:rsid w:val="0038049F"/>
    <w:rsid w:val="003B3646"/>
    <w:rsid w:val="003C12FE"/>
    <w:rsid w:val="003C6231"/>
    <w:rsid w:val="003C6D52"/>
    <w:rsid w:val="003C7F9F"/>
    <w:rsid w:val="003D0BFE"/>
    <w:rsid w:val="003D34D7"/>
    <w:rsid w:val="003D4259"/>
    <w:rsid w:val="003D5700"/>
    <w:rsid w:val="003E183E"/>
    <w:rsid w:val="003E341B"/>
    <w:rsid w:val="003E4D00"/>
    <w:rsid w:val="003F28BC"/>
    <w:rsid w:val="004116CD"/>
    <w:rsid w:val="00417133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58A"/>
    <w:rsid w:val="00487764"/>
    <w:rsid w:val="00490D54"/>
    <w:rsid w:val="00494305"/>
    <w:rsid w:val="004951EF"/>
    <w:rsid w:val="00496F97"/>
    <w:rsid w:val="004A23DC"/>
    <w:rsid w:val="004A7042"/>
    <w:rsid w:val="004A78E0"/>
    <w:rsid w:val="004B4FE5"/>
    <w:rsid w:val="004B6C48"/>
    <w:rsid w:val="004C3385"/>
    <w:rsid w:val="004C4E59"/>
    <w:rsid w:val="004C5E04"/>
    <w:rsid w:val="004C6809"/>
    <w:rsid w:val="004D4B19"/>
    <w:rsid w:val="004E063A"/>
    <w:rsid w:val="004E1307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7FBC"/>
    <w:rsid w:val="00540812"/>
    <w:rsid w:val="00541EBC"/>
    <w:rsid w:val="00551357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AA6"/>
    <w:rsid w:val="00593BA7"/>
    <w:rsid w:val="00594161"/>
    <w:rsid w:val="00594749"/>
    <w:rsid w:val="005A2ACC"/>
    <w:rsid w:val="005A34B4"/>
    <w:rsid w:val="005A65D5"/>
    <w:rsid w:val="005B4067"/>
    <w:rsid w:val="005C2C89"/>
    <w:rsid w:val="005C2D26"/>
    <w:rsid w:val="005C3F41"/>
    <w:rsid w:val="005C48B1"/>
    <w:rsid w:val="005D1D92"/>
    <w:rsid w:val="005D2D09"/>
    <w:rsid w:val="005D59DF"/>
    <w:rsid w:val="00600219"/>
    <w:rsid w:val="00604F2A"/>
    <w:rsid w:val="00607C3E"/>
    <w:rsid w:val="00620076"/>
    <w:rsid w:val="0062192F"/>
    <w:rsid w:val="006224B1"/>
    <w:rsid w:val="0062438A"/>
    <w:rsid w:val="006273BE"/>
    <w:rsid w:val="00627E0A"/>
    <w:rsid w:val="006303E3"/>
    <w:rsid w:val="006504D5"/>
    <w:rsid w:val="00651007"/>
    <w:rsid w:val="0065488B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39CA"/>
    <w:rsid w:val="0069408C"/>
    <w:rsid w:val="00694E6D"/>
    <w:rsid w:val="00695A3E"/>
    <w:rsid w:val="006A154F"/>
    <w:rsid w:val="006A437B"/>
    <w:rsid w:val="006B5789"/>
    <w:rsid w:val="006C30C5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0134"/>
    <w:rsid w:val="00713084"/>
    <w:rsid w:val="0071448F"/>
    <w:rsid w:val="00714F20"/>
    <w:rsid w:val="0071590F"/>
    <w:rsid w:val="00715914"/>
    <w:rsid w:val="00715D5E"/>
    <w:rsid w:val="007160BC"/>
    <w:rsid w:val="0072147A"/>
    <w:rsid w:val="007235A0"/>
    <w:rsid w:val="00723791"/>
    <w:rsid w:val="00724526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4435"/>
    <w:rsid w:val="00807D62"/>
    <w:rsid w:val="008117E9"/>
    <w:rsid w:val="00824498"/>
    <w:rsid w:val="00825587"/>
    <w:rsid w:val="00826BD1"/>
    <w:rsid w:val="00832267"/>
    <w:rsid w:val="0084208C"/>
    <w:rsid w:val="0084375B"/>
    <w:rsid w:val="00850046"/>
    <w:rsid w:val="00854D0B"/>
    <w:rsid w:val="00856A31"/>
    <w:rsid w:val="00860B4E"/>
    <w:rsid w:val="00867B37"/>
    <w:rsid w:val="008754D0"/>
    <w:rsid w:val="00875D13"/>
    <w:rsid w:val="00881923"/>
    <w:rsid w:val="008855C9"/>
    <w:rsid w:val="00886456"/>
    <w:rsid w:val="0088653B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379A"/>
    <w:rsid w:val="008D011C"/>
    <w:rsid w:val="008D0EE0"/>
    <w:rsid w:val="008D1341"/>
    <w:rsid w:val="008E0027"/>
    <w:rsid w:val="008E31A1"/>
    <w:rsid w:val="008E6067"/>
    <w:rsid w:val="008F3675"/>
    <w:rsid w:val="008F54E7"/>
    <w:rsid w:val="00903422"/>
    <w:rsid w:val="00905A44"/>
    <w:rsid w:val="00906CEE"/>
    <w:rsid w:val="00916E8D"/>
    <w:rsid w:val="009228CB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573CA"/>
    <w:rsid w:val="00964CF0"/>
    <w:rsid w:val="009713DE"/>
    <w:rsid w:val="00973DC6"/>
    <w:rsid w:val="00977806"/>
    <w:rsid w:val="00980BEC"/>
    <w:rsid w:val="00982242"/>
    <w:rsid w:val="009868E9"/>
    <w:rsid w:val="009900A3"/>
    <w:rsid w:val="00994EB3"/>
    <w:rsid w:val="00995433"/>
    <w:rsid w:val="009A7C1F"/>
    <w:rsid w:val="009C215C"/>
    <w:rsid w:val="009C3413"/>
    <w:rsid w:val="009C4566"/>
    <w:rsid w:val="009D0C05"/>
    <w:rsid w:val="009E09B1"/>
    <w:rsid w:val="009F13F4"/>
    <w:rsid w:val="009F49B2"/>
    <w:rsid w:val="009F69F1"/>
    <w:rsid w:val="00A011FD"/>
    <w:rsid w:val="00A0441E"/>
    <w:rsid w:val="00A06CA5"/>
    <w:rsid w:val="00A12128"/>
    <w:rsid w:val="00A127E7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1E05"/>
    <w:rsid w:val="00A93040"/>
    <w:rsid w:val="00A94216"/>
    <w:rsid w:val="00AA2CB1"/>
    <w:rsid w:val="00AA7A1C"/>
    <w:rsid w:val="00AB4502"/>
    <w:rsid w:val="00AC72C8"/>
    <w:rsid w:val="00AD20A2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831"/>
    <w:rsid w:val="00B308FE"/>
    <w:rsid w:val="00B31A19"/>
    <w:rsid w:val="00B33709"/>
    <w:rsid w:val="00B33B3C"/>
    <w:rsid w:val="00B36392"/>
    <w:rsid w:val="00B367EE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43F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5A87"/>
    <w:rsid w:val="00C06FBA"/>
    <w:rsid w:val="00C16619"/>
    <w:rsid w:val="00C21424"/>
    <w:rsid w:val="00C21F16"/>
    <w:rsid w:val="00C25E7F"/>
    <w:rsid w:val="00C2746F"/>
    <w:rsid w:val="00C323D6"/>
    <w:rsid w:val="00C324A0"/>
    <w:rsid w:val="00C42BF8"/>
    <w:rsid w:val="00C50043"/>
    <w:rsid w:val="00C562C7"/>
    <w:rsid w:val="00C57992"/>
    <w:rsid w:val="00C73B6F"/>
    <w:rsid w:val="00C7573B"/>
    <w:rsid w:val="00C852B5"/>
    <w:rsid w:val="00C96D4F"/>
    <w:rsid w:val="00C97A54"/>
    <w:rsid w:val="00CA5B23"/>
    <w:rsid w:val="00CA7D78"/>
    <w:rsid w:val="00CB13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CF5A39"/>
    <w:rsid w:val="00D13441"/>
    <w:rsid w:val="00D150E7"/>
    <w:rsid w:val="00D32EA1"/>
    <w:rsid w:val="00D5016F"/>
    <w:rsid w:val="00D52DC2"/>
    <w:rsid w:val="00D53BCC"/>
    <w:rsid w:val="00D54C9E"/>
    <w:rsid w:val="00D56422"/>
    <w:rsid w:val="00D6537E"/>
    <w:rsid w:val="00D706D1"/>
    <w:rsid w:val="00D70DFB"/>
    <w:rsid w:val="00D7152D"/>
    <w:rsid w:val="00D766DF"/>
    <w:rsid w:val="00D8206C"/>
    <w:rsid w:val="00D910DF"/>
    <w:rsid w:val="00D91F10"/>
    <w:rsid w:val="00D93DB7"/>
    <w:rsid w:val="00D979C7"/>
    <w:rsid w:val="00DA186E"/>
    <w:rsid w:val="00DA4116"/>
    <w:rsid w:val="00DA4310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F0969"/>
    <w:rsid w:val="00DF2388"/>
    <w:rsid w:val="00E05704"/>
    <w:rsid w:val="00E05CB5"/>
    <w:rsid w:val="00E10B75"/>
    <w:rsid w:val="00E13901"/>
    <w:rsid w:val="00E14961"/>
    <w:rsid w:val="00E23301"/>
    <w:rsid w:val="00E33196"/>
    <w:rsid w:val="00E338EF"/>
    <w:rsid w:val="00E5391B"/>
    <w:rsid w:val="00E544BB"/>
    <w:rsid w:val="00E5543F"/>
    <w:rsid w:val="00E5722B"/>
    <w:rsid w:val="00E6260D"/>
    <w:rsid w:val="00E74DC7"/>
    <w:rsid w:val="00E75C47"/>
    <w:rsid w:val="00E8075A"/>
    <w:rsid w:val="00E85499"/>
    <w:rsid w:val="00E85F33"/>
    <w:rsid w:val="00E91D70"/>
    <w:rsid w:val="00E940D8"/>
    <w:rsid w:val="00E94D5E"/>
    <w:rsid w:val="00EA4D9D"/>
    <w:rsid w:val="00EA6642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37249"/>
    <w:rsid w:val="00F37FB6"/>
    <w:rsid w:val="00F4350D"/>
    <w:rsid w:val="00F479C4"/>
    <w:rsid w:val="00F567F7"/>
    <w:rsid w:val="00F6696E"/>
    <w:rsid w:val="00F73BD6"/>
    <w:rsid w:val="00F7570C"/>
    <w:rsid w:val="00F83989"/>
    <w:rsid w:val="00F85099"/>
    <w:rsid w:val="00F86FAC"/>
    <w:rsid w:val="00F875DC"/>
    <w:rsid w:val="00F87F6A"/>
    <w:rsid w:val="00F9379C"/>
    <w:rsid w:val="00F9452B"/>
    <w:rsid w:val="00F9632C"/>
    <w:rsid w:val="00FA1E52"/>
    <w:rsid w:val="00FA6BB8"/>
    <w:rsid w:val="00FB2787"/>
    <w:rsid w:val="00FB3B69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FE10766"/>
  <w15:docId w15:val="{1A54C1C8-6121-4AAC-BA5D-DC048CE3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7235A0"/>
    <w:pPr>
      <w:ind w:left="1701" w:hanging="1701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7235A0"/>
    <w:pPr>
      <w:ind w:left="1701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AmendHeading">
    <w:name w:val="LDAmendHeading"/>
    <w:basedOn w:val="Normal"/>
    <w:next w:val="LDAmendInstruction"/>
    <w:rsid w:val="007235A0"/>
    <w:pPr>
      <w:keepNext/>
      <w:spacing w:before="180" w:after="60" w:line="240" w:lineRule="auto"/>
      <w:ind w:left="720" w:hanging="7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AmendInstruction">
    <w:name w:val="LDAmendInstruction"/>
    <w:basedOn w:val="Normal"/>
    <w:next w:val="LDAmendText"/>
    <w:rsid w:val="007235A0"/>
    <w:pPr>
      <w:keepNext/>
      <w:tabs>
        <w:tab w:val="right" w:pos="454"/>
        <w:tab w:val="left" w:pos="737"/>
      </w:tabs>
      <w:spacing w:before="120" w:after="60" w:line="240" w:lineRule="auto"/>
      <w:ind w:left="737"/>
    </w:pPr>
    <w:rPr>
      <w:rFonts w:eastAsia="Times New Roman" w:cs="Times New Roman"/>
      <w:i/>
      <w:sz w:val="24"/>
      <w:szCs w:val="24"/>
    </w:rPr>
  </w:style>
  <w:style w:type="paragraph" w:customStyle="1" w:styleId="LDAmendText">
    <w:name w:val="LDAmendText"/>
    <w:basedOn w:val="LDBodytext"/>
    <w:next w:val="LDAmendInstruction"/>
    <w:rsid w:val="007235A0"/>
    <w:pPr>
      <w:spacing w:before="60" w:after="60"/>
      <w:ind w:left="964"/>
    </w:pPr>
  </w:style>
  <w:style w:type="paragraph" w:styleId="Footer">
    <w:name w:val="footer"/>
    <w:basedOn w:val="Normal"/>
    <w:link w:val="FooterChar"/>
    <w:unhideWhenUsed/>
    <w:rsid w:val="00C21F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1F16"/>
    <w:rPr>
      <w:sz w:val="22"/>
    </w:rPr>
  </w:style>
  <w:style w:type="paragraph" w:customStyle="1" w:styleId="LDTitle">
    <w:name w:val="LDTitle"/>
    <w:rsid w:val="008D011C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4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48MP\AppData\Local\Temp\1\Temp1_Current%20templates%20-%20DEC2021.zip\Minister%20LD%20instrument%20amendment%20template%20210223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9D0E1668-83BF-4573-8A8D-7850E6D93ED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11FE35-68F9-415B-AD21-0C5F70ED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Minister LD instrument amendment template 210223A</Template>
  <TotalTime>1</TotalTime>
  <Pages>3</Pages>
  <Words>438</Words>
  <Characters>2202</Characters>
  <Application>Microsoft Office Word</Application>
  <DocSecurity>0</DocSecurity>
  <Lines>104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Kylie MCKILLOP</dc:creator>
  <cp:lastModifiedBy>Andrew NEWMAN-MARTIN</cp:lastModifiedBy>
  <cp:revision>3</cp:revision>
  <cp:lastPrinted>2022-02-24T03:25:00Z</cp:lastPrinted>
  <dcterms:created xsi:type="dcterms:W3CDTF">2022-03-10T00:26:00Z</dcterms:created>
  <dcterms:modified xsi:type="dcterms:W3CDTF">2022-03-10T00:26:00Z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