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192EF" w14:textId="77777777" w:rsidR="00FB640B" w:rsidRPr="009A3BCB" w:rsidRDefault="0057002B" w:rsidP="00BB0CF2">
      <w:pPr>
        <w:pStyle w:val="ESTitleHeader"/>
      </w:pPr>
      <w:r w:rsidRPr="009A3BCB">
        <w:t>EXPLANATORY STATEMENT</w:t>
      </w:r>
    </w:p>
    <w:p w14:paraId="322E9ABD" w14:textId="77777777" w:rsidR="0057002B" w:rsidRPr="009A3BCB" w:rsidRDefault="0057002B" w:rsidP="00BB0CF2">
      <w:pPr>
        <w:pStyle w:val="ESTitleDecisionMaker"/>
      </w:pPr>
      <w:r w:rsidRPr="009A3BCB">
        <w:t xml:space="preserve">Issued by authority of the </w:t>
      </w:r>
      <w:r w:rsidR="001501CA" w:rsidRPr="009A3BCB">
        <w:t>Minister for Home Affairs</w:t>
      </w:r>
    </w:p>
    <w:p w14:paraId="40F31C2D" w14:textId="77777777" w:rsidR="0057002B" w:rsidRPr="009A3BCB" w:rsidRDefault="001501CA" w:rsidP="00BB0CF2">
      <w:pPr>
        <w:pStyle w:val="ESTitleEnablingLegislation"/>
      </w:pPr>
      <w:r w:rsidRPr="009A3BCB">
        <w:t>Security of Critical Infrastructure Act 2018</w:t>
      </w:r>
    </w:p>
    <w:p w14:paraId="498CCA2E" w14:textId="1070087A" w:rsidR="0057002B" w:rsidRPr="009A3BCB" w:rsidRDefault="001501CA" w:rsidP="00BB0CF2">
      <w:pPr>
        <w:pStyle w:val="ESTitleInstrumentName"/>
      </w:pPr>
      <w:r w:rsidRPr="009A3BCB">
        <w:t>Security of Critical Infrastructure (Australian National University) Rules</w:t>
      </w:r>
      <w:r w:rsidR="00091B35" w:rsidRPr="009A3BCB">
        <w:t xml:space="preserve"> (LIN 22/</w:t>
      </w:r>
      <w:r w:rsidR="009F7FE8" w:rsidRPr="009A3BCB">
        <w:t>041</w:t>
      </w:r>
      <w:r w:rsidR="00091B35" w:rsidRPr="009A3BCB">
        <w:t>)</w:t>
      </w:r>
      <w:r w:rsidRPr="009A3BCB">
        <w:t xml:space="preserve"> 202</w:t>
      </w:r>
      <w:r w:rsidR="00091B35" w:rsidRPr="009A3BCB">
        <w:t>2</w:t>
      </w:r>
    </w:p>
    <w:p w14:paraId="39352CC4" w14:textId="2B995384" w:rsidR="0057002B" w:rsidRPr="009A3BCB" w:rsidRDefault="001E3D1D" w:rsidP="002D167E">
      <w:pPr>
        <w:pStyle w:val="ESPara"/>
      </w:pPr>
      <w:r w:rsidRPr="009A3BCB">
        <w:t>The instrument</w:t>
      </w:r>
      <w:r w:rsidR="00C137E3">
        <w:t>, Departmental reference LIN 22/041,</w:t>
      </w:r>
      <w:r w:rsidR="0057002B" w:rsidRPr="009A3BCB">
        <w:t xml:space="preserve"> is made under </w:t>
      </w:r>
      <w:r w:rsidR="001501CA" w:rsidRPr="009A3BCB">
        <w:t>section 61</w:t>
      </w:r>
      <w:r w:rsidR="0057002B" w:rsidRPr="009A3BCB">
        <w:t xml:space="preserve"> of the </w:t>
      </w:r>
      <w:r w:rsidR="001501CA" w:rsidRPr="009A3BCB">
        <w:rPr>
          <w:i/>
        </w:rPr>
        <w:t>Security of Critical Infrastructure Act 2018</w:t>
      </w:r>
      <w:r w:rsidR="0057002B" w:rsidRPr="009A3BCB">
        <w:t xml:space="preserve"> (the </w:t>
      </w:r>
      <w:r w:rsidR="001501CA" w:rsidRPr="009A3BCB">
        <w:t>Act)</w:t>
      </w:r>
      <w:r w:rsidR="0057002B" w:rsidRPr="009A3BCB">
        <w:t xml:space="preserve">.  </w:t>
      </w:r>
    </w:p>
    <w:p w14:paraId="3A9BA0C2" w14:textId="6DB430E1" w:rsidR="00BD598E" w:rsidRPr="009A3BCB" w:rsidRDefault="00AA4557" w:rsidP="00AD31B2">
      <w:pPr>
        <w:pStyle w:val="ESPara"/>
      </w:pPr>
      <w:r w:rsidRPr="009A3BCB">
        <w:t xml:space="preserve">The instrument commences </w:t>
      </w:r>
      <w:r w:rsidR="001501CA" w:rsidRPr="009A3BCB">
        <w:t xml:space="preserve">on the day after registration on the </w:t>
      </w:r>
      <w:r w:rsidR="00AD31B2" w:rsidRPr="009A3BCB">
        <w:t xml:space="preserve">Federal Register of Legislation and </w:t>
      </w:r>
      <w:r w:rsidRPr="009A3BCB">
        <w:t>i</w:t>
      </w:r>
      <w:r w:rsidR="00BD598E" w:rsidRPr="009A3BCB">
        <w:t xml:space="preserve">s a </w:t>
      </w:r>
      <w:r w:rsidRPr="009A3BCB">
        <w:t>legislative</w:t>
      </w:r>
      <w:r w:rsidR="00BD598E" w:rsidRPr="009A3BCB">
        <w:t xml:space="preserve"> instrument for </w:t>
      </w:r>
      <w:r w:rsidR="00B75478" w:rsidRPr="009A3BCB">
        <w:t xml:space="preserve">the </w:t>
      </w:r>
      <w:r w:rsidR="00100DFC" w:rsidRPr="009A3BCB">
        <w:rPr>
          <w:i/>
        </w:rPr>
        <w:t>Legislation Act 2003</w:t>
      </w:r>
      <w:r w:rsidR="00100DFC" w:rsidRPr="009A3BCB">
        <w:t xml:space="preserve"> (the Legislation Act)</w:t>
      </w:r>
      <w:r w:rsidR="00BD598E" w:rsidRPr="009A3BCB">
        <w:t xml:space="preserve">.  </w:t>
      </w:r>
    </w:p>
    <w:p w14:paraId="7F731767" w14:textId="00700578" w:rsidR="00EA12C9" w:rsidRPr="009A3BCB" w:rsidRDefault="00BD598E" w:rsidP="00100DFC">
      <w:pPr>
        <w:pStyle w:val="ESHeading"/>
      </w:pPr>
      <w:r w:rsidRPr="009A3BCB">
        <w:t>Purpose</w:t>
      </w:r>
      <w:r w:rsidR="00BB0CF2" w:rsidRPr="009A3BCB">
        <w:t xml:space="preserve"> </w:t>
      </w:r>
    </w:p>
    <w:p w14:paraId="7DCA0850" w14:textId="10DF7B73" w:rsidR="00C50B49" w:rsidRPr="009A3BCB" w:rsidRDefault="001501CA" w:rsidP="00C024FE">
      <w:pPr>
        <w:pStyle w:val="ESPara"/>
      </w:pPr>
      <w:r w:rsidRPr="009A3BCB">
        <w:t xml:space="preserve">Subsection 9(1) of the Act defines </w:t>
      </w:r>
      <w:r w:rsidR="0056468F" w:rsidRPr="009A3BCB">
        <w:t>a ‘critical infrastructure asset’</w:t>
      </w:r>
      <w:r w:rsidRPr="009A3BCB">
        <w:t xml:space="preserve"> </w:t>
      </w:r>
      <w:r w:rsidR="0056468F" w:rsidRPr="009A3BCB">
        <w:t xml:space="preserve">to be a ‘critical education asset’ </w:t>
      </w:r>
      <w:r w:rsidR="00056F98" w:rsidRPr="009A3BCB">
        <w:t>and</w:t>
      </w:r>
      <w:r w:rsidRPr="009A3BCB">
        <w:t xml:space="preserve"> ‘an asset prescribed by the rules for the purposes of this paragraph’</w:t>
      </w:r>
      <w:r w:rsidR="00056F98" w:rsidRPr="009A3BCB">
        <w:t xml:space="preserve"> (see paragraphs (</w:t>
      </w:r>
      <w:proofErr w:type="spellStart"/>
      <w:r w:rsidR="00056F98" w:rsidRPr="009A3BCB">
        <w:t>dk</w:t>
      </w:r>
      <w:proofErr w:type="spellEnd"/>
      <w:r w:rsidR="00056F98" w:rsidRPr="009A3BCB">
        <w:t>) and (f) respectively)</w:t>
      </w:r>
      <w:r w:rsidRPr="009A3BCB">
        <w:t>.</w:t>
      </w:r>
      <w:r w:rsidR="008A3818" w:rsidRPr="009A3BCB">
        <w:t xml:space="preserve"> </w:t>
      </w:r>
      <w:r w:rsidR="00C50B49" w:rsidRPr="009A3BCB">
        <w:t xml:space="preserve">Section 5 of the Act defines </w:t>
      </w:r>
      <w:r w:rsidR="008A3818" w:rsidRPr="009A3BCB">
        <w:t xml:space="preserve">a </w:t>
      </w:r>
      <w:r w:rsidR="0056468F" w:rsidRPr="009A3BCB">
        <w:t>‘</w:t>
      </w:r>
      <w:r w:rsidR="00386CF1" w:rsidRPr="009A3BCB">
        <w:t>critical education asset</w:t>
      </w:r>
      <w:r w:rsidR="0056468F" w:rsidRPr="009A3BCB">
        <w:t>’ to be a university owned or operated by an entity registered in the Australian university category of the National Register of Higher Education Providers.  As at the time the instrument is made, this includes the Australian National University</w:t>
      </w:r>
      <w:r w:rsidR="000F042C">
        <w:t xml:space="preserve"> (ANU)</w:t>
      </w:r>
      <w:r w:rsidR="0056468F" w:rsidRPr="009A3BCB">
        <w:t xml:space="preserve">.  </w:t>
      </w:r>
    </w:p>
    <w:p w14:paraId="0FF2DF03" w14:textId="7C422FD1" w:rsidR="00A53665" w:rsidRPr="009A3BCB" w:rsidRDefault="00A53665" w:rsidP="00254F44">
      <w:pPr>
        <w:pStyle w:val="ESPara"/>
      </w:pPr>
      <w:r w:rsidRPr="009A3BCB">
        <w:t xml:space="preserve">However, subsection 9(2A) of the Act provides that if an asset is owned by a body corporate established by a law of the Commonwealth, the asset is not a </w:t>
      </w:r>
      <w:r w:rsidR="0056468F" w:rsidRPr="009A3BCB">
        <w:t>‘critical infrastructure asset’</w:t>
      </w:r>
      <w:r w:rsidRPr="009A3BCB">
        <w:t xml:space="preserve"> unless the asset is prescribed by the rules for the purpose of paragraph 9(1)(f) of the Act.</w:t>
      </w:r>
      <w:r w:rsidR="00056F98" w:rsidRPr="009A3BCB">
        <w:t xml:space="preserve"> As </w:t>
      </w:r>
      <w:r w:rsidRPr="009A3BCB">
        <w:t xml:space="preserve">ANU is a body corporate established by a law of the Commonwealth, </w:t>
      </w:r>
      <w:r w:rsidR="00056F98" w:rsidRPr="009A3BCB">
        <w:t>it is captured by this exception</w:t>
      </w:r>
      <w:r w:rsidR="0056468F" w:rsidRPr="009A3BCB">
        <w:t xml:space="preserve"> (see section 4 of the </w:t>
      </w:r>
      <w:r w:rsidR="0056468F" w:rsidRPr="009A3BCB">
        <w:rPr>
          <w:i/>
        </w:rPr>
        <w:t>Australian National University Act 1991</w:t>
      </w:r>
      <w:r w:rsidR="0056468F" w:rsidRPr="009A3BCB">
        <w:t>)</w:t>
      </w:r>
      <w:r w:rsidRPr="009A3BCB">
        <w:t>.</w:t>
      </w:r>
    </w:p>
    <w:p w14:paraId="73622A16" w14:textId="54DA2CDA" w:rsidR="00A53665" w:rsidRPr="009A3BCB" w:rsidRDefault="00A53665" w:rsidP="001501CA">
      <w:pPr>
        <w:pStyle w:val="ESPara"/>
      </w:pPr>
      <w:r w:rsidRPr="009A3BCB">
        <w:t xml:space="preserve">The purpose of the rules is to prescribe </w:t>
      </w:r>
      <w:r w:rsidR="0056468F" w:rsidRPr="009A3BCB">
        <w:t xml:space="preserve">certain assets owned or operated by ANU </w:t>
      </w:r>
      <w:r w:rsidRPr="009A3BCB">
        <w:t>as a critical infrastructure asset for paragraph 9(1</w:t>
      </w:r>
      <w:proofErr w:type="gramStart"/>
      <w:r w:rsidRPr="009A3BCB">
        <w:t>)(</w:t>
      </w:r>
      <w:proofErr w:type="gramEnd"/>
      <w:r w:rsidRPr="009A3BCB">
        <w:t xml:space="preserve">f) of the Act </w:t>
      </w:r>
      <w:r w:rsidR="0056468F" w:rsidRPr="009A3BCB">
        <w:t xml:space="preserve">so as </w:t>
      </w:r>
      <w:r w:rsidR="008A3818" w:rsidRPr="009A3BCB">
        <w:t>to</w:t>
      </w:r>
      <w:r w:rsidRPr="009A3BCB">
        <w:t xml:space="preserve"> override the exce</w:t>
      </w:r>
      <w:r w:rsidR="0056468F" w:rsidRPr="009A3BCB">
        <w:t>ption in subsection 9(2A)</w:t>
      </w:r>
      <w:r w:rsidRPr="009A3BCB">
        <w:t>.</w:t>
      </w:r>
    </w:p>
    <w:p w14:paraId="0D35F84B" w14:textId="25C70980" w:rsidR="00827937" w:rsidRPr="009A3BCB" w:rsidRDefault="00827937" w:rsidP="00827937">
      <w:pPr>
        <w:pStyle w:val="ESPara"/>
      </w:pPr>
      <w:r w:rsidRPr="009A3BCB">
        <w:t xml:space="preserve">Subsection 9(3) of </w:t>
      </w:r>
      <w:r w:rsidR="00056F98" w:rsidRPr="009A3BCB">
        <w:t xml:space="preserve">the </w:t>
      </w:r>
      <w:r w:rsidRPr="009A3BCB">
        <w:t>Act provides that the Minister must not prescribe an asset for the purposes of paragraph 9(1)(f) unless the Minister is satisfied that:</w:t>
      </w:r>
    </w:p>
    <w:p w14:paraId="41066677" w14:textId="2EDDCA79" w:rsidR="00827937" w:rsidRPr="009A3BCB" w:rsidRDefault="00827937" w:rsidP="00386CF1">
      <w:pPr>
        <w:pStyle w:val="ESSubparaList"/>
      </w:pPr>
      <w:r w:rsidRPr="009A3BCB">
        <w:t>the asset is critical to</w:t>
      </w:r>
      <w:r w:rsidR="00056F98" w:rsidRPr="009A3BCB">
        <w:t xml:space="preserve"> </w:t>
      </w:r>
      <w:r w:rsidRPr="009A3BCB">
        <w:t>the social or economic stability of Australia or its people</w:t>
      </w:r>
      <w:r w:rsidR="00056F98" w:rsidRPr="009A3BCB">
        <w:t xml:space="preserve">, the defence of Australia or national security (paragraph (a)); and </w:t>
      </w:r>
    </w:p>
    <w:p w14:paraId="107AD3DC" w14:textId="622B3968" w:rsidR="00827937" w:rsidRPr="009A3BCB" w:rsidRDefault="00827937" w:rsidP="00386CF1">
      <w:pPr>
        <w:pStyle w:val="ESSubparaList"/>
      </w:pPr>
      <w:proofErr w:type="gramStart"/>
      <w:r w:rsidRPr="009A3BCB">
        <w:t>the</w:t>
      </w:r>
      <w:proofErr w:type="gramEnd"/>
      <w:r w:rsidRPr="009A3BCB">
        <w:t xml:space="preserve"> asset relates to a critical infrastructure sector</w:t>
      </w:r>
      <w:r w:rsidR="00056F98" w:rsidRPr="009A3BCB">
        <w:t xml:space="preserve"> (paragraph (b))</w:t>
      </w:r>
      <w:r w:rsidRPr="009A3BCB">
        <w:t>.</w:t>
      </w:r>
    </w:p>
    <w:p w14:paraId="2EF9AB99" w14:textId="36780B88" w:rsidR="00827937" w:rsidRPr="009A3BCB" w:rsidRDefault="00827937" w:rsidP="004A3395">
      <w:pPr>
        <w:pStyle w:val="ESPara"/>
      </w:pPr>
      <w:r w:rsidRPr="009A3BCB">
        <w:t>In relation to paragraph 9(3</w:t>
      </w:r>
      <w:proofErr w:type="gramStart"/>
      <w:r w:rsidRPr="009A3BCB">
        <w:t>)(</w:t>
      </w:r>
      <w:proofErr w:type="gramEnd"/>
      <w:r w:rsidRPr="009A3BCB">
        <w:t>a)</w:t>
      </w:r>
      <w:r w:rsidR="00E47A78" w:rsidRPr="009A3BCB">
        <w:t xml:space="preserve"> of the Act</w:t>
      </w:r>
      <w:r w:rsidRPr="009A3BCB">
        <w:t xml:space="preserve">, </w:t>
      </w:r>
      <w:r w:rsidR="00E47A78" w:rsidRPr="009A3BCB">
        <w:t xml:space="preserve">the </w:t>
      </w:r>
      <w:r w:rsidRPr="009A3BCB">
        <w:t xml:space="preserve">Minister is satisfied that the </w:t>
      </w:r>
      <w:r w:rsidR="0056468F" w:rsidRPr="009A3BCB">
        <w:t>assets owned or operated by ANU are</w:t>
      </w:r>
      <w:r w:rsidRPr="009A3BCB">
        <w:t xml:space="preserve"> critical to </w:t>
      </w:r>
      <w:r w:rsidR="004A3395" w:rsidRPr="009A3BCB">
        <w:t>the social and economic stability of Australia or its people. The Minister is satisfied that the ANU, like other Australian universities, contributes significantly to the Australian economy, competitiveness, skilled workforce and Australia’s global standing, both as quality providers of education and as cutting-edge research institutions. Equally, Australian universities such as the ANU make a notable contribution to Australia’s security and prosperity by promoting research and innovation.</w:t>
      </w:r>
      <w:r w:rsidR="00E47A78" w:rsidRPr="009A3BCB">
        <w:t xml:space="preserve"> </w:t>
      </w:r>
    </w:p>
    <w:p w14:paraId="5CAFF320" w14:textId="243B0AF3" w:rsidR="00827937" w:rsidRPr="009A3BCB" w:rsidRDefault="00827937" w:rsidP="001501CA">
      <w:pPr>
        <w:pStyle w:val="ESPara"/>
      </w:pPr>
      <w:r w:rsidRPr="009A3BCB">
        <w:lastRenderedPageBreak/>
        <w:t>In relation to paragraph 9(3)(b)</w:t>
      </w:r>
      <w:r w:rsidR="00F8262A" w:rsidRPr="009A3BCB">
        <w:t xml:space="preserve"> of the Act</w:t>
      </w:r>
      <w:r w:rsidRPr="009A3BCB">
        <w:t xml:space="preserve">, the </w:t>
      </w:r>
      <w:r w:rsidR="0056468F" w:rsidRPr="009A3BCB">
        <w:t>assets owned or operated by</w:t>
      </w:r>
      <w:r w:rsidRPr="009A3BCB">
        <w:t xml:space="preserve"> </w:t>
      </w:r>
      <w:r w:rsidR="0056468F" w:rsidRPr="009A3BCB">
        <w:t>ANU relate</w:t>
      </w:r>
      <w:r w:rsidR="004539D4" w:rsidRPr="009A3BCB">
        <w:t xml:space="preserve"> to the</w:t>
      </w:r>
      <w:r w:rsidR="00F8262A" w:rsidRPr="009A3BCB">
        <w:t xml:space="preserve"> </w:t>
      </w:r>
      <w:r w:rsidR="0056468F" w:rsidRPr="009A3BCB">
        <w:t>‘</w:t>
      </w:r>
      <w:r w:rsidR="00F8262A" w:rsidRPr="009A3BCB">
        <w:t>higher education and research sector</w:t>
      </w:r>
      <w:r w:rsidR="0056468F" w:rsidRPr="009A3BCB">
        <w:t>’ because they are a critical education asset (see also subsection</w:t>
      </w:r>
      <w:bookmarkStart w:id="0" w:name="_GoBack"/>
      <w:bookmarkEnd w:id="0"/>
      <w:r w:rsidR="0056468F" w:rsidRPr="009A3BCB">
        <w:t> </w:t>
      </w:r>
      <w:r w:rsidR="000F042C">
        <w:t xml:space="preserve">8E(8) and </w:t>
      </w:r>
      <w:r w:rsidR="00BC70B5">
        <w:t>section 8F</w:t>
      </w:r>
      <w:r w:rsidR="0056468F" w:rsidRPr="009A3BCB">
        <w:t>)</w:t>
      </w:r>
      <w:r w:rsidR="00F8262A" w:rsidRPr="009A3BCB">
        <w:t xml:space="preserve">. Paragraph </w:t>
      </w:r>
      <w:proofErr w:type="gramStart"/>
      <w:r w:rsidR="00F8262A" w:rsidRPr="009A3BCB">
        <w:t>8D(</w:t>
      </w:r>
      <w:proofErr w:type="gramEnd"/>
      <w:r w:rsidR="00F8262A" w:rsidRPr="009A3BCB">
        <w:t>g) of the Act provides that the higher education and research sector is a</w:t>
      </w:r>
      <w:r w:rsidR="00386CF1" w:rsidRPr="009A3BCB">
        <w:t xml:space="preserve"> kind of</w:t>
      </w:r>
      <w:r w:rsidR="00F8262A" w:rsidRPr="009A3BCB">
        <w:t xml:space="preserve"> critical infrastructure sector</w:t>
      </w:r>
      <w:r w:rsidR="0056468F" w:rsidRPr="009A3BCB">
        <w:t>. Assets owned or operated by the ANU therefore relate</w:t>
      </w:r>
      <w:r w:rsidR="00F8262A" w:rsidRPr="009A3BCB">
        <w:t xml:space="preserve"> to a critical infrastructure</w:t>
      </w:r>
      <w:r w:rsidR="004539D4" w:rsidRPr="009A3BCB">
        <w:t xml:space="preserve"> sector</w:t>
      </w:r>
      <w:r w:rsidR="00F8262A" w:rsidRPr="009A3BCB">
        <w:t xml:space="preserve"> for paragraph 9(3</w:t>
      </w:r>
      <w:proofErr w:type="gramStart"/>
      <w:r w:rsidR="00F8262A" w:rsidRPr="009A3BCB">
        <w:t>)(</w:t>
      </w:r>
      <w:proofErr w:type="gramEnd"/>
      <w:r w:rsidR="00F8262A" w:rsidRPr="009A3BCB">
        <w:t>b) of the Act.</w:t>
      </w:r>
    </w:p>
    <w:p w14:paraId="6A37CEDB" w14:textId="507167DE" w:rsidR="009068DA" w:rsidRPr="009A3BCB" w:rsidRDefault="009068DA" w:rsidP="009068DA">
      <w:pPr>
        <w:pStyle w:val="ESPara"/>
      </w:pPr>
      <w:r w:rsidRPr="009A3BCB">
        <w:t xml:space="preserve">The Act also provides that certain Parts of the Act apply to (amongst other things) a critical infrastructure asset prescribed in rules under the Act. As noted above, </w:t>
      </w:r>
      <w:r w:rsidR="0056468F" w:rsidRPr="009A3BCB">
        <w:t>the assets owned or operated by ANU that are mentioned in the instrument are</w:t>
      </w:r>
      <w:r w:rsidRPr="009A3BCB">
        <w:t xml:space="preserve"> a critical education asset under the Act. Therefore, if rules are made to apply any Part of the Act to a critical education asset, that Part of the Act will apply to the ANU</w:t>
      </w:r>
      <w:r w:rsidR="00E82B9C" w:rsidRPr="009A3BCB">
        <w:t xml:space="preserve"> according to those rules</w:t>
      </w:r>
      <w:r w:rsidRPr="009A3BCB">
        <w:t>.</w:t>
      </w:r>
    </w:p>
    <w:p w14:paraId="556910DD" w14:textId="77777777" w:rsidR="00AA4557" w:rsidRPr="009A3BCB" w:rsidRDefault="00464080" w:rsidP="00100DFC">
      <w:pPr>
        <w:pStyle w:val="ESHeading"/>
      </w:pPr>
      <w:r w:rsidRPr="009A3BCB">
        <w:t>Details</w:t>
      </w:r>
      <w:r w:rsidR="00AA4557" w:rsidRPr="009A3BCB">
        <w:t xml:space="preserve"> of the instrument</w:t>
      </w:r>
    </w:p>
    <w:p w14:paraId="61D2C517" w14:textId="76D5098B" w:rsidR="009D4624" w:rsidRPr="009A3BCB" w:rsidRDefault="006453D0" w:rsidP="002D167E">
      <w:pPr>
        <w:pStyle w:val="ESPara"/>
      </w:pPr>
      <w:r w:rsidRPr="009A3BCB">
        <w:t xml:space="preserve">Paragraph (a) of the </w:t>
      </w:r>
      <w:r w:rsidR="00E60337" w:rsidRPr="009A3BCB">
        <w:t xml:space="preserve">instrument </w:t>
      </w:r>
      <w:r w:rsidR="009D4624" w:rsidRPr="009A3BCB">
        <w:t>pro</w:t>
      </w:r>
      <w:r w:rsidR="000F042C">
        <w:t>vides that, for paragraph 9(1)(f</w:t>
      </w:r>
      <w:r w:rsidR="009D4624" w:rsidRPr="009A3BCB">
        <w:t>) of the Act</w:t>
      </w:r>
      <w:r w:rsidR="000F042C">
        <w:t>,</w:t>
      </w:r>
      <w:r w:rsidR="009D4624" w:rsidRPr="009A3BCB">
        <w:t xml:space="preserve"> an asset is a critical infrastructure asset if:</w:t>
      </w:r>
    </w:p>
    <w:p w14:paraId="267A0FCF" w14:textId="475C0FCF" w:rsidR="009D4624" w:rsidRPr="009A3BCB" w:rsidRDefault="009D4624" w:rsidP="009D4624">
      <w:pPr>
        <w:pStyle w:val="ESSubparaList"/>
      </w:pPr>
      <w:r w:rsidRPr="009A3BCB">
        <w:t>the asset is owned or operated by ANU</w:t>
      </w:r>
      <w:r w:rsidR="009A3BCB" w:rsidRPr="009A3BCB">
        <w:t xml:space="preserve"> (ABN: 52 234 063 906)</w:t>
      </w:r>
      <w:r w:rsidRPr="009A3BCB">
        <w:t xml:space="preserve">; </w:t>
      </w:r>
      <w:r w:rsidR="009A3BCB" w:rsidRPr="009A3BCB">
        <w:t xml:space="preserve">and </w:t>
      </w:r>
    </w:p>
    <w:p w14:paraId="3AB8DFBA" w14:textId="5E38FA21" w:rsidR="00AA4557" w:rsidRPr="009A3BCB" w:rsidRDefault="009D4624" w:rsidP="009D4624">
      <w:pPr>
        <w:pStyle w:val="ESSubparaList"/>
      </w:pPr>
      <w:r w:rsidRPr="009A3BCB">
        <w:t xml:space="preserve">the asset is </w:t>
      </w:r>
      <w:r w:rsidR="009A3BCB" w:rsidRPr="009A3BCB">
        <w:t>used in connection with a program of research that is critical to a critical infrastructure sector (other than the higher education and research sector), the defence of Australia or national security (subparagraphs (</w:t>
      </w:r>
      <w:proofErr w:type="spellStart"/>
      <w:r w:rsidR="009A3BCB" w:rsidRPr="009A3BCB">
        <w:t>i</w:t>
      </w:r>
      <w:proofErr w:type="spellEnd"/>
      <w:r w:rsidR="009A3BCB" w:rsidRPr="009A3BCB">
        <w:t xml:space="preserve">), (ii) and (iii) respectively).  </w:t>
      </w:r>
    </w:p>
    <w:p w14:paraId="2BECD56D" w14:textId="6073CD5C" w:rsidR="009A3BCB" w:rsidRPr="009A3BCB" w:rsidRDefault="009A3BCB" w:rsidP="006453D0">
      <w:pPr>
        <w:pStyle w:val="ESPara"/>
      </w:pPr>
      <w:r w:rsidRPr="009A3BCB">
        <w:t>By operation of section 13 of the Legislation Act, the terms ‘critical infrastructure sector’, ‘higher education and research sector’, ‘defence of Australia’ and ‘national security’ used in subparagraphs (a)(</w:t>
      </w:r>
      <w:proofErr w:type="spellStart"/>
      <w:r w:rsidRPr="009A3BCB">
        <w:t>i</w:t>
      </w:r>
      <w:proofErr w:type="spellEnd"/>
      <w:r w:rsidRPr="009A3BCB">
        <w:t xml:space="preserve">)-(iii) </w:t>
      </w:r>
      <w:r w:rsidR="000F042C">
        <w:t xml:space="preserve">of the instrument </w:t>
      </w:r>
      <w:r w:rsidRPr="009A3BCB">
        <w:t xml:space="preserve">have the same meaning as given by the Act.  </w:t>
      </w:r>
    </w:p>
    <w:p w14:paraId="3042744F" w14:textId="038B8DA8" w:rsidR="009D4624" w:rsidRPr="009A3BCB" w:rsidRDefault="009D4624" w:rsidP="006453D0">
      <w:pPr>
        <w:pStyle w:val="ESPara"/>
      </w:pPr>
      <w:r w:rsidRPr="009A3BCB">
        <w:t>The limitations on the types of assets that are a critical infrastructure asset outlined in subparagraphs (</w:t>
      </w:r>
      <w:proofErr w:type="spellStart"/>
      <w:r w:rsidRPr="009A3BCB">
        <w:t>i</w:t>
      </w:r>
      <w:proofErr w:type="spellEnd"/>
      <w:r w:rsidRPr="009A3BCB">
        <w:t>)-(iii) are included to align with the updated definition of ‘critical education asset’ that will apply if the Security Legislation Amendment (Critical Infrastructure Protection) Bill 2022, currently before the Parliament, passes and commences.  The intention on limiting types of assets</w:t>
      </w:r>
      <w:r w:rsidR="009A3BCB">
        <w:t xml:space="preserve"> as described in paragraph (a) of the instrument</w:t>
      </w:r>
      <w:r w:rsidRPr="009A3BCB">
        <w:t xml:space="preserve"> is to only capture those assets that are of security concern, and not capture unrelated assets such as cafeterias and gymnasiums.  </w:t>
      </w:r>
    </w:p>
    <w:p w14:paraId="7FC3836F" w14:textId="0C07CA3D" w:rsidR="006453D0" w:rsidRPr="009A3BCB" w:rsidRDefault="006453D0" w:rsidP="006453D0">
      <w:pPr>
        <w:pStyle w:val="ESPara"/>
      </w:pPr>
      <w:r w:rsidRPr="009A3BCB">
        <w:t>Paragraph (b) of the instrument p</w:t>
      </w:r>
      <w:r w:rsidR="000F042C">
        <w:t xml:space="preserve">rovides that, for subsection </w:t>
      </w:r>
      <w:proofErr w:type="gramStart"/>
      <w:r w:rsidR="000F042C">
        <w:t>12L</w:t>
      </w:r>
      <w:r w:rsidRPr="009A3BCB">
        <w:t>(</w:t>
      </w:r>
      <w:proofErr w:type="gramEnd"/>
      <w:r w:rsidRPr="009A3BCB">
        <w:t xml:space="preserve">23) of the Act, the responsible entity for the </w:t>
      </w:r>
      <w:r w:rsidR="009D4624" w:rsidRPr="009A3BCB">
        <w:t xml:space="preserve">assets mentioned in paragraph (a) </w:t>
      </w:r>
      <w:r w:rsidRPr="009A3BCB">
        <w:t xml:space="preserve">is the </w:t>
      </w:r>
      <w:r w:rsidR="009A3BCB" w:rsidRPr="009A3BCB">
        <w:t>ANU</w:t>
      </w:r>
      <w:r w:rsidRPr="009A3BCB">
        <w:t>.</w:t>
      </w:r>
    </w:p>
    <w:p w14:paraId="616BC806" w14:textId="09A0FAD5" w:rsidR="00AA4557" w:rsidRPr="009A3BCB" w:rsidRDefault="00E60337" w:rsidP="002D167E">
      <w:pPr>
        <w:pStyle w:val="ESPara"/>
      </w:pPr>
      <w:r w:rsidRPr="009A3BCB">
        <w:t>The instrument provides that it commences</w:t>
      </w:r>
      <w:r w:rsidR="00AA4557" w:rsidRPr="009A3BCB">
        <w:t xml:space="preserve"> on</w:t>
      </w:r>
      <w:r w:rsidR="00756075" w:rsidRPr="009A3BCB">
        <w:t xml:space="preserve"> the day after registration on the Federal Register of Legislation</w:t>
      </w:r>
      <w:r w:rsidR="00AA4557" w:rsidRPr="009A3BCB">
        <w:t>.</w:t>
      </w:r>
    </w:p>
    <w:p w14:paraId="1E398115" w14:textId="77777777" w:rsidR="00AA4557" w:rsidRPr="009A3BCB" w:rsidRDefault="00AA4557" w:rsidP="00100DFC">
      <w:pPr>
        <w:pStyle w:val="ESHeading"/>
      </w:pPr>
      <w:r w:rsidRPr="009A3BCB">
        <w:t xml:space="preserve">Parliamentary scrutiny etc.  </w:t>
      </w:r>
    </w:p>
    <w:p w14:paraId="1F19C59E" w14:textId="329F3F0C" w:rsidR="00E03DCC" w:rsidRPr="009A3BCB" w:rsidRDefault="00AA4557" w:rsidP="002D167E">
      <w:pPr>
        <w:pStyle w:val="ESPara"/>
      </w:pPr>
      <w:r w:rsidRPr="009A3BCB">
        <w:t xml:space="preserve">The instrument </w:t>
      </w:r>
      <w:r w:rsidR="00E03DCC" w:rsidRPr="009A3BCB">
        <w:t>is subject to disallowance under section 42 of the Legislation Act.  A</w:t>
      </w:r>
      <w:r w:rsidR="00B75478" w:rsidRPr="009A3BCB">
        <w:t xml:space="preserve"> </w:t>
      </w:r>
      <w:r w:rsidR="00E03DCC" w:rsidRPr="009A3BCB">
        <w:t xml:space="preserve">Statement of Compatibility with Human Rights has been prepared in relation to the instrument, and provides that to the extent that the instrument impacts human rights, the impact </w:t>
      </w:r>
      <w:r w:rsidR="00925BAD" w:rsidRPr="009A3BCB">
        <w:t xml:space="preserve">is reasonable and proportional. </w:t>
      </w:r>
      <w:r w:rsidR="00E03DCC" w:rsidRPr="009A3BCB">
        <w:t xml:space="preserve">The Statement is included at </w:t>
      </w:r>
      <w:r w:rsidR="00B75478" w:rsidRPr="009A3BCB">
        <w:rPr>
          <w:b/>
          <w:u w:val="single"/>
        </w:rPr>
        <w:t xml:space="preserve">Attachment </w:t>
      </w:r>
      <w:r w:rsidR="00756075" w:rsidRPr="009A3BCB">
        <w:rPr>
          <w:b/>
          <w:u w:val="single"/>
        </w:rPr>
        <w:t>A</w:t>
      </w:r>
      <w:r w:rsidR="00E03DCC" w:rsidRPr="009A3BCB">
        <w:t xml:space="preserve"> to this explanatory statement.  </w:t>
      </w:r>
    </w:p>
    <w:p w14:paraId="4C8B1671" w14:textId="32881D90" w:rsidR="00903F72" w:rsidRPr="00157C5C" w:rsidRDefault="00B75478" w:rsidP="001238FE">
      <w:pPr>
        <w:pStyle w:val="ESPara"/>
      </w:pPr>
      <w:r w:rsidRPr="009A3BCB">
        <w:t xml:space="preserve">The instrument was made by </w:t>
      </w:r>
      <w:r w:rsidR="00756075" w:rsidRPr="009A3BCB">
        <w:t>Karen Andrews, Minister for Home Affairs, in accordance with section 61 of the Act</w:t>
      </w:r>
      <w:r w:rsidR="002D1082" w:rsidRPr="009A3BCB">
        <w:t xml:space="preserve">. </w:t>
      </w:r>
      <w:r w:rsidR="00157C5C">
        <w:t xml:space="preserve">  </w:t>
      </w:r>
      <w:r w:rsidR="00903F72" w:rsidRPr="00157C5C">
        <w:br w:type="page"/>
      </w:r>
    </w:p>
    <w:p w14:paraId="5954BAB1" w14:textId="77777777" w:rsidR="00903F72" w:rsidRPr="009A3BCB" w:rsidRDefault="00903F72" w:rsidP="00903F72">
      <w:pPr>
        <w:pStyle w:val="Heading2"/>
        <w:rPr>
          <w:sz w:val="22"/>
          <w:szCs w:val="22"/>
        </w:rPr>
      </w:pPr>
      <w:r w:rsidRPr="009A3BCB">
        <w:rPr>
          <w:sz w:val="22"/>
          <w:szCs w:val="22"/>
        </w:rPr>
        <w:lastRenderedPageBreak/>
        <w:t>Statement of Compatibility with Human Rights</w:t>
      </w:r>
    </w:p>
    <w:p w14:paraId="228AF7B0" w14:textId="77777777" w:rsidR="00903F72" w:rsidRPr="009A3BCB" w:rsidRDefault="00903F72" w:rsidP="00903F72">
      <w:pPr>
        <w:spacing w:before="120" w:after="120" w:line="240" w:lineRule="auto"/>
        <w:jc w:val="center"/>
        <w:rPr>
          <w:rFonts w:ascii="Times New Roman" w:hAnsi="Times New Roman"/>
        </w:rPr>
      </w:pPr>
      <w:r w:rsidRPr="009A3BCB">
        <w:rPr>
          <w:rFonts w:ascii="Times New Roman" w:hAnsi="Times New Roman"/>
          <w:i/>
        </w:rPr>
        <w:t>Prepared in accordance with Part 3 of the Human Rights (Parliamentary Scrutiny) Act 2011</w:t>
      </w:r>
    </w:p>
    <w:p w14:paraId="484CD72E" w14:textId="77777777" w:rsidR="00903F72" w:rsidRPr="009A3BCB" w:rsidRDefault="00903F72" w:rsidP="00903F72">
      <w:pPr>
        <w:spacing w:before="120" w:after="120" w:line="240" w:lineRule="auto"/>
        <w:jc w:val="center"/>
        <w:rPr>
          <w:rFonts w:ascii="Times New Roman" w:hAnsi="Times New Roman"/>
        </w:rPr>
      </w:pPr>
    </w:p>
    <w:p w14:paraId="46E7DB0C" w14:textId="1214F0B3" w:rsidR="00903F72" w:rsidRPr="009A3BCB" w:rsidRDefault="00903F72" w:rsidP="00903F72">
      <w:pPr>
        <w:spacing w:before="120" w:after="120" w:line="240" w:lineRule="auto"/>
        <w:jc w:val="center"/>
        <w:rPr>
          <w:rFonts w:ascii="Times New Roman" w:hAnsi="Times New Roman"/>
          <w:b/>
        </w:rPr>
      </w:pPr>
      <w:r w:rsidRPr="009A3BCB">
        <w:rPr>
          <w:rFonts w:ascii="Times New Roman" w:hAnsi="Times New Roman"/>
          <w:b/>
        </w:rPr>
        <w:t>Security of Critical Infrastructure (Australian National University) Rules</w:t>
      </w:r>
      <w:r w:rsidR="00091B35" w:rsidRPr="009A3BCB">
        <w:rPr>
          <w:rFonts w:ascii="Times New Roman" w:hAnsi="Times New Roman"/>
          <w:b/>
        </w:rPr>
        <w:t xml:space="preserve"> (LIN 22/</w:t>
      </w:r>
      <w:r w:rsidR="009F7FE8" w:rsidRPr="009A3BCB">
        <w:rPr>
          <w:rFonts w:ascii="Times New Roman" w:hAnsi="Times New Roman"/>
          <w:b/>
        </w:rPr>
        <w:t>041</w:t>
      </w:r>
      <w:r w:rsidR="00091B35" w:rsidRPr="009A3BCB">
        <w:rPr>
          <w:rFonts w:ascii="Times New Roman" w:hAnsi="Times New Roman"/>
          <w:b/>
        </w:rPr>
        <w:t>)</w:t>
      </w:r>
      <w:r w:rsidRPr="009A3BCB">
        <w:rPr>
          <w:rFonts w:ascii="Times New Roman" w:hAnsi="Times New Roman"/>
          <w:b/>
        </w:rPr>
        <w:t xml:space="preserve"> 202</w:t>
      </w:r>
      <w:r w:rsidR="00091B35" w:rsidRPr="009A3BCB">
        <w:rPr>
          <w:rFonts w:ascii="Times New Roman" w:hAnsi="Times New Roman"/>
          <w:b/>
        </w:rPr>
        <w:t>2</w:t>
      </w:r>
    </w:p>
    <w:p w14:paraId="47CB454F" w14:textId="77777777" w:rsidR="00903F72" w:rsidRPr="009A3BCB" w:rsidRDefault="00903F72" w:rsidP="00903F72">
      <w:pPr>
        <w:spacing w:before="120" w:after="120" w:line="240" w:lineRule="auto"/>
        <w:jc w:val="center"/>
        <w:rPr>
          <w:rFonts w:ascii="Times New Roman" w:hAnsi="Times New Roman"/>
          <w:b/>
        </w:rPr>
      </w:pPr>
    </w:p>
    <w:p w14:paraId="5C2EBB65" w14:textId="77777777" w:rsidR="00903F72" w:rsidRPr="009A3BCB" w:rsidRDefault="00903F72" w:rsidP="00903F72">
      <w:pPr>
        <w:spacing w:before="120" w:after="120" w:line="240" w:lineRule="auto"/>
        <w:jc w:val="center"/>
        <w:rPr>
          <w:rFonts w:ascii="Times New Roman" w:hAnsi="Times New Roman"/>
        </w:rPr>
      </w:pPr>
      <w:r w:rsidRPr="009A3BCB">
        <w:rPr>
          <w:rFonts w:ascii="Times New Roman" w:hAnsi="Times New Roman"/>
        </w:rPr>
        <w:t xml:space="preserve">This Disallowable Legislative Instrument is compatible with the human rights and freedoms recognised or declared in the international instruments listed in section 3 of the </w:t>
      </w:r>
      <w:r w:rsidRPr="009A3BCB">
        <w:rPr>
          <w:rFonts w:ascii="Times New Roman" w:hAnsi="Times New Roman"/>
        </w:rPr>
        <w:br/>
      </w:r>
      <w:r w:rsidRPr="009A3BCB">
        <w:rPr>
          <w:rFonts w:ascii="Times New Roman" w:hAnsi="Times New Roman"/>
          <w:i/>
        </w:rPr>
        <w:t>Human Rights (Parliamentary Scrutiny) Act 2011</w:t>
      </w:r>
      <w:r w:rsidRPr="009A3BCB">
        <w:rPr>
          <w:rFonts w:ascii="Times New Roman" w:hAnsi="Times New Roman"/>
        </w:rPr>
        <w:t>.</w:t>
      </w:r>
    </w:p>
    <w:p w14:paraId="07D7E76A" w14:textId="77777777" w:rsidR="00903F72" w:rsidRPr="009A3BCB" w:rsidRDefault="00903F72" w:rsidP="00903F72">
      <w:pPr>
        <w:spacing w:before="120" w:after="120" w:line="240" w:lineRule="auto"/>
        <w:rPr>
          <w:rFonts w:ascii="Times New Roman" w:hAnsi="Times New Roman"/>
        </w:rPr>
      </w:pPr>
    </w:p>
    <w:p w14:paraId="00D57932" w14:textId="77777777" w:rsidR="00903F72" w:rsidRPr="009A3BCB" w:rsidRDefault="00903F72" w:rsidP="00903F72">
      <w:pPr>
        <w:pStyle w:val="Heading3"/>
        <w:rPr>
          <w:sz w:val="22"/>
          <w:szCs w:val="22"/>
        </w:rPr>
      </w:pPr>
      <w:r w:rsidRPr="009A3BCB">
        <w:rPr>
          <w:sz w:val="22"/>
          <w:szCs w:val="22"/>
        </w:rPr>
        <w:t>Overview of the Disallowable Legislative Instrument</w:t>
      </w:r>
    </w:p>
    <w:p w14:paraId="189722AC" w14:textId="6BD1991E" w:rsidR="00903F72" w:rsidRPr="009A3BCB" w:rsidRDefault="00903F72" w:rsidP="009A3BCB">
      <w:pPr>
        <w:pStyle w:val="ESSubparaHeader"/>
        <w:keepNext w:val="0"/>
        <w:numPr>
          <w:ilvl w:val="0"/>
          <w:numId w:val="11"/>
        </w:numPr>
        <w:ind w:left="567" w:hanging="567"/>
      </w:pPr>
      <w:r w:rsidRPr="009A3BCB">
        <w:t xml:space="preserve">Subsection 9(1) of the </w:t>
      </w:r>
      <w:r w:rsidRPr="009A3BCB">
        <w:rPr>
          <w:i/>
        </w:rPr>
        <w:t>Security of Critical Infrastructure Act 2018</w:t>
      </w:r>
      <w:r w:rsidRPr="009A3BCB">
        <w:t xml:space="preserve"> (the Act) defines a range of assets as critical infrastructure assets under the Act, including a critical education asset and ‘an asset prescribed by the rules for the purposes of this paragraph’ (see paragraphs (</w:t>
      </w:r>
      <w:proofErr w:type="spellStart"/>
      <w:r w:rsidRPr="009A3BCB">
        <w:t>dk</w:t>
      </w:r>
      <w:proofErr w:type="spellEnd"/>
      <w:r w:rsidRPr="009A3BCB">
        <w:t>) and (f) respectively). Section 5 of the Act defines</w:t>
      </w:r>
      <w:r w:rsidR="00C215E0" w:rsidRPr="009A3BCB">
        <w:t xml:space="preserve"> a critical education asset</w:t>
      </w:r>
      <w:r w:rsidR="009A3BCB">
        <w:t>, which includes assets owned or operated by the Australian National University (ANU)</w:t>
      </w:r>
      <w:r w:rsidRPr="009A3BCB">
        <w:t xml:space="preserve">. </w:t>
      </w:r>
    </w:p>
    <w:p w14:paraId="7919DA1A" w14:textId="74B7D98B" w:rsidR="00903F72" w:rsidRPr="009A3BCB" w:rsidRDefault="00903F72" w:rsidP="009A3BCB">
      <w:pPr>
        <w:pStyle w:val="ESSubparaHeader"/>
        <w:keepNext w:val="0"/>
      </w:pPr>
      <w:r w:rsidRPr="009A3BCB">
        <w:t xml:space="preserve">However, the </w:t>
      </w:r>
      <w:r w:rsidR="009A3BCB">
        <w:t>assets owned or operated by ANU are</w:t>
      </w:r>
      <w:r w:rsidRPr="009A3BCB">
        <w:t xml:space="preserve"> excluded </w:t>
      </w:r>
      <w:r w:rsidR="009A3BCB">
        <w:t xml:space="preserve">from the definition of </w:t>
      </w:r>
      <w:r w:rsidRPr="009A3BCB">
        <w:t xml:space="preserve">critical infrastructure asset due to an exception outlined at subsection 9(2A) of the Act. The exception provides that assets owned by a body corporate established by a law of the Commonwealth are not critical infrastructure assets, unless the asset is prescribed by the rules for the purpose of paragraph 9(1)(f) of the Act. The ANU is owned by a body corporate established under the </w:t>
      </w:r>
      <w:r w:rsidRPr="009A3BCB">
        <w:rPr>
          <w:i/>
        </w:rPr>
        <w:t>Australian National University Act 1991</w:t>
      </w:r>
      <w:r w:rsidRPr="009A3BCB">
        <w:t xml:space="preserve">. </w:t>
      </w:r>
    </w:p>
    <w:p w14:paraId="6FD116EF" w14:textId="43626898" w:rsidR="00903F72" w:rsidRPr="009A3BCB" w:rsidRDefault="00903F72" w:rsidP="009A3BCB">
      <w:pPr>
        <w:pStyle w:val="ESSubparaHeader"/>
        <w:keepNext w:val="0"/>
      </w:pPr>
      <w:r w:rsidRPr="009A3BCB">
        <w:t xml:space="preserve">The purpose of the </w:t>
      </w:r>
      <w:r w:rsidRPr="009A3BCB">
        <w:rPr>
          <w:i/>
        </w:rPr>
        <w:t xml:space="preserve">Security of Critical Infrastructure (Australian National University) Rules </w:t>
      </w:r>
      <w:r w:rsidR="009A3BCB">
        <w:rPr>
          <w:i/>
        </w:rPr>
        <w:t>(LIN 22/041) 2022</w:t>
      </w:r>
      <w:r w:rsidRPr="009A3BCB">
        <w:t xml:space="preserve"> (ANU Rules) is to prescribe the ANU as a critical inf</w:t>
      </w:r>
      <w:r w:rsidR="009A3BCB">
        <w:t>rastructure asset for paragraph </w:t>
      </w:r>
      <w:r w:rsidRPr="009A3BCB">
        <w:t>9(1</w:t>
      </w:r>
      <w:proofErr w:type="gramStart"/>
      <w:r w:rsidRPr="009A3BCB">
        <w:t>)(</w:t>
      </w:r>
      <w:proofErr w:type="gramEnd"/>
      <w:r w:rsidRPr="009A3BCB">
        <w:t>f) of the Act to override the exception in subsection 9(2A) of the Act.</w:t>
      </w:r>
    </w:p>
    <w:p w14:paraId="7EF20208" w14:textId="1D63DD32" w:rsidR="00903F72" w:rsidRPr="009A3BCB" w:rsidRDefault="00903F72" w:rsidP="009A3BCB">
      <w:pPr>
        <w:pStyle w:val="ESSubparaHeader"/>
        <w:keepNext w:val="0"/>
      </w:pPr>
      <w:r w:rsidRPr="009A3BCB">
        <w:t>Prescribing the ANU as a critical infrastructure asset will enable consistency in the Government’s regulatory approach for the higher education and research sector, as in the absence of a rule the ANU would be excluded from the provisions applying to all other universities. Prescription as a critical infrastructure asset will mean that the ANU will be subject to Government assistance me</w:t>
      </w:r>
      <w:r w:rsidR="00C215E0" w:rsidRPr="009A3BCB">
        <w:t>asures under Part 3A of the Act</w:t>
      </w:r>
      <w:r w:rsidRPr="009A3BCB">
        <w:t xml:space="preserve"> once the ANU Rules commence. In addition, once the ANU commences to be a critical infrastructure asset, if rules are made to apply any of the positive security obligations to critical education assets, these obligations will apply to the ANU.</w:t>
      </w:r>
    </w:p>
    <w:p w14:paraId="2544EEAF" w14:textId="77777777" w:rsidR="00903F72" w:rsidRPr="009A3BCB" w:rsidRDefault="00903F72" w:rsidP="009A3BCB">
      <w:pPr>
        <w:pStyle w:val="ESSubparaHeader"/>
        <w:keepNext w:val="0"/>
      </w:pPr>
      <w:r w:rsidRPr="009A3BCB">
        <w:t xml:space="preserve">In relation to paragraph 9(3)(b) of the Act, the ANU relates to the higher education and research sector, as defined in section 5 of the Act. Paragraph </w:t>
      </w:r>
      <w:proofErr w:type="gramStart"/>
      <w:r w:rsidRPr="009A3BCB">
        <w:t>8D(</w:t>
      </w:r>
      <w:proofErr w:type="gramEnd"/>
      <w:r w:rsidRPr="009A3BCB">
        <w:t>g) of the Act provides that the higher education and research sector is a kind of critical infrastructure sector. The ANU therefore ‘relates to a critical infrastructure sector’ for paragraph 9(3</w:t>
      </w:r>
      <w:proofErr w:type="gramStart"/>
      <w:r w:rsidRPr="009A3BCB">
        <w:t>)(</w:t>
      </w:r>
      <w:proofErr w:type="gramEnd"/>
      <w:r w:rsidRPr="009A3BCB">
        <w:t>b) of the Act.</w:t>
      </w:r>
    </w:p>
    <w:p w14:paraId="60857A20" w14:textId="77777777" w:rsidR="00903F72" w:rsidRPr="009A3BCB" w:rsidRDefault="00903F72" w:rsidP="00903F72">
      <w:pPr>
        <w:pStyle w:val="Heading3"/>
        <w:rPr>
          <w:sz w:val="22"/>
          <w:szCs w:val="22"/>
        </w:rPr>
      </w:pPr>
      <w:r w:rsidRPr="009A3BCB">
        <w:rPr>
          <w:sz w:val="22"/>
          <w:szCs w:val="22"/>
        </w:rPr>
        <w:t>Human rights implications</w:t>
      </w:r>
    </w:p>
    <w:p w14:paraId="7BAB138F" w14:textId="7953965D" w:rsidR="00903F72" w:rsidRPr="009A3BCB" w:rsidRDefault="00903F72" w:rsidP="00903F72">
      <w:pPr>
        <w:pStyle w:val="ESSubparaHeader"/>
      </w:pPr>
      <w:r w:rsidRPr="009A3BCB">
        <w:t>This Disallowable Legislative Instrument engages the following human right</w:t>
      </w:r>
      <w:r w:rsidR="009A3BCB">
        <w:t>s</w:t>
      </w:r>
      <w:r w:rsidRPr="009A3BCB">
        <w:t>:</w:t>
      </w:r>
    </w:p>
    <w:p w14:paraId="6D1A5167" w14:textId="77777777" w:rsidR="00903F72" w:rsidRPr="009A3BCB" w:rsidRDefault="00903F72" w:rsidP="00903F72">
      <w:pPr>
        <w:pStyle w:val="ESSubparaList"/>
      </w:pPr>
      <w:r w:rsidRPr="009A3BCB">
        <w:t xml:space="preserve">The right to privacy in Article 17 of the </w:t>
      </w:r>
      <w:r w:rsidRPr="009A3BCB">
        <w:rPr>
          <w:i/>
        </w:rPr>
        <w:t>International Covenant on Civil and Political Rights</w:t>
      </w:r>
      <w:r w:rsidRPr="009A3BCB">
        <w:t xml:space="preserve"> (ICCPR). </w:t>
      </w:r>
    </w:p>
    <w:p w14:paraId="25B1D162" w14:textId="77777777" w:rsidR="00903F72" w:rsidRPr="009A3BCB" w:rsidRDefault="00903F72" w:rsidP="00903F72">
      <w:pPr>
        <w:spacing w:before="120" w:after="0" w:line="240" w:lineRule="auto"/>
        <w:rPr>
          <w:rFonts w:ascii="Times New Roman" w:hAnsi="Times New Roman" w:cs="Times New Roman"/>
          <w:b/>
        </w:rPr>
      </w:pPr>
      <w:r w:rsidRPr="009A3BCB">
        <w:rPr>
          <w:rFonts w:ascii="Times New Roman" w:hAnsi="Times New Roman" w:cs="Times New Roman"/>
          <w:b/>
        </w:rPr>
        <w:lastRenderedPageBreak/>
        <w:t xml:space="preserve">Right to privacy </w:t>
      </w:r>
    </w:p>
    <w:p w14:paraId="31BA64E9" w14:textId="77777777" w:rsidR="00903F72" w:rsidRPr="009A3BCB" w:rsidRDefault="00903F72" w:rsidP="009A3BCB">
      <w:pPr>
        <w:pStyle w:val="ESPara"/>
      </w:pPr>
      <w:r w:rsidRPr="009A3BCB">
        <w:t>Article 17 of the ICCPR provides that no one shall be subjected to arbitrary or unlawful interference with their privacy. Interferences with privacy may be permissible provided that it is authorised by law and is not arbitrary. For an interference with the right to privacy not to be arbitrary, the interference must be for a reason consistent with the provisions, aims and objectives of the ICCPR and be reasonable in the particular circumstances</w:t>
      </w:r>
    </w:p>
    <w:p w14:paraId="56BDFCFC" w14:textId="77777777" w:rsidR="00903F72" w:rsidRPr="009A3BCB" w:rsidRDefault="00903F72" w:rsidP="009A3BCB">
      <w:pPr>
        <w:pStyle w:val="ESPara"/>
      </w:pPr>
      <w:r w:rsidRPr="009A3BCB">
        <w:t>The United Nations Human Rights Committee has interpreted ‘reasonableness’ in this context to mean that ‘any interference with privacy must be proportional to the end sought and be necessary in the circumstances of any given case’. The term unlawful means that no interference can take place except as authorised under domestic law. In order for limitations not to be arbitrary, they must be aimed at a legitimate objective and be reasonable, necessary and proportionate to that objective.</w:t>
      </w:r>
    </w:p>
    <w:p w14:paraId="519F2E2E" w14:textId="77777777" w:rsidR="00903F72" w:rsidRPr="009A3BCB" w:rsidRDefault="00903F72" w:rsidP="009A3BCB">
      <w:pPr>
        <w:pStyle w:val="ESPara"/>
      </w:pPr>
      <w:r w:rsidRPr="009A3BCB">
        <w:t>The prescription by the ANU Rules of the circumstances in which the ANU falls within the definition of a critical infrastructure asset will allow certain powers to be used in relation to the ANU, and may engage the right to privacy of the ANU’s responsible entity, employees or customers. Such information is held securely by the Government and will not be made available on a public register.</w:t>
      </w:r>
    </w:p>
    <w:p w14:paraId="62BB845C" w14:textId="77777777" w:rsidR="00903F72" w:rsidRPr="009A3BCB" w:rsidRDefault="00903F72" w:rsidP="00903F72">
      <w:pPr>
        <w:pStyle w:val="Default"/>
        <w:spacing w:before="120"/>
        <w:rPr>
          <w:i/>
          <w:sz w:val="22"/>
          <w:szCs w:val="22"/>
          <w:lang w:val="en"/>
        </w:rPr>
      </w:pPr>
      <w:r w:rsidRPr="009A3BCB">
        <w:rPr>
          <w:i/>
          <w:sz w:val="22"/>
          <w:szCs w:val="22"/>
          <w:lang w:val="en"/>
        </w:rPr>
        <w:t xml:space="preserve">Government assistance: Ministerial </w:t>
      </w:r>
      <w:proofErr w:type="spellStart"/>
      <w:r w:rsidRPr="009A3BCB">
        <w:rPr>
          <w:i/>
          <w:sz w:val="22"/>
          <w:szCs w:val="22"/>
          <w:lang w:val="en"/>
        </w:rPr>
        <w:t>authorisation</w:t>
      </w:r>
      <w:proofErr w:type="spellEnd"/>
      <w:r w:rsidRPr="009A3BCB">
        <w:rPr>
          <w:i/>
          <w:sz w:val="22"/>
          <w:szCs w:val="22"/>
          <w:lang w:val="en"/>
        </w:rPr>
        <w:t xml:space="preserve"> relating to cyber-security incidents</w:t>
      </w:r>
    </w:p>
    <w:p w14:paraId="4ED19B9B" w14:textId="77777777" w:rsidR="00903F72" w:rsidRPr="009A3BCB" w:rsidRDefault="00903F72" w:rsidP="009A3BCB">
      <w:pPr>
        <w:pStyle w:val="ESPara"/>
      </w:pPr>
      <w:r w:rsidRPr="009A3BCB">
        <w:t xml:space="preserve">As a result of prescribing the ANU as a critical infrastructure asset through the ANU Rules, the ANU is subject to the Government Assistance measures (Part 3A, Division 2 of the Act). </w:t>
      </w:r>
    </w:p>
    <w:p w14:paraId="5A4B6F82" w14:textId="77777777" w:rsidR="00903F72" w:rsidRPr="009A3BCB" w:rsidRDefault="00903F72" w:rsidP="009A3BCB">
      <w:pPr>
        <w:pStyle w:val="ESSubparaHeader"/>
        <w:rPr>
          <w:lang w:val="en"/>
        </w:rPr>
      </w:pPr>
      <w:r w:rsidRPr="009A3BCB">
        <w:rPr>
          <w:lang w:val="en"/>
        </w:rPr>
        <w:t xml:space="preserve">To prevent or mitigate a serious cyber-security incident that has had, is having, or is likely to have a relevant impact on a critical infrastructure asset (subsection 35AB(1)), the Minister has the power to </w:t>
      </w:r>
      <w:proofErr w:type="spellStart"/>
      <w:r w:rsidRPr="009A3BCB">
        <w:rPr>
          <w:lang w:val="en"/>
        </w:rPr>
        <w:t>authorise</w:t>
      </w:r>
      <w:proofErr w:type="spellEnd"/>
      <w:r w:rsidRPr="009A3BCB">
        <w:rPr>
          <w:lang w:val="en"/>
        </w:rPr>
        <w:t xml:space="preserve"> the Secretary of the Department administering the Act to use: </w:t>
      </w:r>
    </w:p>
    <w:p w14:paraId="1B01C524" w14:textId="77777777" w:rsidR="00903F72" w:rsidRPr="009A3BCB" w:rsidRDefault="00903F72" w:rsidP="00903F72">
      <w:pPr>
        <w:pStyle w:val="ESSubparaList"/>
        <w:ind w:left="1134" w:hanging="567"/>
      </w:pPr>
      <w:r w:rsidRPr="009A3BCB">
        <w:rPr>
          <w:i/>
        </w:rPr>
        <w:t xml:space="preserve">Information gathering direction power </w:t>
      </w:r>
      <w:r w:rsidRPr="009A3BCB">
        <w:t xml:space="preserve">(paragraphs 35AB(2)(a) or (b) and section 35AK), that is, to direct an entity to provide information that may assist with determining whether a power under the Act should be exercised in relation to an incident and the asset; </w:t>
      </w:r>
    </w:p>
    <w:p w14:paraId="2DF4B3AC" w14:textId="77777777" w:rsidR="00903F72" w:rsidRPr="009A3BCB" w:rsidRDefault="00903F72" w:rsidP="00903F72">
      <w:pPr>
        <w:pStyle w:val="ESSubparaList"/>
        <w:ind w:left="1134" w:hanging="567"/>
      </w:pPr>
      <w:r w:rsidRPr="009A3BCB">
        <w:rPr>
          <w:i/>
        </w:rPr>
        <w:t>Action direction power</w:t>
      </w:r>
      <w:r w:rsidRPr="009A3BCB">
        <w:t xml:space="preserve"> (paragraphs 35AB(2)(c) or (d) and section 35AQ), that is, to direct an entity to do, or refrain from doing, a specified act or thing within the period specified in the direction; </w:t>
      </w:r>
    </w:p>
    <w:p w14:paraId="1F9D8CCD" w14:textId="77777777" w:rsidR="00903F72" w:rsidRPr="009A3BCB" w:rsidRDefault="00903F72" w:rsidP="00903F72">
      <w:pPr>
        <w:pStyle w:val="ESSubparaList"/>
        <w:ind w:left="1134" w:hanging="567"/>
      </w:pPr>
      <w:r w:rsidRPr="009A3BCB">
        <w:rPr>
          <w:i/>
        </w:rPr>
        <w:t>Intervention direction power</w:t>
      </w:r>
      <w:r w:rsidRPr="009A3BCB">
        <w:t xml:space="preserve">, that is, to request that the chief executive of Australian Signals Directorate (ASD) take direct action (paragraphs </w:t>
      </w:r>
      <w:proofErr w:type="gramStart"/>
      <w:r w:rsidRPr="009A3BCB">
        <w:t>35AB(</w:t>
      </w:r>
      <w:proofErr w:type="gramEnd"/>
      <w:r w:rsidRPr="009A3BCB">
        <w:t xml:space="preserve">2)(e) or (f) and section 35AX). For a request that is in force under section 35AX, an ASD staff member may require an entity to provide the staff member with access to premises or electronic networks, and provide them with specified information or assistance. This does not apply to premises that are used solely or primarily as a residence. </w:t>
      </w:r>
    </w:p>
    <w:p w14:paraId="7A2F5A9A" w14:textId="77777777" w:rsidR="00903F72" w:rsidRPr="009A3BCB" w:rsidRDefault="00903F72" w:rsidP="009A3BCB">
      <w:pPr>
        <w:pStyle w:val="ESPara"/>
      </w:pPr>
      <w:r w:rsidRPr="009A3BCB">
        <w:t>To justify a limitation on the right to privacy, a legitimate objective must address a pressing or substantial concern and not simply seek an outcome that is desirable or convenient.</w:t>
      </w:r>
    </w:p>
    <w:p w14:paraId="05B3C6C0" w14:textId="77777777" w:rsidR="00903F72" w:rsidRPr="009A3BCB" w:rsidRDefault="00903F72" w:rsidP="009A3BCB">
      <w:pPr>
        <w:pStyle w:val="ESPara"/>
      </w:pPr>
      <w:r w:rsidRPr="009A3BCB">
        <w:t xml:space="preserve">The Government Assistance measures in the Act are intended to protect the Australian community from the risk of espionage, sabotage and coercion arising from foreign involvement in Australia’s critical infrastructure. Foreign involvement remains a significant threat to national security and public safety. </w:t>
      </w:r>
      <w:r w:rsidRPr="009A3BCB">
        <w:lastRenderedPageBreak/>
        <w:t>Acts of foreign involvement can indiscriminately threaten the lives and physical safety of Australian citizens. Accordingly, the measures are seeking to achieve a legitimate objective.</w:t>
      </w:r>
    </w:p>
    <w:p w14:paraId="5CDC7084" w14:textId="77777777" w:rsidR="00903F72" w:rsidRPr="009A3BCB" w:rsidRDefault="00903F72" w:rsidP="00903F72">
      <w:pPr>
        <w:pStyle w:val="ESSubparaHeader"/>
      </w:pPr>
      <w:r w:rsidRPr="009A3BCB">
        <w:t>The Government Assistance measures in the Act are also proportionate to the outcome. There are proportionate limitations to the use of Government Assistance measures, including requirements for the Minister, prior to their use to be satisfied that:</w:t>
      </w:r>
    </w:p>
    <w:p w14:paraId="0FD55DB6" w14:textId="77777777" w:rsidR="00903F72" w:rsidRPr="009A3BCB" w:rsidRDefault="00903F72" w:rsidP="00903F72">
      <w:pPr>
        <w:pStyle w:val="ESSubparaList"/>
        <w:ind w:left="1134" w:hanging="567"/>
      </w:pPr>
      <w:r w:rsidRPr="009A3BCB">
        <w:t xml:space="preserve">A cyber-security incident has occurred, is occurring or is imminent (paragraph </w:t>
      </w:r>
      <w:proofErr w:type="gramStart"/>
      <w:r w:rsidRPr="009A3BCB">
        <w:t>35AB(</w:t>
      </w:r>
      <w:proofErr w:type="gramEnd"/>
      <w:r w:rsidRPr="009A3BCB">
        <w:t xml:space="preserve">1)(a)). </w:t>
      </w:r>
    </w:p>
    <w:p w14:paraId="0778B5DC" w14:textId="77777777" w:rsidR="00903F72" w:rsidRPr="009A3BCB" w:rsidRDefault="00903F72" w:rsidP="00903F72">
      <w:pPr>
        <w:pStyle w:val="ESSubparaList"/>
        <w:ind w:left="1134" w:hanging="567"/>
      </w:pPr>
      <w:r w:rsidRPr="009A3BCB">
        <w:t xml:space="preserve">That the incident has had, is having, or is likely to have a relevant impact on a critical infrastructure asset (paragraph </w:t>
      </w:r>
      <w:proofErr w:type="gramStart"/>
      <w:r w:rsidRPr="009A3BCB">
        <w:t>35AB(</w:t>
      </w:r>
      <w:proofErr w:type="gramEnd"/>
      <w:r w:rsidRPr="009A3BCB">
        <w:t xml:space="preserve">1)(b)). Subsection </w:t>
      </w:r>
      <w:proofErr w:type="gramStart"/>
      <w:r w:rsidRPr="009A3BCB">
        <w:t>8G(</w:t>
      </w:r>
      <w:proofErr w:type="gramEnd"/>
      <w:r w:rsidRPr="009A3BCB">
        <w:t>2) provides the definition of a relevant impact in this context, which includes an impact on the availability, integrity, reliability or confidentiality of the asset. Therefore this power can only be used to protect Australia’s critical infrastructure assets.</w:t>
      </w:r>
    </w:p>
    <w:p w14:paraId="3CE568E0" w14:textId="54EA0115" w:rsidR="00903F72" w:rsidRPr="009A3BCB" w:rsidRDefault="00903F72" w:rsidP="00903F72">
      <w:pPr>
        <w:pStyle w:val="ESSubparaList"/>
        <w:ind w:left="1134" w:hanging="567"/>
      </w:pPr>
      <w:r w:rsidRPr="009A3BCB">
        <w:t>That there is material risk that the incident has seriously prejudiced, or is seriously prejudicing, or is likely to seriously prejudice the social or economic stability of Australia or its people, or the defence of Australia; or Australia’s national security</w:t>
      </w:r>
      <w:r w:rsidRPr="009A3BCB">
        <w:rPr>
          <w:lang w:val="en"/>
        </w:rPr>
        <w:t xml:space="preserve"> (paragraph</w:t>
      </w:r>
      <w:r w:rsidR="00B5105C">
        <w:rPr>
          <w:lang w:val="en"/>
        </w:rPr>
        <w:t> </w:t>
      </w:r>
      <w:r w:rsidRPr="009A3BCB">
        <w:rPr>
          <w:lang w:val="en"/>
        </w:rPr>
        <w:t xml:space="preserve">35AB(1)(c)). This requirement ensures that the regime can only be used in the most serious of circumstances where Australia’s national interests are being seriously prejudiced. In such circumstances, the Government’s responsibility to protect Australia’s </w:t>
      </w:r>
      <w:r w:rsidRPr="009A3BCB">
        <w:t xml:space="preserve">national interests are engaged.  </w:t>
      </w:r>
    </w:p>
    <w:p w14:paraId="47F53CCE" w14:textId="77777777" w:rsidR="00903F72" w:rsidRPr="009A3BCB" w:rsidRDefault="00903F72" w:rsidP="00903F72">
      <w:pPr>
        <w:pStyle w:val="ESSubparaList"/>
        <w:ind w:left="1134" w:hanging="567"/>
      </w:pPr>
      <w:r w:rsidRPr="009A3BCB">
        <w:t xml:space="preserve">That the action would be a technically feasible, proportionate (considering the impact of compliance with the request and the consequences of compliance) and a reasonably necessary response to the incident, and that the relevant entity is unwilling or unable to take all reasonable steps to respond to the incident (subsections </w:t>
      </w:r>
      <w:proofErr w:type="gramStart"/>
      <w:r w:rsidRPr="009A3BCB">
        <w:t>35AB(</w:t>
      </w:r>
      <w:proofErr w:type="gramEnd"/>
      <w:r w:rsidRPr="009A3BCB">
        <w:t xml:space="preserve">7) and 35AB(10)). </w:t>
      </w:r>
    </w:p>
    <w:p w14:paraId="262A861A" w14:textId="77777777" w:rsidR="00903F72" w:rsidRPr="009A3BCB" w:rsidRDefault="00903F72" w:rsidP="00903F72">
      <w:pPr>
        <w:pStyle w:val="ESSubparaList"/>
        <w:ind w:left="1134" w:hanging="567"/>
      </w:pPr>
      <w:r w:rsidRPr="009A3BCB">
        <w:t xml:space="preserve">For intervention requests, that the Minister has obtained the agreement of the Prime Minister and the Defence Minister before giving the Ministerial authorisation (section 35AB)). </w:t>
      </w:r>
    </w:p>
    <w:p w14:paraId="48675010" w14:textId="77777777" w:rsidR="00903F72" w:rsidRPr="009A3BCB" w:rsidRDefault="00903F72" w:rsidP="009A3BCB">
      <w:pPr>
        <w:pStyle w:val="ESPara"/>
      </w:pPr>
      <w:r w:rsidRPr="009A3BCB">
        <w:t xml:space="preserve">The ANU will continue to be primarily responsible for managing cyber-security risks. In the vast majority of cyber-security incidents, the ANU should and will respond to cyber-security incidents, with the support of Government only where necessary. </w:t>
      </w:r>
    </w:p>
    <w:p w14:paraId="3E774DA1" w14:textId="77777777" w:rsidR="00903F72" w:rsidRPr="009A3BCB" w:rsidRDefault="00903F72" w:rsidP="009A3BCB">
      <w:pPr>
        <w:pStyle w:val="ESPara"/>
        <w:rPr>
          <w:lang w:val="en"/>
        </w:rPr>
      </w:pPr>
      <w:r w:rsidRPr="009A3BCB">
        <w:t>Only in exceptional circumstances, and as a last resort, will the Government Assistances measures be utilised to enable Government to take appropriate steps to prevent and address immediate and serious cyber-security incidents that threaten serious harm to Australia’s interests, mitigate the impacts of such incidents on critical infrastructure, and restore the</w:t>
      </w:r>
      <w:r w:rsidRPr="009A3BCB">
        <w:rPr>
          <w:lang w:val="en"/>
        </w:rPr>
        <w:t xml:space="preserve"> functioning of those assets. </w:t>
      </w:r>
    </w:p>
    <w:p w14:paraId="01E9EED6" w14:textId="77777777" w:rsidR="00903F72" w:rsidRPr="009A3BCB" w:rsidRDefault="00903F72" w:rsidP="00903F72">
      <w:pPr>
        <w:pStyle w:val="Heading3"/>
        <w:rPr>
          <w:sz w:val="22"/>
          <w:szCs w:val="22"/>
        </w:rPr>
      </w:pPr>
      <w:r w:rsidRPr="009A3BCB">
        <w:rPr>
          <w:sz w:val="22"/>
          <w:szCs w:val="22"/>
        </w:rPr>
        <w:t xml:space="preserve">Conclusion </w:t>
      </w:r>
    </w:p>
    <w:p w14:paraId="067C36F3" w14:textId="77777777" w:rsidR="00903F72" w:rsidRPr="009A3BCB" w:rsidRDefault="00903F72" w:rsidP="00157C5C">
      <w:pPr>
        <w:pStyle w:val="Default"/>
        <w:spacing w:before="120" w:line="276" w:lineRule="auto"/>
        <w:rPr>
          <w:sz w:val="22"/>
          <w:szCs w:val="22"/>
        </w:rPr>
      </w:pPr>
      <w:r w:rsidRPr="009A3BCB">
        <w:rPr>
          <w:sz w:val="22"/>
          <w:szCs w:val="22"/>
        </w:rPr>
        <w:t>The Disallowable Legislative Instrument is compatible with human rights because, to the extent that it may limit human rights, those limitations are reasonable, necessary and proportionate to the objective of reducing national security risks, including those presented by foreign interference and cyber threats, to critical infrastructure.</w:t>
      </w:r>
    </w:p>
    <w:p w14:paraId="6654CC63" w14:textId="77777777" w:rsidR="00903F72" w:rsidRPr="009A3BCB" w:rsidRDefault="00903F72" w:rsidP="00903F72">
      <w:pPr>
        <w:spacing w:line="240" w:lineRule="auto"/>
      </w:pPr>
    </w:p>
    <w:p w14:paraId="5DBFF503" w14:textId="77777777" w:rsidR="00915032" w:rsidRPr="009A3BCB" w:rsidRDefault="00915032" w:rsidP="00756075">
      <w:pPr>
        <w:rPr>
          <w:rFonts w:ascii="Times New Roman" w:hAnsi="Times New Roman" w:cs="Times New Roman"/>
        </w:rPr>
      </w:pPr>
    </w:p>
    <w:sectPr w:rsidR="00915032" w:rsidRPr="009A3BCB" w:rsidSect="004F5CE4">
      <w:headerReference w:type="default" r:id="rId7"/>
      <w:footerReference w:type="default" r:id="rId8"/>
      <w:pgSz w:w="11906" w:h="16838"/>
      <w:pgMar w:top="1440" w:right="1080" w:bottom="1276"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C4B64F" w14:textId="77777777" w:rsidR="00A72AF7" w:rsidRDefault="00A72AF7" w:rsidP="00756075">
      <w:pPr>
        <w:spacing w:after="0" w:line="240" w:lineRule="auto"/>
      </w:pPr>
      <w:r>
        <w:separator/>
      </w:r>
    </w:p>
  </w:endnote>
  <w:endnote w:type="continuationSeparator" w:id="0">
    <w:p w14:paraId="7CEA8BB7" w14:textId="77777777" w:rsidR="00A72AF7" w:rsidRDefault="00A72AF7" w:rsidP="00756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92A0C" w14:textId="51127347" w:rsidR="00956C9F" w:rsidRPr="009A3BCB" w:rsidRDefault="0056468F" w:rsidP="00956C9F">
    <w:pPr>
      <w:pStyle w:val="Header"/>
      <w:jc w:val="center"/>
      <w:rPr>
        <w:rFonts w:ascii="Times New Roman" w:hAnsi="Times New Roman" w:cs="Times New Roman"/>
      </w:rPr>
    </w:pPr>
    <w:r w:rsidRPr="009A3BCB">
      <w:rPr>
        <w:rFonts w:ascii="Times New Roman" w:hAnsi="Times New Roman" w:cs="Times New Roman"/>
      </w:rPr>
      <w:fldChar w:fldCharType="begin"/>
    </w:r>
    <w:r w:rsidRPr="009A3BCB">
      <w:rPr>
        <w:rFonts w:ascii="Times New Roman" w:hAnsi="Times New Roman" w:cs="Times New Roman"/>
      </w:rPr>
      <w:instrText xml:space="preserve"> PAGE  \* Arabic  \* MERGEFORMAT </w:instrText>
    </w:r>
    <w:r w:rsidRPr="009A3BCB">
      <w:rPr>
        <w:rFonts w:ascii="Times New Roman" w:hAnsi="Times New Roman" w:cs="Times New Roman"/>
      </w:rPr>
      <w:fldChar w:fldCharType="separate"/>
    </w:r>
    <w:r w:rsidR="00015C83">
      <w:rPr>
        <w:rFonts w:ascii="Times New Roman" w:hAnsi="Times New Roman" w:cs="Times New Roman"/>
        <w:noProof/>
      </w:rPr>
      <w:t>5</w:t>
    </w:r>
    <w:r w:rsidRPr="009A3BCB">
      <w:rPr>
        <w:rFonts w:ascii="Times New Roman" w:hAnsi="Times New Roman" w:cs="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256511" w14:textId="77777777" w:rsidR="00A72AF7" w:rsidRDefault="00A72AF7" w:rsidP="00756075">
      <w:pPr>
        <w:spacing w:after="0" w:line="240" w:lineRule="auto"/>
      </w:pPr>
      <w:r>
        <w:separator/>
      </w:r>
    </w:p>
  </w:footnote>
  <w:footnote w:type="continuationSeparator" w:id="0">
    <w:p w14:paraId="2297AA14" w14:textId="77777777" w:rsidR="00A72AF7" w:rsidRDefault="00A72AF7" w:rsidP="007560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38FBA7" w14:textId="51BE8CC9" w:rsidR="00956C9F" w:rsidRPr="00956C9F" w:rsidRDefault="00956C9F" w:rsidP="00956C9F">
    <w:pPr>
      <w:pStyle w:val="Header"/>
      <w:jc w:val="center"/>
      <w:rPr>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A1EAF"/>
    <w:multiLevelType w:val="hybridMultilevel"/>
    <w:tmpl w:val="96280E2A"/>
    <w:lvl w:ilvl="0" w:tplc="AE2C840E">
      <w:start w:val="1"/>
      <w:numFmt w:val="lowerRoman"/>
      <w:lvlText w:val="(%1)"/>
      <w:lvlJc w:val="left"/>
      <w:pPr>
        <w:ind w:left="1647" w:hanging="72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 w15:restartNumberingAfterBreak="0">
    <w:nsid w:val="34F12FA3"/>
    <w:multiLevelType w:val="hybridMultilevel"/>
    <w:tmpl w:val="AEA81234"/>
    <w:lvl w:ilvl="0" w:tplc="83F0EE94">
      <w:start w:val="1"/>
      <w:numFmt w:val="bullet"/>
      <w:pStyle w:val="Dotpoints"/>
      <w:lvlText w:val=""/>
      <w:lvlJc w:val="left"/>
      <w:pPr>
        <w:ind w:left="360" w:hanging="360"/>
      </w:pPr>
      <w:rPr>
        <w:rFonts w:ascii="Symbol" w:hAnsi="Symbol" w:hint="default"/>
        <w:color w:val="auto"/>
        <w:sz w:val="22"/>
        <w:szCs w:val="22"/>
      </w:rPr>
    </w:lvl>
    <w:lvl w:ilvl="1" w:tplc="2842BC08">
      <w:start w:val="1"/>
      <w:numFmt w:val="bullet"/>
      <w:lvlText w:val="o"/>
      <w:lvlJc w:val="left"/>
      <w:pPr>
        <w:ind w:left="426" w:hanging="360"/>
      </w:pPr>
      <w:rPr>
        <w:rFonts w:ascii="Courier New" w:hAnsi="Courier New" w:cs="Times New Roman" w:hint="default"/>
      </w:rPr>
    </w:lvl>
    <w:lvl w:ilvl="2" w:tplc="D90ACCF4">
      <w:start w:val="1"/>
      <w:numFmt w:val="bullet"/>
      <w:pStyle w:val="Dotpoint-sub"/>
      <w:lvlText w:val="­"/>
      <w:lvlJc w:val="left"/>
      <w:pPr>
        <w:ind w:left="851" w:hanging="360"/>
      </w:pPr>
      <w:rPr>
        <w:rFonts w:ascii="Courier New" w:hAnsi="Courier New" w:cs="Times New Roman" w:hint="default"/>
        <w:color w:val="auto"/>
      </w:rPr>
    </w:lvl>
    <w:lvl w:ilvl="3" w:tplc="0C090003">
      <w:start w:val="1"/>
      <w:numFmt w:val="bullet"/>
      <w:lvlText w:val="o"/>
      <w:lvlJc w:val="left"/>
      <w:pPr>
        <w:ind w:left="2520" w:hanging="360"/>
      </w:pPr>
      <w:rPr>
        <w:rFonts w:ascii="Courier New" w:hAnsi="Courier New" w:cs="Courier New"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3AE532A9"/>
    <w:multiLevelType w:val="hybridMultilevel"/>
    <w:tmpl w:val="16DE8FA2"/>
    <w:lvl w:ilvl="0" w:tplc="C80632DA">
      <w:start w:val="1"/>
      <w:numFmt w:val="decimal"/>
      <w:pStyle w:val="ESSubparaHeader"/>
      <w:lvlText w:val="%1"/>
      <w:lvlJc w:val="left"/>
      <w:pPr>
        <w:ind w:left="720" w:hanging="360"/>
      </w:pPr>
      <w:rPr>
        <w:rFonts w:hint="default"/>
        <w:b w:val="0"/>
        <w:i w:val="0"/>
      </w:rPr>
    </w:lvl>
    <w:lvl w:ilvl="1" w:tplc="ABC2DF26">
      <w:start w:val="1"/>
      <w:numFmt w:val="bullet"/>
      <w:pStyle w:val="ESSubparaList"/>
      <w:lvlText w:val=""/>
      <w:lvlJc w:val="left"/>
      <w:pPr>
        <w:ind w:left="1440" w:hanging="360"/>
      </w:pPr>
      <w:rPr>
        <w:rFonts w:ascii="Symbol" w:hAnsi="Symbo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4C3F59AC"/>
    <w:multiLevelType w:val="hybridMultilevel"/>
    <w:tmpl w:val="537E7028"/>
    <w:lvl w:ilvl="0" w:tplc="15C47B8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4" w15:restartNumberingAfterBreak="0">
    <w:nsid w:val="4C8B22CF"/>
    <w:multiLevelType w:val="hybridMultilevel"/>
    <w:tmpl w:val="2DCEB73C"/>
    <w:lvl w:ilvl="0" w:tplc="2A36B062">
      <w:start w:val="2"/>
      <w:numFmt w:val="bullet"/>
      <w:pStyle w:val="ESAttLis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1D4731F"/>
    <w:multiLevelType w:val="hybridMultilevel"/>
    <w:tmpl w:val="9550830A"/>
    <w:lvl w:ilvl="0" w:tplc="4E129654">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num w:numId="1">
    <w:abstractNumId w:val="2"/>
  </w:num>
  <w:num w:numId="2">
    <w:abstractNumId w:val="4"/>
  </w:num>
  <w:num w:numId="3">
    <w:abstractNumId w:val="4"/>
  </w:num>
  <w:num w:numId="4">
    <w:abstractNumId w:val="4"/>
  </w:num>
  <w:num w:numId="5">
    <w:abstractNumId w:val="3"/>
  </w:num>
  <w:num w:numId="6">
    <w:abstractNumId w:val="5"/>
  </w:num>
  <w:num w:numId="7">
    <w:abstractNumId w:val="0"/>
  </w:num>
  <w:num w:numId="8">
    <w:abstractNumId w:val="2"/>
  </w:num>
  <w:num w:numId="9">
    <w:abstractNumId w:val="2"/>
  </w:num>
  <w:num w:numId="10">
    <w:abstractNumId w:val="1"/>
  </w:num>
  <w:num w:numId="11">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3D"/>
    <w:rsid w:val="00015C83"/>
    <w:rsid w:val="00047D02"/>
    <w:rsid w:val="00056F98"/>
    <w:rsid w:val="0006347B"/>
    <w:rsid w:val="00091B35"/>
    <w:rsid w:val="000C13EA"/>
    <w:rsid w:val="000D014F"/>
    <w:rsid w:val="000D2EF3"/>
    <w:rsid w:val="000F042C"/>
    <w:rsid w:val="000F74A1"/>
    <w:rsid w:val="00100DFC"/>
    <w:rsid w:val="00135F45"/>
    <w:rsid w:val="00136D87"/>
    <w:rsid w:val="001501CA"/>
    <w:rsid w:val="00157C5C"/>
    <w:rsid w:val="001838CE"/>
    <w:rsid w:val="00186893"/>
    <w:rsid w:val="0019164E"/>
    <w:rsid w:val="001E3D1D"/>
    <w:rsid w:val="002402E0"/>
    <w:rsid w:val="00257960"/>
    <w:rsid w:val="002B006F"/>
    <w:rsid w:val="002D1082"/>
    <w:rsid w:val="002D167E"/>
    <w:rsid w:val="00386CF1"/>
    <w:rsid w:val="0040483E"/>
    <w:rsid w:val="004539D4"/>
    <w:rsid w:val="00457D4A"/>
    <w:rsid w:val="00464080"/>
    <w:rsid w:val="004A3395"/>
    <w:rsid w:val="004D486E"/>
    <w:rsid w:val="004F5CE4"/>
    <w:rsid w:val="00531814"/>
    <w:rsid w:val="005411A9"/>
    <w:rsid w:val="00543024"/>
    <w:rsid w:val="005563A2"/>
    <w:rsid w:val="00560B24"/>
    <w:rsid w:val="0056468F"/>
    <w:rsid w:val="0057002B"/>
    <w:rsid w:val="005F4884"/>
    <w:rsid w:val="00604E06"/>
    <w:rsid w:val="006453D0"/>
    <w:rsid w:val="00655967"/>
    <w:rsid w:val="00661EEA"/>
    <w:rsid w:val="00681AC4"/>
    <w:rsid w:val="006B3230"/>
    <w:rsid w:val="006C00DE"/>
    <w:rsid w:val="006C4015"/>
    <w:rsid w:val="0070569C"/>
    <w:rsid w:val="007079A5"/>
    <w:rsid w:val="00744FF1"/>
    <w:rsid w:val="007538F0"/>
    <w:rsid w:val="00756075"/>
    <w:rsid w:val="007E4691"/>
    <w:rsid w:val="008210DB"/>
    <w:rsid w:val="00827937"/>
    <w:rsid w:val="008439A3"/>
    <w:rsid w:val="00877002"/>
    <w:rsid w:val="0088407D"/>
    <w:rsid w:val="00886D65"/>
    <w:rsid w:val="00887684"/>
    <w:rsid w:val="008A3818"/>
    <w:rsid w:val="008B24C8"/>
    <w:rsid w:val="00903F72"/>
    <w:rsid w:val="009068DA"/>
    <w:rsid w:val="00915032"/>
    <w:rsid w:val="00925BAD"/>
    <w:rsid w:val="00937131"/>
    <w:rsid w:val="00956C9F"/>
    <w:rsid w:val="009A3BCB"/>
    <w:rsid w:val="009B04DE"/>
    <w:rsid w:val="009D4624"/>
    <w:rsid w:val="009F5A79"/>
    <w:rsid w:val="009F7FE8"/>
    <w:rsid w:val="00A1267F"/>
    <w:rsid w:val="00A3576D"/>
    <w:rsid w:val="00A53665"/>
    <w:rsid w:val="00A72AF7"/>
    <w:rsid w:val="00AA4557"/>
    <w:rsid w:val="00AD31B2"/>
    <w:rsid w:val="00AD494D"/>
    <w:rsid w:val="00B306B7"/>
    <w:rsid w:val="00B445D9"/>
    <w:rsid w:val="00B5105C"/>
    <w:rsid w:val="00B56487"/>
    <w:rsid w:val="00B65A06"/>
    <w:rsid w:val="00B73487"/>
    <w:rsid w:val="00B75478"/>
    <w:rsid w:val="00B81A24"/>
    <w:rsid w:val="00B9421B"/>
    <w:rsid w:val="00BA1550"/>
    <w:rsid w:val="00BB0CF2"/>
    <w:rsid w:val="00BB1F8E"/>
    <w:rsid w:val="00BC50F3"/>
    <w:rsid w:val="00BC70B5"/>
    <w:rsid w:val="00BD5919"/>
    <w:rsid w:val="00BD598E"/>
    <w:rsid w:val="00BE4395"/>
    <w:rsid w:val="00C108F1"/>
    <w:rsid w:val="00C137E3"/>
    <w:rsid w:val="00C215E0"/>
    <w:rsid w:val="00C453B0"/>
    <w:rsid w:val="00C50B49"/>
    <w:rsid w:val="00C74783"/>
    <w:rsid w:val="00C81A5E"/>
    <w:rsid w:val="00C930F2"/>
    <w:rsid w:val="00D40E1E"/>
    <w:rsid w:val="00E03DCC"/>
    <w:rsid w:val="00E115DF"/>
    <w:rsid w:val="00E45FE2"/>
    <w:rsid w:val="00E46414"/>
    <w:rsid w:val="00E47A78"/>
    <w:rsid w:val="00E54A03"/>
    <w:rsid w:val="00E60337"/>
    <w:rsid w:val="00E82B9C"/>
    <w:rsid w:val="00EA12C9"/>
    <w:rsid w:val="00EC70EF"/>
    <w:rsid w:val="00EF062D"/>
    <w:rsid w:val="00F5366A"/>
    <w:rsid w:val="00F8262A"/>
    <w:rsid w:val="00FE0FEE"/>
    <w:rsid w:val="00FE34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0555B"/>
  <w15:chartTrackingRefBased/>
  <w15:docId w15:val="{071A0E9C-7BFA-438E-8381-D0A8A35F6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903F72"/>
    <w:pPr>
      <w:spacing w:before="360" w:after="120" w:line="240" w:lineRule="auto"/>
      <w:jc w:val="center"/>
      <w:outlineLvl w:val="1"/>
    </w:pPr>
    <w:rPr>
      <w:rFonts w:ascii="Times New Roman" w:hAnsi="Times New Roman"/>
      <w:b/>
      <w:sz w:val="28"/>
      <w:szCs w:val="28"/>
    </w:rPr>
  </w:style>
  <w:style w:type="paragraph" w:styleId="Heading3">
    <w:name w:val="heading 3"/>
    <w:basedOn w:val="Normal"/>
    <w:next w:val="Normal"/>
    <w:link w:val="Heading3Char"/>
    <w:uiPriority w:val="9"/>
    <w:unhideWhenUsed/>
    <w:qFormat/>
    <w:rsid w:val="00903F72"/>
    <w:pPr>
      <w:spacing w:before="120" w:after="120" w:line="240" w:lineRule="auto"/>
      <w:jc w:val="both"/>
      <w:outlineLvl w:val="2"/>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7002B"/>
    <w:pPr>
      <w:ind w:left="720"/>
      <w:contextualSpacing/>
    </w:pPr>
  </w:style>
  <w:style w:type="paragraph" w:customStyle="1" w:styleId="ESParagraph">
    <w:name w:val="ES_Paragraph"/>
    <w:basedOn w:val="ListParagraph"/>
    <w:link w:val="ESParagraphChar"/>
    <w:rsid w:val="00100DFC"/>
    <w:pPr>
      <w:spacing w:before="240" w:after="240" w:line="276" w:lineRule="auto"/>
      <w:ind w:left="567" w:hanging="567"/>
      <w:contextualSpacing w:val="0"/>
    </w:pPr>
    <w:rPr>
      <w:rFonts w:ascii="Times New Roman" w:hAnsi="Times New Roman" w:cs="Times New Roman"/>
    </w:rPr>
  </w:style>
  <w:style w:type="paragraph" w:customStyle="1" w:styleId="ESHeading">
    <w:name w:val="ES_Heading"/>
    <w:basedOn w:val="ListParagraph"/>
    <w:link w:val="ESHeadingChar"/>
    <w:qFormat/>
    <w:rsid w:val="00100DFC"/>
    <w:pPr>
      <w:keepNext/>
      <w:spacing w:before="240" w:after="240" w:line="276" w:lineRule="auto"/>
      <w:ind w:left="0"/>
      <w:contextualSpacing w:val="0"/>
    </w:pPr>
    <w:rPr>
      <w:rFonts w:ascii="Times New Roman" w:hAnsi="Times New Roman" w:cs="Times New Roman"/>
      <w:b/>
      <w:i/>
    </w:rPr>
  </w:style>
  <w:style w:type="character" w:customStyle="1" w:styleId="ListParagraphChar">
    <w:name w:val="List Paragraph Char"/>
    <w:basedOn w:val="DefaultParagraphFont"/>
    <w:link w:val="ListParagraph"/>
    <w:uiPriority w:val="34"/>
    <w:rsid w:val="00100DFC"/>
  </w:style>
  <w:style w:type="character" w:customStyle="1" w:styleId="ESParagraphChar">
    <w:name w:val="ES_Paragraph Char"/>
    <w:basedOn w:val="ListParagraphChar"/>
    <w:link w:val="ESParagraph"/>
    <w:rsid w:val="00100DFC"/>
    <w:rPr>
      <w:rFonts w:ascii="Times New Roman" w:hAnsi="Times New Roman" w:cs="Times New Roman"/>
    </w:rPr>
  </w:style>
  <w:style w:type="paragraph" w:customStyle="1" w:styleId="ESAttAttName">
    <w:name w:val="ESAtt_AttName"/>
    <w:basedOn w:val="Normal"/>
    <w:link w:val="ESAttAttNameChar"/>
    <w:qFormat/>
    <w:rsid w:val="00100DFC"/>
    <w:pPr>
      <w:spacing w:before="240" w:after="240" w:line="276" w:lineRule="auto"/>
      <w:jc w:val="right"/>
    </w:pPr>
    <w:rPr>
      <w:rFonts w:ascii="Times New Roman" w:hAnsi="Times New Roman" w:cs="Times New Roman"/>
      <w:b/>
      <w:u w:val="single"/>
    </w:rPr>
  </w:style>
  <w:style w:type="character" w:customStyle="1" w:styleId="ESHeadingChar">
    <w:name w:val="ES_Heading Char"/>
    <w:basedOn w:val="ListParagraphChar"/>
    <w:link w:val="ESHeading"/>
    <w:rsid w:val="00100DFC"/>
    <w:rPr>
      <w:rFonts w:ascii="Times New Roman" w:hAnsi="Times New Roman" w:cs="Times New Roman"/>
      <w:b/>
      <w:i/>
    </w:rPr>
  </w:style>
  <w:style w:type="paragraph" w:customStyle="1" w:styleId="ESAttHeading">
    <w:name w:val="ESAtt_Heading"/>
    <w:basedOn w:val="Normal"/>
    <w:link w:val="ESAttHeadingChar"/>
    <w:qFormat/>
    <w:rsid w:val="00100DFC"/>
    <w:pPr>
      <w:keepNext/>
      <w:spacing w:before="240" w:after="240" w:line="276" w:lineRule="auto"/>
    </w:pPr>
    <w:rPr>
      <w:rFonts w:ascii="Times New Roman" w:hAnsi="Times New Roman" w:cs="Times New Roman"/>
      <w:b/>
    </w:rPr>
  </w:style>
  <w:style w:type="character" w:customStyle="1" w:styleId="ESAttAttNameChar">
    <w:name w:val="ESAtt_AttName Char"/>
    <w:basedOn w:val="DefaultParagraphFont"/>
    <w:link w:val="ESAttAttName"/>
    <w:rsid w:val="00100DFC"/>
    <w:rPr>
      <w:rFonts w:ascii="Times New Roman" w:hAnsi="Times New Roman" w:cs="Times New Roman"/>
      <w:b/>
      <w:u w:val="single"/>
    </w:rPr>
  </w:style>
  <w:style w:type="paragraph" w:customStyle="1" w:styleId="ESAttNormal">
    <w:name w:val="ESAtt_Normal"/>
    <w:basedOn w:val="Normal"/>
    <w:link w:val="ESAttNormalChar"/>
    <w:qFormat/>
    <w:rsid w:val="00100DFC"/>
    <w:pPr>
      <w:spacing w:before="240" w:after="240" w:line="276" w:lineRule="auto"/>
    </w:pPr>
    <w:rPr>
      <w:rFonts w:ascii="Times New Roman" w:hAnsi="Times New Roman" w:cs="Times New Roman"/>
    </w:rPr>
  </w:style>
  <w:style w:type="character" w:customStyle="1" w:styleId="ESAttHeadingChar">
    <w:name w:val="ESAtt_Heading Char"/>
    <w:basedOn w:val="DefaultParagraphFont"/>
    <w:link w:val="ESAttHeading"/>
    <w:rsid w:val="00100DFC"/>
    <w:rPr>
      <w:rFonts w:ascii="Times New Roman" w:hAnsi="Times New Roman" w:cs="Times New Roman"/>
      <w:b/>
    </w:rPr>
  </w:style>
  <w:style w:type="paragraph" w:customStyle="1" w:styleId="ESAttListHeader">
    <w:name w:val="ESAtt_ListHeader"/>
    <w:basedOn w:val="Normal"/>
    <w:link w:val="ESAttListHeaderChar"/>
    <w:qFormat/>
    <w:rsid w:val="00100DFC"/>
    <w:pPr>
      <w:keepNext/>
      <w:spacing w:before="240" w:after="240" w:line="276" w:lineRule="auto"/>
    </w:pPr>
    <w:rPr>
      <w:rFonts w:ascii="Times New Roman" w:hAnsi="Times New Roman" w:cs="Times New Roman"/>
    </w:rPr>
  </w:style>
  <w:style w:type="character" w:customStyle="1" w:styleId="ESAttNormalChar">
    <w:name w:val="ESAtt_Normal Char"/>
    <w:basedOn w:val="DefaultParagraphFont"/>
    <w:link w:val="ESAttNormal"/>
    <w:rsid w:val="00100DFC"/>
    <w:rPr>
      <w:rFonts w:ascii="Times New Roman" w:hAnsi="Times New Roman" w:cs="Times New Roman"/>
    </w:rPr>
  </w:style>
  <w:style w:type="paragraph" w:customStyle="1" w:styleId="ESAttList">
    <w:name w:val="ESAtt_List"/>
    <w:basedOn w:val="ListParagraph"/>
    <w:link w:val="ESAttListChar"/>
    <w:qFormat/>
    <w:rsid w:val="00100DFC"/>
    <w:pPr>
      <w:numPr>
        <w:numId w:val="2"/>
      </w:numPr>
      <w:spacing w:before="240" w:after="240" w:line="276" w:lineRule="auto"/>
      <w:contextualSpacing w:val="0"/>
    </w:pPr>
    <w:rPr>
      <w:rFonts w:ascii="Times New Roman" w:hAnsi="Times New Roman" w:cs="Times New Roman"/>
    </w:rPr>
  </w:style>
  <w:style w:type="character" w:customStyle="1" w:styleId="ESAttListHeaderChar">
    <w:name w:val="ESAtt_ListHeader Char"/>
    <w:basedOn w:val="DefaultParagraphFont"/>
    <w:link w:val="ESAttListHeader"/>
    <w:rsid w:val="00100DFC"/>
    <w:rPr>
      <w:rFonts w:ascii="Times New Roman" w:hAnsi="Times New Roman" w:cs="Times New Roman"/>
    </w:rPr>
  </w:style>
  <w:style w:type="paragraph" w:customStyle="1" w:styleId="ESSubHeading">
    <w:name w:val="ES_SubHeading"/>
    <w:basedOn w:val="ESHeading"/>
    <w:link w:val="ESSubHeadingChar"/>
    <w:qFormat/>
    <w:rsid w:val="00BB0CF2"/>
    <w:rPr>
      <w:b w:val="0"/>
    </w:rPr>
  </w:style>
  <w:style w:type="character" w:customStyle="1" w:styleId="ESAttListChar">
    <w:name w:val="ESAtt_List Char"/>
    <w:basedOn w:val="ListParagraphChar"/>
    <w:link w:val="ESAttList"/>
    <w:rsid w:val="00100DFC"/>
    <w:rPr>
      <w:rFonts w:ascii="Times New Roman" w:hAnsi="Times New Roman" w:cs="Times New Roman"/>
    </w:rPr>
  </w:style>
  <w:style w:type="paragraph" w:customStyle="1" w:styleId="ESTitleInstrumentName">
    <w:name w:val="ESTitle_InstrumentName"/>
    <w:basedOn w:val="Normal"/>
    <w:link w:val="ESTitleInstrumentNameChar"/>
    <w:qFormat/>
    <w:rsid w:val="00BB0CF2"/>
    <w:pPr>
      <w:spacing w:before="360" w:after="600" w:line="276" w:lineRule="auto"/>
      <w:jc w:val="center"/>
    </w:pPr>
    <w:rPr>
      <w:rFonts w:ascii="Times New Roman" w:hAnsi="Times New Roman" w:cs="Times New Roman"/>
      <w:b/>
      <w:i/>
    </w:rPr>
  </w:style>
  <w:style w:type="character" w:customStyle="1" w:styleId="ESSubHeadingChar">
    <w:name w:val="ES_SubHeading Char"/>
    <w:basedOn w:val="ESHeadingChar"/>
    <w:link w:val="ESSubHeading"/>
    <w:rsid w:val="00BB0CF2"/>
    <w:rPr>
      <w:rFonts w:ascii="Times New Roman" w:hAnsi="Times New Roman" w:cs="Times New Roman"/>
      <w:b w:val="0"/>
      <w:i/>
    </w:rPr>
  </w:style>
  <w:style w:type="paragraph" w:customStyle="1" w:styleId="ESTitleEnablingLegislation">
    <w:name w:val="ESTitle_EnablingLegislation"/>
    <w:basedOn w:val="Normal"/>
    <w:link w:val="ESTitleEnablingLegislationChar"/>
    <w:qFormat/>
    <w:rsid w:val="00BB0CF2"/>
    <w:pPr>
      <w:spacing w:line="276" w:lineRule="auto"/>
      <w:jc w:val="center"/>
    </w:pPr>
    <w:rPr>
      <w:rFonts w:ascii="Times New Roman" w:hAnsi="Times New Roman" w:cs="Times New Roman"/>
      <w:i/>
    </w:rPr>
  </w:style>
  <w:style w:type="character" w:customStyle="1" w:styleId="ESTitleInstrumentNameChar">
    <w:name w:val="ESTitle_InstrumentName Char"/>
    <w:basedOn w:val="DefaultParagraphFont"/>
    <w:link w:val="ESTitleInstrumentName"/>
    <w:rsid w:val="00BB0CF2"/>
    <w:rPr>
      <w:rFonts w:ascii="Times New Roman" w:hAnsi="Times New Roman" w:cs="Times New Roman"/>
      <w:b/>
      <w:i/>
    </w:rPr>
  </w:style>
  <w:style w:type="paragraph" w:customStyle="1" w:styleId="ESTitleDecisionMaker">
    <w:name w:val="ESTitle_DecisionMaker"/>
    <w:basedOn w:val="Normal"/>
    <w:link w:val="ESTitleDecisionMakerChar"/>
    <w:qFormat/>
    <w:rsid w:val="00BB0CF2"/>
    <w:pPr>
      <w:spacing w:line="276" w:lineRule="auto"/>
      <w:jc w:val="center"/>
    </w:pPr>
    <w:rPr>
      <w:rFonts w:ascii="Times New Roman" w:hAnsi="Times New Roman" w:cs="Times New Roman"/>
    </w:rPr>
  </w:style>
  <w:style w:type="character" w:customStyle="1" w:styleId="ESTitleEnablingLegislationChar">
    <w:name w:val="ESTitle_EnablingLegislation Char"/>
    <w:basedOn w:val="DefaultParagraphFont"/>
    <w:link w:val="ESTitleEnablingLegislation"/>
    <w:rsid w:val="00BB0CF2"/>
    <w:rPr>
      <w:rFonts w:ascii="Times New Roman" w:hAnsi="Times New Roman" w:cs="Times New Roman"/>
      <w:i/>
    </w:rPr>
  </w:style>
  <w:style w:type="paragraph" w:customStyle="1" w:styleId="ESTitleHeader">
    <w:name w:val="ESTitle_Header"/>
    <w:basedOn w:val="Normal"/>
    <w:link w:val="ESTitleHeaderChar"/>
    <w:qFormat/>
    <w:rsid w:val="00BB0CF2"/>
    <w:pPr>
      <w:spacing w:line="276" w:lineRule="auto"/>
      <w:jc w:val="center"/>
    </w:pPr>
    <w:rPr>
      <w:rFonts w:ascii="Times New Roman" w:hAnsi="Times New Roman" w:cs="Times New Roman"/>
      <w:u w:val="single"/>
    </w:rPr>
  </w:style>
  <w:style w:type="character" w:customStyle="1" w:styleId="ESTitleDecisionMakerChar">
    <w:name w:val="ESTitle_DecisionMaker Char"/>
    <w:basedOn w:val="DefaultParagraphFont"/>
    <w:link w:val="ESTitleDecisionMaker"/>
    <w:rsid w:val="00BB0CF2"/>
    <w:rPr>
      <w:rFonts w:ascii="Times New Roman" w:hAnsi="Times New Roman" w:cs="Times New Roman"/>
    </w:rPr>
  </w:style>
  <w:style w:type="paragraph" w:customStyle="1" w:styleId="ESSubparaHeader">
    <w:name w:val="ES_SubparaHeader"/>
    <w:basedOn w:val="ListParagraph"/>
    <w:next w:val="ESSubparaList"/>
    <w:link w:val="ESSubparaHeaderChar"/>
    <w:qFormat/>
    <w:rsid w:val="00BB0CF2"/>
    <w:pPr>
      <w:keepNext/>
      <w:numPr>
        <w:numId w:val="1"/>
      </w:numPr>
      <w:spacing w:before="240" w:after="240" w:line="276" w:lineRule="auto"/>
      <w:ind w:left="567" w:hanging="567"/>
      <w:contextualSpacing w:val="0"/>
    </w:pPr>
    <w:rPr>
      <w:rFonts w:ascii="Times New Roman" w:hAnsi="Times New Roman" w:cs="Times New Roman"/>
    </w:rPr>
  </w:style>
  <w:style w:type="character" w:customStyle="1" w:styleId="ESTitleHeaderChar">
    <w:name w:val="ESTitle_Header Char"/>
    <w:basedOn w:val="DefaultParagraphFont"/>
    <w:link w:val="ESTitleHeader"/>
    <w:rsid w:val="00BB0CF2"/>
    <w:rPr>
      <w:rFonts w:ascii="Times New Roman" w:hAnsi="Times New Roman" w:cs="Times New Roman"/>
      <w:u w:val="single"/>
    </w:rPr>
  </w:style>
  <w:style w:type="paragraph" w:customStyle="1" w:styleId="ESSubparaList">
    <w:name w:val="ES_SubparaList"/>
    <w:basedOn w:val="ListParagraph"/>
    <w:link w:val="ESSubparaListChar"/>
    <w:qFormat/>
    <w:rsid w:val="00BB0CF2"/>
    <w:pPr>
      <w:numPr>
        <w:ilvl w:val="1"/>
        <w:numId w:val="1"/>
      </w:numPr>
      <w:spacing w:before="240" w:after="240" w:line="276" w:lineRule="auto"/>
      <w:contextualSpacing w:val="0"/>
    </w:pPr>
    <w:rPr>
      <w:rFonts w:ascii="Times New Roman" w:hAnsi="Times New Roman" w:cs="Times New Roman"/>
    </w:rPr>
  </w:style>
  <w:style w:type="character" w:customStyle="1" w:styleId="ESSubparaHeaderChar">
    <w:name w:val="ES_SubparaHeader Char"/>
    <w:basedOn w:val="ListParagraphChar"/>
    <w:link w:val="ESSubparaHeader"/>
    <w:rsid w:val="00BB0CF2"/>
    <w:rPr>
      <w:rFonts w:ascii="Times New Roman" w:hAnsi="Times New Roman" w:cs="Times New Roman"/>
    </w:rPr>
  </w:style>
  <w:style w:type="character" w:customStyle="1" w:styleId="ESSubparaListChar">
    <w:name w:val="ES_SubparaList Char"/>
    <w:basedOn w:val="ListParagraphChar"/>
    <w:link w:val="ESSubparaList"/>
    <w:rsid w:val="00BB0CF2"/>
    <w:rPr>
      <w:rFonts w:ascii="Times New Roman" w:hAnsi="Times New Roman" w:cs="Times New Roman"/>
    </w:rPr>
  </w:style>
  <w:style w:type="paragraph" w:customStyle="1" w:styleId="ESPara">
    <w:name w:val="ES_Para"/>
    <w:basedOn w:val="ESSubparaHeader"/>
    <w:link w:val="ESParaChar"/>
    <w:qFormat/>
    <w:rsid w:val="002D167E"/>
    <w:pPr>
      <w:keepNext w:val="0"/>
    </w:pPr>
  </w:style>
  <w:style w:type="character" w:customStyle="1" w:styleId="ESParaChar">
    <w:name w:val="ES_Para Char"/>
    <w:basedOn w:val="ESSubparaHeaderChar"/>
    <w:link w:val="ESPara"/>
    <w:rsid w:val="002D167E"/>
    <w:rPr>
      <w:rFonts w:ascii="Times New Roman" w:hAnsi="Times New Roman" w:cs="Times New Roman"/>
    </w:rPr>
  </w:style>
  <w:style w:type="character" w:styleId="CommentReference">
    <w:name w:val="annotation reference"/>
    <w:basedOn w:val="DefaultParagraphFont"/>
    <w:uiPriority w:val="99"/>
    <w:semiHidden/>
    <w:unhideWhenUsed/>
    <w:rsid w:val="00756075"/>
    <w:rPr>
      <w:sz w:val="16"/>
      <w:szCs w:val="16"/>
    </w:rPr>
  </w:style>
  <w:style w:type="paragraph" w:styleId="CommentText">
    <w:name w:val="annotation text"/>
    <w:basedOn w:val="Normal"/>
    <w:link w:val="CommentTextChar"/>
    <w:uiPriority w:val="99"/>
    <w:semiHidden/>
    <w:unhideWhenUsed/>
    <w:rsid w:val="00756075"/>
    <w:pPr>
      <w:spacing w:line="240" w:lineRule="auto"/>
    </w:pPr>
    <w:rPr>
      <w:sz w:val="20"/>
      <w:szCs w:val="20"/>
    </w:rPr>
  </w:style>
  <w:style w:type="character" w:customStyle="1" w:styleId="CommentTextChar">
    <w:name w:val="Comment Text Char"/>
    <w:basedOn w:val="DefaultParagraphFont"/>
    <w:link w:val="CommentText"/>
    <w:uiPriority w:val="99"/>
    <w:semiHidden/>
    <w:rsid w:val="00756075"/>
    <w:rPr>
      <w:sz w:val="20"/>
      <w:szCs w:val="20"/>
    </w:rPr>
  </w:style>
  <w:style w:type="paragraph" w:styleId="CommentSubject">
    <w:name w:val="annotation subject"/>
    <w:basedOn w:val="CommentText"/>
    <w:next w:val="CommentText"/>
    <w:link w:val="CommentSubjectChar"/>
    <w:uiPriority w:val="99"/>
    <w:semiHidden/>
    <w:unhideWhenUsed/>
    <w:rsid w:val="00756075"/>
    <w:rPr>
      <w:b/>
      <w:bCs/>
    </w:rPr>
  </w:style>
  <w:style w:type="character" w:customStyle="1" w:styleId="CommentSubjectChar">
    <w:name w:val="Comment Subject Char"/>
    <w:basedOn w:val="CommentTextChar"/>
    <w:link w:val="CommentSubject"/>
    <w:uiPriority w:val="99"/>
    <w:semiHidden/>
    <w:rsid w:val="00756075"/>
    <w:rPr>
      <w:b/>
      <w:bCs/>
      <w:sz w:val="20"/>
      <w:szCs w:val="20"/>
    </w:rPr>
  </w:style>
  <w:style w:type="paragraph" w:styleId="BalloonText">
    <w:name w:val="Balloon Text"/>
    <w:basedOn w:val="Normal"/>
    <w:link w:val="BalloonTextChar"/>
    <w:uiPriority w:val="99"/>
    <w:semiHidden/>
    <w:unhideWhenUsed/>
    <w:rsid w:val="007560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75"/>
    <w:rPr>
      <w:rFonts w:ascii="Segoe UI" w:hAnsi="Segoe UI" w:cs="Segoe UI"/>
      <w:sz w:val="18"/>
      <w:szCs w:val="18"/>
    </w:rPr>
  </w:style>
  <w:style w:type="paragraph" w:styleId="Header">
    <w:name w:val="header"/>
    <w:basedOn w:val="Normal"/>
    <w:link w:val="HeaderChar"/>
    <w:uiPriority w:val="99"/>
    <w:unhideWhenUsed/>
    <w:rsid w:val="007560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6075"/>
  </w:style>
  <w:style w:type="paragraph" w:styleId="Footer">
    <w:name w:val="footer"/>
    <w:basedOn w:val="Normal"/>
    <w:link w:val="FooterChar"/>
    <w:uiPriority w:val="99"/>
    <w:unhideWhenUsed/>
    <w:rsid w:val="007560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6075"/>
  </w:style>
  <w:style w:type="paragraph" w:styleId="Revision">
    <w:name w:val="Revision"/>
    <w:hidden/>
    <w:uiPriority w:val="99"/>
    <w:semiHidden/>
    <w:rsid w:val="00BC50F3"/>
    <w:pPr>
      <w:spacing w:after="0" w:line="240" w:lineRule="auto"/>
    </w:pPr>
  </w:style>
  <w:style w:type="character" w:customStyle="1" w:styleId="Heading2Char">
    <w:name w:val="Heading 2 Char"/>
    <w:basedOn w:val="DefaultParagraphFont"/>
    <w:link w:val="Heading2"/>
    <w:uiPriority w:val="9"/>
    <w:rsid w:val="00903F72"/>
    <w:rPr>
      <w:rFonts w:ascii="Times New Roman" w:hAnsi="Times New Roman"/>
      <w:b/>
      <w:sz w:val="28"/>
      <w:szCs w:val="28"/>
    </w:rPr>
  </w:style>
  <w:style w:type="character" w:customStyle="1" w:styleId="Heading3Char">
    <w:name w:val="Heading 3 Char"/>
    <w:basedOn w:val="DefaultParagraphFont"/>
    <w:link w:val="Heading3"/>
    <w:uiPriority w:val="9"/>
    <w:rsid w:val="00903F72"/>
    <w:rPr>
      <w:rFonts w:ascii="Times New Roman" w:hAnsi="Times New Roman"/>
      <w:b/>
      <w:sz w:val="24"/>
      <w:szCs w:val="24"/>
    </w:rPr>
  </w:style>
  <w:style w:type="paragraph" w:customStyle="1" w:styleId="Default">
    <w:name w:val="Default"/>
    <w:rsid w:val="00903F7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tpoints">
    <w:name w:val="Dot points"/>
    <w:basedOn w:val="Normal"/>
    <w:qFormat/>
    <w:rsid w:val="00903F72"/>
    <w:pPr>
      <w:numPr>
        <w:numId w:val="10"/>
      </w:numPr>
      <w:spacing w:before="120" w:after="0" w:line="240" w:lineRule="auto"/>
    </w:pPr>
    <w:rPr>
      <w:rFonts w:ascii="Times New Roman" w:hAnsi="Times New Roman" w:cs="Times New Roman"/>
    </w:rPr>
  </w:style>
  <w:style w:type="paragraph" w:customStyle="1" w:styleId="Dotpoint-sub">
    <w:name w:val="Dot point - sub"/>
    <w:basedOn w:val="Dotpoints"/>
    <w:qFormat/>
    <w:rsid w:val="00903F72"/>
    <w:pPr>
      <w:numPr>
        <w:ilvl w:val="2"/>
      </w:numPr>
      <w:tabs>
        <w:tab w:val="num" w:pos="360"/>
      </w:tabs>
      <w:ind w:left="4768" w:hanging="1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405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ACT\BEL\legal\LegServLEG\2.%20LEGISLATIVE%20INSTRUMENTS\4.%20TEMPLATES%20-%20instruments%20LEG%20and%20NON-LEG\Patrick's%20templates\ES%20template%202103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 template 210325</Template>
  <TotalTime>8</TotalTime>
  <Pages>5</Pages>
  <Words>2258</Words>
  <Characters>12875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Home Affairs</Company>
  <LinksUpToDate>false</LinksUpToDate>
  <CharactersWithSpaces>15103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NEWMAN-MARTIN</dc:creator>
  <cp:keywords/>
  <dc:description/>
  <cp:lastModifiedBy>Andrew NEWMAN-MARTIN</cp:lastModifiedBy>
  <cp:revision>4</cp:revision>
  <cp:lastPrinted>2022-02-24T00:35:00Z</cp:lastPrinted>
  <dcterms:created xsi:type="dcterms:W3CDTF">2022-03-10T02:47:00Z</dcterms:created>
  <dcterms:modified xsi:type="dcterms:W3CDTF">2022-03-10T03:24:00Z</dcterms:modified>
</cp:coreProperties>
</file>