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5CA17" w14:textId="77777777" w:rsidR="00FF6E25" w:rsidRPr="002D7A08" w:rsidRDefault="00FF6E25" w:rsidP="006018C9">
      <w:pPr>
        <w:spacing w:before="120" w:after="120"/>
        <w:jc w:val="center"/>
        <w:rPr>
          <w:rFonts w:asciiTheme="minorHAnsi" w:hAnsiTheme="minorHAnsi" w:cstheme="minorHAnsi"/>
          <w:b/>
          <w:szCs w:val="24"/>
          <w:u w:val="single"/>
        </w:rPr>
      </w:pPr>
      <w:r w:rsidRPr="002D7A08">
        <w:rPr>
          <w:rFonts w:asciiTheme="minorHAnsi" w:hAnsiTheme="minorHAnsi" w:cstheme="minorHAnsi"/>
          <w:b/>
          <w:szCs w:val="24"/>
          <w:u w:val="single"/>
        </w:rPr>
        <w:t>EXPLANATORY STATEMENT</w:t>
      </w:r>
    </w:p>
    <w:p w14:paraId="1276A090" w14:textId="48FB9A0B" w:rsidR="0088497A" w:rsidRPr="0088497A" w:rsidRDefault="0088497A" w:rsidP="006018C9">
      <w:pPr>
        <w:spacing w:before="120" w:after="120"/>
        <w:jc w:val="center"/>
        <w:rPr>
          <w:rFonts w:asciiTheme="minorHAnsi" w:hAnsiTheme="minorHAnsi" w:cstheme="minorHAnsi"/>
          <w:szCs w:val="24"/>
          <w:highlight w:val="yellow"/>
          <w:u w:val="single"/>
        </w:rPr>
      </w:pPr>
      <w:r w:rsidRPr="0088497A">
        <w:rPr>
          <w:rFonts w:asciiTheme="minorHAnsi" w:hAnsiTheme="minorHAnsi" w:cstheme="minorHAnsi"/>
          <w:szCs w:val="24"/>
          <w:u w:val="single"/>
        </w:rPr>
        <w:t>Issued by the authority of</w:t>
      </w:r>
      <w:r w:rsidR="002D7A08">
        <w:rPr>
          <w:rFonts w:asciiTheme="minorHAnsi" w:hAnsiTheme="minorHAnsi" w:cstheme="minorHAnsi"/>
          <w:szCs w:val="24"/>
          <w:u w:val="single"/>
        </w:rPr>
        <w:t xml:space="preserve"> Minister for</w:t>
      </w:r>
      <w:r w:rsidR="00B528D1">
        <w:rPr>
          <w:rFonts w:asciiTheme="minorHAnsi" w:hAnsiTheme="minorHAnsi" w:cstheme="minorHAnsi"/>
          <w:szCs w:val="24"/>
          <w:u w:val="single"/>
        </w:rPr>
        <w:t xml:space="preserve"> Employment, Workforce, Skills, Small and Family Business</w:t>
      </w:r>
      <w:r w:rsidR="002D7A08">
        <w:rPr>
          <w:rFonts w:asciiTheme="minorHAnsi" w:hAnsiTheme="minorHAnsi" w:cstheme="minorHAnsi"/>
          <w:szCs w:val="24"/>
          <w:u w:val="single"/>
        </w:rPr>
        <w:t xml:space="preserve"> </w:t>
      </w:r>
    </w:p>
    <w:p w14:paraId="6BFA5D5F" w14:textId="72449710" w:rsidR="00455C2A" w:rsidRPr="002D7A08" w:rsidRDefault="00AF61FA" w:rsidP="006018C9">
      <w:pPr>
        <w:spacing w:before="120" w:after="120"/>
        <w:jc w:val="center"/>
        <w:rPr>
          <w:rFonts w:asciiTheme="minorHAnsi" w:hAnsiTheme="minorHAnsi" w:cstheme="minorHAnsi"/>
          <w:b/>
          <w:i/>
          <w:szCs w:val="24"/>
        </w:rPr>
      </w:pPr>
      <w:r>
        <w:rPr>
          <w:rFonts w:asciiTheme="minorHAnsi" w:hAnsiTheme="minorHAnsi" w:cstheme="minorHAnsi"/>
          <w:b/>
          <w:i/>
          <w:szCs w:val="24"/>
        </w:rPr>
        <w:t>Higher Education Support Act 2003</w:t>
      </w:r>
    </w:p>
    <w:p w14:paraId="7EDCF407" w14:textId="20ABA916" w:rsidR="00503218" w:rsidRPr="0088497A" w:rsidRDefault="002454EC" w:rsidP="006018C9">
      <w:pPr>
        <w:spacing w:before="120" w:after="120"/>
        <w:jc w:val="center"/>
        <w:rPr>
          <w:rFonts w:asciiTheme="minorHAnsi" w:hAnsiTheme="minorHAnsi" w:cstheme="minorHAnsi"/>
          <w:b/>
          <w:i/>
          <w:szCs w:val="24"/>
        </w:rPr>
      </w:pPr>
      <w:bookmarkStart w:id="0" w:name="_Hlk95300505"/>
      <w:r w:rsidRPr="002454EC">
        <w:rPr>
          <w:rFonts w:asciiTheme="minorHAnsi" w:hAnsiTheme="minorHAnsi" w:cstheme="minorHAnsi"/>
          <w:b/>
          <w:i/>
          <w:szCs w:val="24"/>
        </w:rPr>
        <w:t>Higher Education Support (</w:t>
      </w:r>
      <w:r w:rsidR="00B61568">
        <w:rPr>
          <w:rFonts w:asciiTheme="minorHAnsi" w:hAnsiTheme="minorHAnsi" w:cstheme="minorHAnsi"/>
          <w:b/>
          <w:i/>
          <w:szCs w:val="24"/>
        </w:rPr>
        <w:t>Student Services, Amenities, Representation and Advocacy</w:t>
      </w:r>
      <w:r w:rsidRPr="002454EC">
        <w:rPr>
          <w:rFonts w:asciiTheme="minorHAnsi" w:hAnsiTheme="minorHAnsi" w:cstheme="minorHAnsi"/>
          <w:b/>
          <w:i/>
          <w:szCs w:val="24"/>
        </w:rPr>
        <w:t>) Guidelines 2022</w:t>
      </w:r>
    </w:p>
    <w:p w14:paraId="7D8AADBF" w14:textId="77777777" w:rsidR="00455C2A" w:rsidRDefault="00144950" w:rsidP="006018C9">
      <w:pPr>
        <w:pStyle w:val="Heading2"/>
        <w:spacing w:before="120" w:after="120"/>
        <w:rPr>
          <w:rFonts w:asciiTheme="minorHAnsi" w:hAnsiTheme="minorHAnsi" w:cstheme="minorHAnsi"/>
          <w:color w:val="auto"/>
        </w:rPr>
      </w:pPr>
      <w:bookmarkStart w:id="1" w:name="_Toc23942238"/>
      <w:bookmarkStart w:id="2" w:name="_Toc34293358"/>
      <w:bookmarkEnd w:id="0"/>
      <w:r>
        <w:rPr>
          <w:rFonts w:asciiTheme="minorHAnsi" w:hAnsiTheme="minorHAnsi" w:cstheme="minorHAnsi"/>
          <w:color w:val="auto"/>
        </w:rPr>
        <w:t>AUTHORITY</w:t>
      </w:r>
    </w:p>
    <w:p w14:paraId="4C38664E" w14:textId="0B2DFF4A" w:rsidR="00DB6247" w:rsidRDefault="002D7A08" w:rsidP="006018C9">
      <w:pPr>
        <w:pStyle w:val="Heading2"/>
        <w:spacing w:before="120" w:after="120"/>
        <w:rPr>
          <w:rFonts w:asciiTheme="minorHAnsi" w:hAnsiTheme="minorHAnsi" w:cstheme="minorHAnsi"/>
          <w:b w:val="0"/>
          <w:iCs/>
          <w:color w:val="auto"/>
        </w:rPr>
      </w:pPr>
      <w:r w:rsidRPr="002D7A08">
        <w:rPr>
          <w:rFonts w:asciiTheme="minorHAnsi" w:hAnsiTheme="minorHAnsi" w:cstheme="minorHAnsi"/>
          <w:b w:val="0"/>
          <w:iCs/>
          <w:color w:val="auto"/>
        </w:rPr>
        <w:t xml:space="preserve">The </w:t>
      </w:r>
      <w:r w:rsidR="002454EC" w:rsidRPr="002454EC">
        <w:rPr>
          <w:rFonts w:asciiTheme="minorHAnsi" w:hAnsiTheme="minorHAnsi" w:cstheme="minorHAnsi"/>
          <w:b w:val="0"/>
          <w:i/>
          <w:color w:val="auto"/>
        </w:rPr>
        <w:t>Higher Education Support (</w:t>
      </w:r>
      <w:r w:rsidR="00B61568">
        <w:rPr>
          <w:rFonts w:asciiTheme="minorHAnsi" w:hAnsiTheme="minorHAnsi" w:cstheme="minorHAnsi"/>
          <w:b w:val="0"/>
          <w:i/>
          <w:color w:val="auto"/>
        </w:rPr>
        <w:t>Student Services, Amenities, Representation and Advocacy</w:t>
      </w:r>
      <w:r w:rsidR="002454EC" w:rsidRPr="002454EC">
        <w:rPr>
          <w:rFonts w:asciiTheme="minorHAnsi" w:hAnsiTheme="minorHAnsi" w:cstheme="minorHAnsi"/>
          <w:b w:val="0"/>
          <w:i/>
          <w:color w:val="auto"/>
        </w:rPr>
        <w:t>) Guidelines 2022</w:t>
      </w:r>
      <w:r w:rsidRPr="002D7A08">
        <w:rPr>
          <w:rFonts w:asciiTheme="minorHAnsi" w:hAnsiTheme="minorHAnsi" w:cstheme="minorHAnsi"/>
          <w:b w:val="0"/>
          <w:iCs/>
          <w:color w:val="auto"/>
        </w:rPr>
        <w:t xml:space="preserve"> (</w:t>
      </w:r>
      <w:r w:rsidR="00B61568">
        <w:rPr>
          <w:rFonts w:asciiTheme="minorHAnsi" w:hAnsiTheme="minorHAnsi" w:cstheme="minorHAnsi"/>
          <w:b w:val="0"/>
          <w:iCs/>
          <w:color w:val="auto"/>
        </w:rPr>
        <w:t>‘</w:t>
      </w:r>
      <w:r w:rsidR="00F65018">
        <w:rPr>
          <w:rFonts w:asciiTheme="minorHAnsi" w:hAnsiTheme="minorHAnsi" w:cstheme="minorHAnsi"/>
          <w:b w:val="0"/>
          <w:iCs/>
          <w:color w:val="auto"/>
        </w:rPr>
        <w:t>the Guidelines’</w:t>
      </w:r>
      <w:r w:rsidRPr="002D7A08">
        <w:rPr>
          <w:rFonts w:asciiTheme="minorHAnsi" w:hAnsiTheme="minorHAnsi" w:cstheme="minorHAnsi"/>
          <w:b w:val="0"/>
          <w:iCs/>
          <w:color w:val="auto"/>
        </w:rPr>
        <w:t xml:space="preserve">) </w:t>
      </w:r>
      <w:r w:rsidR="002454EC">
        <w:rPr>
          <w:rFonts w:asciiTheme="minorHAnsi" w:hAnsiTheme="minorHAnsi" w:cstheme="minorHAnsi"/>
          <w:b w:val="0"/>
          <w:iCs/>
          <w:color w:val="auto"/>
        </w:rPr>
        <w:t>are</w:t>
      </w:r>
      <w:r w:rsidRPr="002D7A08">
        <w:rPr>
          <w:rFonts w:asciiTheme="minorHAnsi" w:hAnsiTheme="minorHAnsi" w:cstheme="minorHAnsi"/>
          <w:b w:val="0"/>
          <w:iCs/>
          <w:color w:val="auto"/>
        </w:rPr>
        <w:t xml:space="preserve"> mad</w:t>
      </w:r>
      <w:r w:rsidRPr="00127AC0">
        <w:rPr>
          <w:rFonts w:asciiTheme="minorHAnsi" w:hAnsiTheme="minorHAnsi" w:cstheme="minorHAnsi"/>
          <w:b w:val="0"/>
          <w:iCs/>
          <w:color w:val="auto"/>
        </w:rPr>
        <w:t xml:space="preserve">e by the Minister </w:t>
      </w:r>
      <w:r w:rsidR="00127AC0" w:rsidRPr="00127AC0">
        <w:rPr>
          <w:rFonts w:asciiTheme="minorHAnsi" w:hAnsiTheme="minorHAnsi" w:cstheme="minorHAnsi"/>
          <w:b w:val="0"/>
          <w:iCs/>
          <w:color w:val="auto"/>
        </w:rPr>
        <w:t>for E</w:t>
      </w:r>
      <w:r w:rsidR="00127AC0">
        <w:rPr>
          <w:rFonts w:asciiTheme="minorHAnsi" w:hAnsiTheme="minorHAnsi" w:cstheme="minorHAnsi"/>
          <w:b w:val="0"/>
          <w:iCs/>
          <w:color w:val="auto"/>
        </w:rPr>
        <w:t xml:space="preserve">mployment, Workforce, Skills, Small and Family Business </w:t>
      </w:r>
      <w:r w:rsidR="00A75E4D" w:rsidRPr="00A75E4D">
        <w:rPr>
          <w:rFonts w:asciiTheme="minorHAnsi" w:hAnsiTheme="minorHAnsi" w:cstheme="minorHAnsi"/>
          <w:b w:val="0"/>
          <w:iCs/>
          <w:color w:val="auto"/>
        </w:rPr>
        <w:t>under section 238</w:t>
      </w:r>
      <w:r w:rsidR="00A75E4D" w:rsidRPr="00A75E4D">
        <w:rPr>
          <w:rFonts w:ascii="Cambria Math" w:hAnsi="Cambria Math" w:cs="Cambria Math"/>
          <w:b w:val="0"/>
          <w:iCs/>
          <w:color w:val="auto"/>
        </w:rPr>
        <w:t>‑</w:t>
      </w:r>
      <w:r w:rsidR="00A75E4D" w:rsidRPr="00A75E4D">
        <w:rPr>
          <w:rFonts w:asciiTheme="minorHAnsi" w:hAnsiTheme="minorHAnsi" w:cstheme="minorHAnsi"/>
          <w:b w:val="0"/>
          <w:iCs/>
          <w:color w:val="auto"/>
        </w:rPr>
        <w:t>10</w:t>
      </w:r>
      <w:r w:rsidR="00A75E4D">
        <w:rPr>
          <w:rFonts w:asciiTheme="minorHAnsi" w:hAnsiTheme="minorHAnsi" w:cstheme="minorHAnsi"/>
          <w:b w:val="0"/>
          <w:iCs/>
          <w:color w:val="auto"/>
        </w:rPr>
        <w:t xml:space="preserve"> </w:t>
      </w:r>
      <w:r w:rsidRPr="002D7A08">
        <w:rPr>
          <w:rFonts w:asciiTheme="minorHAnsi" w:hAnsiTheme="minorHAnsi" w:cstheme="minorHAnsi"/>
          <w:b w:val="0"/>
          <w:iCs/>
          <w:color w:val="auto"/>
        </w:rPr>
        <w:t xml:space="preserve">of the </w:t>
      </w:r>
      <w:r w:rsidR="00A75E4D">
        <w:rPr>
          <w:rFonts w:asciiTheme="minorHAnsi" w:hAnsiTheme="minorHAnsi" w:cstheme="minorHAnsi"/>
          <w:b w:val="0"/>
          <w:i/>
          <w:color w:val="auto"/>
        </w:rPr>
        <w:t>Higher Education Support Act 2003</w:t>
      </w:r>
      <w:r w:rsidRPr="002D7A08">
        <w:rPr>
          <w:rFonts w:asciiTheme="minorHAnsi" w:hAnsiTheme="minorHAnsi" w:cstheme="minorHAnsi"/>
          <w:b w:val="0"/>
          <w:iCs/>
          <w:color w:val="auto"/>
        </w:rPr>
        <w:t xml:space="preserve"> (</w:t>
      </w:r>
      <w:r w:rsidR="00466147">
        <w:rPr>
          <w:rFonts w:asciiTheme="minorHAnsi" w:hAnsiTheme="minorHAnsi" w:cstheme="minorHAnsi"/>
          <w:b w:val="0"/>
          <w:iCs/>
          <w:color w:val="auto"/>
        </w:rPr>
        <w:t>‘</w:t>
      </w:r>
      <w:r w:rsidR="00A75E4D">
        <w:rPr>
          <w:rFonts w:asciiTheme="minorHAnsi" w:hAnsiTheme="minorHAnsi" w:cstheme="minorHAnsi"/>
          <w:b w:val="0"/>
          <w:iCs/>
          <w:color w:val="auto"/>
        </w:rPr>
        <w:t>HESA</w:t>
      </w:r>
      <w:r w:rsidR="00466147">
        <w:rPr>
          <w:rFonts w:asciiTheme="minorHAnsi" w:hAnsiTheme="minorHAnsi" w:cstheme="minorHAnsi"/>
          <w:b w:val="0"/>
          <w:iCs/>
          <w:color w:val="auto"/>
        </w:rPr>
        <w:t>’</w:t>
      </w:r>
      <w:r w:rsidRPr="002D7A08">
        <w:rPr>
          <w:rFonts w:asciiTheme="minorHAnsi" w:hAnsiTheme="minorHAnsi" w:cstheme="minorHAnsi"/>
          <w:b w:val="0"/>
          <w:iCs/>
          <w:color w:val="auto"/>
        </w:rPr>
        <w:t xml:space="preserve">). </w:t>
      </w:r>
    </w:p>
    <w:p w14:paraId="777D9AAD" w14:textId="3B026F41" w:rsidR="00B61568" w:rsidRPr="00987279" w:rsidRDefault="00B61568" w:rsidP="00B61568">
      <w:pPr>
        <w:spacing w:before="240"/>
        <w:rPr>
          <w:rFonts w:asciiTheme="minorHAnsi" w:hAnsiTheme="minorHAnsi" w:cstheme="minorHAnsi"/>
        </w:rPr>
      </w:pPr>
      <w:r w:rsidRPr="00987279">
        <w:rPr>
          <w:rFonts w:asciiTheme="minorHAnsi" w:hAnsiTheme="minorHAnsi" w:cstheme="minorHAnsi"/>
        </w:rPr>
        <w:t xml:space="preserve">Under subsection 33(3) of the </w:t>
      </w:r>
      <w:r w:rsidRPr="00987279">
        <w:rPr>
          <w:rFonts w:asciiTheme="minorHAnsi" w:hAnsiTheme="minorHAnsi" w:cstheme="minorHAnsi"/>
          <w:i/>
          <w:iCs/>
        </w:rPr>
        <w:t>Acts Interpretation Act 1901</w:t>
      </w:r>
      <w:r w:rsidRPr="00987279">
        <w:rPr>
          <w:rFonts w:asciiTheme="minorHAnsi" w:hAnsiTheme="minorHAnsi" w:cstheme="minorHAnsi"/>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repeal of the </w:t>
      </w:r>
      <w:r w:rsidRPr="00B61568">
        <w:rPr>
          <w:rFonts w:asciiTheme="minorHAnsi" w:hAnsiTheme="minorHAnsi" w:cstheme="minorHAnsi"/>
          <w:i/>
          <w:iCs/>
        </w:rPr>
        <w:t xml:space="preserve">Student Services, Amenities, Representation and Advocacy Guidelines </w:t>
      </w:r>
      <w:r w:rsidRPr="00987279">
        <w:rPr>
          <w:rFonts w:asciiTheme="minorHAnsi" w:hAnsiTheme="minorHAnsi" w:cstheme="minorHAnsi"/>
        </w:rPr>
        <w:t>(</w:t>
      </w:r>
      <w:r w:rsidR="00B64C9C">
        <w:rPr>
          <w:rFonts w:asciiTheme="minorHAnsi" w:hAnsiTheme="minorHAnsi" w:cstheme="minorHAnsi"/>
        </w:rPr>
        <w:t>‘</w:t>
      </w:r>
      <w:r w:rsidRPr="00987279">
        <w:rPr>
          <w:rFonts w:asciiTheme="minorHAnsi" w:hAnsiTheme="minorHAnsi" w:cstheme="minorHAnsi"/>
        </w:rPr>
        <w:t xml:space="preserve">the Former </w:t>
      </w:r>
      <w:r w:rsidR="000A1EB0">
        <w:rPr>
          <w:rFonts w:asciiTheme="minorHAnsi" w:hAnsiTheme="minorHAnsi" w:cstheme="minorHAnsi"/>
        </w:rPr>
        <w:t>Guidelines</w:t>
      </w:r>
      <w:r w:rsidR="00B64C9C">
        <w:rPr>
          <w:rFonts w:asciiTheme="minorHAnsi" w:hAnsiTheme="minorHAnsi" w:cstheme="minorHAnsi"/>
        </w:rPr>
        <w:t>’</w:t>
      </w:r>
      <w:r w:rsidRPr="00987279">
        <w:rPr>
          <w:rFonts w:asciiTheme="minorHAnsi" w:hAnsiTheme="minorHAnsi" w:cstheme="minorHAnsi"/>
        </w:rPr>
        <w:t>) by Schedule</w:t>
      </w:r>
      <w:r w:rsidR="008E60EA">
        <w:rPr>
          <w:rFonts w:asciiTheme="minorHAnsi" w:hAnsiTheme="minorHAnsi" w:cstheme="minorHAnsi"/>
        </w:rPr>
        <w:t xml:space="preserve"> 1</w:t>
      </w:r>
      <w:r w:rsidRPr="00987279">
        <w:rPr>
          <w:rFonts w:asciiTheme="minorHAnsi" w:hAnsiTheme="minorHAnsi" w:cstheme="minorHAnsi"/>
        </w:rPr>
        <w:t xml:space="preserve"> to this instrument relies on that provision. </w:t>
      </w:r>
    </w:p>
    <w:bookmarkEnd w:id="1"/>
    <w:bookmarkEnd w:id="2"/>
    <w:p w14:paraId="2AB9AA29" w14:textId="77777777" w:rsidR="00DA552F" w:rsidRPr="008134D5" w:rsidRDefault="00144950" w:rsidP="006018C9">
      <w:pPr>
        <w:pStyle w:val="Heading2"/>
        <w:spacing w:before="120" w:after="120"/>
        <w:rPr>
          <w:rFonts w:asciiTheme="minorHAnsi" w:hAnsiTheme="minorHAnsi" w:cstheme="minorHAnsi"/>
          <w:color w:val="auto"/>
        </w:rPr>
      </w:pPr>
      <w:r>
        <w:rPr>
          <w:rFonts w:asciiTheme="minorHAnsi" w:hAnsiTheme="minorHAnsi" w:cstheme="minorHAnsi"/>
          <w:color w:val="auto"/>
        </w:rPr>
        <w:t>PURPOSE AND OPERATION</w:t>
      </w:r>
    </w:p>
    <w:p w14:paraId="2FC1A8FC" w14:textId="3BDEB53D" w:rsidR="008070EB" w:rsidRDefault="008070EB" w:rsidP="006018C9">
      <w:pPr>
        <w:spacing w:before="120" w:after="120"/>
        <w:rPr>
          <w:rFonts w:asciiTheme="minorHAnsi" w:hAnsiTheme="minorHAnsi" w:cstheme="minorHAnsi"/>
          <w:iCs/>
          <w:szCs w:val="24"/>
        </w:rPr>
      </w:pPr>
      <w:r w:rsidRPr="008070EB">
        <w:rPr>
          <w:rFonts w:asciiTheme="minorHAnsi" w:hAnsiTheme="minorHAnsi" w:cstheme="minorHAnsi"/>
          <w:iCs/>
          <w:szCs w:val="24"/>
        </w:rPr>
        <w:t xml:space="preserve">The </w:t>
      </w:r>
      <w:r w:rsidR="00B61568">
        <w:rPr>
          <w:rFonts w:asciiTheme="minorHAnsi" w:hAnsiTheme="minorHAnsi" w:cstheme="minorHAnsi"/>
          <w:iCs/>
          <w:szCs w:val="24"/>
        </w:rPr>
        <w:t>Guidelines</w:t>
      </w:r>
      <w:r w:rsidR="00F65018">
        <w:rPr>
          <w:rFonts w:asciiTheme="minorHAnsi" w:hAnsiTheme="minorHAnsi" w:cstheme="minorHAnsi"/>
          <w:iCs/>
          <w:szCs w:val="24"/>
        </w:rPr>
        <w:t xml:space="preserve"> are made for the </w:t>
      </w:r>
      <w:r w:rsidR="000B2E9A">
        <w:rPr>
          <w:rFonts w:asciiTheme="minorHAnsi" w:hAnsiTheme="minorHAnsi" w:cstheme="minorHAnsi"/>
          <w:iCs/>
          <w:szCs w:val="24"/>
        </w:rPr>
        <w:t>purpose</w:t>
      </w:r>
      <w:r w:rsidR="00F65018">
        <w:rPr>
          <w:rFonts w:asciiTheme="minorHAnsi" w:hAnsiTheme="minorHAnsi" w:cstheme="minorHAnsi"/>
          <w:iCs/>
          <w:szCs w:val="24"/>
        </w:rPr>
        <w:t xml:space="preserve"> of </w:t>
      </w:r>
      <w:r w:rsidR="00B61568">
        <w:rPr>
          <w:rFonts w:asciiTheme="minorHAnsi" w:hAnsiTheme="minorHAnsi" w:cstheme="minorHAnsi"/>
          <w:iCs/>
          <w:szCs w:val="24"/>
        </w:rPr>
        <w:t xml:space="preserve">providing the requirements for student services and representation as set out in section 19-67 of </w:t>
      </w:r>
      <w:r w:rsidR="00127AC0">
        <w:rPr>
          <w:rFonts w:asciiTheme="minorHAnsi" w:hAnsiTheme="minorHAnsi" w:cstheme="minorHAnsi"/>
          <w:iCs/>
          <w:szCs w:val="24"/>
        </w:rPr>
        <w:t>HESA</w:t>
      </w:r>
      <w:r w:rsidR="00B61568">
        <w:rPr>
          <w:rFonts w:asciiTheme="minorHAnsi" w:hAnsiTheme="minorHAnsi" w:cstheme="minorHAnsi"/>
          <w:iCs/>
          <w:szCs w:val="24"/>
        </w:rPr>
        <w:t xml:space="preserve">. Section 19-67 of </w:t>
      </w:r>
      <w:r w:rsidR="00127AC0">
        <w:rPr>
          <w:rFonts w:asciiTheme="minorHAnsi" w:hAnsiTheme="minorHAnsi" w:cstheme="minorHAnsi"/>
          <w:iCs/>
          <w:szCs w:val="24"/>
        </w:rPr>
        <w:t>HESA</w:t>
      </w:r>
      <w:r w:rsidR="00B61568">
        <w:rPr>
          <w:rFonts w:asciiTheme="minorHAnsi" w:hAnsiTheme="minorHAnsi" w:cstheme="minorHAnsi"/>
          <w:iCs/>
          <w:szCs w:val="24"/>
        </w:rPr>
        <w:t xml:space="preserve"> sets out requirements for providing students with information about services that are not of an academic nature and that support students, the requirements for providing students with access to such services and the requirements relating to the representation and advocacy of the interests of students. </w:t>
      </w:r>
    </w:p>
    <w:p w14:paraId="7393B947" w14:textId="77777777" w:rsidR="00E46B03" w:rsidRDefault="00E229E3" w:rsidP="00E46B03">
      <w:pPr>
        <w:spacing w:before="120" w:after="120"/>
        <w:rPr>
          <w:rFonts w:asciiTheme="minorHAnsi" w:hAnsiTheme="minorHAnsi" w:cstheme="minorHAnsi"/>
          <w:iCs/>
          <w:szCs w:val="24"/>
        </w:rPr>
      </w:pPr>
      <w:r>
        <w:rPr>
          <w:rFonts w:asciiTheme="minorHAnsi" w:hAnsiTheme="minorHAnsi" w:cstheme="minorHAnsi"/>
          <w:iCs/>
          <w:szCs w:val="24"/>
        </w:rPr>
        <w:t xml:space="preserve">The Guidelines are largely a remake of the </w:t>
      </w:r>
      <w:r w:rsidR="000A1EB0">
        <w:rPr>
          <w:rFonts w:asciiTheme="minorHAnsi" w:hAnsiTheme="minorHAnsi" w:cstheme="minorHAnsi"/>
          <w:iCs/>
          <w:szCs w:val="24"/>
        </w:rPr>
        <w:t>Former Guidelines</w:t>
      </w:r>
      <w:r w:rsidR="003012FC">
        <w:rPr>
          <w:rFonts w:asciiTheme="minorHAnsi" w:hAnsiTheme="minorHAnsi" w:cstheme="minorHAnsi"/>
          <w:iCs/>
          <w:szCs w:val="24"/>
        </w:rPr>
        <w:t>. The</w:t>
      </w:r>
      <w:r w:rsidR="004E1682">
        <w:rPr>
          <w:rFonts w:asciiTheme="minorHAnsi" w:hAnsiTheme="minorHAnsi" w:cstheme="minorHAnsi"/>
          <w:iCs/>
          <w:szCs w:val="24"/>
        </w:rPr>
        <w:t xml:space="preserve"> </w:t>
      </w:r>
      <w:r w:rsidR="00B650B1">
        <w:rPr>
          <w:rFonts w:asciiTheme="minorHAnsi" w:hAnsiTheme="minorHAnsi" w:cstheme="minorHAnsi"/>
          <w:iCs/>
          <w:szCs w:val="24"/>
        </w:rPr>
        <w:t>F</w:t>
      </w:r>
      <w:r w:rsidR="004E1682">
        <w:rPr>
          <w:rFonts w:asciiTheme="minorHAnsi" w:hAnsiTheme="minorHAnsi" w:cstheme="minorHAnsi"/>
          <w:iCs/>
          <w:szCs w:val="24"/>
        </w:rPr>
        <w:t xml:space="preserve">ormer Guidelines </w:t>
      </w:r>
      <w:r w:rsidR="008E60EA">
        <w:rPr>
          <w:rFonts w:asciiTheme="minorHAnsi" w:hAnsiTheme="minorHAnsi" w:cstheme="minorHAnsi"/>
          <w:iCs/>
          <w:szCs w:val="24"/>
        </w:rPr>
        <w:t>will</w:t>
      </w:r>
      <w:r w:rsidR="00E46B03">
        <w:rPr>
          <w:rFonts w:asciiTheme="minorHAnsi" w:hAnsiTheme="minorHAnsi" w:cstheme="minorHAnsi"/>
          <w:iCs/>
          <w:szCs w:val="24"/>
        </w:rPr>
        <w:t xml:space="preserve"> </w:t>
      </w:r>
      <w:r w:rsidR="004E1682">
        <w:rPr>
          <w:rFonts w:asciiTheme="minorHAnsi" w:hAnsiTheme="minorHAnsi" w:cstheme="minorHAnsi"/>
          <w:iCs/>
          <w:szCs w:val="24"/>
        </w:rPr>
        <w:t xml:space="preserve">sunset on 1 April 2022 and these Guidelines are made to ensure that </w:t>
      </w:r>
      <w:r w:rsidR="00F227FE">
        <w:rPr>
          <w:rFonts w:asciiTheme="minorHAnsi" w:hAnsiTheme="minorHAnsi" w:cstheme="minorHAnsi"/>
          <w:iCs/>
          <w:szCs w:val="24"/>
        </w:rPr>
        <w:t xml:space="preserve">the </w:t>
      </w:r>
      <w:r w:rsidR="000A1EB0">
        <w:rPr>
          <w:rFonts w:asciiTheme="minorHAnsi" w:hAnsiTheme="minorHAnsi" w:cstheme="minorHAnsi"/>
          <w:iCs/>
          <w:szCs w:val="24"/>
        </w:rPr>
        <w:t>requirements for student services and representation placed on higher education provider</w:t>
      </w:r>
      <w:r w:rsidR="00F227FE">
        <w:rPr>
          <w:rFonts w:asciiTheme="minorHAnsi" w:hAnsiTheme="minorHAnsi" w:cstheme="minorHAnsi"/>
          <w:iCs/>
          <w:szCs w:val="24"/>
        </w:rPr>
        <w:t>s</w:t>
      </w:r>
      <w:r w:rsidR="003012FC">
        <w:rPr>
          <w:rFonts w:asciiTheme="minorHAnsi" w:hAnsiTheme="minorHAnsi" w:cstheme="minorHAnsi"/>
          <w:iCs/>
          <w:szCs w:val="24"/>
        </w:rPr>
        <w:t xml:space="preserve"> </w:t>
      </w:r>
      <w:r w:rsidR="000A1EB0">
        <w:rPr>
          <w:rFonts w:asciiTheme="minorHAnsi" w:hAnsiTheme="minorHAnsi" w:cstheme="minorHAnsi"/>
          <w:iCs/>
          <w:szCs w:val="24"/>
        </w:rPr>
        <w:t>will continue to be in place.</w:t>
      </w:r>
    </w:p>
    <w:p w14:paraId="2414E7FF" w14:textId="0F741F90" w:rsidR="00E46B03" w:rsidRPr="00E46B03" w:rsidRDefault="00B43B35" w:rsidP="00E46B03">
      <w:pPr>
        <w:spacing w:before="120" w:after="120"/>
        <w:rPr>
          <w:rFonts w:asciiTheme="minorHAnsi" w:hAnsiTheme="minorHAnsi" w:cstheme="minorHAnsi"/>
          <w:iCs/>
          <w:szCs w:val="24"/>
        </w:rPr>
      </w:pPr>
      <w:r w:rsidRPr="00E46B03">
        <w:rPr>
          <w:rFonts w:asciiTheme="minorHAnsi" w:hAnsiTheme="minorHAnsi" w:cstheme="minorHAnsi"/>
          <w:iCs/>
          <w:szCs w:val="24"/>
        </w:rPr>
        <w:t xml:space="preserve">A minor amendment has been made to increase transparency and consistency around </w:t>
      </w:r>
      <w:r w:rsidR="006148C9" w:rsidRPr="00E46B03">
        <w:rPr>
          <w:rFonts w:asciiTheme="minorHAnsi" w:hAnsiTheme="minorHAnsi" w:cstheme="minorHAnsi"/>
          <w:iCs/>
          <w:szCs w:val="24"/>
        </w:rPr>
        <w:t xml:space="preserve">the </w:t>
      </w:r>
      <w:r w:rsidRPr="00E46B03">
        <w:rPr>
          <w:rFonts w:asciiTheme="minorHAnsi" w:hAnsiTheme="minorHAnsi" w:cstheme="minorHAnsi"/>
          <w:iCs/>
          <w:szCs w:val="24"/>
        </w:rPr>
        <w:t>student services and amenities fee (SSAF) allocation of funds and expenditure reporting.</w:t>
      </w:r>
      <w:r w:rsidRPr="00E46B03">
        <w:t xml:space="preserve"> </w:t>
      </w:r>
      <w:r w:rsidR="0063568D" w:rsidRPr="00E46B03">
        <w:rPr>
          <w:rFonts w:asciiTheme="minorHAnsi" w:hAnsiTheme="minorHAnsi" w:cstheme="minorHAnsi"/>
          <w:iCs/>
          <w:szCs w:val="24"/>
        </w:rPr>
        <w:t>Under t</w:t>
      </w:r>
      <w:r w:rsidRPr="00E46B03">
        <w:rPr>
          <w:rFonts w:asciiTheme="minorHAnsi" w:hAnsiTheme="minorHAnsi" w:cstheme="minorHAnsi"/>
          <w:iCs/>
          <w:szCs w:val="24"/>
        </w:rPr>
        <w:t xml:space="preserve">he </w:t>
      </w:r>
      <w:r w:rsidR="00B650B1" w:rsidRPr="00E46B03">
        <w:rPr>
          <w:rFonts w:asciiTheme="minorHAnsi" w:hAnsiTheme="minorHAnsi" w:cstheme="minorHAnsi"/>
          <w:iCs/>
          <w:szCs w:val="24"/>
        </w:rPr>
        <w:t>F</w:t>
      </w:r>
      <w:r w:rsidRPr="00E46B03">
        <w:rPr>
          <w:rFonts w:asciiTheme="minorHAnsi" w:hAnsiTheme="minorHAnsi" w:cstheme="minorHAnsi"/>
          <w:iCs/>
          <w:szCs w:val="24"/>
        </w:rPr>
        <w:t xml:space="preserve">ormer </w:t>
      </w:r>
      <w:r w:rsidR="00B650B1" w:rsidRPr="00E46B03">
        <w:rPr>
          <w:rFonts w:asciiTheme="minorHAnsi" w:hAnsiTheme="minorHAnsi" w:cstheme="minorHAnsi"/>
          <w:iCs/>
          <w:szCs w:val="24"/>
        </w:rPr>
        <w:t>G</w:t>
      </w:r>
      <w:r w:rsidRPr="00E46B03">
        <w:rPr>
          <w:rFonts w:asciiTheme="minorHAnsi" w:hAnsiTheme="minorHAnsi" w:cstheme="minorHAnsi"/>
          <w:iCs/>
          <w:szCs w:val="24"/>
        </w:rPr>
        <w:t>uidelines, higher education providers</w:t>
      </w:r>
      <w:r w:rsidR="00144219" w:rsidRPr="00E46B03">
        <w:rPr>
          <w:rFonts w:asciiTheme="minorHAnsi" w:hAnsiTheme="minorHAnsi" w:cstheme="minorHAnsi"/>
          <w:iCs/>
          <w:szCs w:val="24"/>
        </w:rPr>
        <w:t xml:space="preserve"> were</w:t>
      </w:r>
      <w:r w:rsidRPr="00E46B03">
        <w:rPr>
          <w:rFonts w:asciiTheme="minorHAnsi" w:hAnsiTheme="minorHAnsi" w:cstheme="minorHAnsi"/>
          <w:iCs/>
          <w:szCs w:val="24"/>
        </w:rPr>
        <w:t xml:space="preserve"> already required to provide a publicly available report on actual SSAF expenditure for the year at the completion of the budget cycle. The</w:t>
      </w:r>
      <w:r w:rsidR="00144219" w:rsidRPr="00E46B03">
        <w:rPr>
          <w:rFonts w:asciiTheme="minorHAnsi" w:hAnsiTheme="minorHAnsi" w:cstheme="minorHAnsi"/>
          <w:iCs/>
          <w:szCs w:val="24"/>
        </w:rPr>
        <w:t>se Guideline continue this obligation and</w:t>
      </w:r>
      <w:r w:rsidRPr="00E46B03">
        <w:rPr>
          <w:rFonts w:asciiTheme="minorHAnsi" w:hAnsiTheme="minorHAnsi" w:cstheme="minorHAnsi"/>
          <w:iCs/>
          <w:szCs w:val="24"/>
        </w:rPr>
        <w:t xml:space="preserve"> require</w:t>
      </w:r>
      <w:r w:rsidR="00144219" w:rsidRPr="00E46B03">
        <w:rPr>
          <w:rFonts w:asciiTheme="minorHAnsi" w:hAnsiTheme="minorHAnsi" w:cstheme="minorHAnsi"/>
          <w:iCs/>
          <w:szCs w:val="24"/>
        </w:rPr>
        <w:t xml:space="preserve"> the</w:t>
      </w:r>
      <w:r w:rsidRPr="00E46B03">
        <w:rPr>
          <w:rFonts w:asciiTheme="minorHAnsi" w:hAnsiTheme="minorHAnsi" w:cstheme="minorHAnsi"/>
          <w:iCs/>
          <w:szCs w:val="24"/>
        </w:rPr>
        <w:t xml:space="preserve"> SSAF allocation and expenditure to be reported in a </w:t>
      </w:r>
      <w:r w:rsidR="00E46B03">
        <w:rPr>
          <w:rFonts w:asciiTheme="minorHAnsi" w:hAnsiTheme="minorHAnsi" w:cstheme="minorHAnsi"/>
          <w:iCs/>
          <w:szCs w:val="24"/>
        </w:rPr>
        <w:t>form</w:t>
      </w:r>
      <w:r w:rsidRPr="00E46B03">
        <w:rPr>
          <w:rFonts w:asciiTheme="minorHAnsi" w:hAnsiTheme="minorHAnsi" w:cstheme="minorHAnsi"/>
          <w:iCs/>
          <w:szCs w:val="24"/>
        </w:rPr>
        <w:t xml:space="preserve"> approved by the Minister.</w:t>
      </w:r>
    </w:p>
    <w:p w14:paraId="45A397DC" w14:textId="4F8E6065" w:rsidR="00350779" w:rsidRPr="00350779" w:rsidRDefault="00144950" w:rsidP="006018C9">
      <w:pPr>
        <w:pStyle w:val="Heading2"/>
        <w:spacing w:before="120" w:after="120"/>
        <w:rPr>
          <w:rFonts w:asciiTheme="minorHAnsi" w:hAnsiTheme="minorHAnsi" w:cstheme="minorHAnsi"/>
          <w:color w:val="auto"/>
        </w:rPr>
      </w:pPr>
      <w:r>
        <w:rPr>
          <w:rFonts w:asciiTheme="minorHAnsi" w:hAnsiTheme="minorHAnsi" w:cstheme="minorHAnsi"/>
          <w:color w:val="auto"/>
        </w:rPr>
        <w:lastRenderedPageBreak/>
        <w:t>REGULATORY IMPACT</w:t>
      </w:r>
    </w:p>
    <w:p w14:paraId="6E8281B1" w14:textId="5C79212D" w:rsidR="00E733C0" w:rsidRDefault="00E733C0" w:rsidP="00E733C0">
      <w:pPr>
        <w:spacing w:before="120" w:after="120"/>
        <w:rPr>
          <w:rFonts w:asciiTheme="minorHAnsi" w:hAnsiTheme="minorHAnsi" w:cstheme="minorHAnsi"/>
          <w:szCs w:val="24"/>
        </w:rPr>
      </w:pPr>
      <w:bookmarkStart w:id="3" w:name="_Hlk96605320"/>
      <w:r w:rsidRPr="00812BF0">
        <w:rPr>
          <w:rFonts w:asciiTheme="minorHAnsi" w:hAnsiTheme="minorHAnsi" w:cstheme="minorHAnsi"/>
          <w:szCs w:val="24"/>
        </w:rPr>
        <w:t>The Office of Best Practice Regulation (OBPR) has been consulted and advised that</w:t>
      </w:r>
      <w:r w:rsidRPr="003C7E1D">
        <w:rPr>
          <w:rFonts w:asciiTheme="minorHAnsi" w:hAnsiTheme="minorHAnsi" w:cstheme="minorHAnsi"/>
          <w:szCs w:val="24"/>
        </w:rPr>
        <w:t xml:space="preserve"> the Guidelines are unlikely to have a more than minor regulatory impact</w:t>
      </w:r>
      <w:r>
        <w:rPr>
          <w:rFonts w:asciiTheme="minorHAnsi" w:hAnsiTheme="minorHAnsi" w:cstheme="minorHAnsi"/>
          <w:szCs w:val="24"/>
        </w:rPr>
        <w:t xml:space="preserve"> </w:t>
      </w:r>
      <w:r w:rsidRPr="00E406B4">
        <w:rPr>
          <w:rFonts w:asciiTheme="minorHAnsi" w:hAnsiTheme="minorHAnsi" w:cstheme="minorHAnsi"/>
          <w:szCs w:val="24"/>
        </w:rPr>
        <w:t>and therefore the preparation of a Regulation Impact Statement is not required</w:t>
      </w:r>
      <w:r>
        <w:rPr>
          <w:rFonts w:asciiTheme="minorHAnsi" w:hAnsiTheme="minorHAnsi" w:cstheme="minorHAnsi"/>
          <w:szCs w:val="24"/>
        </w:rPr>
        <w:t xml:space="preserve"> </w:t>
      </w:r>
      <w:r w:rsidRPr="00812BF0">
        <w:rPr>
          <w:rFonts w:asciiTheme="minorHAnsi" w:hAnsiTheme="minorHAnsi" w:cstheme="minorHAnsi"/>
          <w:szCs w:val="24"/>
        </w:rPr>
        <w:t>(OBPR ID: 22-0175</w:t>
      </w:r>
      <w:r>
        <w:rPr>
          <w:rFonts w:asciiTheme="minorHAnsi" w:hAnsiTheme="minorHAnsi" w:cstheme="minorHAnsi"/>
          <w:szCs w:val="24"/>
        </w:rPr>
        <w:t>3)</w:t>
      </w:r>
      <w:r w:rsidRPr="00812BF0">
        <w:rPr>
          <w:rFonts w:asciiTheme="minorHAnsi" w:hAnsiTheme="minorHAnsi" w:cstheme="minorHAnsi"/>
          <w:szCs w:val="24"/>
        </w:rPr>
        <w:t>.</w:t>
      </w:r>
    </w:p>
    <w:bookmarkEnd w:id="3"/>
    <w:p w14:paraId="41A1D9CD" w14:textId="77777777" w:rsidR="00696CF0" w:rsidRPr="0088497A" w:rsidRDefault="00144950" w:rsidP="006018C9">
      <w:pPr>
        <w:pStyle w:val="Heading2"/>
        <w:spacing w:before="120" w:after="120"/>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92D5E64" w14:textId="0F024AE8" w:rsidR="002D7A08" w:rsidRPr="00FC4B4B" w:rsidRDefault="002D7A08" w:rsidP="006018C9">
      <w:pPr>
        <w:spacing w:before="120" w:after="120"/>
        <w:rPr>
          <w:rFonts w:asciiTheme="minorHAnsi" w:hAnsiTheme="minorHAnsi" w:cstheme="minorHAnsi"/>
          <w:iCs/>
          <w:szCs w:val="24"/>
        </w:rPr>
      </w:pPr>
      <w:bookmarkStart w:id="4" w:name="_Toc34293360"/>
      <w:r w:rsidRPr="00442657">
        <w:rPr>
          <w:rFonts w:asciiTheme="minorHAnsi" w:hAnsiTheme="minorHAnsi" w:cstheme="minorHAnsi"/>
          <w:iCs/>
          <w:szCs w:val="24"/>
        </w:rPr>
        <w:t xml:space="preserve">The Instrument commences on </w:t>
      </w:r>
      <w:r w:rsidR="000E4FB4">
        <w:rPr>
          <w:rFonts w:asciiTheme="minorHAnsi" w:hAnsiTheme="minorHAnsi" w:cstheme="minorHAnsi"/>
          <w:iCs/>
          <w:szCs w:val="24"/>
        </w:rPr>
        <w:t>the day after it is registered on the Federal Register of Legislation.</w:t>
      </w:r>
      <w:r>
        <w:rPr>
          <w:rFonts w:asciiTheme="minorHAnsi" w:hAnsiTheme="minorHAnsi" w:cstheme="minorHAnsi"/>
          <w:iCs/>
          <w:szCs w:val="24"/>
        </w:rPr>
        <w:t xml:space="preserve"> </w:t>
      </w:r>
    </w:p>
    <w:p w14:paraId="5C8B291F" w14:textId="3771D397" w:rsidR="00696CF0" w:rsidRDefault="00144950" w:rsidP="006018C9">
      <w:pPr>
        <w:pStyle w:val="Heading2"/>
        <w:spacing w:before="120" w:after="120"/>
        <w:rPr>
          <w:rFonts w:asciiTheme="minorHAnsi" w:hAnsiTheme="minorHAnsi" w:cstheme="minorHAnsi"/>
          <w:color w:val="auto"/>
        </w:rPr>
      </w:pPr>
      <w:r w:rsidRPr="008134D5">
        <w:rPr>
          <w:rFonts w:asciiTheme="minorHAnsi" w:hAnsiTheme="minorHAnsi" w:cstheme="minorHAnsi"/>
          <w:color w:val="auto"/>
        </w:rPr>
        <w:t>CONSULTATION</w:t>
      </w:r>
      <w:bookmarkEnd w:id="4"/>
    </w:p>
    <w:p w14:paraId="458E1025" w14:textId="77777777" w:rsidR="00E733C0" w:rsidRPr="00E733C0" w:rsidRDefault="00E733C0" w:rsidP="00E733C0">
      <w:pPr>
        <w:spacing w:before="120" w:after="120"/>
        <w:rPr>
          <w:rFonts w:asciiTheme="minorHAnsi" w:hAnsiTheme="minorHAnsi" w:cstheme="minorHAnsi"/>
          <w:iCs/>
          <w:szCs w:val="24"/>
        </w:rPr>
      </w:pPr>
      <w:r w:rsidRPr="00E733C0">
        <w:rPr>
          <w:rFonts w:asciiTheme="minorHAnsi" w:hAnsiTheme="minorHAnsi" w:cstheme="minorHAnsi"/>
          <w:iCs/>
          <w:szCs w:val="24"/>
        </w:rPr>
        <w:t xml:space="preserve">No formal consultation was undertaken specifically in regard to the remaking of these guidelines. However, the Department of Education, Skills and Employment (the department) sought feedback in November 2021 from Table A and B providers, state auditors and an independent auditor about improving transparency through higher education providers’ reporting requirements. </w:t>
      </w:r>
    </w:p>
    <w:p w14:paraId="760E478F" w14:textId="77777777" w:rsidR="00E733C0" w:rsidRPr="00E733C0" w:rsidRDefault="00E733C0" w:rsidP="00E733C0">
      <w:pPr>
        <w:spacing w:before="120" w:after="120"/>
        <w:rPr>
          <w:rFonts w:asciiTheme="minorHAnsi" w:hAnsiTheme="minorHAnsi" w:cstheme="minorHAnsi"/>
          <w:iCs/>
          <w:szCs w:val="24"/>
        </w:rPr>
      </w:pPr>
      <w:r w:rsidRPr="00E733C0">
        <w:rPr>
          <w:rFonts w:asciiTheme="minorHAnsi" w:hAnsiTheme="minorHAnsi" w:cstheme="minorHAnsi"/>
          <w:iCs/>
          <w:szCs w:val="24"/>
        </w:rPr>
        <w:t xml:space="preserve">As part of this consultation process, the draft template, for the proposed form of reporting under subsection 19(5) of these Guidelines, was made available for comment.  Feedback was received from higher education providers </w:t>
      </w:r>
      <w:proofErr w:type="gramStart"/>
      <w:r w:rsidRPr="00E733C0">
        <w:rPr>
          <w:rFonts w:asciiTheme="minorHAnsi" w:hAnsiTheme="minorHAnsi" w:cstheme="minorHAnsi"/>
          <w:iCs/>
          <w:szCs w:val="24"/>
        </w:rPr>
        <w:t>in regards to</w:t>
      </w:r>
      <w:proofErr w:type="gramEnd"/>
      <w:r w:rsidRPr="00E733C0">
        <w:rPr>
          <w:rFonts w:asciiTheme="minorHAnsi" w:hAnsiTheme="minorHAnsi" w:cstheme="minorHAnsi"/>
          <w:iCs/>
          <w:szCs w:val="24"/>
        </w:rPr>
        <w:t xml:space="preserve"> the content and lead time for reporting in accordance with the template. This feedback has been taken into account in refining the content and implementation of this form for reporting.   </w:t>
      </w:r>
    </w:p>
    <w:p w14:paraId="24CF0AD8" w14:textId="77777777" w:rsidR="00E733C0" w:rsidRPr="00E733C0" w:rsidRDefault="00E733C0" w:rsidP="00E733C0"/>
    <w:p w14:paraId="357A2BF3" w14:textId="06922917" w:rsidR="00DA552F" w:rsidRPr="000A1EB0" w:rsidRDefault="00A72AD9" w:rsidP="006018C9">
      <w:pPr>
        <w:spacing w:before="120" w:after="120"/>
        <w:jc w:val="center"/>
        <w:rPr>
          <w:rFonts w:asciiTheme="minorHAnsi" w:hAnsiTheme="minorHAnsi" w:cstheme="minorHAnsi"/>
          <w:b/>
          <w:i/>
          <w:iCs/>
          <w:szCs w:val="24"/>
        </w:rPr>
      </w:pPr>
      <w:bookmarkStart w:id="5" w:name="_Toc23942241"/>
      <w:bookmarkStart w:id="6" w:name="_Toc34293362"/>
      <w:r>
        <w:rPr>
          <w:rFonts w:asciiTheme="minorHAnsi" w:hAnsiTheme="minorHAnsi" w:cstheme="minorHAnsi"/>
        </w:rPr>
        <w:br w:type="page"/>
      </w:r>
      <w:r w:rsidR="00DA552F" w:rsidRPr="000A1EB0">
        <w:rPr>
          <w:rFonts w:asciiTheme="minorHAnsi" w:hAnsiTheme="minorHAnsi" w:cstheme="minorHAnsi"/>
          <w:b/>
          <w:i/>
          <w:iCs/>
          <w:szCs w:val="24"/>
        </w:rPr>
        <w:lastRenderedPageBreak/>
        <w:t>STATEMENT OF COMPATIBILITY WITH HUMAN RIGHTS</w:t>
      </w:r>
      <w:bookmarkEnd w:id="5"/>
      <w:bookmarkEnd w:id="6"/>
    </w:p>
    <w:p w14:paraId="2AF4E717" w14:textId="77777777" w:rsidR="00DA552F" w:rsidRPr="008134D5" w:rsidRDefault="00DA552F" w:rsidP="006018C9">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18F17C85" w14:textId="77777777" w:rsidR="000A1EB0" w:rsidRDefault="000A1EB0" w:rsidP="000A1EB0">
      <w:pPr>
        <w:spacing w:before="120" w:after="120"/>
        <w:jc w:val="center"/>
        <w:rPr>
          <w:rFonts w:asciiTheme="minorHAnsi" w:hAnsiTheme="minorHAnsi" w:cstheme="minorHAnsi"/>
          <w:i/>
        </w:rPr>
      </w:pPr>
      <w:r w:rsidRPr="000A1EB0">
        <w:rPr>
          <w:rFonts w:asciiTheme="minorHAnsi" w:hAnsiTheme="minorHAnsi" w:cstheme="minorHAnsi"/>
          <w:i/>
        </w:rPr>
        <w:t xml:space="preserve">Higher Education </w:t>
      </w:r>
      <w:r w:rsidRPr="000A1EB0">
        <w:rPr>
          <w:rFonts w:asciiTheme="minorHAnsi" w:hAnsiTheme="minorHAnsi" w:cstheme="minorHAnsi"/>
          <w:i/>
          <w:szCs w:val="24"/>
        </w:rPr>
        <w:t>Support</w:t>
      </w:r>
      <w:r w:rsidRPr="000A1EB0">
        <w:rPr>
          <w:rFonts w:asciiTheme="minorHAnsi" w:hAnsiTheme="minorHAnsi" w:cstheme="minorHAnsi"/>
          <w:i/>
        </w:rPr>
        <w:t xml:space="preserve"> (Student Services, Amenities, Representation and Advocacy) Guidelines 2022</w:t>
      </w:r>
    </w:p>
    <w:p w14:paraId="39BDF1A2" w14:textId="688F4B48" w:rsidR="00DA552F" w:rsidRPr="008134D5" w:rsidRDefault="00F9205E" w:rsidP="006018C9">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0A1EB0" w:rsidRPr="000A1EB0">
        <w:rPr>
          <w:rFonts w:asciiTheme="minorHAnsi" w:hAnsiTheme="minorHAnsi" w:cstheme="minorHAnsi"/>
          <w:i/>
        </w:rPr>
        <w:t>Higher Education Support (Student Services, Amenities, Representation and Advocacy) Guidelines 2022</w:t>
      </w:r>
      <w:r w:rsidR="000A1EB0">
        <w:rPr>
          <w:rFonts w:asciiTheme="minorHAnsi" w:hAnsiTheme="minorHAnsi" w:cstheme="minorHAnsi"/>
          <w:i/>
        </w:rPr>
        <w:t xml:space="preserve"> </w:t>
      </w:r>
      <w:r w:rsidR="000A1EB0">
        <w:rPr>
          <w:rFonts w:asciiTheme="minorHAnsi" w:hAnsiTheme="minorHAnsi" w:cstheme="minorHAnsi"/>
          <w:iCs/>
        </w:rPr>
        <w:t>(</w:t>
      </w:r>
      <w:r w:rsidR="00E879CE">
        <w:rPr>
          <w:rFonts w:asciiTheme="minorHAnsi" w:hAnsiTheme="minorHAnsi" w:cstheme="minorHAnsi"/>
          <w:iCs/>
        </w:rPr>
        <w:t>‘</w:t>
      </w:r>
      <w:r w:rsidR="000A1EB0">
        <w:rPr>
          <w:rFonts w:asciiTheme="minorHAnsi" w:hAnsiTheme="minorHAnsi" w:cstheme="minorHAnsi"/>
          <w:iCs/>
        </w:rPr>
        <w:t>the Guidelines</w:t>
      </w:r>
      <w:r w:rsidR="00E879CE">
        <w:rPr>
          <w:rFonts w:asciiTheme="minorHAnsi" w:hAnsiTheme="minorHAnsi" w:cstheme="minorHAnsi"/>
          <w:iCs/>
        </w:rPr>
        <w:t>’</w:t>
      </w:r>
      <w:r w:rsidR="000A1EB0">
        <w:rPr>
          <w:rFonts w:asciiTheme="minorHAnsi" w:hAnsiTheme="minorHAnsi" w:cstheme="minorHAnsi"/>
          <w:iCs/>
        </w:rPr>
        <w:t>)</w:t>
      </w:r>
      <w:r w:rsidR="000A1EB0">
        <w:rPr>
          <w:rFonts w:asciiTheme="minorHAnsi" w:hAnsiTheme="minorHAnsi" w:cstheme="minorHAnsi"/>
          <w:i/>
        </w:rPr>
        <w:t xml:space="preserve"> </w:t>
      </w:r>
      <w:r w:rsidR="00AF3507">
        <w:rPr>
          <w:rFonts w:asciiTheme="minorHAnsi" w:hAnsiTheme="minorHAnsi" w:cstheme="minorHAnsi"/>
          <w:szCs w:val="24"/>
        </w:rPr>
        <w:t>are</w:t>
      </w:r>
      <w:r w:rsidR="002B5C28">
        <w:rPr>
          <w:rFonts w:asciiTheme="minorHAnsi" w:hAnsiTheme="minorHAnsi" w:cstheme="minorHAnsi"/>
          <w:szCs w:val="24"/>
        </w:rPr>
        <w:t xml:space="preserve">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6EBB5EF" w14:textId="77777777" w:rsidR="00F9205E" w:rsidRPr="008134D5" w:rsidRDefault="00F9205E" w:rsidP="006018C9">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643A97B8" w14:textId="6D935BE5" w:rsidR="000A1EB0" w:rsidRDefault="000A1EB0" w:rsidP="000A1EB0">
      <w:pPr>
        <w:spacing w:before="120" w:after="120"/>
        <w:rPr>
          <w:rFonts w:asciiTheme="minorHAnsi" w:hAnsiTheme="minorHAnsi" w:cstheme="minorHAnsi"/>
          <w:iCs/>
          <w:szCs w:val="24"/>
        </w:rPr>
      </w:pPr>
      <w:r w:rsidRPr="008070EB">
        <w:rPr>
          <w:rFonts w:asciiTheme="minorHAnsi" w:hAnsiTheme="minorHAnsi" w:cstheme="minorHAnsi"/>
          <w:iCs/>
          <w:szCs w:val="24"/>
        </w:rPr>
        <w:t xml:space="preserve">The </w:t>
      </w:r>
      <w:r>
        <w:rPr>
          <w:rFonts w:asciiTheme="minorHAnsi" w:hAnsiTheme="minorHAnsi" w:cstheme="minorHAnsi"/>
          <w:iCs/>
          <w:szCs w:val="24"/>
        </w:rPr>
        <w:t>Guidelines are made for the purposes of providing the requirements for student services and representation as set out in section 19-67 of the</w:t>
      </w:r>
      <w:r w:rsidR="00E46B03">
        <w:rPr>
          <w:rFonts w:asciiTheme="minorHAnsi" w:hAnsiTheme="minorHAnsi" w:cstheme="minorHAnsi"/>
          <w:iCs/>
          <w:szCs w:val="24"/>
        </w:rPr>
        <w:t xml:space="preserve"> </w:t>
      </w:r>
      <w:r w:rsidR="00E46B03" w:rsidRPr="00E46B03">
        <w:rPr>
          <w:rFonts w:asciiTheme="minorHAnsi" w:hAnsiTheme="minorHAnsi" w:cstheme="minorHAnsi"/>
          <w:i/>
          <w:szCs w:val="24"/>
        </w:rPr>
        <w:t>Higher Education and Support Act 2003</w:t>
      </w:r>
      <w:r w:rsidR="00E46B03">
        <w:rPr>
          <w:rFonts w:asciiTheme="minorHAnsi" w:hAnsiTheme="minorHAnsi" w:cstheme="minorHAnsi"/>
          <w:iCs/>
          <w:szCs w:val="24"/>
        </w:rPr>
        <w:t xml:space="preserve"> (HESA)</w:t>
      </w:r>
      <w:r>
        <w:rPr>
          <w:rFonts w:asciiTheme="minorHAnsi" w:hAnsiTheme="minorHAnsi" w:cstheme="minorHAnsi"/>
          <w:iCs/>
          <w:szCs w:val="24"/>
        </w:rPr>
        <w:t xml:space="preserve">. Section 19-67 of </w:t>
      </w:r>
      <w:r w:rsidR="00127AC0">
        <w:rPr>
          <w:rFonts w:asciiTheme="minorHAnsi" w:hAnsiTheme="minorHAnsi" w:cstheme="minorHAnsi"/>
          <w:iCs/>
          <w:szCs w:val="24"/>
        </w:rPr>
        <w:t>HESA</w:t>
      </w:r>
      <w:r>
        <w:rPr>
          <w:rFonts w:asciiTheme="minorHAnsi" w:hAnsiTheme="minorHAnsi" w:cstheme="minorHAnsi"/>
          <w:iCs/>
          <w:szCs w:val="24"/>
        </w:rPr>
        <w:t xml:space="preserve"> sets out requirements for providing students with information about services that are not of an academic nature and that support students, the requirements for providing students with access to such services and the requirements relating to the representation and advocacy of the interests of students. </w:t>
      </w:r>
    </w:p>
    <w:p w14:paraId="36DB673A" w14:textId="765868BA" w:rsidR="000A1EB0" w:rsidRDefault="000A1EB0" w:rsidP="000A1EB0">
      <w:pPr>
        <w:spacing w:before="120" w:after="120"/>
        <w:rPr>
          <w:rFonts w:asciiTheme="minorHAnsi" w:hAnsiTheme="minorHAnsi" w:cstheme="minorHAnsi"/>
          <w:iCs/>
          <w:szCs w:val="24"/>
        </w:rPr>
      </w:pPr>
      <w:r>
        <w:rPr>
          <w:rFonts w:asciiTheme="minorHAnsi" w:hAnsiTheme="minorHAnsi" w:cstheme="minorHAnsi"/>
          <w:iCs/>
          <w:szCs w:val="24"/>
        </w:rPr>
        <w:t xml:space="preserve">The Guidelines are largely a remake of the </w:t>
      </w:r>
      <w:r w:rsidRPr="00B61568">
        <w:rPr>
          <w:rFonts w:asciiTheme="minorHAnsi" w:hAnsiTheme="minorHAnsi" w:cstheme="minorHAnsi"/>
          <w:i/>
          <w:iCs/>
        </w:rPr>
        <w:t xml:space="preserve">Student Services, Amenities, Representation and Advocacy Guidelines </w:t>
      </w:r>
      <w:r w:rsidRPr="00987279">
        <w:rPr>
          <w:rFonts w:asciiTheme="minorHAnsi" w:hAnsiTheme="minorHAnsi" w:cstheme="minorHAnsi"/>
        </w:rPr>
        <w:t>(</w:t>
      </w:r>
      <w:r w:rsidR="002446D0">
        <w:rPr>
          <w:rFonts w:asciiTheme="minorHAnsi" w:hAnsiTheme="minorHAnsi" w:cstheme="minorHAnsi"/>
        </w:rPr>
        <w:t>‘</w:t>
      </w:r>
      <w:r w:rsidRPr="00987279">
        <w:rPr>
          <w:rFonts w:asciiTheme="minorHAnsi" w:hAnsiTheme="minorHAnsi" w:cstheme="minorHAnsi"/>
        </w:rPr>
        <w:t xml:space="preserve">the Former </w:t>
      </w:r>
      <w:r>
        <w:rPr>
          <w:rFonts w:asciiTheme="minorHAnsi" w:hAnsiTheme="minorHAnsi" w:cstheme="minorHAnsi"/>
        </w:rPr>
        <w:t>Guidelines</w:t>
      </w:r>
      <w:r w:rsidR="002446D0">
        <w:rPr>
          <w:rFonts w:asciiTheme="minorHAnsi" w:hAnsiTheme="minorHAnsi" w:cstheme="minorHAnsi"/>
        </w:rPr>
        <w:t>’</w:t>
      </w:r>
      <w:r w:rsidRPr="00987279">
        <w:rPr>
          <w:rFonts w:asciiTheme="minorHAnsi" w:hAnsiTheme="minorHAnsi" w:cstheme="minorHAnsi"/>
        </w:rPr>
        <w:t>)</w:t>
      </w:r>
      <w:r>
        <w:rPr>
          <w:rFonts w:asciiTheme="minorHAnsi" w:hAnsiTheme="minorHAnsi" w:cstheme="minorHAnsi"/>
          <w:iCs/>
          <w:szCs w:val="24"/>
        </w:rPr>
        <w:t xml:space="preserve">. The </w:t>
      </w:r>
      <w:r w:rsidR="002446D0">
        <w:rPr>
          <w:rFonts w:asciiTheme="minorHAnsi" w:hAnsiTheme="minorHAnsi" w:cstheme="minorHAnsi"/>
          <w:iCs/>
          <w:szCs w:val="24"/>
        </w:rPr>
        <w:t>F</w:t>
      </w:r>
      <w:r>
        <w:rPr>
          <w:rFonts w:asciiTheme="minorHAnsi" w:hAnsiTheme="minorHAnsi" w:cstheme="minorHAnsi"/>
          <w:iCs/>
          <w:szCs w:val="24"/>
        </w:rPr>
        <w:t xml:space="preserve">ormer Guidelines </w:t>
      </w:r>
      <w:r w:rsidR="002446D0">
        <w:rPr>
          <w:rFonts w:asciiTheme="minorHAnsi" w:hAnsiTheme="minorHAnsi" w:cstheme="minorHAnsi"/>
          <w:iCs/>
          <w:szCs w:val="24"/>
        </w:rPr>
        <w:t>will</w:t>
      </w:r>
      <w:r>
        <w:rPr>
          <w:rFonts w:asciiTheme="minorHAnsi" w:hAnsiTheme="minorHAnsi" w:cstheme="minorHAnsi"/>
          <w:iCs/>
          <w:szCs w:val="24"/>
        </w:rPr>
        <w:t xml:space="preserve"> sunset on 1</w:t>
      </w:r>
      <w:r w:rsidR="00BF0A4D">
        <w:rPr>
          <w:rFonts w:asciiTheme="minorHAnsi" w:hAnsiTheme="minorHAnsi" w:cstheme="minorHAnsi"/>
          <w:iCs/>
          <w:szCs w:val="24"/>
        </w:rPr>
        <w:t> </w:t>
      </w:r>
      <w:r>
        <w:rPr>
          <w:rFonts w:asciiTheme="minorHAnsi" w:hAnsiTheme="minorHAnsi" w:cstheme="minorHAnsi"/>
          <w:iCs/>
          <w:szCs w:val="24"/>
        </w:rPr>
        <w:t>April</w:t>
      </w:r>
      <w:r w:rsidR="00BF0A4D">
        <w:rPr>
          <w:rFonts w:asciiTheme="minorHAnsi" w:hAnsiTheme="minorHAnsi" w:cstheme="minorHAnsi"/>
          <w:iCs/>
          <w:szCs w:val="24"/>
        </w:rPr>
        <w:t> </w:t>
      </w:r>
      <w:r>
        <w:rPr>
          <w:rFonts w:asciiTheme="minorHAnsi" w:hAnsiTheme="minorHAnsi" w:cstheme="minorHAnsi"/>
          <w:iCs/>
          <w:szCs w:val="24"/>
        </w:rPr>
        <w:t>2022 and these Guidelines are made to ensure that the requirements for student services and representation placed on higher education providers will continue to be in place.</w:t>
      </w:r>
    </w:p>
    <w:p w14:paraId="38275E5D" w14:textId="77777777" w:rsidR="00F9205E" w:rsidRPr="008134D5" w:rsidRDefault="00F9205E" w:rsidP="006018C9">
      <w:pPr>
        <w:keepNext/>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090B817F" w14:textId="77777777" w:rsidR="00046CCB" w:rsidRDefault="00046CCB" w:rsidP="00046CCB">
      <w:pPr>
        <w:spacing w:before="120" w:after="120"/>
        <w:rPr>
          <w:rFonts w:asciiTheme="minorHAnsi" w:hAnsiTheme="minorHAnsi" w:cstheme="minorHAnsi"/>
          <w:szCs w:val="24"/>
        </w:rPr>
      </w:pPr>
      <w:r>
        <w:rPr>
          <w:rFonts w:asciiTheme="minorHAnsi" w:hAnsiTheme="minorHAnsi" w:cstheme="minorHAnsi"/>
          <w:szCs w:val="24"/>
        </w:rPr>
        <w:t xml:space="preserve">The Guidelines engage the right to education contained in Article 13 of the International Covenant on Economic, Social and Cultural Rights (ICESCR). </w:t>
      </w:r>
    </w:p>
    <w:p w14:paraId="197394A5" w14:textId="77777777" w:rsidR="00046CCB" w:rsidRDefault="00046CCB" w:rsidP="00046CCB">
      <w:pPr>
        <w:spacing w:before="120" w:after="120"/>
        <w:rPr>
          <w:rFonts w:asciiTheme="minorHAnsi" w:hAnsiTheme="minorHAnsi" w:cstheme="minorHAnsi"/>
          <w:szCs w:val="24"/>
        </w:rPr>
      </w:pPr>
      <w:r>
        <w:rPr>
          <w:rFonts w:asciiTheme="minorHAnsi" w:hAnsiTheme="minorHAnsi" w:cstheme="minorHAnsi"/>
          <w:szCs w:val="24"/>
          <w:u w:val="single"/>
        </w:rPr>
        <w:t>Right to education</w:t>
      </w:r>
    </w:p>
    <w:p w14:paraId="021A3791" w14:textId="38B6AB98" w:rsidR="00046CCB" w:rsidRDefault="00046CCB" w:rsidP="00046CCB">
      <w:pPr>
        <w:spacing w:before="120" w:after="120"/>
        <w:rPr>
          <w:rFonts w:asciiTheme="minorHAnsi" w:hAnsiTheme="minorHAnsi" w:cstheme="minorHAnsi"/>
          <w:szCs w:val="24"/>
        </w:rPr>
      </w:pPr>
      <w:r>
        <w:rPr>
          <w:rFonts w:asciiTheme="minorHAnsi" w:hAnsiTheme="minorHAnsi" w:cstheme="minorHAnsi"/>
          <w:szCs w:val="24"/>
        </w:rPr>
        <w:t>The Guidelines engage the right to education contained in Article 13 of the ICESCR. Article</w:t>
      </w:r>
      <w:r w:rsidR="00D91391">
        <w:rPr>
          <w:rFonts w:asciiTheme="minorHAnsi" w:hAnsiTheme="minorHAnsi" w:cstheme="minorHAnsi"/>
          <w:szCs w:val="24"/>
        </w:rPr>
        <w:t> </w:t>
      </w:r>
      <w:r w:rsidR="00B53EE3">
        <w:rPr>
          <w:rFonts w:asciiTheme="minorHAnsi" w:hAnsiTheme="minorHAnsi" w:cstheme="minorHAnsi"/>
          <w:szCs w:val="24"/>
        </w:rPr>
        <w:t>‘</w:t>
      </w:r>
      <w:r>
        <w:rPr>
          <w:rFonts w:asciiTheme="minorHAnsi" w:hAnsiTheme="minorHAnsi" w:cstheme="minorHAnsi"/>
          <w:szCs w:val="24"/>
        </w:rPr>
        <w:t xml:space="preserve">13(2)(c) of the ICESCR provides that ‘higher education shall be made equally accessible to all, on the basis of capacity, by every appropriate means, and in particular by the progressive introduction of free education’. </w:t>
      </w:r>
    </w:p>
    <w:p w14:paraId="42D25CF0" w14:textId="77777777" w:rsidR="00046CCB" w:rsidRDefault="00046CCB" w:rsidP="00046CCB">
      <w:pPr>
        <w:spacing w:before="120" w:after="120"/>
        <w:rPr>
          <w:rFonts w:asciiTheme="minorHAnsi" w:hAnsiTheme="minorHAnsi" w:cstheme="minorHAnsi"/>
          <w:szCs w:val="24"/>
        </w:rPr>
      </w:pPr>
      <w:r>
        <w:rPr>
          <w:rFonts w:asciiTheme="minorHAnsi" w:hAnsiTheme="minorHAnsi" w:cstheme="minorHAnsi"/>
          <w:szCs w:val="24"/>
        </w:rPr>
        <w:t xml:space="preserve">The Guidelines will provide for requirements that must be met by Australian higher education providers. These requirements improve students’ access to higher education by: </w:t>
      </w:r>
    </w:p>
    <w:p w14:paraId="1B4443ED" w14:textId="77777777" w:rsidR="00046CCB" w:rsidRDefault="00046CCB" w:rsidP="00046CCB">
      <w:pPr>
        <w:pStyle w:val="ListParagraph"/>
        <w:numPr>
          <w:ilvl w:val="0"/>
          <w:numId w:val="38"/>
        </w:numPr>
        <w:spacing w:before="120" w:after="120"/>
        <w:rPr>
          <w:rFonts w:asciiTheme="minorHAnsi" w:hAnsiTheme="minorHAnsi" w:cstheme="minorHAnsi"/>
          <w:szCs w:val="24"/>
        </w:rPr>
      </w:pPr>
      <w:r w:rsidRPr="00944923">
        <w:rPr>
          <w:rFonts w:asciiTheme="minorHAnsi" w:hAnsiTheme="minorHAnsi" w:cstheme="minorHAnsi"/>
          <w:szCs w:val="24"/>
        </w:rPr>
        <w:t xml:space="preserve">ensuring that students have access to support services (such as health, welfare, advocacy and career services) that assist students in undertaking higher education studies; </w:t>
      </w:r>
    </w:p>
    <w:p w14:paraId="24EE9252" w14:textId="30D57B6A" w:rsidR="00046CCB" w:rsidRDefault="00046CCB" w:rsidP="00046CCB">
      <w:pPr>
        <w:pStyle w:val="ListParagraph"/>
        <w:numPr>
          <w:ilvl w:val="0"/>
          <w:numId w:val="38"/>
        </w:numPr>
        <w:spacing w:before="120" w:after="120"/>
        <w:rPr>
          <w:rFonts w:asciiTheme="minorHAnsi" w:hAnsiTheme="minorHAnsi" w:cstheme="minorHAnsi"/>
          <w:szCs w:val="24"/>
        </w:rPr>
      </w:pPr>
      <w:r>
        <w:rPr>
          <w:rFonts w:asciiTheme="minorHAnsi" w:hAnsiTheme="minorHAnsi" w:cstheme="minorHAnsi"/>
          <w:szCs w:val="24"/>
        </w:rPr>
        <w:t xml:space="preserve">ensuring that higher education providers support student engagement and representation, and enabling students to be represented in decision making processes at their higher education provider; </w:t>
      </w:r>
    </w:p>
    <w:p w14:paraId="1C0FCC27" w14:textId="77777777" w:rsidR="00D8504A" w:rsidRDefault="00046CCB" w:rsidP="00046CCB">
      <w:pPr>
        <w:pStyle w:val="ListParagraph"/>
        <w:numPr>
          <w:ilvl w:val="0"/>
          <w:numId w:val="38"/>
        </w:numPr>
        <w:spacing w:before="120" w:after="120"/>
        <w:rPr>
          <w:rFonts w:asciiTheme="minorHAnsi" w:hAnsiTheme="minorHAnsi" w:cstheme="minorHAnsi"/>
          <w:szCs w:val="24"/>
        </w:rPr>
      </w:pPr>
      <w:r>
        <w:rPr>
          <w:rFonts w:asciiTheme="minorHAnsi" w:hAnsiTheme="minorHAnsi" w:cstheme="minorHAnsi"/>
          <w:szCs w:val="24"/>
        </w:rPr>
        <w:lastRenderedPageBreak/>
        <w:t>prescribing processes for consultation with students regarding the specific uses of the proceeds from any compulsory student services and amenities fees</w:t>
      </w:r>
      <w:r w:rsidR="00D8504A">
        <w:rPr>
          <w:rFonts w:asciiTheme="minorHAnsi" w:hAnsiTheme="minorHAnsi" w:cstheme="minorHAnsi"/>
          <w:szCs w:val="24"/>
        </w:rPr>
        <w:t xml:space="preserve">; and </w:t>
      </w:r>
    </w:p>
    <w:p w14:paraId="6F70289B" w14:textId="08EC614F" w:rsidR="00046CCB" w:rsidRDefault="00D8504A" w:rsidP="00046CCB">
      <w:pPr>
        <w:pStyle w:val="ListParagraph"/>
        <w:numPr>
          <w:ilvl w:val="0"/>
          <w:numId w:val="38"/>
        </w:numPr>
        <w:spacing w:before="120" w:after="120"/>
        <w:rPr>
          <w:rFonts w:asciiTheme="minorHAnsi" w:hAnsiTheme="minorHAnsi" w:cstheme="minorHAnsi"/>
          <w:szCs w:val="24"/>
        </w:rPr>
      </w:pPr>
      <w:r>
        <w:rPr>
          <w:rFonts w:asciiTheme="minorHAnsi" w:hAnsiTheme="minorHAnsi" w:cstheme="minorHAnsi"/>
          <w:szCs w:val="24"/>
        </w:rPr>
        <w:t>ensur</w:t>
      </w:r>
      <w:r w:rsidR="0058205E">
        <w:rPr>
          <w:rFonts w:asciiTheme="minorHAnsi" w:hAnsiTheme="minorHAnsi" w:cstheme="minorHAnsi"/>
          <w:szCs w:val="24"/>
        </w:rPr>
        <w:t>ing</w:t>
      </w:r>
      <w:r>
        <w:rPr>
          <w:rFonts w:asciiTheme="minorHAnsi" w:hAnsiTheme="minorHAnsi" w:cstheme="minorHAnsi"/>
          <w:szCs w:val="24"/>
        </w:rPr>
        <w:t xml:space="preserve"> higher education providers report on S</w:t>
      </w:r>
      <w:r w:rsidRPr="00B43B35">
        <w:rPr>
          <w:rFonts w:asciiTheme="minorHAnsi" w:hAnsiTheme="minorHAnsi" w:cstheme="minorHAnsi"/>
          <w:iCs/>
          <w:szCs w:val="24"/>
        </w:rPr>
        <w:t xml:space="preserve">tudent </w:t>
      </w:r>
      <w:r>
        <w:rPr>
          <w:rFonts w:asciiTheme="minorHAnsi" w:hAnsiTheme="minorHAnsi" w:cstheme="minorHAnsi"/>
          <w:iCs/>
          <w:szCs w:val="24"/>
        </w:rPr>
        <w:t>S</w:t>
      </w:r>
      <w:r w:rsidRPr="00B43B35">
        <w:rPr>
          <w:rFonts w:asciiTheme="minorHAnsi" w:hAnsiTheme="minorHAnsi" w:cstheme="minorHAnsi"/>
          <w:iCs/>
          <w:szCs w:val="24"/>
        </w:rPr>
        <w:t xml:space="preserve">ervices and </w:t>
      </w:r>
      <w:r>
        <w:rPr>
          <w:rFonts w:asciiTheme="minorHAnsi" w:hAnsiTheme="minorHAnsi" w:cstheme="minorHAnsi"/>
          <w:iCs/>
          <w:szCs w:val="24"/>
        </w:rPr>
        <w:t>A</w:t>
      </w:r>
      <w:r w:rsidRPr="00B43B35">
        <w:rPr>
          <w:rFonts w:asciiTheme="minorHAnsi" w:hAnsiTheme="minorHAnsi" w:cstheme="minorHAnsi"/>
          <w:iCs/>
          <w:szCs w:val="24"/>
        </w:rPr>
        <w:t xml:space="preserve">menities </w:t>
      </w:r>
      <w:r>
        <w:rPr>
          <w:rFonts w:asciiTheme="minorHAnsi" w:hAnsiTheme="minorHAnsi" w:cstheme="minorHAnsi"/>
          <w:iCs/>
          <w:szCs w:val="24"/>
        </w:rPr>
        <w:t>F</w:t>
      </w:r>
      <w:r w:rsidRPr="00B43B35">
        <w:rPr>
          <w:rFonts w:asciiTheme="minorHAnsi" w:hAnsiTheme="minorHAnsi" w:cstheme="minorHAnsi"/>
          <w:iCs/>
          <w:szCs w:val="24"/>
        </w:rPr>
        <w:t>ee</w:t>
      </w:r>
      <w:r>
        <w:rPr>
          <w:rFonts w:asciiTheme="minorHAnsi" w:hAnsiTheme="minorHAnsi" w:cstheme="minorHAnsi"/>
          <w:szCs w:val="24"/>
        </w:rPr>
        <w:t xml:space="preserve"> allocation and expenditure in a consistent manner</w:t>
      </w:r>
      <w:r w:rsidR="00046CCB">
        <w:rPr>
          <w:rFonts w:asciiTheme="minorHAnsi" w:hAnsiTheme="minorHAnsi" w:cstheme="minorHAnsi"/>
          <w:szCs w:val="24"/>
        </w:rPr>
        <w:t xml:space="preserve">. </w:t>
      </w:r>
    </w:p>
    <w:p w14:paraId="3CD2B3D3" w14:textId="4E1C643C" w:rsidR="00046CCB" w:rsidRPr="00C4657F" w:rsidRDefault="00046CCB" w:rsidP="00046CCB">
      <w:pPr>
        <w:spacing w:before="120" w:after="120"/>
        <w:rPr>
          <w:rFonts w:asciiTheme="minorHAnsi" w:hAnsiTheme="minorHAnsi" w:cstheme="minorHAnsi"/>
          <w:szCs w:val="24"/>
        </w:rPr>
      </w:pPr>
      <w:r>
        <w:rPr>
          <w:rFonts w:asciiTheme="minorHAnsi" w:hAnsiTheme="minorHAnsi" w:cstheme="minorHAnsi"/>
          <w:szCs w:val="24"/>
        </w:rPr>
        <w:t>Therefore, the Guidelines promote the right to education.</w:t>
      </w:r>
    </w:p>
    <w:p w14:paraId="7A4986AE" w14:textId="77777777" w:rsidR="00046CCB" w:rsidRPr="008134D5" w:rsidRDefault="00046CCB" w:rsidP="00046CCB">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71C0CA07" w14:textId="74EBA396" w:rsidR="00046CCB" w:rsidRPr="008134D5" w:rsidRDefault="00046CCB" w:rsidP="00046CCB">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0A30F0">
        <w:rPr>
          <w:rFonts w:asciiTheme="minorHAnsi" w:hAnsiTheme="minorHAnsi" w:cstheme="minorHAnsi"/>
          <w:szCs w:val="24"/>
        </w:rPr>
        <w:t>Guidelines are</w:t>
      </w:r>
      <w:r w:rsidR="000A30F0" w:rsidRPr="008134D5">
        <w:rPr>
          <w:rFonts w:asciiTheme="minorHAnsi" w:hAnsiTheme="minorHAnsi" w:cstheme="minorHAnsi"/>
          <w:szCs w:val="24"/>
        </w:rPr>
        <w:t xml:space="preserve"> </w:t>
      </w:r>
      <w:r w:rsidRPr="008134D5">
        <w:rPr>
          <w:rFonts w:asciiTheme="minorHAnsi" w:hAnsiTheme="minorHAnsi" w:cstheme="minorHAnsi"/>
          <w:szCs w:val="24"/>
        </w:rPr>
        <w:t>compatible with human rights because</w:t>
      </w:r>
      <w:r>
        <w:rPr>
          <w:rFonts w:asciiTheme="minorHAnsi" w:hAnsiTheme="minorHAnsi" w:cstheme="minorHAnsi"/>
          <w:szCs w:val="24"/>
        </w:rPr>
        <w:t xml:space="preserve"> it promotes the right to education. </w:t>
      </w:r>
      <w:r w:rsidRPr="008134D5">
        <w:rPr>
          <w:rFonts w:asciiTheme="minorHAnsi" w:hAnsiTheme="minorHAnsi" w:cstheme="minorHAnsi"/>
          <w:szCs w:val="24"/>
        </w:rPr>
        <w:t xml:space="preserve"> </w:t>
      </w:r>
    </w:p>
    <w:p w14:paraId="00A40566" w14:textId="7E411D67" w:rsidR="00DA552F" w:rsidRPr="008134D5" w:rsidRDefault="00D8103E" w:rsidP="006018C9">
      <w:pPr>
        <w:spacing w:before="120" w:after="120"/>
        <w:jc w:val="center"/>
        <w:rPr>
          <w:rFonts w:asciiTheme="minorHAnsi" w:hAnsiTheme="minorHAnsi" w:cstheme="minorHAnsi"/>
          <w:szCs w:val="24"/>
        </w:rPr>
      </w:pPr>
      <w:r w:rsidRPr="008134D5">
        <w:rPr>
          <w:rFonts w:asciiTheme="minorHAnsi" w:hAnsiTheme="minorHAnsi" w:cstheme="minorHAnsi"/>
          <w:b/>
          <w:szCs w:val="24"/>
        </w:rPr>
        <w:t>Minister for</w:t>
      </w:r>
      <w:r w:rsidR="00B528D1">
        <w:rPr>
          <w:rFonts w:asciiTheme="minorHAnsi" w:hAnsiTheme="minorHAnsi" w:cstheme="minorHAnsi"/>
          <w:b/>
          <w:szCs w:val="24"/>
        </w:rPr>
        <w:t xml:space="preserve"> Employment, Workforce, Skills, Small and Family Business</w:t>
      </w:r>
      <w:r w:rsidR="006E5E0B">
        <w:rPr>
          <w:rFonts w:asciiTheme="minorHAnsi" w:hAnsiTheme="minorHAnsi" w:cstheme="minorHAnsi"/>
          <w:b/>
          <w:szCs w:val="24"/>
        </w:rPr>
        <w:t xml:space="preserve"> </w:t>
      </w:r>
    </w:p>
    <w:p w14:paraId="2F6FD579" w14:textId="77777777" w:rsidR="00DA552F" w:rsidRPr="008134D5" w:rsidRDefault="00DA552F" w:rsidP="006018C9">
      <w:pPr>
        <w:spacing w:before="120" w:after="12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0287CC6A" w14:textId="2EB9B7B8" w:rsidR="00046CCB" w:rsidRDefault="00046CCB" w:rsidP="006018C9">
      <w:pPr>
        <w:pStyle w:val="Heading2"/>
        <w:spacing w:before="120" w:after="120"/>
        <w:jc w:val="center"/>
        <w:rPr>
          <w:rFonts w:asciiTheme="minorHAnsi" w:hAnsiTheme="minorHAnsi" w:cstheme="minorHAnsi"/>
          <w:i/>
        </w:rPr>
      </w:pPr>
      <w:r w:rsidRPr="000A1EB0">
        <w:rPr>
          <w:rFonts w:asciiTheme="minorHAnsi" w:hAnsiTheme="minorHAnsi" w:cstheme="minorHAnsi"/>
          <w:i/>
        </w:rPr>
        <w:lastRenderedPageBreak/>
        <w:t xml:space="preserve">Higher Education </w:t>
      </w:r>
      <w:r w:rsidRPr="000A1EB0">
        <w:rPr>
          <w:rFonts w:asciiTheme="minorHAnsi" w:hAnsiTheme="minorHAnsi" w:cstheme="minorHAnsi"/>
          <w:i/>
          <w:szCs w:val="24"/>
        </w:rPr>
        <w:t>Support</w:t>
      </w:r>
      <w:r w:rsidRPr="000A1EB0">
        <w:rPr>
          <w:rFonts w:asciiTheme="minorHAnsi" w:hAnsiTheme="minorHAnsi" w:cstheme="minorHAnsi"/>
          <w:i/>
        </w:rPr>
        <w:t xml:space="preserve"> (Student Services, Amenities, Representation and Advocacy) Guidelines 202</w:t>
      </w:r>
      <w:r>
        <w:rPr>
          <w:rFonts w:asciiTheme="minorHAnsi" w:hAnsiTheme="minorHAnsi" w:cstheme="minorHAnsi"/>
          <w:i/>
        </w:rPr>
        <w:t>2</w:t>
      </w:r>
    </w:p>
    <w:p w14:paraId="4F65A4CF" w14:textId="2F4844E5" w:rsidR="00523900" w:rsidRPr="008134D5" w:rsidRDefault="00523900" w:rsidP="006018C9">
      <w:pPr>
        <w:pStyle w:val="Heading2"/>
        <w:spacing w:before="120" w:after="120"/>
        <w:jc w:val="center"/>
        <w:rPr>
          <w:rFonts w:asciiTheme="minorHAnsi" w:hAnsiTheme="minorHAnsi" w:cstheme="minorHAnsi"/>
          <w:color w:val="auto"/>
        </w:rPr>
      </w:pPr>
      <w:r>
        <w:rPr>
          <w:rFonts w:asciiTheme="minorHAnsi" w:hAnsiTheme="minorHAnsi" w:cstheme="minorHAnsi"/>
          <w:color w:val="auto"/>
        </w:rPr>
        <w:t>EXPLANATION OF PROVISIONS</w:t>
      </w:r>
    </w:p>
    <w:p w14:paraId="449F56F6" w14:textId="77777777" w:rsidR="00046CCB" w:rsidRPr="008134D5" w:rsidRDefault="00046CCB" w:rsidP="00046CCB">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2FD7FEB9" w14:textId="65507928" w:rsidR="00046CCB" w:rsidRPr="00EF4ACB" w:rsidRDefault="00046CCB" w:rsidP="00046CCB">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Pr>
          <w:rFonts w:asciiTheme="minorHAnsi" w:hAnsiTheme="minorHAnsi" w:cstheme="minorHAnsi"/>
          <w:szCs w:val="24"/>
        </w:rPr>
        <w:t xml:space="preserve">section specifies the name of the instrument as the </w:t>
      </w:r>
      <w:r>
        <w:rPr>
          <w:rFonts w:asciiTheme="minorHAnsi" w:hAnsiTheme="minorHAnsi" w:cstheme="minorHAnsi"/>
          <w:i/>
          <w:szCs w:val="24"/>
        </w:rPr>
        <w:t xml:space="preserve">Higher Education Support (Student Services, Amenities, Representation and Advocacy) Guidelines 2022 </w:t>
      </w:r>
      <w:r>
        <w:rPr>
          <w:rFonts w:asciiTheme="minorHAnsi" w:hAnsiTheme="minorHAnsi" w:cstheme="minorHAnsi"/>
          <w:iCs/>
          <w:szCs w:val="24"/>
        </w:rPr>
        <w:t>(</w:t>
      </w:r>
      <w:r w:rsidR="00B53EE3">
        <w:rPr>
          <w:rFonts w:asciiTheme="minorHAnsi" w:hAnsiTheme="minorHAnsi" w:cstheme="minorHAnsi"/>
          <w:iCs/>
          <w:szCs w:val="24"/>
        </w:rPr>
        <w:t>‘</w:t>
      </w:r>
      <w:r>
        <w:rPr>
          <w:rFonts w:asciiTheme="minorHAnsi" w:hAnsiTheme="minorHAnsi" w:cstheme="minorHAnsi"/>
          <w:iCs/>
          <w:szCs w:val="24"/>
        </w:rPr>
        <w:t>the Guidelines</w:t>
      </w:r>
      <w:r w:rsidR="00B53EE3">
        <w:rPr>
          <w:rFonts w:asciiTheme="minorHAnsi" w:hAnsiTheme="minorHAnsi" w:cstheme="minorHAnsi"/>
          <w:iCs/>
          <w:szCs w:val="24"/>
        </w:rPr>
        <w:t>’</w:t>
      </w:r>
      <w:r>
        <w:rPr>
          <w:rFonts w:asciiTheme="minorHAnsi" w:hAnsiTheme="minorHAnsi" w:cstheme="minorHAnsi"/>
          <w:iCs/>
          <w:szCs w:val="24"/>
        </w:rPr>
        <w:t xml:space="preserve">). </w:t>
      </w:r>
    </w:p>
    <w:p w14:paraId="0C53D381" w14:textId="77777777" w:rsidR="00046CCB" w:rsidRPr="008134D5" w:rsidRDefault="00046CCB" w:rsidP="00046CCB">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06E5BC9B" w14:textId="39C40097" w:rsidR="00046CCB" w:rsidRPr="00E05DFB" w:rsidRDefault="00046CCB" w:rsidP="00046CCB">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provides that the Guidelines commence the day after </w:t>
      </w:r>
      <w:r w:rsidR="00334F30">
        <w:rPr>
          <w:rFonts w:asciiTheme="minorHAnsi" w:hAnsiTheme="minorHAnsi" w:cstheme="minorHAnsi"/>
          <w:iCs/>
        </w:rPr>
        <w:t>they are</w:t>
      </w:r>
      <w:r>
        <w:rPr>
          <w:rFonts w:asciiTheme="minorHAnsi" w:hAnsiTheme="minorHAnsi" w:cstheme="minorHAnsi"/>
          <w:iCs/>
        </w:rPr>
        <w:t xml:space="preserve"> registered on the Federal Register of Legislation.</w:t>
      </w:r>
    </w:p>
    <w:p w14:paraId="36813763" w14:textId="77777777" w:rsidR="00046CCB" w:rsidRPr="00E631F9" w:rsidRDefault="00046CCB" w:rsidP="00046CCB">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636A9D5" w14:textId="2F6061CF" w:rsidR="00046CCB" w:rsidRPr="00E05DFB" w:rsidRDefault="00046CCB" w:rsidP="00046CCB">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provides that the Guidelines are made under section 238-10 of the </w:t>
      </w:r>
      <w:r>
        <w:rPr>
          <w:rFonts w:asciiTheme="minorHAnsi" w:hAnsiTheme="minorHAnsi" w:cstheme="minorHAnsi"/>
          <w:i/>
        </w:rPr>
        <w:t xml:space="preserve">Higher Education Support Act 2003 </w:t>
      </w:r>
      <w:r>
        <w:rPr>
          <w:rFonts w:asciiTheme="minorHAnsi" w:hAnsiTheme="minorHAnsi" w:cstheme="minorHAnsi"/>
          <w:iCs/>
        </w:rPr>
        <w:t xml:space="preserve">(‘HESA’). </w:t>
      </w:r>
    </w:p>
    <w:p w14:paraId="4A1E1430" w14:textId="77777777" w:rsidR="00046CCB" w:rsidRPr="00E631F9" w:rsidRDefault="00046CCB" w:rsidP="00046CCB">
      <w:pPr>
        <w:keepNext/>
        <w:spacing w:before="360" w:after="120"/>
        <w:rPr>
          <w:rFonts w:asciiTheme="minorHAnsi" w:hAnsiTheme="minorHAnsi" w:cstheme="minorHAnsi"/>
        </w:rPr>
      </w:pPr>
      <w:r>
        <w:rPr>
          <w:rFonts w:asciiTheme="minorHAnsi" w:hAnsiTheme="minorHAnsi" w:cstheme="minorHAnsi"/>
          <w:b/>
          <w:u w:val="single"/>
        </w:rPr>
        <w:t xml:space="preserve">Section 4: Definitions </w:t>
      </w:r>
    </w:p>
    <w:p w14:paraId="7EF95E09" w14:textId="7188C1FE" w:rsidR="00046CCB" w:rsidRPr="008336FF" w:rsidRDefault="00046CCB" w:rsidP="00046CCB">
      <w:pPr>
        <w:pStyle w:val="ListParagraph"/>
        <w:numPr>
          <w:ilvl w:val="0"/>
          <w:numId w:val="1"/>
        </w:numPr>
        <w:spacing w:before="360" w:after="120"/>
        <w:rPr>
          <w:rFonts w:asciiTheme="minorHAnsi" w:hAnsiTheme="minorHAnsi" w:cstheme="minorHAnsi"/>
          <w:u w:val="single"/>
        </w:rPr>
      </w:pPr>
      <w:r>
        <w:rPr>
          <w:rFonts w:asciiTheme="minorHAnsi" w:hAnsiTheme="minorHAnsi" w:cstheme="minorHAnsi"/>
          <w:iCs/>
          <w:szCs w:val="24"/>
        </w:rPr>
        <w:t xml:space="preserve">This section provides definitions for certain expressions used in the Guidelines, and notes that a number of expressions used in the Guidelines are defined in Schedule 1 of </w:t>
      </w:r>
      <w:r w:rsidR="00E46B03">
        <w:rPr>
          <w:rFonts w:asciiTheme="minorHAnsi" w:hAnsiTheme="minorHAnsi" w:cstheme="minorHAnsi"/>
          <w:iCs/>
          <w:szCs w:val="24"/>
        </w:rPr>
        <w:t>HESA</w:t>
      </w:r>
      <w:r>
        <w:rPr>
          <w:rFonts w:asciiTheme="minorHAnsi" w:hAnsiTheme="minorHAnsi" w:cstheme="minorHAnsi"/>
          <w:iCs/>
          <w:szCs w:val="24"/>
        </w:rPr>
        <w:t xml:space="preserve">. </w:t>
      </w:r>
    </w:p>
    <w:p w14:paraId="3F996EFD" w14:textId="77777777" w:rsidR="00046CCB" w:rsidRPr="00E631F9" w:rsidRDefault="00046CCB" w:rsidP="00046CCB">
      <w:pPr>
        <w:keepNext/>
        <w:spacing w:before="360" w:after="120"/>
        <w:rPr>
          <w:rFonts w:asciiTheme="minorHAnsi" w:hAnsiTheme="minorHAnsi" w:cstheme="minorHAnsi"/>
        </w:rPr>
      </w:pPr>
      <w:r>
        <w:rPr>
          <w:rFonts w:asciiTheme="minorHAnsi" w:hAnsiTheme="minorHAnsi" w:cstheme="minorHAnsi"/>
          <w:b/>
          <w:u w:val="single"/>
        </w:rPr>
        <w:t>Section 5: Schedule</w:t>
      </w:r>
    </w:p>
    <w:p w14:paraId="7C43B327" w14:textId="77777777" w:rsidR="00046CCB" w:rsidRPr="008336FF" w:rsidRDefault="00046CCB" w:rsidP="00046CCB">
      <w:pPr>
        <w:pStyle w:val="ListParagraph"/>
        <w:numPr>
          <w:ilvl w:val="0"/>
          <w:numId w:val="1"/>
        </w:numPr>
        <w:spacing w:before="360" w:after="120"/>
        <w:rPr>
          <w:rFonts w:asciiTheme="minorHAnsi" w:hAnsiTheme="minorHAnsi" w:cstheme="minorHAnsi"/>
          <w:u w:val="single"/>
        </w:rPr>
      </w:pPr>
      <w:r>
        <w:rPr>
          <w:rFonts w:asciiTheme="minorHAnsi" w:hAnsiTheme="minorHAnsi" w:cstheme="minorHAnsi"/>
          <w:iCs/>
          <w:szCs w:val="24"/>
        </w:rPr>
        <w:t xml:space="preserve">This section clarifies that the instrument specified in the Schedule to the Guidelines is repealed.  </w:t>
      </w:r>
    </w:p>
    <w:p w14:paraId="4C3CD7CD" w14:textId="77777777" w:rsidR="00046CCB" w:rsidRPr="00E631F9" w:rsidRDefault="00046CCB" w:rsidP="00046CCB">
      <w:pPr>
        <w:keepNext/>
        <w:spacing w:before="360" w:after="120"/>
        <w:rPr>
          <w:rFonts w:asciiTheme="minorHAnsi" w:hAnsiTheme="minorHAnsi" w:cstheme="minorHAnsi"/>
        </w:rPr>
      </w:pPr>
      <w:r>
        <w:rPr>
          <w:rFonts w:asciiTheme="minorHAnsi" w:hAnsiTheme="minorHAnsi" w:cstheme="minorHAnsi"/>
          <w:b/>
          <w:u w:val="single"/>
        </w:rPr>
        <w:t xml:space="preserve">Section 6: Outline </w:t>
      </w:r>
    </w:p>
    <w:p w14:paraId="35EEB127" w14:textId="7EF2BB86" w:rsidR="00756D99" w:rsidRPr="00046CCB" w:rsidRDefault="00046CCB" w:rsidP="00046CCB">
      <w:pPr>
        <w:pStyle w:val="ListParagraph"/>
        <w:numPr>
          <w:ilvl w:val="0"/>
          <w:numId w:val="1"/>
        </w:numPr>
        <w:spacing w:before="120" w:after="120"/>
        <w:rPr>
          <w:rFonts w:asciiTheme="minorHAnsi" w:hAnsiTheme="minorHAnsi" w:cstheme="minorHAnsi"/>
          <w:u w:val="single"/>
        </w:rPr>
      </w:pPr>
      <w:r w:rsidRPr="00046CCB">
        <w:rPr>
          <w:rFonts w:asciiTheme="minorHAnsi" w:hAnsiTheme="minorHAnsi" w:cstheme="minorHAnsi"/>
          <w:iCs/>
          <w:szCs w:val="24"/>
        </w:rPr>
        <w:t xml:space="preserve">This section </w:t>
      </w:r>
      <w:r w:rsidR="003657EF">
        <w:rPr>
          <w:rFonts w:asciiTheme="minorHAnsi" w:hAnsiTheme="minorHAnsi" w:cstheme="minorHAnsi"/>
          <w:iCs/>
          <w:szCs w:val="24"/>
        </w:rPr>
        <w:t>states</w:t>
      </w:r>
      <w:r w:rsidRPr="00046CCB">
        <w:rPr>
          <w:rFonts w:asciiTheme="minorHAnsi" w:hAnsiTheme="minorHAnsi" w:cstheme="minorHAnsi"/>
          <w:iCs/>
          <w:szCs w:val="24"/>
        </w:rPr>
        <w:t xml:space="preserve"> that section 19-67 of </w:t>
      </w:r>
      <w:r w:rsidR="00E46B03">
        <w:rPr>
          <w:rFonts w:asciiTheme="minorHAnsi" w:hAnsiTheme="minorHAnsi" w:cstheme="minorHAnsi"/>
          <w:iCs/>
          <w:szCs w:val="24"/>
        </w:rPr>
        <w:t>HESA</w:t>
      </w:r>
      <w:r w:rsidRPr="00046CCB">
        <w:rPr>
          <w:rFonts w:asciiTheme="minorHAnsi" w:hAnsiTheme="minorHAnsi" w:cstheme="minorHAnsi"/>
          <w:iCs/>
          <w:szCs w:val="24"/>
        </w:rPr>
        <w:t xml:space="preserve"> provides the basis for these Guidelines</w:t>
      </w:r>
      <w:r>
        <w:rPr>
          <w:rFonts w:asciiTheme="minorHAnsi" w:hAnsiTheme="minorHAnsi" w:cstheme="minorHAnsi"/>
          <w:iCs/>
          <w:szCs w:val="24"/>
        </w:rPr>
        <w:t xml:space="preserve"> and sets out the content of subsections 19-67(1) to (4)</w:t>
      </w:r>
      <w:r w:rsidRPr="00046CCB">
        <w:rPr>
          <w:rFonts w:asciiTheme="minorHAnsi" w:hAnsiTheme="minorHAnsi" w:cstheme="minorHAnsi"/>
          <w:iCs/>
          <w:szCs w:val="24"/>
        </w:rPr>
        <w:t>.</w:t>
      </w:r>
    </w:p>
    <w:p w14:paraId="5E9A6315" w14:textId="6615D33A" w:rsidR="00046CCB" w:rsidRPr="00046CCB" w:rsidRDefault="00046CCB" w:rsidP="00046CCB">
      <w:pPr>
        <w:pStyle w:val="ListParagraph"/>
        <w:numPr>
          <w:ilvl w:val="0"/>
          <w:numId w:val="1"/>
        </w:numPr>
        <w:spacing w:before="120" w:after="120"/>
        <w:rPr>
          <w:rFonts w:asciiTheme="minorHAnsi" w:hAnsiTheme="minorHAnsi" w:cstheme="minorHAnsi"/>
          <w:u w:val="single"/>
        </w:rPr>
      </w:pPr>
      <w:r>
        <w:rPr>
          <w:rFonts w:asciiTheme="minorHAnsi" w:hAnsiTheme="minorHAnsi" w:cstheme="minorHAnsi"/>
          <w:iCs/>
          <w:szCs w:val="24"/>
        </w:rPr>
        <w:t>The outline clarifies that the Guidelines set out the requirements as referred to in subsection 19-67(2)</w:t>
      </w:r>
      <w:r w:rsidR="00D60AA8">
        <w:rPr>
          <w:rFonts w:asciiTheme="minorHAnsi" w:hAnsiTheme="minorHAnsi" w:cstheme="minorHAnsi"/>
          <w:iCs/>
          <w:szCs w:val="24"/>
        </w:rPr>
        <w:t xml:space="preserve"> of </w:t>
      </w:r>
      <w:r w:rsidR="00E46B03">
        <w:rPr>
          <w:rFonts w:asciiTheme="minorHAnsi" w:hAnsiTheme="minorHAnsi" w:cstheme="minorHAnsi"/>
          <w:iCs/>
          <w:szCs w:val="24"/>
        </w:rPr>
        <w:t>HESA</w:t>
      </w:r>
      <w:r>
        <w:rPr>
          <w:rFonts w:asciiTheme="minorHAnsi" w:hAnsiTheme="minorHAnsi" w:cstheme="minorHAnsi"/>
          <w:iCs/>
          <w:szCs w:val="24"/>
        </w:rPr>
        <w:t xml:space="preserve">. The outline also provides clarity </w:t>
      </w:r>
      <w:r w:rsidR="00E733C0">
        <w:rPr>
          <w:rFonts w:asciiTheme="minorHAnsi" w:hAnsiTheme="minorHAnsi" w:cstheme="minorHAnsi"/>
          <w:iCs/>
          <w:szCs w:val="24"/>
        </w:rPr>
        <w:t>about</w:t>
      </w:r>
      <w:r>
        <w:rPr>
          <w:rFonts w:asciiTheme="minorHAnsi" w:hAnsiTheme="minorHAnsi" w:cstheme="minorHAnsi"/>
          <w:iCs/>
          <w:szCs w:val="24"/>
        </w:rPr>
        <w:t xml:space="preserve"> the structure of the Guidelines, clarifying that requirements relating to information and access to services that are not of an academic nature and that support students are set out in Part 2 of the Guidelines and that requirements relating to the representation and advocacy of the interests of students are set out in Part 3 of the Guidelines. </w:t>
      </w:r>
    </w:p>
    <w:p w14:paraId="0219CA6A" w14:textId="75204855" w:rsidR="00046CCB" w:rsidRPr="00046CCB" w:rsidRDefault="00046CCB" w:rsidP="00046CCB">
      <w:pPr>
        <w:keepNext/>
        <w:spacing w:before="120" w:after="120"/>
        <w:rPr>
          <w:rFonts w:asciiTheme="minorHAnsi" w:hAnsiTheme="minorHAnsi" w:cstheme="minorHAnsi"/>
          <w:b/>
          <w:bCs/>
          <w:u w:val="single"/>
        </w:rPr>
      </w:pPr>
      <w:r w:rsidRPr="00046CCB">
        <w:rPr>
          <w:rFonts w:asciiTheme="minorHAnsi" w:hAnsiTheme="minorHAnsi" w:cstheme="minorHAnsi"/>
          <w:b/>
          <w:bCs/>
          <w:u w:val="single"/>
        </w:rPr>
        <w:lastRenderedPageBreak/>
        <w:t>Part 2 – Requirements for providing students with information about, and access to, services</w:t>
      </w:r>
    </w:p>
    <w:p w14:paraId="7283C8C1" w14:textId="3F305453" w:rsidR="00046CCB" w:rsidRDefault="00046CCB" w:rsidP="00046CCB">
      <w:pPr>
        <w:keepNext/>
        <w:spacing w:before="120" w:after="120"/>
        <w:rPr>
          <w:rFonts w:asciiTheme="minorHAnsi" w:hAnsiTheme="minorHAnsi" w:cstheme="minorHAnsi"/>
          <w:b/>
          <w:bCs/>
        </w:rPr>
      </w:pPr>
      <w:r>
        <w:rPr>
          <w:rFonts w:asciiTheme="minorHAnsi" w:hAnsiTheme="minorHAnsi" w:cstheme="minorHAnsi"/>
          <w:b/>
          <w:bCs/>
          <w:u w:val="single"/>
        </w:rPr>
        <w:t>Section 7: Orientation</w:t>
      </w:r>
    </w:p>
    <w:p w14:paraId="3C1FD675" w14:textId="6E5538A6" w:rsidR="00046CCB" w:rsidRPr="00046CCB" w:rsidRDefault="00046CCB" w:rsidP="00046CCB">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This section provides that higher education provide</w:t>
      </w:r>
      <w:r w:rsidR="00C56B1C">
        <w:rPr>
          <w:rFonts w:asciiTheme="minorHAnsi" w:hAnsiTheme="minorHAnsi" w:cstheme="minorHAnsi"/>
        </w:rPr>
        <w:t>r</w:t>
      </w:r>
      <w:r>
        <w:rPr>
          <w:rFonts w:asciiTheme="minorHAnsi" w:hAnsiTheme="minorHAnsi" w:cstheme="minorHAnsi"/>
        </w:rPr>
        <w:t xml:space="preserve">s must provide an orientation program and orientation information for all students enrolled at the higher education provider. </w:t>
      </w:r>
      <w:r w:rsidR="003611E4">
        <w:rPr>
          <w:rFonts w:asciiTheme="minorHAnsi" w:hAnsiTheme="minorHAnsi" w:cstheme="minorHAnsi"/>
        </w:rPr>
        <w:t xml:space="preserve">The </w:t>
      </w:r>
      <w:r w:rsidR="00427BBA">
        <w:rPr>
          <w:rFonts w:asciiTheme="minorHAnsi" w:hAnsiTheme="minorHAnsi" w:cstheme="minorHAnsi"/>
        </w:rPr>
        <w:t>section</w:t>
      </w:r>
      <w:r>
        <w:rPr>
          <w:rFonts w:asciiTheme="minorHAnsi" w:hAnsiTheme="minorHAnsi" w:cstheme="minorHAnsi"/>
        </w:rPr>
        <w:t xml:space="preserve"> provides that the orientation program and information must be made accessible to all students and must be designed to assist students with transition to study. </w:t>
      </w:r>
    </w:p>
    <w:p w14:paraId="0CAD8FAB" w14:textId="5DE26742" w:rsidR="00046CCB" w:rsidRPr="0016326D" w:rsidRDefault="0016326D" w:rsidP="00046CCB">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 xml:space="preserve">Subsection </w:t>
      </w:r>
      <w:r w:rsidR="003611E4">
        <w:rPr>
          <w:rFonts w:asciiTheme="minorHAnsi" w:hAnsiTheme="minorHAnsi" w:cstheme="minorHAnsi"/>
        </w:rPr>
        <w:t>7</w:t>
      </w:r>
      <w:r>
        <w:rPr>
          <w:rFonts w:asciiTheme="minorHAnsi" w:hAnsiTheme="minorHAnsi" w:cstheme="minorHAnsi"/>
        </w:rPr>
        <w:t xml:space="preserve">(4) provides that as part of the orientation program, students must be provided with information about the student services and amenities fee, the services it enables and how students can access those services. </w:t>
      </w:r>
    </w:p>
    <w:p w14:paraId="0B318CDA" w14:textId="737F81CB" w:rsidR="0016326D" w:rsidRPr="0016326D" w:rsidRDefault="0016326D" w:rsidP="00046CCB">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 xml:space="preserve">The note to the section provides that an orientation program may provide relevant information to students in a number of ways, including in written or oral form, or by electronic means such as through the higher education provider’s website, email, SMS broadcasts or podcasts. </w:t>
      </w:r>
    </w:p>
    <w:p w14:paraId="7DA32D26" w14:textId="7623F436" w:rsidR="0016326D" w:rsidRDefault="0016326D" w:rsidP="0016326D">
      <w:pPr>
        <w:keepNext/>
        <w:spacing w:before="120" w:after="120"/>
        <w:rPr>
          <w:rFonts w:asciiTheme="minorHAnsi" w:hAnsiTheme="minorHAnsi" w:cstheme="minorHAnsi"/>
          <w:b/>
          <w:bCs/>
        </w:rPr>
      </w:pPr>
      <w:r>
        <w:rPr>
          <w:rFonts w:asciiTheme="minorHAnsi" w:hAnsiTheme="minorHAnsi" w:cstheme="minorHAnsi"/>
          <w:b/>
          <w:bCs/>
          <w:u w:val="single"/>
        </w:rPr>
        <w:t>Section 8: Services</w:t>
      </w:r>
    </w:p>
    <w:p w14:paraId="5C5CAFE8" w14:textId="6EBB4AF1" w:rsidR="0016326D" w:rsidRPr="0016326D" w:rsidRDefault="0016326D" w:rsidP="0016326D">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 xml:space="preserve">Subsection 8(1) provides that higher education providers must ensure that all students enrolled are provided with information on how to access health services, welfare services, advocacy services and career services. </w:t>
      </w:r>
    </w:p>
    <w:p w14:paraId="223700E1" w14:textId="2AE36D18" w:rsidR="0016326D" w:rsidRPr="0016326D" w:rsidRDefault="0016326D" w:rsidP="0016326D">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 xml:space="preserve">Subsection 8(2) provides that information may be provided to students about these services in a number of ways. </w:t>
      </w:r>
    </w:p>
    <w:p w14:paraId="1E114B46" w14:textId="46E59399" w:rsidR="0016326D" w:rsidRPr="0016326D" w:rsidRDefault="0016326D" w:rsidP="0016326D">
      <w:pPr>
        <w:pStyle w:val="ListParagraph"/>
        <w:keepNext/>
        <w:numPr>
          <w:ilvl w:val="0"/>
          <w:numId w:val="1"/>
        </w:numPr>
        <w:spacing w:before="120" w:after="120"/>
        <w:rPr>
          <w:rFonts w:asciiTheme="minorHAnsi" w:hAnsiTheme="minorHAnsi" w:cstheme="minorHAnsi"/>
          <w:b/>
          <w:bCs/>
        </w:rPr>
      </w:pPr>
      <w:r>
        <w:rPr>
          <w:rFonts w:asciiTheme="minorHAnsi" w:hAnsiTheme="minorHAnsi" w:cstheme="minorHAnsi"/>
        </w:rPr>
        <w:t xml:space="preserve">Subsections 8(3) and </w:t>
      </w:r>
      <w:r w:rsidR="00BC7404">
        <w:rPr>
          <w:rFonts w:asciiTheme="minorHAnsi" w:hAnsiTheme="minorHAnsi" w:cstheme="minorHAnsi"/>
        </w:rPr>
        <w:t>8</w:t>
      </w:r>
      <w:r>
        <w:rPr>
          <w:rFonts w:asciiTheme="minorHAnsi" w:hAnsiTheme="minorHAnsi" w:cstheme="minorHAnsi"/>
        </w:rPr>
        <w:t xml:space="preserve">(4) provide that a higher education provider must not charge students for referral of services if the higher education provider makes a referral to an external provider, and that the higher education provider must not charge students for access to advocacy services. </w:t>
      </w:r>
    </w:p>
    <w:p w14:paraId="3F796938" w14:textId="609F4209" w:rsidR="0016326D" w:rsidRDefault="0016326D" w:rsidP="0016326D">
      <w:pPr>
        <w:keepNext/>
        <w:spacing w:before="120" w:after="120"/>
        <w:rPr>
          <w:rFonts w:asciiTheme="minorHAnsi" w:hAnsiTheme="minorHAnsi" w:cstheme="minorHAnsi"/>
          <w:b/>
          <w:bCs/>
        </w:rPr>
      </w:pPr>
      <w:r>
        <w:rPr>
          <w:rFonts w:asciiTheme="minorHAnsi" w:hAnsiTheme="minorHAnsi" w:cstheme="minorHAnsi"/>
          <w:b/>
          <w:bCs/>
          <w:u w:val="single"/>
        </w:rPr>
        <w:t>Section 9: Provision of services</w:t>
      </w:r>
    </w:p>
    <w:p w14:paraId="58B54CCD" w14:textId="24023C79" w:rsidR="0016326D" w:rsidRDefault="0016326D" w:rsidP="0016326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9(1) provides that where higher education providers provide health, welfare, advocacy or career services directly to students enrolled at the higher education provider, the higher education provider must engage trained and qualified staff to provide those services. </w:t>
      </w:r>
    </w:p>
    <w:p w14:paraId="04D6C328" w14:textId="76930F5D" w:rsidR="0016326D" w:rsidRDefault="0016326D" w:rsidP="0016326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9(2) provides that where the services are provided by a third party engaged by the higher education provider, the higher education provider must </w:t>
      </w:r>
      <w:r w:rsidR="00E46B03">
        <w:rPr>
          <w:rFonts w:asciiTheme="minorHAnsi" w:hAnsiTheme="minorHAnsi" w:cstheme="minorHAnsi"/>
        </w:rPr>
        <w:lastRenderedPageBreak/>
        <w:t>e</w:t>
      </w:r>
      <w:r>
        <w:rPr>
          <w:rFonts w:asciiTheme="minorHAnsi" w:hAnsiTheme="minorHAnsi" w:cstheme="minorHAnsi"/>
        </w:rPr>
        <w:t xml:space="preserve">nsure that the third party engages trained and qualified staff to provide those services. </w:t>
      </w:r>
    </w:p>
    <w:p w14:paraId="6C807258" w14:textId="2A230FF9" w:rsidR="0016326D" w:rsidRDefault="0016326D" w:rsidP="0016326D">
      <w:pPr>
        <w:keepNext/>
        <w:spacing w:before="120" w:after="120"/>
        <w:rPr>
          <w:rFonts w:asciiTheme="minorHAnsi" w:hAnsiTheme="minorHAnsi" w:cstheme="minorHAnsi"/>
        </w:rPr>
      </w:pPr>
      <w:r>
        <w:rPr>
          <w:rFonts w:asciiTheme="minorHAnsi" w:hAnsiTheme="minorHAnsi" w:cstheme="minorHAnsi"/>
          <w:b/>
          <w:bCs/>
          <w:u w:val="single"/>
        </w:rPr>
        <w:t>Section 10: Advocacy officers</w:t>
      </w:r>
    </w:p>
    <w:p w14:paraId="1E287DE7" w14:textId="53F907E1" w:rsidR="0016326D" w:rsidRDefault="0016326D" w:rsidP="0016326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10(1) provides that higher education providers must ensure that students enrolled at the higher education provider have access to advocacy officers for the provision of advocacy services referred to in paragraph 8(1)(c)</w:t>
      </w:r>
      <w:r w:rsidR="003F76EB">
        <w:rPr>
          <w:rFonts w:asciiTheme="minorHAnsi" w:hAnsiTheme="minorHAnsi" w:cstheme="minorHAnsi"/>
        </w:rPr>
        <w:t xml:space="preserve"> of the Guidelines</w:t>
      </w:r>
      <w:r>
        <w:rPr>
          <w:rFonts w:asciiTheme="minorHAnsi" w:hAnsiTheme="minorHAnsi" w:cstheme="minorHAnsi"/>
        </w:rPr>
        <w:t xml:space="preserve">. </w:t>
      </w:r>
    </w:p>
    <w:p w14:paraId="5AFB8A60" w14:textId="0A8B5858" w:rsidR="0016326D" w:rsidRDefault="0016326D" w:rsidP="0016326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Subsections 10(1) and </w:t>
      </w:r>
      <w:r w:rsidR="009062FD">
        <w:rPr>
          <w:rFonts w:asciiTheme="minorHAnsi" w:hAnsiTheme="minorHAnsi" w:cstheme="minorHAnsi"/>
        </w:rPr>
        <w:t>10</w:t>
      </w:r>
      <w:r>
        <w:rPr>
          <w:rFonts w:asciiTheme="minorHAnsi" w:hAnsiTheme="minorHAnsi" w:cstheme="minorHAnsi"/>
        </w:rPr>
        <w:t xml:space="preserve">(2) provide that advocacy officers must act in the best interests of students, must be independent from the higher education provider’s decision-makers and other staff who administer the higher education provider’s academic and procedural rules and regulations, and must avoid potential or actual conflicts of interest in carrying out their duties. </w:t>
      </w:r>
    </w:p>
    <w:p w14:paraId="29571022" w14:textId="6A01803E" w:rsidR="0016326D" w:rsidRDefault="0016326D" w:rsidP="0016326D">
      <w:pPr>
        <w:keepNext/>
        <w:spacing w:before="120" w:after="120"/>
        <w:rPr>
          <w:rFonts w:asciiTheme="minorHAnsi" w:hAnsiTheme="minorHAnsi" w:cstheme="minorHAnsi"/>
        </w:rPr>
      </w:pPr>
      <w:r>
        <w:rPr>
          <w:rFonts w:asciiTheme="minorHAnsi" w:hAnsiTheme="minorHAnsi" w:cstheme="minorHAnsi"/>
          <w:b/>
          <w:bCs/>
          <w:u w:val="single"/>
        </w:rPr>
        <w:t>Section 11: Reasonable and appropriate level of services</w:t>
      </w:r>
    </w:p>
    <w:p w14:paraId="56A1A8B5" w14:textId="5609CA29" w:rsidR="0016326D" w:rsidRDefault="0016326D" w:rsidP="0016326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11(1) provides that higher education providers must provide students with a reasonable and appropriate level of services that are not of an academic nature and that support students. </w:t>
      </w:r>
    </w:p>
    <w:p w14:paraId="09E5227E" w14:textId="479F723B" w:rsidR="00630E74" w:rsidRDefault="0016326D" w:rsidP="00630E7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w:t>
      </w:r>
      <w:r w:rsidR="00630E74">
        <w:rPr>
          <w:rFonts w:asciiTheme="minorHAnsi" w:hAnsiTheme="minorHAnsi" w:cstheme="minorHAnsi"/>
        </w:rPr>
        <w:t>s</w:t>
      </w:r>
      <w:r>
        <w:rPr>
          <w:rFonts w:asciiTheme="minorHAnsi" w:hAnsiTheme="minorHAnsi" w:cstheme="minorHAnsi"/>
        </w:rPr>
        <w:t xml:space="preserve"> 11(2) </w:t>
      </w:r>
      <w:r w:rsidR="00630E74">
        <w:rPr>
          <w:rFonts w:asciiTheme="minorHAnsi" w:hAnsiTheme="minorHAnsi" w:cstheme="minorHAnsi"/>
        </w:rPr>
        <w:t xml:space="preserve">and </w:t>
      </w:r>
      <w:r w:rsidR="003A2953">
        <w:rPr>
          <w:rFonts w:asciiTheme="minorHAnsi" w:hAnsiTheme="minorHAnsi" w:cstheme="minorHAnsi"/>
        </w:rPr>
        <w:t>11</w:t>
      </w:r>
      <w:r w:rsidR="00630E74">
        <w:rPr>
          <w:rFonts w:asciiTheme="minorHAnsi" w:hAnsiTheme="minorHAnsi" w:cstheme="minorHAnsi"/>
        </w:rPr>
        <w:t>(3)</w:t>
      </w:r>
      <w:r w:rsidR="00C56B1C">
        <w:rPr>
          <w:rFonts w:asciiTheme="minorHAnsi" w:hAnsiTheme="minorHAnsi" w:cstheme="minorHAnsi"/>
        </w:rPr>
        <w:t xml:space="preserve"> </w:t>
      </w:r>
      <w:r>
        <w:rPr>
          <w:rFonts w:asciiTheme="minorHAnsi" w:hAnsiTheme="minorHAnsi" w:cstheme="minorHAnsi"/>
        </w:rPr>
        <w:t xml:space="preserve">provide that higher education providers must consider the varying and different circumstances of students enrolled </w:t>
      </w:r>
      <w:r w:rsidR="00630E74">
        <w:rPr>
          <w:rFonts w:asciiTheme="minorHAnsi" w:hAnsiTheme="minorHAnsi" w:cstheme="minorHAnsi"/>
        </w:rPr>
        <w:t xml:space="preserve">and the composition of the student cohort </w:t>
      </w:r>
      <w:r>
        <w:rPr>
          <w:rFonts w:asciiTheme="minorHAnsi" w:hAnsiTheme="minorHAnsi" w:cstheme="minorHAnsi"/>
        </w:rPr>
        <w:t xml:space="preserve">in determining what would be a reasonable and appropriate level of services. </w:t>
      </w:r>
    </w:p>
    <w:p w14:paraId="5433D7B2" w14:textId="77777777" w:rsidR="00630E74" w:rsidRDefault="00630E74">
      <w:pPr>
        <w:spacing w:after="160" w:line="259" w:lineRule="auto"/>
        <w:rPr>
          <w:rFonts w:asciiTheme="minorHAnsi" w:hAnsiTheme="minorHAnsi" w:cstheme="minorHAnsi"/>
        </w:rPr>
      </w:pPr>
      <w:r>
        <w:rPr>
          <w:rFonts w:asciiTheme="minorHAnsi" w:hAnsiTheme="minorHAnsi" w:cstheme="minorHAnsi"/>
        </w:rPr>
        <w:br w:type="page"/>
      </w:r>
    </w:p>
    <w:p w14:paraId="59AD0F48" w14:textId="5EC2BBB2" w:rsidR="0016326D" w:rsidRDefault="00630E74" w:rsidP="00630E74">
      <w:pPr>
        <w:keepNext/>
        <w:spacing w:before="120" w:after="120"/>
        <w:rPr>
          <w:rFonts w:asciiTheme="minorHAnsi" w:hAnsiTheme="minorHAnsi" w:cstheme="minorHAnsi"/>
          <w:b/>
          <w:bCs/>
          <w:u w:val="single"/>
        </w:rPr>
      </w:pPr>
      <w:r>
        <w:rPr>
          <w:rFonts w:asciiTheme="minorHAnsi" w:hAnsiTheme="minorHAnsi" w:cstheme="minorHAnsi"/>
          <w:b/>
          <w:bCs/>
          <w:u w:val="single"/>
        </w:rPr>
        <w:lastRenderedPageBreak/>
        <w:t xml:space="preserve">Part 3 </w:t>
      </w:r>
      <w:r w:rsidRPr="00046CCB">
        <w:rPr>
          <w:rFonts w:asciiTheme="minorHAnsi" w:hAnsiTheme="minorHAnsi" w:cstheme="minorHAnsi"/>
          <w:b/>
          <w:bCs/>
          <w:u w:val="single"/>
        </w:rPr>
        <w:t>–</w:t>
      </w:r>
      <w:r>
        <w:rPr>
          <w:rFonts w:asciiTheme="minorHAnsi" w:hAnsiTheme="minorHAnsi" w:cstheme="minorHAnsi"/>
          <w:b/>
          <w:bCs/>
          <w:u w:val="single"/>
        </w:rPr>
        <w:t xml:space="preserve"> Requirements relating to the representation and advocacy of the interests of students</w:t>
      </w:r>
    </w:p>
    <w:p w14:paraId="6FA772F4" w14:textId="2026BE5C" w:rsidR="00630E74" w:rsidRDefault="00630E74" w:rsidP="00630E74">
      <w:pPr>
        <w:keepNext/>
        <w:spacing w:before="120" w:after="120"/>
        <w:rPr>
          <w:rFonts w:asciiTheme="minorHAnsi" w:hAnsiTheme="minorHAnsi" w:cstheme="minorHAnsi"/>
        </w:rPr>
      </w:pPr>
      <w:r>
        <w:rPr>
          <w:rFonts w:asciiTheme="minorHAnsi" w:hAnsiTheme="minorHAnsi" w:cstheme="minorHAnsi"/>
          <w:b/>
          <w:bCs/>
          <w:u w:val="single"/>
        </w:rPr>
        <w:t>Section 12: General</w:t>
      </w:r>
    </w:p>
    <w:p w14:paraId="09618BD1" w14:textId="512F0775" w:rsidR="00630E74" w:rsidRDefault="00630E74" w:rsidP="00630E7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This section outlines the general requirements relating to the representation and advocacy of the interests of students. </w:t>
      </w:r>
    </w:p>
    <w:p w14:paraId="143DF836" w14:textId="670B6D14" w:rsidR="00630E74" w:rsidRDefault="00630E74" w:rsidP="00630E7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12(1) provides that higher education providers must support student engagement and representation through the provision of clear consultative arrangements, including with student representatives and major student organisations recognised by the higher education provider where appropriate.</w:t>
      </w:r>
    </w:p>
    <w:p w14:paraId="3C648E6E" w14:textId="6F3331E6" w:rsidR="00630E74" w:rsidRDefault="00630E74" w:rsidP="00630E7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12(2) provides that the requirements in this Part are not intended to preclude student representatives at a higher education provider forming an organisation that represents students. </w:t>
      </w:r>
    </w:p>
    <w:p w14:paraId="1A0E382C" w14:textId="582F86DB" w:rsidR="00630E74" w:rsidRDefault="00630E74" w:rsidP="00630E74">
      <w:pPr>
        <w:keepNext/>
        <w:spacing w:before="120" w:after="120"/>
        <w:rPr>
          <w:rFonts w:asciiTheme="minorHAnsi" w:hAnsiTheme="minorHAnsi" w:cstheme="minorHAnsi"/>
        </w:rPr>
      </w:pPr>
      <w:r>
        <w:rPr>
          <w:rFonts w:asciiTheme="minorHAnsi" w:hAnsiTheme="minorHAnsi" w:cstheme="minorHAnsi"/>
          <w:b/>
          <w:bCs/>
          <w:u w:val="single"/>
        </w:rPr>
        <w:t>Section 13: Process by which students are consulted</w:t>
      </w:r>
    </w:p>
    <w:p w14:paraId="32555C05" w14:textId="670CED43" w:rsidR="00630E74" w:rsidRDefault="00A50AD4" w:rsidP="00630E7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This section provides that higher education providers must establish and maintain a clearly defined and effective process by which students are consulted, and that process must be reviewed and approved annually by the governing body of the higher education provider after being made available to students for comment. </w:t>
      </w:r>
    </w:p>
    <w:p w14:paraId="75F706C4" w14:textId="76A5B0F8" w:rsidR="00A50AD4" w:rsidRDefault="00A50AD4" w:rsidP="00A50AD4">
      <w:pPr>
        <w:keepNext/>
        <w:spacing w:before="120" w:after="120"/>
        <w:rPr>
          <w:rFonts w:asciiTheme="minorHAnsi" w:hAnsiTheme="minorHAnsi" w:cstheme="minorHAnsi"/>
        </w:rPr>
      </w:pPr>
      <w:r>
        <w:rPr>
          <w:rFonts w:asciiTheme="minorHAnsi" w:hAnsiTheme="minorHAnsi" w:cstheme="minorHAnsi"/>
          <w:b/>
          <w:bCs/>
          <w:u w:val="single"/>
        </w:rPr>
        <w:t>Section 14: Consultation about decision making processes</w:t>
      </w:r>
    </w:p>
    <w:p w14:paraId="4D831EB7" w14:textId="0D937EF5" w:rsidR="00A50AD4" w:rsidRDefault="008D3EBD" w:rsidP="00A50AD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14(1) provides that higher education providers must advise students of avenues available for students to be involved in decision making processes, including by publishing details of the consultation mechanisms on their website and in their annual report. </w:t>
      </w:r>
    </w:p>
    <w:p w14:paraId="6E7A46E1" w14:textId="5BB7BBAB" w:rsidR="008D3EBD" w:rsidRDefault="008D3EBD" w:rsidP="00A50AD4">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14(2) provides that these consultation mechanisms must include consultation with democratically elected student representatives. </w:t>
      </w:r>
    </w:p>
    <w:p w14:paraId="32A768F6" w14:textId="3BFB8535" w:rsidR="008D3EBD" w:rsidRDefault="008D3EBD" w:rsidP="008D3EBD">
      <w:pPr>
        <w:keepNext/>
        <w:spacing w:before="120" w:after="120"/>
        <w:rPr>
          <w:rFonts w:asciiTheme="minorHAnsi" w:hAnsiTheme="minorHAnsi" w:cstheme="minorHAnsi"/>
        </w:rPr>
      </w:pPr>
      <w:r>
        <w:rPr>
          <w:rFonts w:asciiTheme="minorHAnsi" w:hAnsiTheme="minorHAnsi" w:cstheme="minorHAnsi"/>
          <w:b/>
          <w:bCs/>
          <w:u w:val="single"/>
        </w:rPr>
        <w:t>Section 15: Consultation about proceeds from compulsory student services and amenities fees</w:t>
      </w:r>
    </w:p>
    <w:p w14:paraId="3B321C18" w14:textId="489F1EA8" w:rsidR="008D3EBD" w:rsidRDefault="008D3EBD" w:rsidP="008D3EB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Section 15 provides that higher education providers must consult with students regarding the specific uses of proceeds from any compulsory student services and amenities fees</w:t>
      </w:r>
      <w:r w:rsidR="00767CE3">
        <w:rPr>
          <w:rFonts w:asciiTheme="minorHAnsi" w:hAnsiTheme="minorHAnsi" w:cstheme="minorHAnsi"/>
        </w:rPr>
        <w:t>, as outlined in section 19</w:t>
      </w:r>
      <w:r>
        <w:rPr>
          <w:rFonts w:asciiTheme="minorHAnsi" w:hAnsiTheme="minorHAnsi" w:cstheme="minorHAnsi"/>
        </w:rPr>
        <w:t xml:space="preserve">. </w:t>
      </w:r>
    </w:p>
    <w:p w14:paraId="6D8E75CC" w14:textId="5015E3F2" w:rsidR="008D3EBD" w:rsidRDefault="008D3EBD" w:rsidP="008D3EBD">
      <w:pPr>
        <w:keepNext/>
        <w:spacing w:before="120" w:after="120"/>
        <w:rPr>
          <w:rFonts w:asciiTheme="minorHAnsi" w:hAnsiTheme="minorHAnsi" w:cstheme="minorHAnsi"/>
        </w:rPr>
      </w:pPr>
      <w:r>
        <w:rPr>
          <w:rFonts w:asciiTheme="minorHAnsi" w:hAnsiTheme="minorHAnsi" w:cstheme="minorHAnsi"/>
          <w:b/>
          <w:bCs/>
          <w:u w:val="single"/>
        </w:rPr>
        <w:t>Section 16: Consultation with student representatives from independent student organisations</w:t>
      </w:r>
    </w:p>
    <w:p w14:paraId="72D691D4" w14:textId="0646DEC4" w:rsidR="008D3EBD" w:rsidRDefault="00072220" w:rsidP="008D3EB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16(1) provides that where a higher education provider recognises independent student organisations that have student representatives that are democratically elected by students, students in relevant elected positions must be </w:t>
      </w:r>
      <w:r>
        <w:rPr>
          <w:rFonts w:asciiTheme="minorHAnsi" w:hAnsiTheme="minorHAnsi" w:cstheme="minorHAnsi"/>
        </w:rPr>
        <w:lastRenderedPageBreak/>
        <w:t xml:space="preserve">invited to participate in the higher education provider’s normal consultative arrangements. </w:t>
      </w:r>
    </w:p>
    <w:p w14:paraId="67DCC5DD" w14:textId="0DB160B4" w:rsidR="00072220" w:rsidRDefault="00072220" w:rsidP="008D3EBD">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Subsection 16(2) provides that students in these positions must also be invited to participate in the consultation process about decision making processes and proceeds from compulsory student services and amenities fees as set out in section</w:t>
      </w:r>
      <w:r w:rsidR="00BE5A83">
        <w:rPr>
          <w:rFonts w:asciiTheme="minorHAnsi" w:hAnsiTheme="minorHAnsi" w:cstheme="minorHAnsi"/>
        </w:rPr>
        <w:t>s</w:t>
      </w:r>
      <w:r>
        <w:rPr>
          <w:rFonts w:asciiTheme="minorHAnsi" w:hAnsiTheme="minorHAnsi" w:cstheme="minorHAnsi"/>
        </w:rPr>
        <w:t xml:space="preserve"> 14 and 15. </w:t>
      </w:r>
    </w:p>
    <w:p w14:paraId="7E4E6774" w14:textId="4FC74D0C" w:rsidR="00072220" w:rsidRDefault="00072220" w:rsidP="00072220">
      <w:pPr>
        <w:keepNext/>
        <w:spacing w:before="120" w:after="120"/>
        <w:rPr>
          <w:rFonts w:asciiTheme="minorHAnsi" w:hAnsiTheme="minorHAnsi" w:cstheme="minorHAnsi"/>
        </w:rPr>
      </w:pPr>
      <w:r>
        <w:rPr>
          <w:rFonts w:asciiTheme="minorHAnsi" w:hAnsiTheme="minorHAnsi" w:cstheme="minorHAnsi"/>
          <w:b/>
          <w:bCs/>
          <w:u w:val="single"/>
        </w:rPr>
        <w:t>Section 17: Consultation with students in democratically elected positions</w:t>
      </w:r>
    </w:p>
    <w:p w14:paraId="6D89F7A1" w14:textId="77777777" w:rsidR="005C3E6E" w:rsidRDefault="005C3E6E"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17(1) provides that where a higher education provider has, in their establishing legislation, provision for democratically elected student representation on governing and related bodies, students in relevant positions must, subject to any contrary intention in the legislation, be invited to participate in the consultation about decision making processes set out in section 14, provided that these students are representative of the composition of students enrolled at the higher education provider. </w:t>
      </w:r>
    </w:p>
    <w:p w14:paraId="60EDDAB7" w14:textId="77777777" w:rsidR="005C3E6E" w:rsidRDefault="005C3E6E"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17(2) provides that students in these positions must, subject to any contrary intention in their establishing legislation, be invited to participate in the consultation process about proceeds from compulsory student services and amenities fees as set out in section 15, provided that their election envisaged this role. </w:t>
      </w:r>
    </w:p>
    <w:p w14:paraId="4CCAE0AB" w14:textId="035D6801" w:rsidR="002B46FF" w:rsidRDefault="002B46FF" w:rsidP="002B46FF">
      <w:pPr>
        <w:keepNext/>
        <w:spacing w:before="120" w:after="120"/>
        <w:rPr>
          <w:rFonts w:asciiTheme="minorHAnsi" w:hAnsiTheme="minorHAnsi" w:cstheme="minorHAnsi"/>
        </w:rPr>
      </w:pPr>
      <w:r>
        <w:rPr>
          <w:rFonts w:asciiTheme="minorHAnsi" w:hAnsiTheme="minorHAnsi" w:cstheme="minorHAnsi"/>
          <w:b/>
          <w:bCs/>
          <w:u w:val="single"/>
        </w:rPr>
        <w:t>Section 18: Provision for student representatives</w:t>
      </w:r>
    </w:p>
    <w:p w14:paraId="316BA3DD" w14:textId="0980863D" w:rsidR="002B46FF" w:rsidRDefault="002B46FF"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18(1) provides that where sections 16 and 17 do not apply to the higher education provider (that is, the higher education provider does not recognise independent student organisations that have student representatives who are democratically elected by students or the higher education provider does not have provision in their establishing legislation for democratically elected student representation on governing and related bodies), the higher education provider must provide for student representatives to be democratically elected for the purposes of meeting the consultation requirements set out in section 14 about consultation about decision making processes. </w:t>
      </w:r>
    </w:p>
    <w:p w14:paraId="22AA929A" w14:textId="54308292" w:rsidR="002B46FF" w:rsidRDefault="002B46FF"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18(1) provides that at least one representative must be elected from the following categories: </w:t>
      </w:r>
    </w:p>
    <w:p w14:paraId="640DFC12" w14:textId="28AB30E6" w:rsidR="002B46FF" w:rsidRDefault="002B46FF" w:rsidP="005C3E6E">
      <w:pPr>
        <w:pStyle w:val="ListParagraph"/>
        <w:keepNext/>
        <w:numPr>
          <w:ilvl w:val="1"/>
          <w:numId w:val="40"/>
        </w:numPr>
        <w:spacing w:before="120" w:after="120"/>
        <w:rPr>
          <w:rFonts w:asciiTheme="minorHAnsi" w:hAnsiTheme="minorHAnsi" w:cstheme="minorHAnsi"/>
        </w:rPr>
      </w:pPr>
      <w:r>
        <w:rPr>
          <w:rFonts w:asciiTheme="minorHAnsi" w:hAnsiTheme="minorHAnsi" w:cstheme="minorHAnsi"/>
        </w:rPr>
        <w:t xml:space="preserve">students enrolled in an undergraduate course of study </w:t>
      </w:r>
    </w:p>
    <w:p w14:paraId="4A7FB39B" w14:textId="156A2EEF" w:rsidR="002B46FF" w:rsidRDefault="002B46FF" w:rsidP="005C3E6E">
      <w:pPr>
        <w:pStyle w:val="ListParagraph"/>
        <w:keepNext/>
        <w:numPr>
          <w:ilvl w:val="1"/>
          <w:numId w:val="40"/>
        </w:numPr>
        <w:spacing w:before="120" w:after="120"/>
        <w:rPr>
          <w:rFonts w:asciiTheme="minorHAnsi" w:hAnsiTheme="minorHAnsi" w:cstheme="minorHAnsi"/>
        </w:rPr>
      </w:pPr>
      <w:r>
        <w:rPr>
          <w:rFonts w:asciiTheme="minorHAnsi" w:hAnsiTheme="minorHAnsi" w:cstheme="minorHAnsi"/>
        </w:rPr>
        <w:t xml:space="preserve">students enrolled in a postgraduate course of study </w:t>
      </w:r>
    </w:p>
    <w:p w14:paraId="25974371" w14:textId="51FC1980" w:rsidR="002B46FF" w:rsidRDefault="002B46FF" w:rsidP="005C3E6E">
      <w:pPr>
        <w:pStyle w:val="ListParagraph"/>
        <w:keepNext/>
        <w:numPr>
          <w:ilvl w:val="1"/>
          <w:numId w:val="40"/>
        </w:numPr>
        <w:spacing w:before="120" w:after="120"/>
        <w:rPr>
          <w:rFonts w:asciiTheme="minorHAnsi" w:hAnsiTheme="minorHAnsi" w:cstheme="minorHAnsi"/>
        </w:rPr>
      </w:pPr>
      <w:r>
        <w:rPr>
          <w:rFonts w:asciiTheme="minorHAnsi" w:hAnsiTheme="minorHAnsi" w:cstheme="minorHAnsi"/>
        </w:rPr>
        <w:t xml:space="preserve">overseas students. </w:t>
      </w:r>
    </w:p>
    <w:p w14:paraId="4F6B376A" w14:textId="3F0901FA" w:rsidR="002B46FF" w:rsidRDefault="002B46FF"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Subsections 18(2) and </w:t>
      </w:r>
      <w:r w:rsidR="001B191C">
        <w:rPr>
          <w:rFonts w:asciiTheme="minorHAnsi" w:hAnsiTheme="minorHAnsi" w:cstheme="minorHAnsi"/>
        </w:rPr>
        <w:t>18</w:t>
      </w:r>
      <w:r>
        <w:rPr>
          <w:rFonts w:asciiTheme="minorHAnsi" w:hAnsiTheme="minorHAnsi" w:cstheme="minorHAnsi"/>
        </w:rPr>
        <w:t xml:space="preserve">(3) provide that in meeting the requirements to provide democratically elected student representation under section 17 or subsection 18(1), a higher education provider must meet the necessary and reasonable costs of conducting democratic, valid and transparent polls and provide adequate and reasonable support, resources and infrastructure for democratically elected student </w:t>
      </w:r>
      <w:r>
        <w:rPr>
          <w:rFonts w:asciiTheme="minorHAnsi" w:hAnsiTheme="minorHAnsi" w:cstheme="minorHAnsi"/>
        </w:rPr>
        <w:lastRenderedPageBreak/>
        <w:t xml:space="preserve">representatives to carry out their functions on behalf of students enrolled at the higher education provider. </w:t>
      </w:r>
    </w:p>
    <w:p w14:paraId="23789BFC" w14:textId="579DAAF6" w:rsidR="00A504A6" w:rsidRDefault="00A504A6"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Note 1 to this section provide</w:t>
      </w:r>
      <w:r w:rsidR="001B191C">
        <w:rPr>
          <w:rFonts w:asciiTheme="minorHAnsi" w:hAnsiTheme="minorHAnsi" w:cstheme="minorHAnsi"/>
        </w:rPr>
        <w:t>s</w:t>
      </w:r>
      <w:r>
        <w:rPr>
          <w:rFonts w:asciiTheme="minorHAnsi" w:hAnsiTheme="minorHAnsi" w:cstheme="minorHAnsi"/>
        </w:rPr>
        <w:t xml:space="preserve"> that nothing in this section is intended to limit a higher education provider using additional mechanisms for student consultation as appropriate or intended to limit a higher education provider from providing support for other student representatives elected as part of the higher education provider’s approved consultation mechanisms. </w:t>
      </w:r>
    </w:p>
    <w:p w14:paraId="27D2D5B2" w14:textId="1A78E85D" w:rsidR="00A504A6" w:rsidRDefault="00A504A6"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Note 2 to this section provides examples of resources and infrastructure that a higher education provider could provide to democratically elected student representatives to carry out their functions. </w:t>
      </w:r>
    </w:p>
    <w:p w14:paraId="2B7705DD" w14:textId="043C2D41" w:rsidR="00A504A6" w:rsidRDefault="00A504A6" w:rsidP="00A504A6">
      <w:pPr>
        <w:keepNext/>
        <w:spacing w:before="120" w:after="120"/>
        <w:rPr>
          <w:rFonts w:asciiTheme="minorHAnsi" w:hAnsiTheme="minorHAnsi" w:cstheme="minorHAnsi"/>
        </w:rPr>
      </w:pPr>
      <w:r>
        <w:rPr>
          <w:rFonts w:asciiTheme="minorHAnsi" w:hAnsiTheme="minorHAnsi" w:cstheme="minorHAnsi"/>
          <w:b/>
          <w:bCs/>
          <w:u w:val="single"/>
        </w:rPr>
        <w:t>Section 19: Use of compulsory student services and amenities fees</w:t>
      </w:r>
    </w:p>
    <w:p w14:paraId="13A0D089" w14:textId="4F0F255F" w:rsidR="00A504A6" w:rsidRDefault="00A504A6"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19(1) provides that </w:t>
      </w:r>
      <w:r w:rsidR="00547E7E">
        <w:rPr>
          <w:rFonts w:asciiTheme="minorHAnsi" w:hAnsiTheme="minorHAnsi" w:cstheme="minorHAnsi"/>
        </w:rPr>
        <w:t xml:space="preserve">higher education providers must establish and maintain a clearly defined and effective process by which students enrolled are consulted on the specific uses of the proceeds from any compulsory student services and amenities fee. Subsection 19(1) also provides that the process must be reviewed and approved annually by the governing body of the higher education provider. </w:t>
      </w:r>
    </w:p>
    <w:p w14:paraId="131999DC" w14:textId="63987B84" w:rsidR="00547E7E" w:rsidRDefault="00547E7E"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19(2) provides that consultation with students must be undertaken through a formal process of engagement with the democratically elected representatives identified in sections 16, 17 or 18. </w:t>
      </w:r>
    </w:p>
    <w:p w14:paraId="6BC7713C" w14:textId="216F3797" w:rsidR="00547E7E" w:rsidRDefault="00547E7E"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19(3) provides that consultation with students must be timely, form part of the higher education provider’s annual financial planning, and must include notifying students enrolled at the higher education provider and democratically elected student representatives of: </w:t>
      </w:r>
    </w:p>
    <w:p w14:paraId="42B458C6" w14:textId="0DF13E4A" w:rsidR="00547E7E" w:rsidRDefault="00547E7E" w:rsidP="005C3E6E">
      <w:pPr>
        <w:pStyle w:val="ListParagraph"/>
        <w:keepNext/>
        <w:numPr>
          <w:ilvl w:val="1"/>
          <w:numId w:val="40"/>
        </w:numPr>
        <w:spacing w:before="120" w:after="120"/>
        <w:rPr>
          <w:rFonts w:asciiTheme="minorHAnsi" w:hAnsiTheme="minorHAnsi" w:cstheme="minorHAnsi"/>
        </w:rPr>
      </w:pPr>
      <w:r>
        <w:rPr>
          <w:rFonts w:asciiTheme="minorHAnsi" w:hAnsiTheme="minorHAnsi" w:cstheme="minorHAnsi"/>
        </w:rPr>
        <w:t>the purpose of the student services and amenities fee</w:t>
      </w:r>
    </w:p>
    <w:p w14:paraId="7AEF438B" w14:textId="4545F0F6" w:rsidR="00547E7E" w:rsidRDefault="00547E7E" w:rsidP="005C3E6E">
      <w:pPr>
        <w:pStyle w:val="ListParagraph"/>
        <w:keepNext/>
        <w:numPr>
          <w:ilvl w:val="1"/>
          <w:numId w:val="40"/>
        </w:numPr>
        <w:spacing w:before="120" w:after="120"/>
        <w:rPr>
          <w:rFonts w:asciiTheme="minorHAnsi" w:hAnsiTheme="minorHAnsi" w:cstheme="minorHAnsi"/>
        </w:rPr>
      </w:pPr>
      <w:r>
        <w:rPr>
          <w:rFonts w:asciiTheme="minorHAnsi" w:hAnsiTheme="minorHAnsi" w:cstheme="minorHAnsi"/>
        </w:rPr>
        <w:t xml:space="preserve">the amount of revenue anticipated </w:t>
      </w:r>
    </w:p>
    <w:p w14:paraId="2739E496" w14:textId="3001D52B" w:rsidR="00547E7E" w:rsidRDefault="00547E7E" w:rsidP="005C3E6E">
      <w:pPr>
        <w:pStyle w:val="ListParagraph"/>
        <w:keepNext/>
        <w:numPr>
          <w:ilvl w:val="1"/>
          <w:numId w:val="40"/>
        </w:numPr>
        <w:spacing w:before="120" w:after="120"/>
        <w:rPr>
          <w:rFonts w:asciiTheme="minorHAnsi" w:hAnsiTheme="minorHAnsi" w:cstheme="minorHAnsi"/>
        </w:rPr>
      </w:pPr>
      <w:r>
        <w:rPr>
          <w:rFonts w:asciiTheme="minorHAnsi" w:hAnsiTheme="minorHAnsi" w:cstheme="minorHAnsi"/>
        </w:rPr>
        <w:t>the mechanisms to establish priorities for expenditure</w:t>
      </w:r>
      <w:r w:rsidR="00CA509C">
        <w:rPr>
          <w:rFonts w:asciiTheme="minorHAnsi" w:hAnsiTheme="minorHAnsi" w:cstheme="minorHAnsi"/>
        </w:rPr>
        <w:t>, and</w:t>
      </w:r>
      <w:r>
        <w:rPr>
          <w:rFonts w:asciiTheme="minorHAnsi" w:hAnsiTheme="minorHAnsi" w:cstheme="minorHAnsi"/>
        </w:rPr>
        <w:t xml:space="preserve"> </w:t>
      </w:r>
    </w:p>
    <w:p w14:paraId="0405EC7A" w14:textId="3FF9220C" w:rsidR="00547E7E" w:rsidRDefault="00547E7E" w:rsidP="005C3E6E">
      <w:pPr>
        <w:pStyle w:val="ListParagraph"/>
        <w:keepNext/>
        <w:numPr>
          <w:ilvl w:val="1"/>
          <w:numId w:val="40"/>
        </w:numPr>
        <w:spacing w:before="120" w:after="120"/>
        <w:rPr>
          <w:rFonts w:asciiTheme="minorHAnsi" w:hAnsiTheme="minorHAnsi" w:cstheme="minorHAnsi"/>
        </w:rPr>
      </w:pPr>
      <w:r>
        <w:rPr>
          <w:rFonts w:asciiTheme="minorHAnsi" w:hAnsiTheme="minorHAnsi" w:cstheme="minorHAnsi"/>
        </w:rPr>
        <w:t xml:space="preserve">the timing and mechanism available to comment on the proposed priorities. </w:t>
      </w:r>
    </w:p>
    <w:p w14:paraId="539BED8A" w14:textId="5814F97B" w:rsidR="00547E7E" w:rsidRDefault="00547E7E"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19(4) provides that once consultation has been undertaken, and the higher education provider has determined through consultation how the revenue will be spent, information on the established priorities, proposed heads of expenditure and projects to be funded must be made publicly available to students. </w:t>
      </w:r>
    </w:p>
    <w:p w14:paraId="2E249880" w14:textId="77777777" w:rsidR="005C3E6E" w:rsidRPr="00A504A6" w:rsidRDefault="005C3E6E" w:rsidP="005C3E6E">
      <w:pPr>
        <w:pStyle w:val="ListParagraph"/>
        <w:keepNext/>
        <w:numPr>
          <w:ilvl w:val="0"/>
          <w:numId w:val="1"/>
        </w:numPr>
        <w:spacing w:before="120" w:after="120"/>
        <w:rPr>
          <w:rFonts w:asciiTheme="minorHAnsi" w:hAnsiTheme="minorHAnsi" w:cstheme="minorHAnsi"/>
        </w:rPr>
      </w:pPr>
      <w:r>
        <w:rPr>
          <w:rFonts w:asciiTheme="minorHAnsi" w:hAnsiTheme="minorHAnsi" w:cstheme="minorHAnsi"/>
        </w:rPr>
        <w:t xml:space="preserve">Subsection 19(5) provides that higher education providers must provide a publicly available report on </w:t>
      </w:r>
      <w:r w:rsidRPr="00506CE6">
        <w:rPr>
          <w:rFonts w:asciiTheme="minorHAnsi" w:hAnsiTheme="minorHAnsi" w:cstheme="minorHAnsi"/>
        </w:rPr>
        <w:t xml:space="preserve">student services and amenities fee allocations and actual expenditure </w:t>
      </w:r>
      <w:r>
        <w:rPr>
          <w:rFonts w:asciiTheme="minorHAnsi" w:hAnsiTheme="minorHAnsi" w:cstheme="minorHAnsi"/>
        </w:rPr>
        <w:t>for the year as part of their annual report and in the form approved by the Minister.</w:t>
      </w:r>
    </w:p>
    <w:p w14:paraId="37B3D653" w14:textId="77777777" w:rsidR="005C3E6E" w:rsidRDefault="005C3E6E" w:rsidP="005C3E6E">
      <w:pPr>
        <w:pStyle w:val="ListParagraph"/>
        <w:keepNext/>
        <w:spacing w:before="120" w:after="120"/>
        <w:rPr>
          <w:rFonts w:asciiTheme="minorHAnsi" w:hAnsiTheme="minorHAnsi" w:cstheme="minorHAnsi"/>
        </w:rPr>
      </w:pPr>
    </w:p>
    <w:sectPr w:rsidR="005C3E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417D0" w14:textId="77777777" w:rsidR="009E4745" w:rsidRDefault="009E4745" w:rsidP="00783FAB">
      <w:pPr>
        <w:spacing w:after="0" w:line="240" w:lineRule="auto"/>
      </w:pPr>
      <w:r>
        <w:separator/>
      </w:r>
    </w:p>
  </w:endnote>
  <w:endnote w:type="continuationSeparator" w:id="0">
    <w:p w14:paraId="5DE66253" w14:textId="77777777" w:rsidR="009E4745" w:rsidRDefault="009E4745" w:rsidP="00783FAB">
      <w:pPr>
        <w:spacing w:after="0" w:line="240" w:lineRule="auto"/>
      </w:pPr>
      <w:r>
        <w:continuationSeparator/>
      </w:r>
    </w:p>
  </w:endnote>
  <w:endnote w:type="continuationNotice" w:id="1">
    <w:p w14:paraId="25E21181" w14:textId="77777777" w:rsidR="009E4745" w:rsidRDefault="009E4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A32D" w14:textId="77777777" w:rsidR="004232A9" w:rsidRDefault="0042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rFonts w:asciiTheme="minorHAnsi" w:hAnsiTheme="minorHAnsi" w:cstheme="minorHAnsi"/>
        <w:noProof/>
      </w:rPr>
    </w:sdtEndPr>
    <w:sdtContent>
      <w:p w14:paraId="32969EF8" w14:textId="7EAA209F" w:rsidR="008134D5" w:rsidRDefault="008134D5">
        <w:pPr>
          <w:pStyle w:val="Footer"/>
          <w:jc w:val="center"/>
        </w:pPr>
        <w:r w:rsidRPr="004D1250">
          <w:rPr>
            <w:rFonts w:asciiTheme="minorHAnsi" w:hAnsiTheme="minorHAnsi" w:cstheme="minorHAnsi"/>
          </w:rPr>
          <w:fldChar w:fldCharType="begin"/>
        </w:r>
        <w:r w:rsidRPr="004D1250">
          <w:rPr>
            <w:rFonts w:asciiTheme="minorHAnsi" w:hAnsiTheme="minorHAnsi" w:cstheme="minorHAnsi"/>
          </w:rPr>
          <w:instrText xml:space="preserve"> PAGE   \* MERGEFORMAT </w:instrText>
        </w:r>
        <w:r w:rsidRPr="004D1250">
          <w:rPr>
            <w:rFonts w:asciiTheme="minorHAnsi" w:hAnsiTheme="minorHAnsi" w:cstheme="minorHAnsi"/>
          </w:rPr>
          <w:fldChar w:fldCharType="separate"/>
        </w:r>
        <w:r w:rsidR="00B74160" w:rsidRPr="00C65E2D">
          <w:rPr>
            <w:rFonts w:asciiTheme="minorHAnsi" w:hAnsiTheme="minorHAnsi" w:cstheme="minorHAnsi"/>
            <w:noProof/>
          </w:rPr>
          <w:t>1</w:t>
        </w:r>
        <w:r w:rsidRPr="004D1250">
          <w:rPr>
            <w:rFonts w:asciiTheme="minorHAnsi" w:hAnsiTheme="minorHAnsi" w:cstheme="minorHAnsi"/>
            <w:noProof/>
          </w:rPr>
          <w:fldChar w:fldCharType="end"/>
        </w:r>
      </w:p>
    </w:sdtContent>
  </w:sdt>
  <w:p w14:paraId="575D5E8B"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923D0" w14:textId="77777777" w:rsidR="004232A9" w:rsidRDefault="00423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D226B" w14:textId="77777777" w:rsidR="009E4745" w:rsidRDefault="009E4745" w:rsidP="00783FAB">
      <w:pPr>
        <w:spacing w:after="0" w:line="240" w:lineRule="auto"/>
      </w:pPr>
      <w:r>
        <w:separator/>
      </w:r>
    </w:p>
  </w:footnote>
  <w:footnote w:type="continuationSeparator" w:id="0">
    <w:p w14:paraId="6B104332" w14:textId="77777777" w:rsidR="009E4745" w:rsidRDefault="009E4745" w:rsidP="00783FAB">
      <w:pPr>
        <w:spacing w:after="0" w:line="240" w:lineRule="auto"/>
      </w:pPr>
      <w:r>
        <w:continuationSeparator/>
      </w:r>
    </w:p>
  </w:footnote>
  <w:footnote w:type="continuationNotice" w:id="1">
    <w:p w14:paraId="0A038E55" w14:textId="77777777" w:rsidR="009E4745" w:rsidRDefault="009E4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44E39" w14:textId="77777777" w:rsidR="004232A9" w:rsidRDefault="00423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9CB9" w14:textId="77777777" w:rsidR="004232A9" w:rsidRDefault="00423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C214E" w14:textId="77777777" w:rsidR="004232A9" w:rsidRDefault="0042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4D5"/>
    <w:multiLevelType w:val="hybridMultilevel"/>
    <w:tmpl w:val="0B0E9A0E"/>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6C373A"/>
    <w:multiLevelType w:val="hybridMultilevel"/>
    <w:tmpl w:val="5D28592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65DEF"/>
    <w:multiLevelType w:val="hybridMultilevel"/>
    <w:tmpl w:val="1264F6D6"/>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220C0F"/>
    <w:multiLevelType w:val="hybridMultilevel"/>
    <w:tmpl w:val="00C856E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754F1E"/>
    <w:multiLevelType w:val="hybridMultilevel"/>
    <w:tmpl w:val="0AB03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B56F29"/>
    <w:multiLevelType w:val="hybridMultilevel"/>
    <w:tmpl w:val="34BEC31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670DC8"/>
    <w:multiLevelType w:val="hybridMultilevel"/>
    <w:tmpl w:val="18387BDE"/>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A01152"/>
    <w:multiLevelType w:val="hybridMultilevel"/>
    <w:tmpl w:val="E8A48F6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A143A7"/>
    <w:multiLevelType w:val="hybridMultilevel"/>
    <w:tmpl w:val="020284B6"/>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BE23D2"/>
    <w:multiLevelType w:val="hybridMultilevel"/>
    <w:tmpl w:val="B38C6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139A4"/>
    <w:multiLevelType w:val="hybridMultilevel"/>
    <w:tmpl w:val="314CA5E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FF2B2D"/>
    <w:multiLevelType w:val="hybridMultilevel"/>
    <w:tmpl w:val="D4507DD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992D66"/>
    <w:multiLevelType w:val="hybridMultilevel"/>
    <w:tmpl w:val="779AECA4"/>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D83A32"/>
    <w:multiLevelType w:val="hybridMultilevel"/>
    <w:tmpl w:val="9E444180"/>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B93E56"/>
    <w:multiLevelType w:val="hybridMultilevel"/>
    <w:tmpl w:val="5772369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935184"/>
    <w:multiLevelType w:val="hybridMultilevel"/>
    <w:tmpl w:val="1940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CB6B82"/>
    <w:multiLevelType w:val="hybridMultilevel"/>
    <w:tmpl w:val="36E68E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19F4236"/>
    <w:multiLevelType w:val="hybridMultilevel"/>
    <w:tmpl w:val="9572A9D8"/>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556C8C"/>
    <w:multiLevelType w:val="hybridMultilevel"/>
    <w:tmpl w:val="1A8CF05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211FA1"/>
    <w:multiLevelType w:val="hybridMultilevel"/>
    <w:tmpl w:val="D20007D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100FD4"/>
    <w:multiLevelType w:val="hybridMultilevel"/>
    <w:tmpl w:val="B1268EA8"/>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665A4C"/>
    <w:multiLevelType w:val="hybridMultilevel"/>
    <w:tmpl w:val="D166D4C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61603D"/>
    <w:multiLevelType w:val="hybridMultilevel"/>
    <w:tmpl w:val="63C043C4"/>
    <w:lvl w:ilvl="0" w:tplc="A0D81824">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104FCE"/>
    <w:multiLevelType w:val="hybridMultilevel"/>
    <w:tmpl w:val="8E2CA6EA"/>
    <w:lvl w:ilvl="0" w:tplc="468A8BC6">
      <w:start w:val="1"/>
      <w:numFmt w:val="decimal"/>
      <w:pStyle w:val="MBPoint"/>
      <w:lvlText w:val="%1."/>
      <w:lvlJc w:val="left"/>
      <w:pPr>
        <w:ind w:left="-207" w:hanging="360"/>
      </w:pPr>
      <w:rPr>
        <w:rFonts w:hint="default"/>
      </w:rPr>
    </w:lvl>
    <w:lvl w:ilvl="1" w:tplc="C688D224">
      <w:start w:val="1"/>
      <w:numFmt w:val="lowerLetter"/>
      <w:pStyle w:val="MBPointSub"/>
      <w:lvlText w:val="%2."/>
      <w:lvlJc w:val="left"/>
      <w:pPr>
        <w:ind w:left="513" w:hanging="360"/>
      </w:pPr>
    </w:lvl>
    <w:lvl w:ilvl="2" w:tplc="0C090003">
      <w:start w:val="1"/>
      <w:numFmt w:val="bullet"/>
      <w:lvlText w:val="o"/>
      <w:lvlJc w:val="left"/>
      <w:pPr>
        <w:ind w:left="1233" w:hanging="180"/>
      </w:pPr>
      <w:rPr>
        <w:rFonts w:ascii="Courier New" w:hAnsi="Courier New" w:cs="Courier New" w:hint="default"/>
      </w:rPr>
    </w:lvl>
    <w:lvl w:ilvl="3" w:tplc="1D468B6A" w:tentative="1">
      <w:start w:val="1"/>
      <w:numFmt w:val="decimal"/>
      <w:lvlText w:val="%4."/>
      <w:lvlJc w:val="left"/>
      <w:pPr>
        <w:ind w:left="1953" w:hanging="360"/>
      </w:pPr>
    </w:lvl>
    <w:lvl w:ilvl="4" w:tplc="094E4C76" w:tentative="1">
      <w:start w:val="1"/>
      <w:numFmt w:val="lowerLetter"/>
      <w:lvlText w:val="%5."/>
      <w:lvlJc w:val="left"/>
      <w:pPr>
        <w:ind w:left="2673" w:hanging="360"/>
      </w:pPr>
    </w:lvl>
    <w:lvl w:ilvl="5" w:tplc="C108CA3E" w:tentative="1">
      <w:start w:val="1"/>
      <w:numFmt w:val="lowerRoman"/>
      <w:lvlText w:val="%6."/>
      <w:lvlJc w:val="right"/>
      <w:pPr>
        <w:ind w:left="3393" w:hanging="180"/>
      </w:pPr>
    </w:lvl>
    <w:lvl w:ilvl="6" w:tplc="3282EC68" w:tentative="1">
      <w:start w:val="1"/>
      <w:numFmt w:val="decimal"/>
      <w:lvlText w:val="%7."/>
      <w:lvlJc w:val="left"/>
      <w:pPr>
        <w:ind w:left="4113" w:hanging="360"/>
      </w:pPr>
    </w:lvl>
    <w:lvl w:ilvl="7" w:tplc="121630C6" w:tentative="1">
      <w:start w:val="1"/>
      <w:numFmt w:val="lowerLetter"/>
      <w:lvlText w:val="%8."/>
      <w:lvlJc w:val="left"/>
      <w:pPr>
        <w:ind w:left="4833" w:hanging="360"/>
      </w:pPr>
    </w:lvl>
    <w:lvl w:ilvl="8" w:tplc="7CB21D2E" w:tentative="1">
      <w:start w:val="1"/>
      <w:numFmt w:val="lowerRoman"/>
      <w:lvlText w:val="%9."/>
      <w:lvlJc w:val="right"/>
      <w:pPr>
        <w:ind w:left="5553" w:hanging="180"/>
      </w:pPr>
    </w:lvl>
  </w:abstractNum>
  <w:abstractNum w:abstractNumId="25" w15:restartNumberingAfterBreak="0">
    <w:nsid w:val="5CF621E2"/>
    <w:multiLevelType w:val="hybridMultilevel"/>
    <w:tmpl w:val="9E444180"/>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DA7261"/>
    <w:multiLevelType w:val="hybridMultilevel"/>
    <w:tmpl w:val="3DFA1508"/>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4F736F"/>
    <w:multiLevelType w:val="hybridMultilevel"/>
    <w:tmpl w:val="00C856E2"/>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6124AE"/>
    <w:multiLevelType w:val="hybridMultilevel"/>
    <w:tmpl w:val="93D4BC0A"/>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3129DB"/>
    <w:multiLevelType w:val="hybridMultilevel"/>
    <w:tmpl w:val="17346DA4"/>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8014BF"/>
    <w:multiLevelType w:val="hybridMultilevel"/>
    <w:tmpl w:val="95DCC78C"/>
    <w:lvl w:ilvl="0" w:tplc="9C46C8D2">
      <w:start w:val="23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BE1849"/>
    <w:multiLevelType w:val="hybridMultilevel"/>
    <w:tmpl w:val="B59A4916"/>
    <w:lvl w:ilvl="0" w:tplc="B156C2D2">
      <w:start w:val="1"/>
      <w:numFmt w:val="decimal"/>
      <w:suff w:val="space"/>
      <w:lvlText w:val="%1."/>
      <w:lvlJc w:val="left"/>
      <w:pPr>
        <w:ind w:left="720" w:hanging="360"/>
      </w:pPr>
      <w:rPr>
        <w:rFonts w:hint="default"/>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436540"/>
    <w:multiLevelType w:val="hybridMultilevel"/>
    <w:tmpl w:val="A9468540"/>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92008522">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614A98"/>
    <w:multiLevelType w:val="hybridMultilevel"/>
    <w:tmpl w:val="020284B6"/>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EF210E"/>
    <w:multiLevelType w:val="hybridMultilevel"/>
    <w:tmpl w:val="B80A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5C4F57"/>
    <w:multiLevelType w:val="hybridMultilevel"/>
    <w:tmpl w:val="4D7ABD0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2E41C6"/>
    <w:multiLevelType w:val="hybridMultilevel"/>
    <w:tmpl w:val="A838DE8C"/>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A35B74"/>
    <w:multiLevelType w:val="hybridMultilevel"/>
    <w:tmpl w:val="941A270E"/>
    <w:lvl w:ilvl="0" w:tplc="A5FA0E40">
      <w:start w:val="1"/>
      <w:numFmt w:val="decimal"/>
      <w:suff w:val="space"/>
      <w:lvlText w:val="%1."/>
      <w:lvlJc w:val="left"/>
      <w:pPr>
        <w:ind w:left="720" w:hanging="360"/>
      </w:pPr>
      <w:rPr>
        <w:rFonts w:hint="default"/>
        <w:b w:val="0"/>
        <w:bCs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1158F9"/>
    <w:multiLevelType w:val="hybridMultilevel"/>
    <w:tmpl w:val="4D44AF3A"/>
    <w:lvl w:ilvl="0" w:tplc="DD522E8E">
      <w:numFmt w:val="bullet"/>
      <w:lvlText w:val=""/>
      <w:lvlJc w:val="left"/>
      <w:pPr>
        <w:ind w:left="1080" w:hanging="72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7"/>
  </w:num>
  <w:num w:numId="4">
    <w:abstractNumId w:val="24"/>
  </w:num>
  <w:num w:numId="5">
    <w:abstractNumId w:val="4"/>
  </w:num>
  <w:num w:numId="6">
    <w:abstractNumId w:val="34"/>
  </w:num>
  <w:num w:numId="7">
    <w:abstractNumId w:val="17"/>
  </w:num>
  <w:num w:numId="8">
    <w:abstractNumId w:val="31"/>
  </w:num>
  <w:num w:numId="9">
    <w:abstractNumId w:val="11"/>
  </w:num>
  <w:num w:numId="10">
    <w:abstractNumId w:val="27"/>
  </w:num>
  <w:num w:numId="11">
    <w:abstractNumId w:val="3"/>
  </w:num>
  <w:num w:numId="12">
    <w:abstractNumId w:val="19"/>
  </w:num>
  <w:num w:numId="13">
    <w:abstractNumId w:val="18"/>
  </w:num>
  <w:num w:numId="14">
    <w:abstractNumId w:val="25"/>
  </w:num>
  <w:num w:numId="15">
    <w:abstractNumId w:val="14"/>
  </w:num>
  <w:num w:numId="16">
    <w:abstractNumId w:val="21"/>
  </w:num>
  <w:num w:numId="17">
    <w:abstractNumId w:val="37"/>
  </w:num>
  <w:num w:numId="18">
    <w:abstractNumId w:val="22"/>
  </w:num>
  <w:num w:numId="19">
    <w:abstractNumId w:val="8"/>
  </w:num>
  <w:num w:numId="20">
    <w:abstractNumId w:val="2"/>
  </w:num>
  <w:num w:numId="21">
    <w:abstractNumId w:val="13"/>
  </w:num>
  <w:num w:numId="22">
    <w:abstractNumId w:val="28"/>
  </w:num>
  <w:num w:numId="23">
    <w:abstractNumId w:val="36"/>
  </w:num>
  <w:num w:numId="24">
    <w:abstractNumId w:val="5"/>
  </w:num>
  <w:num w:numId="25">
    <w:abstractNumId w:val="33"/>
  </w:num>
  <w:num w:numId="26">
    <w:abstractNumId w:val="9"/>
  </w:num>
  <w:num w:numId="27">
    <w:abstractNumId w:val="20"/>
  </w:num>
  <w:num w:numId="28">
    <w:abstractNumId w:val="35"/>
  </w:num>
  <w:num w:numId="29">
    <w:abstractNumId w:val="15"/>
  </w:num>
  <w:num w:numId="30">
    <w:abstractNumId w:val="1"/>
  </w:num>
  <w:num w:numId="31">
    <w:abstractNumId w:val="0"/>
  </w:num>
  <w:num w:numId="32">
    <w:abstractNumId w:val="16"/>
  </w:num>
  <w:num w:numId="33">
    <w:abstractNumId w:val="10"/>
  </w:num>
  <w:num w:numId="34">
    <w:abstractNumId w:val="29"/>
  </w:num>
  <w:num w:numId="35">
    <w:abstractNumId w:val="26"/>
  </w:num>
  <w:num w:numId="36">
    <w:abstractNumId w:val="12"/>
  </w:num>
  <w:num w:numId="37">
    <w:abstractNumId w:val="23"/>
  </w:num>
  <w:num w:numId="38">
    <w:abstractNumId w:val="30"/>
  </w:num>
  <w:num w:numId="39">
    <w:abstractNumId w:val="38"/>
  </w:num>
  <w:num w:numId="40">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19A"/>
    <w:rsid w:val="00011E4D"/>
    <w:rsid w:val="00012E68"/>
    <w:rsid w:val="000138CF"/>
    <w:rsid w:val="000140D5"/>
    <w:rsid w:val="000146FA"/>
    <w:rsid w:val="000147C2"/>
    <w:rsid w:val="0001554B"/>
    <w:rsid w:val="00016AFF"/>
    <w:rsid w:val="00017F54"/>
    <w:rsid w:val="00023790"/>
    <w:rsid w:val="000305EA"/>
    <w:rsid w:val="00031E3C"/>
    <w:rsid w:val="00032CB3"/>
    <w:rsid w:val="000336FE"/>
    <w:rsid w:val="00033705"/>
    <w:rsid w:val="0003641C"/>
    <w:rsid w:val="00036FAE"/>
    <w:rsid w:val="00042A50"/>
    <w:rsid w:val="00044508"/>
    <w:rsid w:val="00046C9B"/>
    <w:rsid w:val="00046CCB"/>
    <w:rsid w:val="0004731F"/>
    <w:rsid w:val="00047668"/>
    <w:rsid w:val="00047931"/>
    <w:rsid w:val="00047A2A"/>
    <w:rsid w:val="0005020B"/>
    <w:rsid w:val="0005161B"/>
    <w:rsid w:val="00052E95"/>
    <w:rsid w:val="00053E67"/>
    <w:rsid w:val="00057815"/>
    <w:rsid w:val="00057A1E"/>
    <w:rsid w:val="000614A1"/>
    <w:rsid w:val="00061B39"/>
    <w:rsid w:val="00062794"/>
    <w:rsid w:val="00063367"/>
    <w:rsid w:val="0006484E"/>
    <w:rsid w:val="000668B0"/>
    <w:rsid w:val="00072220"/>
    <w:rsid w:val="00073E42"/>
    <w:rsid w:val="000743B9"/>
    <w:rsid w:val="00076D31"/>
    <w:rsid w:val="00076E76"/>
    <w:rsid w:val="00083F41"/>
    <w:rsid w:val="000846B7"/>
    <w:rsid w:val="00090B57"/>
    <w:rsid w:val="00092395"/>
    <w:rsid w:val="00095DEC"/>
    <w:rsid w:val="000965BC"/>
    <w:rsid w:val="000A1EB0"/>
    <w:rsid w:val="000A2A28"/>
    <w:rsid w:val="000A2D3A"/>
    <w:rsid w:val="000A30F0"/>
    <w:rsid w:val="000A3124"/>
    <w:rsid w:val="000A35D6"/>
    <w:rsid w:val="000B1BE1"/>
    <w:rsid w:val="000B2E9A"/>
    <w:rsid w:val="000B3817"/>
    <w:rsid w:val="000B3914"/>
    <w:rsid w:val="000B5282"/>
    <w:rsid w:val="000B5489"/>
    <w:rsid w:val="000B6430"/>
    <w:rsid w:val="000B68E3"/>
    <w:rsid w:val="000C224C"/>
    <w:rsid w:val="000C34FD"/>
    <w:rsid w:val="000C41EA"/>
    <w:rsid w:val="000C45D7"/>
    <w:rsid w:val="000C4D6B"/>
    <w:rsid w:val="000C6B29"/>
    <w:rsid w:val="000D0BB2"/>
    <w:rsid w:val="000D1472"/>
    <w:rsid w:val="000D5E6D"/>
    <w:rsid w:val="000E0E4A"/>
    <w:rsid w:val="000E3516"/>
    <w:rsid w:val="000E4F3E"/>
    <w:rsid w:val="000E4FB4"/>
    <w:rsid w:val="000E57DB"/>
    <w:rsid w:val="000E6FD6"/>
    <w:rsid w:val="000E774D"/>
    <w:rsid w:val="000F1811"/>
    <w:rsid w:val="000F3681"/>
    <w:rsid w:val="000F7A8C"/>
    <w:rsid w:val="00101951"/>
    <w:rsid w:val="00103015"/>
    <w:rsid w:val="00103253"/>
    <w:rsid w:val="001042BA"/>
    <w:rsid w:val="00106B3A"/>
    <w:rsid w:val="00112636"/>
    <w:rsid w:val="00117FD5"/>
    <w:rsid w:val="0012062D"/>
    <w:rsid w:val="00120A34"/>
    <w:rsid w:val="001214D9"/>
    <w:rsid w:val="001222F0"/>
    <w:rsid w:val="00124260"/>
    <w:rsid w:val="00125A8E"/>
    <w:rsid w:val="001279DF"/>
    <w:rsid w:val="00127AC0"/>
    <w:rsid w:val="00127CD8"/>
    <w:rsid w:val="001301AD"/>
    <w:rsid w:val="001334D9"/>
    <w:rsid w:val="00135027"/>
    <w:rsid w:val="001377D9"/>
    <w:rsid w:val="00137ACD"/>
    <w:rsid w:val="00140DAD"/>
    <w:rsid w:val="00140E3D"/>
    <w:rsid w:val="001421FE"/>
    <w:rsid w:val="001433A3"/>
    <w:rsid w:val="001437EA"/>
    <w:rsid w:val="00144219"/>
    <w:rsid w:val="00144950"/>
    <w:rsid w:val="00144E95"/>
    <w:rsid w:val="00145BE1"/>
    <w:rsid w:val="00151CD2"/>
    <w:rsid w:val="0015276C"/>
    <w:rsid w:val="00152947"/>
    <w:rsid w:val="0015375F"/>
    <w:rsid w:val="00154056"/>
    <w:rsid w:val="0015508C"/>
    <w:rsid w:val="00156D9E"/>
    <w:rsid w:val="00160153"/>
    <w:rsid w:val="00161A1F"/>
    <w:rsid w:val="00163189"/>
    <w:rsid w:val="0016326D"/>
    <w:rsid w:val="001656A8"/>
    <w:rsid w:val="0017006A"/>
    <w:rsid w:val="00171F2F"/>
    <w:rsid w:val="00172AA1"/>
    <w:rsid w:val="00173A64"/>
    <w:rsid w:val="00173E0C"/>
    <w:rsid w:val="0017429D"/>
    <w:rsid w:val="00176E29"/>
    <w:rsid w:val="00185491"/>
    <w:rsid w:val="00193B41"/>
    <w:rsid w:val="00194459"/>
    <w:rsid w:val="00195030"/>
    <w:rsid w:val="00197C3F"/>
    <w:rsid w:val="001A1123"/>
    <w:rsid w:val="001A11ED"/>
    <w:rsid w:val="001A24C6"/>
    <w:rsid w:val="001A26C4"/>
    <w:rsid w:val="001A2FE9"/>
    <w:rsid w:val="001A4389"/>
    <w:rsid w:val="001A56D6"/>
    <w:rsid w:val="001A7FED"/>
    <w:rsid w:val="001B191C"/>
    <w:rsid w:val="001B3C7A"/>
    <w:rsid w:val="001B47EB"/>
    <w:rsid w:val="001B4F0B"/>
    <w:rsid w:val="001B5731"/>
    <w:rsid w:val="001C1107"/>
    <w:rsid w:val="001C49FD"/>
    <w:rsid w:val="001C5149"/>
    <w:rsid w:val="001C6174"/>
    <w:rsid w:val="001C7EFD"/>
    <w:rsid w:val="001D00E3"/>
    <w:rsid w:val="001D0AF3"/>
    <w:rsid w:val="001D1D8A"/>
    <w:rsid w:val="001D33A1"/>
    <w:rsid w:val="001D367B"/>
    <w:rsid w:val="001D36EE"/>
    <w:rsid w:val="001E07CE"/>
    <w:rsid w:val="001E52EB"/>
    <w:rsid w:val="001E5A0B"/>
    <w:rsid w:val="001F127D"/>
    <w:rsid w:val="001F3626"/>
    <w:rsid w:val="001F7336"/>
    <w:rsid w:val="00200358"/>
    <w:rsid w:val="002005CD"/>
    <w:rsid w:val="00201F75"/>
    <w:rsid w:val="00202EC1"/>
    <w:rsid w:val="00204283"/>
    <w:rsid w:val="00204EEF"/>
    <w:rsid w:val="00205A3C"/>
    <w:rsid w:val="00205DBD"/>
    <w:rsid w:val="00207192"/>
    <w:rsid w:val="00207297"/>
    <w:rsid w:val="0021337D"/>
    <w:rsid w:val="0021392C"/>
    <w:rsid w:val="00213BF3"/>
    <w:rsid w:val="00216A1C"/>
    <w:rsid w:val="002178EA"/>
    <w:rsid w:val="00223F82"/>
    <w:rsid w:val="00224C52"/>
    <w:rsid w:val="00226C55"/>
    <w:rsid w:val="00232304"/>
    <w:rsid w:val="002378EE"/>
    <w:rsid w:val="00237EDA"/>
    <w:rsid w:val="00240B63"/>
    <w:rsid w:val="002445E3"/>
    <w:rsid w:val="002446D0"/>
    <w:rsid w:val="002454EC"/>
    <w:rsid w:val="00247EBF"/>
    <w:rsid w:val="00257772"/>
    <w:rsid w:val="00261499"/>
    <w:rsid w:val="002625FA"/>
    <w:rsid w:val="002672A4"/>
    <w:rsid w:val="00271455"/>
    <w:rsid w:val="002722A1"/>
    <w:rsid w:val="00273B56"/>
    <w:rsid w:val="002747E8"/>
    <w:rsid w:val="00274EEA"/>
    <w:rsid w:val="00276262"/>
    <w:rsid w:val="0027686D"/>
    <w:rsid w:val="002808A9"/>
    <w:rsid w:val="00284C9D"/>
    <w:rsid w:val="002925A9"/>
    <w:rsid w:val="00292863"/>
    <w:rsid w:val="00293DC9"/>
    <w:rsid w:val="00294430"/>
    <w:rsid w:val="00296CA7"/>
    <w:rsid w:val="00296FAF"/>
    <w:rsid w:val="00297EAB"/>
    <w:rsid w:val="00297FA7"/>
    <w:rsid w:val="002A15F1"/>
    <w:rsid w:val="002A4961"/>
    <w:rsid w:val="002A7BBD"/>
    <w:rsid w:val="002B1D4A"/>
    <w:rsid w:val="002B313C"/>
    <w:rsid w:val="002B4448"/>
    <w:rsid w:val="002B46FF"/>
    <w:rsid w:val="002B5C28"/>
    <w:rsid w:val="002C1F84"/>
    <w:rsid w:val="002C36AF"/>
    <w:rsid w:val="002C40FB"/>
    <w:rsid w:val="002C7895"/>
    <w:rsid w:val="002D1504"/>
    <w:rsid w:val="002D1875"/>
    <w:rsid w:val="002D2E28"/>
    <w:rsid w:val="002D564A"/>
    <w:rsid w:val="002D73C0"/>
    <w:rsid w:val="002D7A08"/>
    <w:rsid w:val="002E12E6"/>
    <w:rsid w:val="002E45CD"/>
    <w:rsid w:val="002E5928"/>
    <w:rsid w:val="002F76C6"/>
    <w:rsid w:val="003012FC"/>
    <w:rsid w:val="00301489"/>
    <w:rsid w:val="00304A88"/>
    <w:rsid w:val="00304E64"/>
    <w:rsid w:val="00305E84"/>
    <w:rsid w:val="00307358"/>
    <w:rsid w:val="0031070C"/>
    <w:rsid w:val="00313612"/>
    <w:rsid w:val="0031464D"/>
    <w:rsid w:val="00316053"/>
    <w:rsid w:val="00316D9C"/>
    <w:rsid w:val="003170AC"/>
    <w:rsid w:val="00323C61"/>
    <w:rsid w:val="00324CAA"/>
    <w:rsid w:val="00326C24"/>
    <w:rsid w:val="0033070E"/>
    <w:rsid w:val="00334F30"/>
    <w:rsid w:val="00336ACE"/>
    <w:rsid w:val="003415F9"/>
    <w:rsid w:val="003440C7"/>
    <w:rsid w:val="0034483E"/>
    <w:rsid w:val="00350779"/>
    <w:rsid w:val="00353D81"/>
    <w:rsid w:val="00354743"/>
    <w:rsid w:val="003611E4"/>
    <w:rsid w:val="003630E9"/>
    <w:rsid w:val="0036384A"/>
    <w:rsid w:val="003657EF"/>
    <w:rsid w:val="00365D2C"/>
    <w:rsid w:val="00367C2D"/>
    <w:rsid w:val="0037028F"/>
    <w:rsid w:val="003719BF"/>
    <w:rsid w:val="003748D4"/>
    <w:rsid w:val="00375010"/>
    <w:rsid w:val="0037728A"/>
    <w:rsid w:val="00377427"/>
    <w:rsid w:val="00386B68"/>
    <w:rsid w:val="00386E17"/>
    <w:rsid w:val="0038758C"/>
    <w:rsid w:val="003911EF"/>
    <w:rsid w:val="003913F1"/>
    <w:rsid w:val="00393A61"/>
    <w:rsid w:val="00394454"/>
    <w:rsid w:val="00395655"/>
    <w:rsid w:val="003A0965"/>
    <w:rsid w:val="003A2953"/>
    <w:rsid w:val="003A373E"/>
    <w:rsid w:val="003A3D0E"/>
    <w:rsid w:val="003A4424"/>
    <w:rsid w:val="003A530C"/>
    <w:rsid w:val="003A5841"/>
    <w:rsid w:val="003A7B17"/>
    <w:rsid w:val="003B29B0"/>
    <w:rsid w:val="003B2DA8"/>
    <w:rsid w:val="003B3044"/>
    <w:rsid w:val="003B3052"/>
    <w:rsid w:val="003B67B0"/>
    <w:rsid w:val="003B6C2D"/>
    <w:rsid w:val="003C0645"/>
    <w:rsid w:val="003C0D20"/>
    <w:rsid w:val="003C145F"/>
    <w:rsid w:val="003C16A9"/>
    <w:rsid w:val="003C1E66"/>
    <w:rsid w:val="003C202D"/>
    <w:rsid w:val="003C32CA"/>
    <w:rsid w:val="003C3EA5"/>
    <w:rsid w:val="003C42EF"/>
    <w:rsid w:val="003D47C4"/>
    <w:rsid w:val="003D7CE2"/>
    <w:rsid w:val="003E001E"/>
    <w:rsid w:val="003E1283"/>
    <w:rsid w:val="003E4413"/>
    <w:rsid w:val="003E46E7"/>
    <w:rsid w:val="003E59FC"/>
    <w:rsid w:val="003E5B26"/>
    <w:rsid w:val="003E6EB5"/>
    <w:rsid w:val="003F09F7"/>
    <w:rsid w:val="003F1AA1"/>
    <w:rsid w:val="003F24BC"/>
    <w:rsid w:val="003F264A"/>
    <w:rsid w:val="003F3802"/>
    <w:rsid w:val="003F492F"/>
    <w:rsid w:val="003F76EB"/>
    <w:rsid w:val="00402144"/>
    <w:rsid w:val="004026BA"/>
    <w:rsid w:val="00402CC7"/>
    <w:rsid w:val="00402D70"/>
    <w:rsid w:val="00403CE4"/>
    <w:rsid w:val="004075A3"/>
    <w:rsid w:val="00410977"/>
    <w:rsid w:val="00410A3F"/>
    <w:rsid w:val="0041144F"/>
    <w:rsid w:val="004143B1"/>
    <w:rsid w:val="0041556E"/>
    <w:rsid w:val="00415A55"/>
    <w:rsid w:val="004232A9"/>
    <w:rsid w:val="00424705"/>
    <w:rsid w:val="00424C51"/>
    <w:rsid w:val="00425A1E"/>
    <w:rsid w:val="00425AC0"/>
    <w:rsid w:val="00425FCB"/>
    <w:rsid w:val="004263FD"/>
    <w:rsid w:val="00427BBA"/>
    <w:rsid w:val="00430F1B"/>
    <w:rsid w:val="004327E1"/>
    <w:rsid w:val="00434240"/>
    <w:rsid w:val="00434508"/>
    <w:rsid w:val="00434641"/>
    <w:rsid w:val="00434CDD"/>
    <w:rsid w:val="004355D0"/>
    <w:rsid w:val="004355E8"/>
    <w:rsid w:val="0043612D"/>
    <w:rsid w:val="00436435"/>
    <w:rsid w:val="00445460"/>
    <w:rsid w:val="00445F44"/>
    <w:rsid w:val="00446B03"/>
    <w:rsid w:val="0044797F"/>
    <w:rsid w:val="00452164"/>
    <w:rsid w:val="004524A5"/>
    <w:rsid w:val="00455C2A"/>
    <w:rsid w:val="004573E5"/>
    <w:rsid w:val="00464E82"/>
    <w:rsid w:val="00466147"/>
    <w:rsid w:val="00470B0B"/>
    <w:rsid w:val="00471BD9"/>
    <w:rsid w:val="00472F61"/>
    <w:rsid w:val="00475FA7"/>
    <w:rsid w:val="00481DE1"/>
    <w:rsid w:val="0048294E"/>
    <w:rsid w:val="00484B49"/>
    <w:rsid w:val="00484DBC"/>
    <w:rsid w:val="00487730"/>
    <w:rsid w:val="00487CD0"/>
    <w:rsid w:val="00487E81"/>
    <w:rsid w:val="00490BA0"/>
    <w:rsid w:val="00494834"/>
    <w:rsid w:val="0049486C"/>
    <w:rsid w:val="004968C6"/>
    <w:rsid w:val="004A160C"/>
    <w:rsid w:val="004A2F70"/>
    <w:rsid w:val="004A336E"/>
    <w:rsid w:val="004A409F"/>
    <w:rsid w:val="004A48D9"/>
    <w:rsid w:val="004A4EBF"/>
    <w:rsid w:val="004A6B2D"/>
    <w:rsid w:val="004A7B01"/>
    <w:rsid w:val="004B0A19"/>
    <w:rsid w:val="004B2C3F"/>
    <w:rsid w:val="004C1006"/>
    <w:rsid w:val="004D1250"/>
    <w:rsid w:val="004D156B"/>
    <w:rsid w:val="004D5695"/>
    <w:rsid w:val="004D665B"/>
    <w:rsid w:val="004D7B86"/>
    <w:rsid w:val="004E1682"/>
    <w:rsid w:val="004E2C3A"/>
    <w:rsid w:val="004E48AA"/>
    <w:rsid w:val="004E4BFF"/>
    <w:rsid w:val="004F53E6"/>
    <w:rsid w:val="004F5405"/>
    <w:rsid w:val="004F54FF"/>
    <w:rsid w:val="004F7896"/>
    <w:rsid w:val="005021A5"/>
    <w:rsid w:val="00503218"/>
    <w:rsid w:val="00505873"/>
    <w:rsid w:val="00506CE6"/>
    <w:rsid w:val="00506CF9"/>
    <w:rsid w:val="00506F28"/>
    <w:rsid w:val="00507A45"/>
    <w:rsid w:val="00507E5C"/>
    <w:rsid w:val="00513BFD"/>
    <w:rsid w:val="005146EC"/>
    <w:rsid w:val="00515BBE"/>
    <w:rsid w:val="005169CB"/>
    <w:rsid w:val="0051713D"/>
    <w:rsid w:val="00517337"/>
    <w:rsid w:val="005173FC"/>
    <w:rsid w:val="00521A7C"/>
    <w:rsid w:val="00522CE6"/>
    <w:rsid w:val="00523900"/>
    <w:rsid w:val="00524226"/>
    <w:rsid w:val="00527330"/>
    <w:rsid w:val="0053335B"/>
    <w:rsid w:val="00533663"/>
    <w:rsid w:val="00536596"/>
    <w:rsid w:val="005366FF"/>
    <w:rsid w:val="00537A32"/>
    <w:rsid w:val="0054602B"/>
    <w:rsid w:val="00546375"/>
    <w:rsid w:val="00547E7E"/>
    <w:rsid w:val="0055049A"/>
    <w:rsid w:val="00551359"/>
    <w:rsid w:val="00553B33"/>
    <w:rsid w:val="005567AF"/>
    <w:rsid w:val="00556EA0"/>
    <w:rsid w:val="005620CA"/>
    <w:rsid w:val="005706CD"/>
    <w:rsid w:val="00572401"/>
    <w:rsid w:val="005732E6"/>
    <w:rsid w:val="00577C30"/>
    <w:rsid w:val="00580708"/>
    <w:rsid w:val="005812FF"/>
    <w:rsid w:val="005819C8"/>
    <w:rsid w:val="0058205E"/>
    <w:rsid w:val="00583C04"/>
    <w:rsid w:val="0058422E"/>
    <w:rsid w:val="00584B84"/>
    <w:rsid w:val="005905A0"/>
    <w:rsid w:val="00591EC0"/>
    <w:rsid w:val="005930D1"/>
    <w:rsid w:val="00597535"/>
    <w:rsid w:val="0059779C"/>
    <w:rsid w:val="005A54B4"/>
    <w:rsid w:val="005A7050"/>
    <w:rsid w:val="005B3C8C"/>
    <w:rsid w:val="005B3CBC"/>
    <w:rsid w:val="005B510A"/>
    <w:rsid w:val="005C0740"/>
    <w:rsid w:val="005C18D0"/>
    <w:rsid w:val="005C3E6E"/>
    <w:rsid w:val="005D0BEB"/>
    <w:rsid w:val="005E2026"/>
    <w:rsid w:val="005E32F3"/>
    <w:rsid w:val="005F33E0"/>
    <w:rsid w:val="005F4914"/>
    <w:rsid w:val="005F5DF6"/>
    <w:rsid w:val="005F5FA1"/>
    <w:rsid w:val="005F7A07"/>
    <w:rsid w:val="005F7D42"/>
    <w:rsid w:val="0060088C"/>
    <w:rsid w:val="006018C9"/>
    <w:rsid w:val="00604F05"/>
    <w:rsid w:val="00605E9A"/>
    <w:rsid w:val="00611D31"/>
    <w:rsid w:val="00613502"/>
    <w:rsid w:val="006148C9"/>
    <w:rsid w:val="00615971"/>
    <w:rsid w:val="00617FC1"/>
    <w:rsid w:val="006202A1"/>
    <w:rsid w:val="0062319E"/>
    <w:rsid w:val="00625432"/>
    <w:rsid w:val="00626E42"/>
    <w:rsid w:val="00627EDA"/>
    <w:rsid w:val="00630E74"/>
    <w:rsid w:val="00631B74"/>
    <w:rsid w:val="00633B83"/>
    <w:rsid w:val="0063568D"/>
    <w:rsid w:val="00636200"/>
    <w:rsid w:val="00636C4C"/>
    <w:rsid w:val="00637DB1"/>
    <w:rsid w:val="0064592E"/>
    <w:rsid w:val="00645B16"/>
    <w:rsid w:val="00645DC7"/>
    <w:rsid w:val="0064724F"/>
    <w:rsid w:val="006507CB"/>
    <w:rsid w:val="00650C53"/>
    <w:rsid w:val="00651D68"/>
    <w:rsid w:val="00652D30"/>
    <w:rsid w:val="006540EF"/>
    <w:rsid w:val="00656314"/>
    <w:rsid w:val="00661580"/>
    <w:rsid w:val="00661BE8"/>
    <w:rsid w:val="00667B6F"/>
    <w:rsid w:val="00667F82"/>
    <w:rsid w:val="006700AA"/>
    <w:rsid w:val="00672BD2"/>
    <w:rsid w:val="00672D97"/>
    <w:rsid w:val="00674493"/>
    <w:rsid w:val="0067507B"/>
    <w:rsid w:val="00677A0D"/>
    <w:rsid w:val="00682372"/>
    <w:rsid w:val="006825F9"/>
    <w:rsid w:val="00683087"/>
    <w:rsid w:val="00685653"/>
    <w:rsid w:val="00686CE3"/>
    <w:rsid w:val="006875C8"/>
    <w:rsid w:val="00687E9C"/>
    <w:rsid w:val="00690929"/>
    <w:rsid w:val="006930D1"/>
    <w:rsid w:val="006931AD"/>
    <w:rsid w:val="006940BB"/>
    <w:rsid w:val="006966F5"/>
    <w:rsid w:val="00696CF0"/>
    <w:rsid w:val="00697001"/>
    <w:rsid w:val="006A0097"/>
    <w:rsid w:val="006A1788"/>
    <w:rsid w:val="006A20EE"/>
    <w:rsid w:val="006A6280"/>
    <w:rsid w:val="006A666D"/>
    <w:rsid w:val="006B0454"/>
    <w:rsid w:val="006B1660"/>
    <w:rsid w:val="006B2D99"/>
    <w:rsid w:val="006B565B"/>
    <w:rsid w:val="006B6373"/>
    <w:rsid w:val="006B6E38"/>
    <w:rsid w:val="006B7633"/>
    <w:rsid w:val="006C3EF7"/>
    <w:rsid w:val="006D14BA"/>
    <w:rsid w:val="006D58E2"/>
    <w:rsid w:val="006D7B6B"/>
    <w:rsid w:val="006E3838"/>
    <w:rsid w:val="006E3C40"/>
    <w:rsid w:val="006E5E0B"/>
    <w:rsid w:val="006E7699"/>
    <w:rsid w:val="006F27AC"/>
    <w:rsid w:val="006F3C66"/>
    <w:rsid w:val="006F3E5C"/>
    <w:rsid w:val="006F627D"/>
    <w:rsid w:val="006F676A"/>
    <w:rsid w:val="00701CB8"/>
    <w:rsid w:val="00701E47"/>
    <w:rsid w:val="00707A97"/>
    <w:rsid w:val="00707E57"/>
    <w:rsid w:val="00707F49"/>
    <w:rsid w:val="007103B5"/>
    <w:rsid w:val="007213BB"/>
    <w:rsid w:val="0072758F"/>
    <w:rsid w:val="007314EF"/>
    <w:rsid w:val="00732CF0"/>
    <w:rsid w:val="0073763E"/>
    <w:rsid w:val="007420E9"/>
    <w:rsid w:val="007452A0"/>
    <w:rsid w:val="00745786"/>
    <w:rsid w:val="00745FCA"/>
    <w:rsid w:val="0074611F"/>
    <w:rsid w:val="00747943"/>
    <w:rsid w:val="00752180"/>
    <w:rsid w:val="00752BD5"/>
    <w:rsid w:val="00753090"/>
    <w:rsid w:val="0075573F"/>
    <w:rsid w:val="0075604F"/>
    <w:rsid w:val="00756861"/>
    <w:rsid w:val="00756D99"/>
    <w:rsid w:val="00756F20"/>
    <w:rsid w:val="00760772"/>
    <w:rsid w:val="00760DDE"/>
    <w:rsid w:val="00761F6E"/>
    <w:rsid w:val="007620AE"/>
    <w:rsid w:val="007658A2"/>
    <w:rsid w:val="00767CE3"/>
    <w:rsid w:val="00772715"/>
    <w:rsid w:val="0077536C"/>
    <w:rsid w:val="00782538"/>
    <w:rsid w:val="007828DD"/>
    <w:rsid w:val="00783FAB"/>
    <w:rsid w:val="00785B13"/>
    <w:rsid w:val="0078617C"/>
    <w:rsid w:val="00791AAC"/>
    <w:rsid w:val="00793BE4"/>
    <w:rsid w:val="00795969"/>
    <w:rsid w:val="007974DD"/>
    <w:rsid w:val="007A0AD5"/>
    <w:rsid w:val="007A25C8"/>
    <w:rsid w:val="007A6AF0"/>
    <w:rsid w:val="007B0A9E"/>
    <w:rsid w:val="007B44CD"/>
    <w:rsid w:val="007B4836"/>
    <w:rsid w:val="007C316A"/>
    <w:rsid w:val="007C3734"/>
    <w:rsid w:val="007C41A3"/>
    <w:rsid w:val="007C5020"/>
    <w:rsid w:val="007D12B2"/>
    <w:rsid w:val="007D1F16"/>
    <w:rsid w:val="007D4D24"/>
    <w:rsid w:val="007D4E08"/>
    <w:rsid w:val="007E00A8"/>
    <w:rsid w:val="007E16D6"/>
    <w:rsid w:val="007E2197"/>
    <w:rsid w:val="007E3446"/>
    <w:rsid w:val="007E3447"/>
    <w:rsid w:val="007E36E5"/>
    <w:rsid w:val="007E38A2"/>
    <w:rsid w:val="007E63F4"/>
    <w:rsid w:val="007E6EC6"/>
    <w:rsid w:val="007F33AF"/>
    <w:rsid w:val="007F412B"/>
    <w:rsid w:val="007F563E"/>
    <w:rsid w:val="00800653"/>
    <w:rsid w:val="00801C60"/>
    <w:rsid w:val="00803447"/>
    <w:rsid w:val="008035CF"/>
    <w:rsid w:val="0080584E"/>
    <w:rsid w:val="00805863"/>
    <w:rsid w:val="00805FEB"/>
    <w:rsid w:val="008070EB"/>
    <w:rsid w:val="00811E34"/>
    <w:rsid w:val="00812C37"/>
    <w:rsid w:val="008134D5"/>
    <w:rsid w:val="00813A38"/>
    <w:rsid w:val="0081629D"/>
    <w:rsid w:val="00821638"/>
    <w:rsid w:val="00822973"/>
    <w:rsid w:val="00823B66"/>
    <w:rsid w:val="00823D0A"/>
    <w:rsid w:val="00824A98"/>
    <w:rsid w:val="008260D8"/>
    <w:rsid w:val="008310AA"/>
    <w:rsid w:val="00834114"/>
    <w:rsid w:val="00834182"/>
    <w:rsid w:val="00835DB2"/>
    <w:rsid w:val="00843D52"/>
    <w:rsid w:val="00844D23"/>
    <w:rsid w:val="00844E80"/>
    <w:rsid w:val="00846616"/>
    <w:rsid w:val="00847082"/>
    <w:rsid w:val="0084768A"/>
    <w:rsid w:val="00850F6F"/>
    <w:rsid w:val="008517D8"/>
    <w:rsid w:val="00855239"/>
    <w:rsid w:val="00856BC4"/>
    <w:rsid w:val="00862FA0"/>
    <w:rsid w:val="00864741"/>
    <w:rsid w:val="00867101"/>
    <w:rsid w:val="00870E9D"/>
    <w:rsid w:val="008736CF"/>
    <w:rsid w:val="008755D8"/>
    <w:rsid w:val="0087737F"/>
    <w:rsid w:val="00884626"/>
    <w:rsid w:val="0088497A"/>
    <w:rsid w:val="00884FEB"/>
    <w:rsid w:val="008950A0"/>
    <w:rsid w:val="00896DA0"/>
    <w:rsid w:val="008A1F97"/>
    <w:rsid w:val="008A1FEF"/>
    <w:rsid w:val="008A6224"/>
    <w:rsid w:val="008A69B5"/>
    <w:rsid w:val="008A7931"/>
    <w:rsid w:val="008B478B"/>
    <w:rsid w:val="008B51C6"/>
    <w:rsid w:val="008B61B7"/>
    <w:rsid w:val="008C2501"/>
    <w:rsid w:val="008C2AF3"/>
    <w:rsid w:val="008C48EF"/>
    <w:rsid w:val="008C497B"/>
    <w:rsid w:val="008C572C"/>
    <w:rsid w:val="008C76FD"/>
    <w:rsid w:val="008D2607"/>
    <w:rsid w:val="008D3EBD"/>
    <w:rsid w:val="008D72EA"/>
    <w:rsid w:val="008D7625"/>
    <w:rsid w:val="008E16BD"/>
    <w:rsid w:val="008E23B6"/>
    <w:rsid w:val="008E2F06"/>
    <w:rsid w:val="008E30D6"/>
    <w:rsid w:val="008E30D9"/>
    <w:rsid w:val="008E476C"/>
    <w:rsid w:val="008E60EA"/>
    <w:rsid w:val="008E68D3"/>
    <w:rsid w:val="008E79DF"/>
    <w:rsid w:val="008F002D"/>
    <w:rsid w:val="008F43E8"/>
    <w:rsid w:val="00900807"/>
    <w:rsid w:val="009014F5"/>
    <w:rsid w:val="00902A26"/>
    <w:rsid w:val="00903257"/>
    <w:rsid w:val="009048A2"/>
    <w:rsid w:val="00905C61"/>
    <w:rsid w:val="009062FD"/>
    <w:rsid w:val="009064DD"/>
    <w:rsid w:val="00906BC6"/>
    <w:rsid w:val="00907D61"/>
    <w:rsid w:val="00910064"/>
    <w:rsid w:val="009114DC"/>
    <w:rsid w:val="00911D92"/>
    <w:rsid w:val="009121D3"/>
    <w:rsid w:val="00912223"/>
    <w:rsid w:val="0091364D"/>
    <w:rsid w:val="0091514A"/>
    <w:rsid w:val="009165B9"/>
    <w:rsid w:val="009176F5"/>
    <w:rsid w:val="009240A9"/>
    <w:rsid w:val="009251F4"/>
    <w:rsid w:val="00925854"/>
    <w:rsid w:val="00933AD6"/>
    <w:rsid w:val="00937ED4"/>
    <w:rsid w:val="00941652"/>
    <w:rsid w:val="009421AA"/>
    <w:rsid w:val="0094476A"/>
    <w:rsid w:val="0094774B"/>
    <w:rsid w:val="009554C5"/>
    <w:rsid w:val="0095786F"/>
    <w:rsid w:val="00962AB6"/>
    <w:rsid w:val="00964375"/>
    <w:rsid w:val="00970AAB"/>
    <w:rsid w:val="00974504"/>
    <w:rsid w:val="00975A4A"/>
    <w:rsid w:val="00976413"/>
    <w:rsid w:val="009767B4"/>
    <w:rsid w:val="0097766F"/>
    <w:rsid w:val="00977D37"/>
    <w:rsid w:val="009807AE"/>
    <w:rsid w:val="00984ADE"/>
    <w:rsid w:val="00986942"/>
    <w:rsid w:val="00990334"/>
    <w:rsid w:val="00991158"/>
    <w:rsid w:val="00991769"/>
    <w:rsid w:val="0099199E"/>
    <w:rsid w:val="00991F24"/>
    <w:rsid w:val="0099474B"/>
    <w:rsid w:val="009959FF"/>
    <w:rsid w:val="00995C44"/>
    <w:rsid w:val="009A04A5"/>
    <w:rsid w:val="009A06E3"/>
    <w:rsid w:val="009A14CF"/>
    <w:rsid w:val="009A35A0"/>
    <w:rsid w:val="009A7CFA"/>
    <w:rsid w:val="009B0795"/>
    <w:rsid w:val="009B0C51"/>
    <w:rsid w:val="009B1528"/>
    <w:rsid w:val="009B2183"/>
    <w:rsid w:val="009B29AC"/>
    <w:rsid w:val="009B4B7F"/>
    <w:rsid w:val="009C0F35"/>
    <w:rsid w:val="009C10C1"/>
    <w:rsid w:val="009C2962"/>
    <w:rsid w:val="009C4F55"/>
    <w:rsid w:val="009C50FE"/>
    <w:rsid w:val="009C5E5D"/>
    <w:rsid w:val="009D23FB"/>
    <w:rsid w:val="009D3D96"/>
    <w:rsid w:val="009D4C11"/>
    <w:rsid w:val="009D62D4"/>
    <w:rsid w:val="009D7562"/>
    <w:rsid w:val="009E0803"/>
    <w:rsid w:val="009E4745"/>
    <w:rsid w:val="009E6537"/>
    <w:rsid w:val="009E7C1C"/>
    <w:rsid w:val="009F13BF"/>
    <w:rsid w:val="009F1D01"/>
    <w:rsid w:val="009F1D34"/>
    <w:rsid w:val="009F4C47"/>
    <w:rsid w:val="009F528F"/>
    <w:rsid w:val="009F5739"/>
    <w:rsid w:val="009F6AC9"/>
    <w:rsid w:val="00A105DA"/>
    <w:rsid w:val="00A178D7"/>
    <w:rsid w:val="00A20031"/>
    <w:rsid w:val="00A202D5"/>
    <w:rsid w:val="00A21471"/>
    <w:rsid w:val="00A23CDC"/>
    <w:rsid w:val="00A24596"/>
    <w:rsid w:val="00A24B24"/>
    <w:rsid w:val="00A25E6C"/>
    <w:rsid w:val="00A30305"/>
    <w:rsid w:val="00A31221"/>
    <w:rsid w:val="00A40E3D"/>
    <w:rsid w:val="00A40EA6"/>
    <w:rsid w:val="00A469F5"/>
    <w:rsid w:val="00A46FA7"/>
    <w:rsid w:val="00A47C4E"/>
    <w:rsid w:val="00A504A6"/>
    <w:rsid w:val="00A50AD4"/>
    <w:rsid w:val="00A52753"/>
    <w:rsid w:val="00A550E8"/>
    <w:rsid w:val="00A556D1"/>
    <w:rsid w:val="00A56E8B"/>
    <w:rsid w:val="00A70883"/>
    <w:rsid w:val="00A71133"/>
    <w:rsid w:val="00A7209C"/>
    <w:rsid w:val="00A72AD9"/>
    <w:rsid w:val="00A75E4D"/>
    <w:rsid w:val="00A761C7"/>
    <w:rsid w:val="00A77D42"/>
    <w:rsid w:val="00A81256"/>
    <w:rsid w:val="00A82E17"/>
    <w:rsid w:val="00A85075"/>
    <w:rsid w:val="00A90245"/>
    <w:rsid w:val="00A93F1F"/>
    <w:rsid w:val="00A95AA6"/>
    <w:rsid w:val="00AA12F7"/>
    <w:rsid w:val="00AA3173"/>
    <w:rsid w:val="00AA3A3E"/>
    <w:rsid w:val="00AB19B6"/>
    <w:rsid w:val="00AB5D71"/>
    <w:rsid w:val="00AC0BFE"/>
    <w:rsid w:val="00AC1539"/>
    <w:rsid w:val="00AC1EEF"/>
    <w:rsid w:val="00AC6ABA"/>
    <w:rsid w:val="00AC7F4A"/>
    <w:rsid w:val="00AD1C80"/>
    <w:rsid w:val="00AD2E24"/>
    <w:rsid w:val="00AD4679"/>
    <w:rsid w:val="00AD5627"/>
    <w:rsid w:val="00AD65C9"/>
    <w:rsid w:val="00AD6639"/>
    <w:rsid w:val="00AD683B"/>
    <w:rsid w:val="00AD6868"/>
    <w:rsid w:val="00AE4A25"/>
    <w:rsid w:val="00AE5CCB"/>
    <w:rsid w:val="00AE5F8A"/>
    <w:rsid w:val="00AE7179"/>
    <w:rsid w:val="00AF3507"/>
    <w:rsid w:val="00AF48BA"/>
    <w:rsid w:val="00AF58D0"/>
    <w:rsid w:val="00AF61FA"/>
    <w:rsid w:val="00AF6215"/>
    <w:rsid w:val="00AF6D8D"/>
    <w:rsid w:val="00AF6F6E"/>
    <w:rsid w:val="00B00A18"/>
    <w:rsid w:val="00B03FF2"/>
    <w:rsid w:val="00B04F29"/>
    <w:rsid w:val="00B067CD"/>
    <w:rsid w:val="00B06D9F"/>
    <w:rsid w:val="00B11323"/>
    <w:rsid w:val="00B13A2F"/>
    <w:rsid w:val="00B145D2"/>
    <w:rsid w:val="00B178D3"/>
    <w:rsid w:val="00B22F73"/>
    <w:rsid w:val="00B26835"/>
    <w:rsid w:val="00B3381B"/>
    <w:rsid w:val="00B339F8"/>
    <w:rsid w:val="00B345A5"/>
    <w:rsid w:val="00B35BE1"/>
    <w:rsid w:val="00B4065C"/>
    <w:rsid w:val="00B43512"/>
    <w:rsid w:val="00B43B35"/>
    <w:rsid w:val="00B528D1"/>
    <w:rsid w:val="00B52CD8"/>
    <w:rsid w:val="00B53EE3"/>
    <w:rsid w:val="00B604EB"/>
    <w:rsid w:val="00B6108C"/>
    <w:rsid w:val="00B61568"/>
    <w:rsid w:val="00B64C9C"/>
    <w:rsid w:val="00B650B1"/>
    <w:rsid w:val="00B67F7B"/>
    <w:rsid w:val="00B739E2"/>
    <w:rsid w:val="00B74160"/>
    <w:rsid w:val="00B8151D"/>
    <w:rsid w:val="00B819AA"/>
    <w:rsid w:val="00B932C2"/>
    <w:rsid w:val="00B93328"/>
    <w:rsid w:val="00BA12CE"/>
    <w:rsid w:val="00BA3421"/>
    <w:rsid w:val="00BA37C7"/>
    <w:rsid w:val="00BA54AA"/>
    <w:rsid w:val="00BA7120"/>
    <w:rsid w:val="00BB2109"/>
    <w:rsid w:val="00BB2C6B"/>
    <w:rsid w:val="00BB38D4"/>
    <w:rsid w:val="00BB4D85"/>
    <w:rsid w:val="00BB4E04"/>
    <w:rsid w:val="00BB61E4"/>
    <w:rsid w:val="00BB631E"/>
    <w:rsid w:val="00BB71A8"/>
    <w:rsid w:val="00BC4BD5"/>
    <w:rsid w:val="00BC50A3"/>
    <w:rsid w:val="00BC7404"/>
    <w:rsid w:val="00BD41D4"/>
    <w:rsid w:val="00BD465A"/>
    <w:rsid w:val="00BD47A9"/>
    <w:rsid w:val="00BD5316"/>
    <w:rsid w:val="00BD5A86"/>
    <w:rsid w:val="00BD6AC2"/>
    <w:rsid w:val="00BE214C"/>
    <w:rsid w:val="00BE5A83"/>
    <w:rsid w:val="00BE68F9"/>
    <w:rsid w:val="00BE7C16"/>
    <w:rsid w:val="00BF0A4D"/>
    <w:rsid w:val="00BF2A9B"/>
    <w:rsid w:val="00BF3DAE"/>
    <w:rsid w:val="00BF7D82"/>
    <w:rsid w:val="00C01F57"/>
    <w:rsid w:val="00C02595"/>
    <w:rsid w:val="00C051FF"/>
    <w:rsid w:val="00C12197"/>
    <w:rsid w:val="00C1330A"/>
    <w:rsid w:val="00C145EB"/>
    <w:rsid w:val="00C2416A"/>
    <w:rsid w:val="00C30332"/>
    <w:rsid w:val="00C30E45"/>
    <w:rsid w:val="00C310FB"/>
    <w:rsid w:val="00C325A5"/>
    <w:rsid w:val="00C32BD4"/>
    <w:rsid w:val="00C32C7F"/>
    <w:rsid w:val="00C35B04"/>
    <w:rsid w:val="00C36A15"/>
    <w:rsid w:val="00C3701B"/>
    <w:rsid w:val="00C37043"/>
    <w:rsid w:val="00C42988"/>
    <w:rsid w:val="00C4300F"/>
    <w:rsid w:val="00C45661"/>
    <w:rsid w:val="00C45C7C"/>
    <w:rsid w:val="00C46FE8"/>
    <w:rsid w:val="00C47748"/>
    <w:rsid w:val="00C5010C"/>
    <w:rsid w:val="00C50F9C"/>
    <w:rsid w:val="00C520F9"/>
    <w:rsid w:val="00C56B1C"/>
    <w:rsid w:val="00C61865"/>
    <w:rsid w:val="00C62BC1"/>
    <w:rsid w:val="00C62E16"/>
    <w:rsid w:val="00C64879"/>
    <w:rsid w:val="00C65E2D"/>
    <w:rsid w:val="00C66953"/>
    <w:rsid w:val="00C73133"/>
    <w:rsid w:val="00C731FA"/>
    <w:rsid w:val="00C74B8D"/>
    <w:rsid w:val="00C7617C"/>
    <w:rsid w:val="00C800AA"/>
    <w:rsid w:val="00C81275"/>
    <w:rsid w:val="00C82861"/>
    <w:rsid w:val="00C82C91"/>
    <w:rsid w:val="00C84198"/>
    <w:rsid w:val="00C846A2"/>
    <w:rsid w:val="00C856AC"/>
    <w:rsid w:val="00C8705B"/>
    <w:rsid w:val="00C90EFC"/>
    <w:rsid w:val="00C90FC4"/>
    <w:rsid w:val="00C954B7"/>
    <w:rsid w:val="00C9591A"/>
    <w:rsid w:val="00C97776"/>
    <w:rsid w:val="00CA46AC"/>
    <w:rsid w:val="00CA4F71"/>
    <w:rsid w:val="00CA509C"/>
    <w:rsid w:val="00CA7611"/>
    <w:rsid w:val="00CB056E"/>
    <w:rsid w:val="00CB337B"/>
    <w:rsid w:val="00CB45D5"/>
    <w:rsid w:val="00CB6C6B"/>
    <w:rsid w:val="00CB7A83"/>
    <w:rsid w:val="00CC0676"/>
    <w:rsid w:val="00CC3AE0"/>
    <w:rsid w:val="00CC3C0B"/>
    <w:rsid w:val="00CC3CD3"/>
    <w:rsid w:val="00CC4C6D"/>
    <w:rsid w:val="00CC6AAA"/>
    <w:rsid w:val="00CD1D61"/>
    <w:rsid w:val="00CD20F8"/>
    <w:rsid w:val="00CD3705"/>
    <w:rsid w:val="00CD56FA"/>
    <w:rsid w:val="00CD66C5"/>
    <w:rsid w:val="00CD6E72"/>
    <w:rsid w:val="00CE0246"/>
    <w:rsid w:val="00CE3EA5"/>
    <w:rsid w:val="00CE3F9E"/>
    <w:rsid w:val="00CF1C96"/>
    <w:rsid w:val="00CF5A8C"/>
    <w:rsid w:val="00D010D3"/>
    <w:rsid w:val="00D05A8C"/>
    <w:rsid w:val="00D07271"/>
    <w:rsid w:val="00D1121E"/>
    <w:rsid w:val="00D119DD"/>
    <w:rsid w:val="00D14A9D"/>
    <w:rsid w:val="00D17A67"/>
    <w:rsid w:val="00D17FC6"/>
    <w:rsid w:val="00D217D1"/>
    <w:rsid w:val="00D22B46"/>
    <w:rsid w:val="00D24144"/>
    <w:rsid w:val="00D2467C"/>
    <w:rsid w:val="00D2517F"/>
    <w:rsid w:val="00D32803"/>
    <w:rsid w:val="00D36B78"/>
    <w:rsid w:val="00D3758C"/>
    <w:rsid w:val="00D443CE"/>
    <w:rsid w:val="00D46134"/>
    <w:rsid w:val="00D468A9"/>
    <w:rsid w:val="00D50946"/>
    <w:rsid w:val="00D52E9D"/>
    <w:rsid w:val="00D5387E"/>
    <w:rsid w:val="00D54971"/>
    <w:rsid w:val="00D56A3B"/>
    <w:rsid w:val="00D60AA8"/>
    <w:rsid w:val="00D61A73"/>
    <w:rsid w:val="00D62C14"/>
    <w:rsid w:val="00D63270"/>
    <w:rsid w:val="00D63CDD"/>
    <w:rsid w:val="00D640F2"/>
    <w:rsid w:val="00D64B7D"/>
    <w:rsid w:val="00D66B65"/>
    <w:rsid w:val="00D70EAE"/>
    <w:rsid w:val="00D73415"/>
    <w:rsid w:val="00D74B9B"/>
    <w:rsid w:val="00D74F57"/>
    <w:rsid w:val="00D752AD"/>
    <w:rsid w:val="00D76E15"/>
    <w:rsid w:val="00D773CB"/>
    <w:rsid w:val="00D8103E"/>
    <w:rsid w:val="00D818BA"/>
    <w:rsid w:val="00D842A2"/>
    <w:rsid w:val="00D84946"/>
    <w:rsid w:val="00D8504A"/>
    <w:rsid w:val="00D91391"/>
    <w:rsid w:val="00D92A38"/>
    <w:rsid w:val="00D93741"/>
    <w:rsid w:val="00D94015"/>
    <w:rsid w:val="00D964EE"/>
    <w:rsid w:val="00DA0736"/>
    <w:rsid w:val="00DA250F"/>
    <w:rsid w:val="00DA552F"/>
    <w:rsid w:val="00DB1C5E"/>
    <w:rsid w:val="00DB1C9E"/>
    <w:rsid w:val="00DB2434"/>
    <w:rsid w:val="00DB461B"/>
    <w:rsid w:val="00DB4875"/>
    <w:rsid w:val="00DB4D35"/>
    <w:rsid w:val="00DB5E79"/>
    <w:rsid w:val="00DB6247"/>
    <w:rsid w:val="00DC3E8C"/>
    <w:rsid w:val="00DC4B5E"/>
    <w:rsid w:val="00DD1234"/>
    <w:rsid w:val="00DD408F"/>
    <w:rsid w:val="00DD5F43"/>
    <w:rsid w:val="00DD651A"/>
    <w:rsid w:val="00DD6C91"/>
    <w:rsid w:val="00DD7496"/>
    <w:rsid w:val="00DD7B03"/>
    <w:rsid w:val="00DE02BB"/>
    <w:rsid w:val="00DE5F92"/>
    <w:rsid w:val="00DE715E"/>
    <w:rsid w:val="00DE7C37"/>
    <w:rsid w:val="00DF05EA"/>
    <w:rsid w:val="00DF13F3"/>
    <w:rsid w:val="00DF3683"/>
    <w:rsid w:val="00DF46B2"/>
    <w:rsid w:val="00DF57B8"/>
    <w:rsid w:val="00DF61B7"/>
    <w:rsid w:val="00DF75DB"/>
    <w:rsid w:val="00DF7CD4"/>
    <w:rsid w:val="00E01C32"/>
    <w:rsid w:val="00E01F85"/>
    <w:rsid w:val="00E06EDD"/>
    <w:rsid w:val="00E1257E"/>
    <w:rsid w:val="00E153CC"/>
    <w:rsid w:val="00E229E3"/>
    <w:rsid w:val="00E24E50"/>
    <w:rsid w:val="00E251EE"/>
    <w:rsid w:val="00E302D5"/>
    <w:rsid w:val="00E33927"/>
    <w:rsid w:val="00E33FED"/>
    <w:rsid w:val="00E34FA1"/>
    <w:rsid w:val="00E37152"/>
    <w:rsid w:val="00E374F8"/>
    <w:rsid w:val="00E42700"/>
    <w:rsid w:val="00E43542"/>
    <w:rsid w:val="00E44999"/>
    <w:rsid w:val="00E46B03"/>
    <w:rsid w:val="00E473DE"/>
    <w:rsid w:val="00E50E94"/>
    <w:rsid w:val="00E5282C"/>
    <w:rsid w:val="00E5541C"/>
    <w:rsid w:val="00E55C6E"/>
    <w:rsid w:val="00E55D04"/>
    <w:rsid w:val="00E60A2A"/>
    <w:rsid w:val="00E62C51"/>
    <w:rsid w:val="00E631F9"/>
    <w:rsid w:val="00E63245"/>
    <w:rsid w:val="00E662FD"/>
    <w:rsid w:val="00E70B07"/>
    <w:rsid w:val="00E72FD0"/>
    <w:rsid w:val="00E733C0"/>
    <w:rsid w:val="00E757D0"/>
    <w:rsid w:val="00E767BE"/>
    <w:rsid w:val="00E815C9"/>
    <w:rsid w:val="00E8671C"/>
    <w:rsid w:val="00E879CE"/>
    <w:rsid w:val="00E90298"/>
    <w:rsid w:val="00E90606"/>
    <w:rsid w:val="00E916A2"/>
    <w:rsid w:val="00E91930"/>
    <w:rsid w:val="00E92CCB"/>
    <w:rsid w:val="00E9583C"/>
    <w:rsid w:val="00EA1E96"/>
    <w:rsid w:val="00EA291C"/>
    <w:rsid w:val="00EA3BC3"/>
    <w:rsid w:val="00EA3D10"/>
    <w:rsid w:val="00EA6D4F"/>
    <w:rsid w:val="00EA716A"/>
    <w:rsid w:val="00EA7EA8"/>
    <w:rsid w:val="00EB2036"/>
    <w:rsid w:val="00EB59ED"/>
    <w:rsid w:val="00EC0A15"/>
    <w:rsid w:val="00ED1AA6"/>
    <w:rsid w:val="00ED49B5"/>
    <w:rsid w:val="00ED7659"/>
    <w:rsid w:val="00EE412B"/>
    <w:rsid w:val="00EF4ACB"/>
    <w:rsid w:val="00EF71EB"/>
    <w:rsid w:val="00F00674"/>
    <w:rsid w:val="00F01E03"/>
    <w:rsid w:val="00F0280A"/>
    <w:rsid w:val="00F03635"/>
    <w:rsid w:val="00F0455E"/>
    <w:rsid w:val="00F0609A"/>
    <w:rsid w:val="00F1230D"/>
    <w:rsid w:val="00F14BCE"/>
    <w:rsid w:val="00F14F89"/>
    <w:rsid w:val="00F21042"/>
    <w:rsid w:val="00F21FAC"/>
    <w:rsid w:val="00F227FE"/>
    <w:rsid w:val="00F23027"/>
    <w:rsid w:val="00F2341E"/>
    <w:rsid w:val="00F2483C"/>
    <w:rsid w:val="00F317C3"/>
    <w:rsid w:val="00F31A69"/>
    <w:rsid w:val="00F3264E"/>
    <w:rsid w:val="00F36014"/>
    <w:rsid w:val="00F36E18"/>
    <w:rsid w:val="00F37BC2"/>
    <w:rsid w:val="00F37FE2"/>
    <w:rsid w:val="00F43DAD"/>
    <w:rsid w:val="00F45857"/>
    <w:rsid w:val="00F513EB"/>
    <w:rsid w:val="00F5236B"/>
    <w:rsid w:val="00F5252A"/>
    <w:rsid w:val="00F52D67"/>
    <w:rsid w:val="00F539C1"/>
    <w:rsid w:val="00F54266"/>
    <w:rsid w:val="00F552D2"/>
    <w:rsid w:val="00F5679F"/>
    <w:rsid w:val="00F60D6A"/>
    <w:rsid w:val="00F60F15"/>
    <w:rsid w:val="00F61FBC"/>
    <w:rsid w:val="00F62708"/>
    <w:rsid w:val="00F63BC2"/>
    <w:rsid w:val="00F6460E"/>
    <w:rsid w:val="00F64CB4"/>
    <w:rsid w:val="00F65018"/>
    <w:rsid w:val="00F65889"/>
    <w:rsid w:val="00F66854"/>
    <w:rsid w:val="00F70CC4"/>
    <w:rsid w:val="00F71466"/>
    <w:rsid w:val="00F72398"/>
    <w:rsid w:val="00F7251D"/>
    <w:rsid w:val="00F74CC9"/>
    <w:rsid w:val="00F77106"/>
    <w:rsid w:val="00F85B48"/>
    <w:rsid w:val="00F861AE"/>
    <w:rsid w:val="00F871D7"/>
    <w:rsid w:val="00F87FB6"/>
    <w:rsid w:val="00F90098"/>
    <w:rsid w:val="00F9205E"/>
    <w:rsid w:val="00F92FA5"/>
    <w:rsid w:val="00F935BD"/>
    <w:rsid w:val="00F95C63"/>
    <w:rsid w:val="00F96196"/>
    <w:rsid w:val="00F96889"/>
    <w:rsid w:val="00FA2330"/>
    <w:rsid w:val="00FA6309"/>
    <w:rsid w:val="00FA6319"/>
    <w:rsid w:val="00FB0BD0"/>
    <w:rsid w:val="00FB120A"/>
    <w:rsid w:val="00FB14CA"/>
    <w:rsid w:val="00FB168A"/>
    <w:rsid w:val="00FB4419"/>
    <w:rsid w:val="00FB46DD"/>
    <w:rsid w:val="00FB656A"/>
    <w:rsid w:val="00FB7019"/>
    <w:rsid w:val="00FC18C2"/>
    <w:rsid w:val="00FC22B8"/>
    <w:rsid w:val="00FC522B"/>
    <w:rsid w:val="00FC6429"/>
    <w:rsid w:val="00FD0A30"/>
    <w:rsid w:val="00FD1A80"/>
    <w:rsid w:val="00FD303E"/>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9B41FC"/>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subsection">
    <w:name w:val="subsection"/>
    <w:basedOn w:val="Normal"/>
    <w:rsid w:val="008070EB"/>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aliases w:val="a"/>
    <w:basedOn w:val="Normal"/>
    <w:rsid w:val="008070EB"/>
    <w:pPr>
      <w:spacing w:before="100" w:beforeAutospacing="1" w:after="100" w:afterAutospacing="1" w:line="240" w:lineRule="auto"/>
    </w:pPr>
    <w:rPr>
      <w:rFonts w:eastAsia="Times New Roman" w:cs="Times New Roman"/>
      <w:szCs w:val="24"/>
      <w:lang w:eastAsia="en-AU"/>
    </w:rPr>
  </w:style>
  <w:style w:type="character" w:customStyle="1" w:styleId="UnresolvedMention1">
    <w:name w:val="Unresolved Mention1"/>
    <w:basedOn w:val="DefaultParagraphFont"/>
    <w:uiPriority w:val="99"/>
    <w:semiHidden/>
    <w:unhideWhenUsed/>
    <w:rsid w:val="003F492F"/>
    <w:rPr>
      <w:color w:val="605E5C"/>
      <w:shd w:val="clear" w:color="auto" w:fill="E1DFDD"/>
    </w:rPr>
  </w:style>
  <w:style w:type="paragraph" w:customStyle="1" w:styleId="MBPoint">
    <w:name w:val="MB Point"/>
    <w:basedOn w:val="ListParagraph"/>
    <w:link w:val="MBPointChar"/>
    <w:qFormat/>
    <w:rsid w:val="000743B9"/>
    <w:pPr>
      <w:numPr>
        <w:numId w:val="4"/>
      </w:numPr>
      <w:spacing w:after="60" w:line="240" w:lineRule="auto"/>
      <w:ind w:left="425" w:hanging="357"/>
      <w:contextualSpacing w:val="0"/>
    </w:pPr>
    <w:rPr>
      <w:rFonts w:cs="Times New Roman"/>
      <w:szCs w:val="24"/>
    </w:rPr>
  </w:style>
  <w:style w:type="paragraph" w:customStyle="1" w:styleId="MBPointSub">
    <w:name w:val="MB Point Sub"/>
    <w:basedOn w:val="ListParagraph"/>
    <w:qFormat/>
    <w:rsid w:val="000743B9"/>
    <w:pPr>
      <w:numPr>
        <w:ilvl w:val="1"/>
        <w:numId w:val="4"/>
      </w:numPr>
      <w:spacing w:after="60" w:line="240" w:lineRule="auto"/>
      <w:contextualSpacing w:val="0"/>
    </w:pPr>
    <w:rPr>
      <w:rFonts w:cs="Times New Roman"/>
      <w:szCs w:val="24"/>
    </w:rPr>
  </w:style>
  <w:style w:type="character" w:customStyle="1" w:styleId="MBPointChar">
    <w:name w:val="MB Point Char"/>
    <w:basedOn w:val="DefaultParagraphFont"/>
    <w:link w:val="MBPoint"/>
    <w:rsid w:val="000743B9"/>
    <w:rPr>
      <w:rFonts w:cs="Times New Roman"/>
      <w:szCs w:val="24"/>
    </w:rPr>
  </w:style>
  <w:style w:type="paragraph" w:customStyle="1" w:styleId="acthead5">
    <w:name w:val="acthead5"/>
    <w:basedOn w:val="Normal"/>
    <w:rsid w:val="006D14BA"/>
    <w:pPr>
      <w:spacing w:before="100" w:beforeAutospacing="1" w:after="100" w:afterAutospacing="1" w:line="240" w:lineRule="auto"/>
    </w:pPr>
    <w:rPr>
      <w:rFonts w:eastAsia="Times New Roman" w:cs="Times New Roman"/>
      <w:szCs w:val="24"/>
      <w:lang w:eastAsia="en-AU"/>
    </w:rPr>
  </w:style>
  <w:style w:type="character" w:customStyle="1" w:styleId="charsectno">
    <w:name w:val="charsectno"/>
    <w:basedOn w:val="DefaultParagraphFont"/>
    <w:rsid w:val="006D14BA"/>
  </w:style>
  <w:style w:type="paragraph" w:customStyle="1" w:styleId="notetext">
    <w:name w:val="notetext"/>
    <w:basedOn w:val="Normal"/>
    <w:rsid w:val="006D14BA"/>
    <w:pPr>
      <w:spacing w:before="100" w:beforeAutospacing="1" w:after="100" w:afterAutospacing="1" w:line="240" w:lineRule="auto"/>
    </w:pPr>
    <w:rPr>
      <w:rFonts w:eastAsia="Times New Roman" w:cs="Times New Roman"/>
      <w:szCs w:val="24"/>
      <w:lang w:eastAsia="en-AU"/>
    </w:rPr>
  </w:style>
  <w:style w:type="character" w:customStyle="1" w:styleId="CharDivText">
    <w:name w:val="CharDivText"/>
    <w:basedOn w:val="DefaultParagraphFont"/>
    <w:qFormat/>
    <w:rsid w:val="00240B63"/>
  </w:style>
  <w:style w:type="character" w:customStyle="1" w:styleId="CharPartNo">
    <w:name w:val="CharPartNo"/>
    <w:basedOn w:val="DefaultParagraphFont"/>
    <w:qFormat/>
    <w:rsid w:val="00240B63"/>
  </w:style>
  <w:style w:type="paragraph" w:customStyle="1" w:styleId="ActHead3">
    <w:name w:val="ActHead 3"/>
    <w:aliases w:val="d"/>
    <w:basedOn w:val="Normal"/>
    <w:next w:val="Normal"/>
    <w:qFormat/>
    <w:rsid w:val="009B1528"/>
    <w:pPr>
      <w:keepNext/>
      <w:keepLines/>
      <w:spacing w:before="240" w:after="0" w:line="240" w:lineRule="auto"/>
      <w:ind w:left="1134" w:hanging="1134"/>
      <w:outlineLvl w:val="2"/>
    </w:pPr>
    <w:rPr>
      <w:rFonts w:eastAsia="Times New Roman" w:cs="Times New Roman"/>
      <w:b/>
      <w:kern w:val="28"/>
      <w:sz w:val="28"/>
      <w:szCs w:val="20"/>
      <w:lang w:eastAsia="en-AU"/>
    </w:rPr>
  </w:style>
  <w:style w:type="character" w:customStyle="1" w:styleId="CharDivNo">
    <w:name w:val="CharDivNo"/>
    <w:basedOn w:val="DefaultParagraphFont"/>
    <w:qFormat/>
    <w:rsid w:val="009B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71962">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50230551">
      <w:bodyDiv w:val="1"/>
      <w:marLeft w:val="0"/>
      <w:marRight w:val="0"/>
      <w:marTop w:val="0"/>
      <w:marBottom w:val="0"/>
      <w:divBdr>
        <w:top w:val="none" w:sz="0" w:space="0" w:color="auto"/>
        <w:left w:val="none" w:sz="0" w:space="0" w:color="auto"/>
        <w:bottom w:val="none" w:sz="0" w:space="0" w:color="auto"/>
        <w:right w:val="none" w:sz="0" w:space="0" w:color="auto"/>
      </w:divBdr>
    </w:div>
    <w:div w:id="525605112">
      <w:bodyDiv w:val="1"/>
      <w:marLeft w:val="0"/>
      <w:marRight w:val="0"/>
      <w:marTop w:val="0"/>
      <w:marBottom w:val="0"/>
      <w:divBdr>
        <w:top w:val="none" w:sz="0" w:space="0" w:color="auto"/>
        <w:left w:val="none" w:sz="0" w:space="0" w:color="auto"/>
        <w:bottom w:val="none" w:sz="0" w:space="0" w:color="auto"/>
        <w:right w:val="none" w:sz="0" w:space="0" w:color="auto"/>
      </w:divBdr>
    </w:div>
    <w:div w:id="545987541">
      <w:bodyDiv w:val="1"/>
      <w:marLeft w:val="0"/>
      <w:marRight w:val="0"/>
      <w:marTop w:val="0"/>
      <w:marBottom w:val="0"/>
      <w:divBdr>
        <w:top w:val="none" w:sz="0" w:space="0" w:color="auto"/>
        <w:left w:val="none" w:sz="0" w:space="0" w:color="auto"/>
        <w:bottom w:val="none" w:sz="0" w:space="0" w:color="auto"/>
        <w:right w:val="none" w:sz="0" w:space="0" w:color="auto"/>
      </w:divBdr>
    </w:div>
    <w:div w:id="590545243">
      <w:bodyDiv w:val="1"/>
      <w:marLeft w:val="0"/>
      <w:marRight w:val="0"/>
      <w:marTop w:val="0"/>
      <w:marBottom w:val="0"/>
      <w:divBdr>
        <w:top w:val="none" w:sz="0" w:space="0" w:color="auto"/>
        <w:left w:val="none" w:sz="0" w:space="0" w:color="auto"/>
        <w:bottom w:val="none" w:sz="0" w:space="0" w:color="auto"/>
        <w:right w:val="none" w:sz="0" w:space="0" w:color="auto"/>
      </w:divBdr>
    </w:div>
    <w:div w:id="781073732">
      <w:bodyDiv w:val="1"/>
      <w:marLeft w:val="0"/>
      <w:marRight w:val="0"/>
      <w:marTop w:val="0"/>
      <w:marBottom w:val="0"/>
      <w:divBdr>
        <w:top w:val="none" w:sz="0" w:space="0" w:color="auto"/>
        <w:left w:val="none" w:sz="0" w:space="0" w:color="auto"/>
        <w:bottom w:val="none" w:sz="0" w:space="0" w:color="auto"/>
        <w:right w:val="none" w:sz="0" w:space="0" w:color="auto"/>
      </w:divBdr>
    </w:div>
    <w:div w:id="933631730">
      <w:bodyDiv w:val="1"/>
      <w:marLeft w:val="0"/>
      <w:marRight w:val="0"/>
      <w:marTop w:val="0"/>
      <w:marBottom w:val="0"/>
      <w:divBdr>
        <w:top w:val="none" w:sz="0" w:space="0" w:color="auto"/>
        <w:left w:val="none" w:sz="0" w:space="0" w:color="auto"/>
        <w:bottom w:val="none" w:sz="0" w:space="0" w:color="auto"/>
        <w:right w:val="none" w:sz="0" w:space="0" w:color="auto"/>
      </w:divBdr>
    </w:div>
    <w:div w:id="1123424334">
      <w:bodyDiv w:val="1"/>
      <w:marLeft w:val="0"/>
      <w:marRight w:val="0"/>
      <w:marTop w:val="0"/>
      <w:marBottom w:val="0"/>
      <w:divBdr>
        <w:top w:val="none" w:sz="0" w:space="0" w:color="auto"/>
        <w:left w:val="none" w:sz="0" w:space="0" w:color="auto"/>
        <w:bottom w:val="none" w:sz="0" w:space="0" w:color="auto"/>
        <w:right w:val="none" w:sz="0" w:space="0" w:color="auto"/>
      </w:divBdr>
    </w:div>
    <w:div w:id="1268149593">
      <w:bodyDiv w:val="1"/>
      <w:marLeft w:val="0"/>
      <w:marRight w:val="0"/>
      <w:marTop w:val="0"/>
      <w:marBottom w:val="0"/>
      <w:divBdr>
        <w:top w:val="none" w:sz="0" w:space="0" w:color="auto"/>
        <w:left w:val="none" w:sz="0" w:space="0" w:color="auto"/>
        <w:bottom w:val="none" w:sz="0" w:space="0" w:color="auto"/>
        <w:right w:val="none" w:sz="0" w:space="0" w:color="auto"/>
      </w:divBdr>
    </w:div>
    <w:div w:id="1547913616">
      <w:bodyDiv w:val="1"/>
      <w:marLeft w:val="0"/>
      <w:marRight w:val="0"/>
      <w:marTop w:val="0"/>
      <w:marBottom w:val="0"/>
      <w:divBdr>
        <w:top w:val="none" w:sz="0" w:space="0" w:color="auto"/>
        <w:left w:val="none" w:sz="0" w:space="0" w:color="auto"/>
        <w:bottom w:val="none" w:sz="0" w:space="0" w:color="auto"/>
        <w:right w:val="none" w:sz="0" w:space="0" w:color="auto"/>
      </w:divBdr>
      <w:divsChild>
        <w:div w:id="1427770811">
          <w:marLeft w:val="0"/>
          <w:marRight w:val="0"/>
          <w:marTop w:val="0"/>
          <w:marBottom w:val="0"/>
          <w:divBdr>
            <w:top w:val="none" w:sz="0" w:space="0" w:color="auto"/>
            <w:left w:val="none" w:sz="0" w:space="0" w:color="auto"/>
            <w:bottom w:val="none" w:sz="0" w:space="0" w:color="auto"/>
            <w:right w:val="none" w:sz="0" w:space="0" w:color="auto"/>
          </w:divBdr>
        </w:div>
      </w:divsChild>
    </w:div>
    <w:div w:id="1594780066">
      <w:bodyDiv w:val="1"/>
      <w:marLeft w:val="0"/>
      <w:marRight w:val="0"/>
      <w:marTop w:val="0"/>
      <w:marBottom w:val="0"/>
      <w:divBdr>
        <w:top w:val="none" w:sz="0" w:space="0" w:color="auto"/>
        <w:left w:val="none" w:sz="0" w:space="0" w:color="auto"/>
        <w:bottom w:val="none" w:sz="0" w:space="0" w:color="auto"/>
        <w:right w:val="none" w:sz="0" w:space="0" w:color="auto"/>
      </w:divBdr>
    </w:div>
    <w:div w:id="1995601486">
      <w:bodyDiv w:val="1"/>
      <w:marLeft w:val="0"/>
      <w:marRight w:val="0"/>
      <w:marTop w:val="0"/>
      <w:marBottom w:val="0"/>
      <w:divBdr>
        <w:top w:val="none" w:sz="0" w:space="0" w:color="auto"/>
        <w:left w:val="none" w:sz="0" w:space="0" w:color="auto"/>
        <w:bottom w:val="none" w:sz="0" w:space="0" w:color="auto"/>
        <w:right w:val="none" w:sz="0" w:space="0" w:color="auto"/>
      </w:divBdr>
      <w:divsChild>
        <w:div w:id="97885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99ED96B-DAA9-4919-9496-24137AAE8E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38057EA04109045A4295464960635FC" ma:contentTypeVersion="" ma:contentTypeDescription="PDMS Document Site Content Type" ma:contentTypeScope="" ma:versionID="21cda227af2614520e91a9b1a309c61a">
  <xsd:schema xmlns:xsd="http://www.w3.org/2001/XMLSchema" xmlns:xs="http://www.w3.org/2001/XMLSchema" xmlns:p="http://schemas.microsoft.com/office/2006/metadata/properties" xmlns:ns2="C99ED96B-DAA9-4919-9496-24137AAE8E98" targetNamespace="http://schemas.microsoft.com/office/2006/metadata/properties" ma:root="true" ma:fieldsID="d9598d1ae5bc9feb01c53626503e6804" ns2:_="">
    <xsd:import namespace="C99ED96B-DAA9-4919-9496-24137AAE8E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D96B-DAA9-4919-9496-24137AAE8E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B282D-E5A5-472E-8FA3-AF2ECB5E1B19}">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schemas.microsoft.com/office/2006/metadata/properties"/>
    <ds:schemaRef ds:uri="http://purl.org/dc/elements/1.1/"/>
    <ds:schemaRef ds:uri="http://schemas.microsoft.com/office/infopath/2007/PartnerControls"/>
    <ds:schemaRef ds:uri="http://purl.org/dc/terms/"/>
    <ds:schemaRef ds:uri="C99ED96B-DAA9-4919-9496-24137AAE8E98"/>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8487918-485D-46AB-97F2-591FBE8A5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D96B-DAA9-4919-9496-24137AAE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2812</Words>
  <Characters>16030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BAKER,Fiona</cp:lastModifiedBy>
  <cp:revision>2</cp:revision>
  <cp:lastPrinted>2019-11-17T23:12:00Z</cp:lastPrinted>
  <dcterms:created xsi:type="dcterms:W3CDTF">2022-03-17T22:13:00Z</dcterms:created>
  <dcterms:modified xsi:type="dcterms:W3CDTF">2022-03-17T22:13:00Z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0x010100266966F133664895A6EE3632470D45F500338057EA04109045A4295464960635FC</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