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A1D66" w14:textId="1512D5D9" w:rsidR="00715914" w:rsidRPr="005F1388" w:rsidRDefault="00DA186E" w:rsidP="00715914">
      <w:pPr>
        <w:rPr>
          <w:sz w:val="28"/>
        </w:rPr>
      </w:pPr>
      <w:r>
        <w:rPr>
          <w:noProof/>
          <w:lang w:eastAsia="en-AU"/>
        </w:rPr>
        <w:drawing>
          <wp:anchor distT="0" distB="0" distL="114300" distR="114300" simplePos="0" relativeHeight="251658240" behindDoc="0" locked="0" layoutInCell="1" allowOverlap="1" wp14:anchorId="2BC9595D" wp14:editId="28D8827E">
            <wp:simplePos x="1143000" y="1419225"/>
            <wp:positionH relativeFrom="column">
              <wp:align>left</wp:align>
            </wp:positionH>
            <wp:positionV relativeFrom="paragraph">
              <wp:align>top</wp:align>
            </wp:positionV>
            <wp:extent cx="1503328" cy="1105200"/>
            <wp:effectExtent l="0" t="0" r="1905" b="0"/>
            <wp:wrapSquare wrapText="bothSides"/>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anchor>
        </w:drawing>
      </w:r>
      <w:r w:rsidR="005B0D94">
        <w:rPr>
          <w:sz w:val="28"/>
        </w:rPr>
        <w:br w:type="textWrapping" w:clear="all"/>
      </w:r>
    </w:p>
    <w:p w14:paraId="2906AA06" w14:textId="77777777" w:rsidR="00715914" w:rsidRPr="00E500D4" w:rsidRDefault="00715914" w:rsidP="00715914">
      <w:pPr>
        <w:rPr>
          <w:sz w:val="19"/>
        </w:rPr>
      </w:pPr>
    </w:p>
    <w:p w14:paraId="7FB56518" w14:textId="0CC4642C" w:rsidR="00554826" w:rsidRPr="00E500D4" w:rsidRDefault="006C70C5" w:rsidP="00554826">
      <w:pPr>
        <w:pStyle w:val="ShortT"/>
      </w:pPr>
      <w:r>
        <w:t>Higher Education Support</w:t>
      </w:r>
      <w:r w:rsidR="00554826" w:rsidRPr="00DA182D">
        <w:t xml:space="preserve"> </w:t>
      </w:r>
      <w:r w:rsidR="00554826">
        <w:t>(</w:t>
      </w:r>
      <w:r>
        <w:t>Student Services, Amenities, Representation and Advocacy</w:t>
      </w:r>
      <w:r w:rsidR="00554826">
        <w:t xml:space="preserve">) </w:t>
      </w:r>
      <w:r w:rsidR="00A95397">
        <w:t>Guidelines</w:t>
      </w:r>
      <w:r w:rsidR="00A95397" w:rsidRPr="006C70C5">
        <w:t xml:space="preserve"> </w:t>
      </w:r>
      <w:r w:rsidRPr="006C70C5">
        <w:t>202</w:t>
      </w:r>
      <w:r w:rsidR="00B81ADB">
        <w:t>2</w:t>
      </w:r>
    </w:p>
    <w:p w14:paraId="6CF43D68" w14:textId="3BAE9486" w:rsidR="00554826" w:rsidRPr="00DA182D" w:rsidRDefault="00554826" w:rsidP="00554826">
      <w:pPr>
        <w:pStyle w:val="SignCoverPageStart"/>
        <w:spacing w:before="240"/>
        <w:ind w:right="91"/>
        <w:rPr>
          <w:szCs w:val="22"/>
        </w:rPr>
      </w:pPr>
      <w:r w:rsidRPr="00DA182D">
        <w:rPr>
          <w:szCs w:val="22"/>
        </w:rPr>
        <w:t xml:space="preserve">I, </w:t>
      </w:r>
      <w:r w:rsidR="006D5A12">
        <w:rPr>
          <w:szCs w:val="22"/>
        </w:rPr>
        <w:t>Stuart Robert</w:t>
      </w:r>
      <w:r w:rsidRPr="00DA182D">
        <w:rPr>
          <w:szCs w:val="22"/>
        </w:rPr>
        <w:t xml:space="preserve">, </w:t>
      </w:r>
      <w:r w:rsidR="006C70C5">
        <w:rPr>
          <w:szCs w:val="22"/>
        </w:rPr>
        <w:t xml:space="preserve">Minister for </w:t>
      </w:r>
      <w:r w:rsidR="006D5A12">
        <w:rPr>
          <w:szCs w:val="22"/>
        </w:rPr>
        <w:t>Employment, Workforce, Skills, Small and Family Business</w:t>
      </w:r>
      <w:r w:rsidRPr="00DA182D">
        <w:rPr>
          <w:szCs w:val="22"/>
        </w:rPr>
        <w:t xml:space="preserve">, </w:t>
      </w:r>
      <w:r>
        <w:rPr>
          <w:szCs w:val="22"/>
        </w:rPr>
        <w:t xml:space="preserve">make the following </w:t>
      </w:r>
      <w:r w:rsidR="006C70C5">
        <w:rPr>
          <w:szCs w:val="22"/>
        </w:rPr>
        <w:t>guidelines</w:t>
      </w:r>
      <w:r w:rsidRPr="00DA182D">
        <w:rPr>
          <w:szCs w:val="22"/>
        </w:rPr>
        <w:t>.</w:t>
      </w:r>
    </w:p>
    <w:p w14:paraId="70E4AA00" w14:textId="6307DD08"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sidR="002F22C5">
        <w:rPr>
          <w:szCs w:val="22"/>
        </w:rPr>
        <w:t>1</w:t>
      </w:r>
      <w:r w:rsidR="003D0249">
        <w:rPr>
          <w:szCs w:val="22"/>
        </w:rPr>
        <w:t>7</w:t>
      </w:r>
      <w:r w:rsidR="002F22C5">
        <w:rPr>
          <w:szCs w:val="22"/>
        </w:rPr>
        <w:t xml:space="preserve"> March 2022</w:t>
      </w:r>
      <w:r>
        <w:rPr>
          <w:szCs w:val="22"/>
        </w:rPr>
        <w:tab/>
      </w:r>
      <w:r w:rsidRPr="00001A63">
        <w:rPr>
          <w:szCs w:val="22"/>
        </w:rPr>
        <w:tab/>
      </w:r>
    </w:p>
    <w:p w14:paraId="0F5ABF82" w14:textId="4335B6C2" w:rsidR="00554826" w:rsidRDefault="006D5A12" w:rsidP="00554826">
      <w:pPr>
        <w:keepNext/>
        <w:tabs>
          <w:tab w:val="left" w:pos="3402"/>
        </w:tabs>
        <w:spacing w:before="1440" w:line="300" w:lineRule="atLeast"/>
        <w:ind w:right="397"/>
        <w:rPr>
          <w:b/>
          <w:szCs w:val="22"/>
        </w:rPr>
      </w:pPr>
      <w:r>
        <w:rPr>
          <w:szCs w:val="22"/>
        </w:rPr>
        <w:t>Stuart Robert</w:t>
      </w:r>
      <w:r w:rsidR="00554826" w:rsidRPr="00A75FE9">
        <w:rPr>
          <w:szCs w:val="22"/>
        </w:rPr>
        <w:t xml:space="preserve"> </w:t>
      </w:r>
    </w:p>
    <w:p w14:paraId="27719B4C" w14:textId="017A0FC1" w:rsidR="00554826" w:rsidRPr="008E0027" w:rsidRDefault="006C70C5" w:rsidP="00554826">
      <w:pPr>
        <w:pStyle w:val="SignCoverPageEnd"/>
        <w:ind w:right="91"/>
        <w:rPr>
          <w:sz w:val="22"/>
        </w:rPr>
      </w:pPr>
      <w:r>
        <w:rPr>
          <w:sz w:val="22"/>
        </w:rPr>
        <w:t xml:space="preserve">Minister for </w:t>
      </w:r>
      <w:r w:rsidR="006D5A12">
        <w:rPr>
          <w:sz w:val="22"/>
        </w:rPr>
        <w:t>Employment, Workforce, Skills, Small and Family Business</w:t>
      </w:r>
      <w:r>
        <w:rPr>
          <w:sz w:val="22"/>
        </w:rPr>
        <w:t xml:space="preserve"> </w:t>
      </w:r>
    </w:p>
    <w:p w14:paraId="4C5F6782" w14:textId="77777777" w:rsidR="00554826" w:rsidRDefault="00554826" w:rsidP="00554826"/>
    <w:p w14:paraId="0312C936" w14:textId="77777777" w:rsidR="00554826" w:rsidRPr="00ED79B6" w:rsidRDefault="00554826" w:rsidP="00554826"/>
    <w:p w14:paraId="02BDCE13" w14:textId="77777777" w:rsidR="00F6696E" w:rsidRDefault="00F6696E" w:rsidP="00F6696E"/>
    <w:p w14:paraId="46975DE2" w14:textId="77777777"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37F993AB" w14:textId="77777777" w:rsidR="007500C8" w:rsidRDefault="00715914" w:rsidP="00715914">
      <w:pPr>
        <w:outlineLvl w:val="0"/>
        <w:rPr>
          <w:sz w:val="36"/>
        </w:rPr>
      </w:pPr>
      <w:r w:rsidRPr="007A1328">
        <w:rPr>
          <w:sz w:val="36"/>
        </w:rPr>
        <w:lastRenderedPageBreak/>
        <w:t>Contents</w:t>
      </w:r>
    </w:p>
    <w:p w14:paraId="4C4219D0" w14:textId="6644F5C9" w:rsidR="005B3A66" w:rsidRDefault="00B418CB">
      <w:pPr>
        <w:pStyle w:val="TOC6"/>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5B3A66">
        <w:rPr>
          <w:noProof/>
        </w:rPr>
        <w:t>Part 1 – Introduction</w:t>
      </w:r>
      <w:r w:rsidR="005B3A66">
        <w:rPr>
          <w:noProof/>
        </w:rPr>
        <w:tab/>
      </w:r>
      <w:r w:rsidR="005B3A66">
        <w:rPr>
          <w:noProof/>
        </w:rPr>
        <w:fldChar w:fldCharType="begin"/>
      </w:r>
      <w:r w:rsidR="005B3A66">
        <w:rPr>
          <w:noProof/>
        </w:rPr>
        <w:instrText xml:space="preserve"> PAGEREF _Toc96606193 \h </w:instrText>
      </w:r>
      <w:r w:rsidR="005B3A66">
        <w:rPr>
          <w:noProof/>
        </w:rPr>
      </w:r>
      <w:r w:rsidR="005B3A66">
        <w:rPr>
          <w:noProof/>
        </w:rPr>
        <w:fldChar w:fldCharType="separate"/>
      </w:r>
      <w:r w:rsidR="005B3A66">
        <w:rPr>
          <w:noProof/>
        </w:rPr>
        <w:t>1</w:t>
      </w:r>
      <w:r w:rsidR="005B3A66">
        <w:rPr>
          <w:noProof/>
        </w:rPr>
        <w:fldChar w:fldCharType="end"/>
      </w:r>
    </w:p>
    <w:p w14:paraId="1EE5299D" w14:textId="5B32C9A3" w:rsidR="005B3A66" w:rsidRDefault="005B3A66">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_Toc96606194 \h </w:instrText>
      </w:r>
      <w:r>
        <w:rPr>
          <w:noProof/>
        </w:rPr>
      </w:r>
      <w:r>
        <w:rPr>
          <w:noProof/>
        </w:rPr>
        <w:fldChar w:fldCharType="separate"/>
      </w:r>
      <w:r>
        <w:rPr>
          <w:noProof/>
        </w:rPr>
        <w:t>1</w:t>
      </w:r>
      <w:r>
        <w:rPr>
          <w:noProof/>
        </w:rPr>
        <w:fldChar w:fldCharType="end"/>
      </w:r>
    </w:p>
    <w:p w14:paraId="587A38D6" w14:textId="57C1D2DB" w:rsidR="005B3A66" w:rsidRDefault="005B3A6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_Toc96606195 \h </w:instrText>
      </w:r>
      <w:r>
        <w:rPr>
          <w:noProof/>
        </w:rPr>
      </w:r>
      <w:r>
        <w:rPr>
          <w:noProof/>
        </w:rPr>
        <w:fldChar w:fldCharType="separate"/>
      </w:r>
      <w:r>
        <w:rPr>
          <w:noProof/>
        </w:rPr>
        <w:t>1</w:t>
      </w:r>
      <w:r>
        <w:rPr>
          <w:noProof/>
        </w:rPr>
        <w:fldChar w:fldCharType="end"/>
      </w:r>
    </w:p>
    <w:p w14:paraId="63E34A8C" w14:textId="785FBFD4" w:rsidR="005B3A66" w:rsidRDefault="005B3A6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_Toc96606196 \h </w:instrText>
      </w:r>
      <w:r>
        <w:rPr>
          <w:noProof/>
        </w:rPr>
      </w:r>
      <w:r>
        <w:rPr>
          <w:noProof/>
        </w:rPr>
        <w:fldChar w:fldCharType="separate"/>
      </w:r>
      <w:r>
        <w:rPr>
          <w:noProof/>
        </w:rPr>
        <w:t>1</w:t>
      </w:r>
      <w:r>
        <w:rPr>
          <w:noProof/>
        </w:rPr>
        <w:fldChar w:fldCharType="end"/>
      </w:r>
    </w:p>
    <w:p w14:paraId="21AFD0C7" w14:textId="2DEA84EF" w:rsidR="005B3A66" w:rsidRDefault="005B3A66">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_Toc96606197 \h </w:instrText>
      </w:r>
      <w:r>
        <w:rPr>
          <w:noProof/>
        </w:rPr>
      </w:r>
      <w:r>
        <w:rPr>
          <w:noProof/>
        </w:rPr>
        <w:fldChar w:fldCharType="separate"/>
      </w:r>
      <w:r>
        <w:rPr>
          <w:noProof/>
        </w:rPr>
        <w:t>1</w:t>
      </w:r>
      <w:r>
        <w:rPr>
          <w:noProof/>
        </w:rPr>
        <w:fldChar w:fldCharType="end"/>
      </w:r>
    </w:p>
    <w:p w14:paraId="70E915B1" w14:textId="6811A267" w:rsidR="005B3A66" w:rsidRDefault="005B3A66">
      <w:pPr>
        <w:pStyle w:val="TOC5"/>
        <w:rPr>
          <w:rFonts w:asciiTheme="minorHAnsi" w:eastAsiaTheme="minorEastAsia" w:hAnsiTheme="minorHAnsi" w:cstheme="minorBidi"/>
          <w:noProof/>
          <w:kern w:val="0"/>
          <w:sz w:val="22"/>
          <w:szCs w:val="22"/>
        </w:rPr>
      </w:pPr>
      <w:r>
        <w:rPr>
          <w:noProof/>
        </w:rPr>
        <w:t>5  Schedule</w:t>
      </w:r>
      <w:r>
        <w:rPr>
          <w:noProof/>
        </w:rPr>
        <w:tab/>
      </w:r>
      <w:r>
        <w:rPr>
          <w:noProof/>
        </w:rPr>
        <w:fldChar w:fldCharType="begin"/>
      </w:r>
      <w:r>
        <w:rPr>
          <w:noProof/>
        </w:rPr>
        <w:instrText xml:space="preserve"> PAGEREF _Toc96606198 \h </w:instrText>
      </w:r>
      <w:r>
        <w:rPr>
          <w:noProof/>
        </w:rPr>
      </w:r>
      <w:r>
        <w:rPr>
          <w:noProof/>
        </w:rPr>
        <w:fldChar w:fldCharType="separate"/>
      </w:r>
      <w:r>
        <w:rPr>
          <w:noProof/>
        </w:rPr>
        <w:t>1</w:t>
      </w:r>
      <w:r>
        <w:rPr>
          <w:noProof/>
        </w:rPr>
        <w:fldChar w:fldCharType="end"/>
      </w:r>
    </w:p>
    <w:p w14:paraId="38F2185E" w14:textId="539030F8" w:rsidR="005B3A66" w:rsidRDefault="005B3A66">
      <w:pPr>
        <w:pStyle w:val="TOC5"/>
        <w:rPr>
          <w:rFonts w:asciiTheme="minorHAnsi" w:eastAsiaTheme="minorEastAsia" w:hAnsiTheme="minorHAnsi" w:cstheme="minorBidi"/>
          <w:noProof/>
          <w:kern w:val="0"/>
          <w:sz w:val="22"/>
          <w:szCs w:val="22"/>
        </w:rPr>
      </w:pPr>
      <w:r>
        <w:rPr>
          <w:noProof/>
        </w:rPr>
        <w:t>6  Outline</w:t>
      </w:r>
      <w:r>
        <w:rPr>
          <w:noProof/>
        </w:rPr>
        <w:tab/>
      </w:r>
      <w:r>
        <w:rPr>
          <w:noProof/>
        </w:rPr>
        <w:fldChar w:fldCharType="begin"/>
      </w:r>
      <w:r>
        <w:rPr>
          <w:noProof/>
        </w:rPr>
        <w:instrText xml:space="preserve"> PAGEREF _Toc96606199 \h </w:instrText>
      </w:r>
      <w:r>
        <w:rPr>
          <w:noProof/>
        </w:rPr>
      </w:r>
      <w:r>
        <w:rPr>
          <w:noProof/>
        </w:rPr>
        <w:fldChar w:fldCharType="separate"/>
      </w:r>
      <w:r>
        <w:rPr>
          <w:noProof/>
        </w:rPr>
        <w:t>2</w:t>
      </w:r>
      <w:r>
        <w:rPr>
          <w:noProof/>
        </w:rPr>
        <w:fldChar w:fldCharType="end"/>
      </w:r>
    </w:p>
    <w:p w14:paraId="3A9DABBC" w14:textId="68CC81D0" w:rsidR="005B3A66" w:rsidRDefault="005B3A66">
      <w:pPr>
        <w:pStyle w:val="TOC6"/>
        <w:rPr>
          <w:rFonts w:asciiTheme="minorHAnsi" w:eastAsiaTheme="minorEastAsia" w:hAnsiTheme="minorHAnsi" w:cstheme="minorBidi"/>
          <w:b w:val="0"/>
          <w:noProof/>
          <w:kern w:val="0"/>
          <w:sz w:val="22"/>
          <w:szCs w:val="22"/>
        </w:rPr>
      </w:pPr>
      <w:r>
        <w:rPr>
          <w:noProof/>
        </w:rPr>
        <w:t xml:space="preserve">Part 2 – Requirements </w:t>
      </w:r>
      <w:r w:rsidRPr="00A91390">
        <w:rPr>
          <w:noProof/>
          <w:color w:val="000000"/>
        </w:rPr>
        <w:t>for providing students with information about, and access to, services</w:t>
      </w:r>
      <w:r>
        <w:rPr>
          <w:noProof/>
        </w:rPr>
        <w:tab/>
      </w:r>
      <w:r>
        <w:rPr>
          <w:noProof/>
        </w:rPr>
        <w:fldChar w:fldCharType="begin"/>
      </w:r>
      <w:r>
        <w:rPr>
          <w:noProof/>
        </w:rPr>
        <w:instrText xml:space="preserve"> PAGEREF _Toc96606200 \h </w:instrText>
      </w:r>
      <w:r>
        <w:rPr>
          <w:noProof/>
        </w:rPr>
      </w:r>
      <w:r>
        <w:rPr>
          <w:noProof/>
        </w:rPr>
        <w:fldChar w:fldCharType="separate"/>
      </w:r>
      <w:r>
        <w:rPr>
          <w:noProof/>
        </w:rPr>
        <w:t>3</w:t>
      </w:r>
      <w:r>
        <w:rPr>
          <w:noProof/>
        </w:rPr>
        <w:fldChar w:fldCharType="end"/>
      </w:r>
    </w:p>
    <w:p w14:paraId="4DD2201D" w14:textId="4B5ADE1F" w:rsidR="005B3A66" w:rsidRDefault="005B3A66">
      <w:pPr>
        <w:pStyle w:val="TOC5"/>
        <w:rPr>
          <w:rFonts w:asciiTheme="minorHAnsi" w:eastAsiaTheme="minorEastAsia" w:hAnsiTheme="minorHAnsi" w:cstheme="minorBidi"/>
          <w:noProof/>
          <w:kern w:val="0"/>
          <w:sz w:val="22"/>
          <w:szCs w:val="22"/>
        </w:rPr>
      </w:pPr>
      <w:r>
        <w:rPr>
          <w:noProof/>
        </w:rPr>
        <w:t>7  Orientation</w:t>
      </w:r>
      <w:r>
        <w:rPr>
          <w:noProof/>
        </w:rPr>
        <w:tab/>
      </w:r>
      <w:r>
        <w:rPr>
          <w:noProof/>
        </w:rPr>
        <w:fldChar w:fldCharType="begin"/>
      </w:r>
      <w:r>
        <w:rPr>
          <w:noProof/>
        </w:rPr>
        <w:instrText xml:space="preserve"> PAGEREF _Toc96606201 \h </w:instrText>
      </w:r>
      <w:r>
        <w:rPr>
          <w:noProof/>
        </w:rPr>
      </w:r>
      <w:r>
        <w:rPr>
          <w:noProof/>
        </w:rPr>
        <w:fldChar w:fldCharType="separate"/>
      </w:r>
      <w:r>
        <w:rPr>
          <w:noProof/>
        </w:rPr>
        <w:t>3</w:t>
      </w:r>
      <w:r>
        <w:rPr>
          <w:noProof/>
        </w:rPr>
        <w:fldChar w:fldCharType="end"/>
      </w:r>
    </w:p>
    <w:p w14:paraId="1126EA0E" w14:textId="06D23432" w:rsidR="005B3A66" w:rsidRDefault="005B3A66">
      <w:pPr>
        <w:pStyle w:val="TOC5"/>
        <w:rPr>
          <w:rFonts w:asciiTheme="minorHAnsi" w:eastAsiaTheme="minorEastAsia" w:hAnsiTheme="minorHAnsi" w:cstheme="minorBidi"/>
          <w:noProof/>
          <w:kern w:val="0"/>
          <w:sz w:val="22"/>
          <w:szCs w:val="22"/>
        </w:rPr>
      </w:pPr>
      <w:r>
        <w:rPr>
          <w:noProof/>
        </w:rPr>
        <w:t>8  Services</w:t>
      </w:r>
      <w:r>
        <w:rPr>
          <w:noProof/>
        </w:rPr>
        <w:tab/>
      </w:r>
      <w:r>
        <w:rPr>
          <w:noProof/>
        </w:rPr>
        <w:fldChar w:fldCharType="begin"/>
      </w:r>
      <w:r>
        <w:rPr>
          <w:noProof/>
        </w:rPr>
        <w:instrText xml:space="preserve"> PAGEREF _Toc96606202 \h </w:instrText>
      </w:r>
      <w:r>
        <w:rPr>
          <w:noProof/>
        </w:rPr>
      </w:r>
      <w:r>
        <w:rPr>
          <w:noProof/>
        </w:rPr>
        <w:fldChar w:fldCharType="separate"/>
      </w:r>
      <w:r>
        <w:rPr>
          <w:noProof/>
        </w:rPr>
        <w:t>3</w:t>
      </w:r>
      <w:r>
        <w:rPr>
          <w:noProof/>
        </w:rPr>
        <w:fldChar w:fldCharType="end"/>
      </w:r>
    </w:p>
    <w:p w14:paraId="1CEDD5AF" w14:textId="6B6DB5E4" w:rsidR="005B3A66" w:rsidRDefault="005B3A66">
      <w:pPr>
        <w:pStyle w:val="TOC5"/>
        <w:rPr>
          <w:rFonts w:asciiTheme="minorHAnsi" w:eastAsiaTheme="minorEastAsia" w:hAnsiTheme="minorHAnsi" w:cstheme="minorBidi"/>
          <w:noProof/>
          <w:kern w:val="0"/>
          <w:sz w:val="22"/>
          <w:szCs w:val="22"/>
        </w:rPr>
      </w:pPr>
      <w:r>
        <w:rPr>
          <w:noProof/>
        </w:rPr>
        <w:t>9  Provision of services</w:t>
      </w:r>
      <w:r>
        <w:rPr>
          <w:noProof/>
        </w:rPr>
        <w:tab/>
      </w:r>
      <w:r>
        <w:rPr>
          <w:noProof/>
        </w:rPr>
        <w:fldChar w:fldCharType="begin"/>
      </w:r>
      <w:r>
        <w:rPr>
          <w:noProof/>
        </w:rPr>
        <w:instrText xml:space="preserve"> PAGEREF _Toc96606203 \h </w:instrText>
      </w:r>
      <w:r>
        <w:rPr>
          <w:noProof/>
        </w:rPr>
      </w:r>
      <w:r>
        <w:rPr>
          <w:noProof/>
        </w:rPr>
        <w:fldChar w:fldCharType="separate"/>
      </w:r>
      <w:r>
        <w:rPr>
          <w:noProof/>
        </w:rPr>
        <w:t>4</w:t>
      </w:r>
      <w:r>
        <w:rPr>
          <w:noProof/>
        </w:rPr>
        <w:fldChar w:fldCharType="end"/>
      </w:r>
    </w:p>
    <w:p w14:paraId="6B2B4FB2" w14:textId="3DB6566C" w:rsidR="005B3A66" w:rsidRDefault="005B3A66">
      <w:pPr>
        <w:pStyle w:val="TOC5"/>
        <w:rPr>
          <w:rFonts w:asciiTheme="minorHAnsi" w:eastAsiaTheme="minorEastAsia" w:hAnsiTheme="minorHAnsi" w:cstheme="minorBidi"/>
          <w:noProof/>
          <w:kern w:val="0"/>
          <w:sz w:val="22"/>
          <w:szCs w:val="22"/>
        </w:rPr>
      </w:pPr>
      <w:r>
        <w:rPr>
          <w:noProof/>
        </w:rPr>
        <w:t>10  Advocacy officers</w:t>
      </w:r>
      <w:r>
        <w:rPr>
          <w:noProof/>
        </w:rPr>
        <w:tab/>
      </w:r>
      <w:r>
        <w:rPr>
          <w:noProof/>
        </w:rPr>
        <w:fldChar w:fldCharType="begin"/>
      </w:r>
      <w:r>
        <w:rPr>
          <w:noProof/>
        </w:rPr>
        <w:instrText xml:space="preserve"> PAGEREF _Toc96606204 \h </w:instrText>
      </w:r>
      <w:r>
        <w:rPr>
          <w:noProof/>
        </w:rPr>
      </w:r>
      <w:r>
        <w:rPr>
          <w:noProof/>
        </w:rPr>
        <w:fldChar w:fldCharType="separate"/>
      </w:r>
      <w:r>
        <w:rPr>
          <w:noProof/>
        </w:rPr>
        <w:t>4</w:t>
      </w:r>
      <w:r>
        <w:rPr>
          <w:noProof/>
        </w:rPr>
        <w:fldChar w:fldCharType="end"/>
      </w:r>
    </w:p>
    <w:p w14:paraId="779D578C" w14:textId="1D7BE099" w:rsidR="005B3A66" w:rsidRDefault="005B3A66">
      <w:pPr>
        <w:pStyle w:val="TOC5"/>
        <w:rPr>
          <w:rFonts w:asciiTheme="minorHAnsi" w:eastAsiaTheme="minorEastAsia" w:hAnsiTheme="minorHAnsi" w:cstheme="minorBidi"/>
          <w:noProof/>
          <w:kern w:val="0"/>
          <w:sz w:val="22"/>
          <w:szCs w:val="22"/>
        </w:rPr>
      </w:pPr>
      <w:r>
        <w:rPr>
          <w:noProof/>
        </w:rPr>
        <w:t>11  Reasonable and appropriate level of services</w:t>
      </w:r>
      <w:r>
        <w:rPr>
          <w:noProof/>
        </w:rPr>
        <w:tab/>
      </w:r>
      <w:r>
        <w:rPr>
          <w:noProof/>
        </w:rPr>
        <w:fldChar w:fldCharType="begin"/>
      </w:r>
      <w:r>
        <w:rPr>
          <w:noProof/>
        </w:rPr>
        <w:instrText xml:space="preserve"> PAGEREF _Toc96606205 \h </w:instrText>
      </w:r>
      <w:r>
        <w:rPr>
          <w:noProof/>
        </w:rPr>
      </w:r>
      <w:r>
        <w:rPr>
          <w:noProof/>
        </w:rPr>
        <w:fldChar w:fldCharType="separate"/>
      </w:r>
      <w:r>
        <w:rPr>
          <w:noProof/>
        </w:rPr>
        <w:t>4</w:t>
      </w:r>
      <w:r>
        <w:rPr>
          <w:noProof/>
        </w:rPr>
        <w:fldChar w:fldCharType="end"/>
      </w:r>
    </w:p>
    <w:p w14:paraId="6A3487AC" w14:textId="73BF45BC" w:rsidR="005B3A66" w:rsidRDefault="005B3A66">
      <w:pPr>
        <w:pStyle w:val="TOC6"/>
        <w:rPr>
          <w:rFonts w:asciiTheme="minorHAnsi" w:eastAsiaTheme="minorEastAsia" w:hAnsiTheme="minorHAnsi" w:cstheme="minorBidi"/>
          <w:b w:val="0"/>
          <w:noProof/>
          <w:kern w:val="0"/>
          <w:sz w:val="22"/>
          <w:szCs w:val="22"/>
        </w:rPr>
      </w:pPr>
      <w:r>
        <w:rPr>
          <w:noProof/>
        </w:rPr>
        <w:t xml:space="preserve">Part 3 – </w:t>
      </w:r>
      <w:r w:rsidRPr="00A91390">
        <w:rPr>
          <w:noProof/>
          <w:color w:val="000000"/>
        </w:rPr>
        <w:t>Requirements relating to the representation and advocacy of the interests of students</w:t>
      </w:r>
      <w:r>
        <w:rPr>
          <w:noProof/>
        </w:rPr>
        <w:tab/>
      </w:r>
      <w:r>
        <w:rPr>
          <w:noProof/>
        </w:rPr>
        <w:fldChar w:fldCharType="begin"/>
      </w:r>
      <w:r>
        <w:rPr>
          <w:noProof/>
        </w:rPr>
        <w:instrText xml:space="preserve"> PAGEREF _Toc96606206 \h </w:instrText>
      </w:r>
      <w:r>
        <w:rPr>
          <w:noProof/>
        </w:rPr>
      </w:r>
      <w:r>
        <w:rPr>
          <w:noProof/>
        </w:rPr>
        <w:fldChar w:fldCharType="separate"/>
      </w:r>
      <w:r>
        <w:rPr>
          <w:noProof/>
        </w:rPr>
        <w:t>5</w:t>
      </w:r>
      <w:r>
        <w:rPr>
          <w:noProof/>
        </w:rPr>
        <w:fldChar w:fldCharType="end"/>
      </w:r>
    </w:p>
    <w:p w14:paraId="7C45CE63" w14:textId="5FF6E71E" w:rsidR="005B3A66" w:rsidRDefault="005B3A66">
      <w:pPr>
        <w:pStyle w:val="TOC5"/>
        <w:rPr>
          <w:rFonts w:asciiTheme="minorHAnsi" w:eastAsiaTheme="minorEastAsia" w:hAnsiTheme="minorHAnsi" w:cstheme="minorBidi"/>
          <w:noProof/>
          <w:kern w:val="0"/>
          <w:sz w:val="22"/>
          <w:szCs w:val="22"/>
        </w:rPr>
      </w:pPr>
      <w:r>
        <w:rPr>
          <w:noProof/>
        </w:rPr>
        <w:t>12  General</w:t>
      </w:r>
      <w:r>
        <w:rPr>
          <w:noProof/>
        </w:rPr>
        <w:tab/>
      </w:r>
      <w:r>
        <w:rPr>
          <w:noProof/>
        </w:rPr>
        <w:fldChar w:fldCharType="begin"/>
      </w:r>
      <w:r>
        <w:rPr>
          <w:noProof/>
        </w:rPr>
        <w:instrText xml:space="preserve"> PAGEREF _Toc96606207 \h </w:instrText>
      </w:r>
      <w:r>
        <w:rPr>
          <w:noProof/>
        </w:rPr>
      </w:r>
      <w:r>
        <w:rPr>
          <w:noProof/>
        </w:rPr>
        <w:fldChar w:fldCharType="separate"/>
      </w:r>
      <w:r>
        <w:rPr>
          <w:noProof/>
        </w:rPr>
        <w:t>5</w:t>
      </w:r>
      <w:r>
        <w:rPr>
          <w:noProof/>
        </w:rPr>
        <w:fldChar w:fldCharType="end"/>
      </w:r>
    </w:p>
    <w:p w14:paraId="1D0BA44D" w14:textId="5054A49F" w:rsidR="005B3A66" w:rsidRDefault="005B3A66">
      <w:pPr>
        <w:pStyle w:val="TOC5"/>
        <w:rPr>
          <w:rFonts w:asciiTheme="minorHAnsi" w:eastAsiaTheme="minorEastAsia" w:hAnsiTheme="minorHAnsi" w:cstheme="minorBidi"/>
          <w:noProof/>
          <w:kern w:val="0"/>
          <w:sz w:val="22"/>
          <w:szCs w:val="22"/>
        </w:rPr>
      </w:pPr>
      <w:r>
        <w:rPr>
          <w:noProof/>
        </w:rPr>
        <w:t>13  Process by which students are consulted</w:t>
      </w:r>
      <w:r>
        <w:rPr>
          <w:noProof/>
        </w:rPr>
        <w:tab/>
      </w:r>
      <w:r>
        <w:rPr>
          <w:noProof/>
        </w:rPr>
        <w:fldChar w:fldCharType="begin"/>
      </w:r>
      <w:r>
        <w:rPr>
          <w:noProof/>
        </w:rPr>
        <w:instrText xml:space="preserve"> PAGEREF _Toc96606208 \h </w:instrText>
      </w:r>
      <w:r>
        <w:rPr>
          <w:noProof/>
        </w:rPr>
      </w:r>
      <w:r>
        <w:rPr>
          <w:noProof/>
        </w:rPr>
        <w:fldChar w:fldCharType="separate"/>
      </w:r>
      <w:r>
        <w:rPr>
          <w:noProof/>
        </w:rPr>
        <w:t>5</w:t>
      </w:r>
      <w:r>
        <w:rPr>
          <w:noProof/>
        </w:rPr>
        <w:fldChar w:fldCharType="end"/>
      </w:r>
    </w:p>
    <w:p w14:paraId="62AAED05" w14:textId="0F38BCAE" w:rsidR="005B3A66" w:rsidRDefault="005B3A66">
      <w:pPr>
        <w:pStyle w:val="TOC5"/>
        <w:rPr>
          <w:rFonts w:asciiTheme="minorHAnsi" w:eastAsiaTheme="minorEastAsia" w:hAnsiTheme="minorHAnsi" w:cstheme="minorBidi"/>
          <w:noProof/>
          <w:kern w:val="0"/>
          <w:sz w:val="22"/>
          <w:szCs w:val="22"/>
        </w:rPr>
      </w:pPr>
      <w:r>
        <w:rPr>
          <w:noProof/>
        </w:rPr>
        <w:t>14  Consultation about decision making processes</w:t>
      </w:r>
      <w:r>
        <w:rPr>
          <w:noProof/>
        </w:rPr>
        <w:tab/>
      </w:r>
      <w:r>
        <w:rPr>
          <w:noProof/>
        </w:rPr>
        <w:fldChar w:fldCharType="begin"/>
      </w:r>
      <w:r>
        <w:rPr>
          <w:noProof/>
        </w:rPr>
        <w:instrText xml:space="preserve"> PAGEREF _Toc96606209 \h </w:instrText>
      </w:r>
      <w:r>
        <w:rPr>
          <w:noProof/>
        </w:rPr>
      </w:r>
      <w:r>
        <w:rPr>
          <w:noProof/>
        </w:rPr>
        <w:fldChar w:fldCharType="separate"/>
      </w:r>
      <w:r>
        <w:rPr>
          <w:noProof/>
        </w:rPr>
        <w:t>5</w:t>
      </w:r>
      <w:r>
        <w:rPr>
          <w:noProof/>
        </w:rPr>
        <w:fldChar w:fldCharType="end"/>
      </w:r>
    </w:p>
    <w:p w14:paraId="5253CADB" w14:textId="5A72BCC6" w:rsidR="005B3A66" w:rsidRDefault="005B3A66">
      <w:pPr>
        <w:pStyle w:val="TOC5"/>
        <w:rPr>
          <w:rFonts w:asciiTheme="minorHAnsi" w:eastAsiaTheme="minorEastAsia" w:hAnsiTheme="minorHAnsi" w:cstheme="minorBidi"/>
          <w:noProof/>
          <w:kern w:val="0"/>
          <w:sz w:val="22"/>
          <w:szCs w:val="22"/>
        </w:rPr>
      </w:pPr>
      <w:r>
        <w:rPr>
          <w:noProof/>
        </w:rPr>
        <w:t>15  Consultation about proceeds from compulsory student services and amenities fees</w:t>
      </w:r>
      <w:r>
        <w:rPr>
          <w:noProof/>
        </w:rPr>
        <w:tab/>
      </w:r>
      <w:r>
        <w:rPr>
          <w:noProof/>
        </w:rPr>
        <w:fldChar w:fldCharType="begin"/>
      </w:r>
      <w:r>
        <w:rPr>
          <w:noProof/>
        </w:rPr>
        <w:instrText xml:space="preserve"> PAGEREF _Toc96606210 \h </w:instrText>
      </w:r>
      <w:r>
        <w:rPr>
          <w:noProof/>
        </w:rPr>
      </w:r>
      <w:r>
        <w:rPr>
          <w:noProof/>
        </w:rPr>
        <w:fldChar w:fldCharType="separate"/>
      </w:r>
      <w:r>
        <w:rPr>
          <w:noProof/>
        </w:rPr>
        <w:t>5</w:t>
      </w:r>
      <w:r>
        <w:rPr>
          <w:noProof/>
        </w:rPr>
        <w:fldChar w:fldCharType="end"/>
      </w:r>
    </w:p>
    <w:p w14:paraId="739A1EEE" w14:textId="4DBBE707" w:rsidR="005B3A66" w:rsidRDefault="005B3A66">
      <w:pPr>
        <w:pStyle w:val="TOC5"/>
        <w:rPr>
          <w:rFonts w:asciiTheme="minorHAnsi" w:eastAsiaTheme="minorEastAsia" w:hAnsiTheme="minorHAnsi" w:cstheme="minorBidi"/>
          <w:noProof/>
          <w:kern w:val="0"/>
          <w:sz w:val="22"/>
          <w:szCs w:val="22"/>
        </w:rPr>
      </w:pPr>
      <w:r>
        <w:rPr>
          <w:noProof/>
        </w:rPr>
        <w:t>16  Consultation with student representatives from independent student organisations</w:t>
      </w:r>
      <w:r>
        <w:rPr>
          <w:noProof/>
        </w:rPr>
        <w:tab/>
      </w:r>
      <w:r>
        <w:rPr>
          <w:noProof/>
        </w:rPr>
        <w:fldChar w:fldCharType="begin"/>
      </w:r>
      <w:r>
        <w:rPr>
          <w:noProof/>
        </w:rPr>
        <w:instrText xml:space="preserve"> PAGEREF _Toc96606211 \h </w:instrText>
      </w:r>
      <w:r>
        <w:rPr>
          <w:noProof/>
        </w:rPr>
      </w:r>
      <w:r>
        <w:rPr>
          <w:noProof/>
        </w:rPr>
        <w:fldChar w:fldCharType="separate"/>
      </w:r>
      <w:r>
        <w:rPr>
          <w:noProof/>
        </w:rPr>
        <w:t>5</w:t>
      </w:r>
      <w:r>
        <w:rPr>
          <w:noProof/>
        </w:rPr>
        <w:fldChar w:fldCharType="end"/>
      </w:r>
    </w:p>
    <w:p w14:paraId="7AA17576" w14:textId="2B1AAB1D" w:rsidR="005B3A66" w:rsidRDefault="005B3A66">
      <w:pPr>
        <w:pStyle w:val="TOC5"/>
        <w:rPr>
          <w:rFonts w:asciiTheme="minorHAnsi" w:eastAsiaTheme="minorEastAsia" w:hAnsiTheme="minorHAnsi" w:cstheme="minorBidi"/>
          <w:noProof/>
          <w:kern w:val="0"/>
          <w:sz w:val="22"/>
          <w:szCs w:val="22"/>
        </w:rPr>
      </w:pPr>
      <w:r>
        <w:rPr>
          <w:noProof/>
        </w:rPr>
        <w:t>17  Consultation with students in democratically elected positions</w:t>
      </w:r>
      <w:r>
        <w:rPr>
          <w:noProof/>
        </w:rPr>
        <w:tab/>
      </w:r>
      <w:r>
        <w:rPr>
          <w:noProof/>
        </w:rPr>
        <w:fldChar w:fldCharType="begin"/>
      </w:r>
      <w:r>
        <w:rPr>
          <w:noProof/>
        </w:rPr>
        <w:instrText xml:space="preserve"> PAGEREF _Toc96606212 \h </w:instrText>
      </w:r>
      <w:r>
        <w:rPr>
          <w:noProof/>
        </w:rPr>
      </w:r>
      <w:r>
        <w:rPr>
          <w:noProof/>
        </w:rPr>
        <w:fldChar w:fldCharType="separate"/>
      </w:r>
      <w:r>
        <w:rPr>
          <w:noProof/>
        </w:rPr>
        <w:t>6</w:t>
      </w:r>
      <w:r>
        <w:rPr>
          <w:noProof/>
        </w:rPr>
        <w:fldChar w:fldCharType="end"/>
      </w:r>
    </w:p>
    <w:p w14:paraId="1F242A61" w14:textId="398AD3AC" w:rsidR="005B3A66" w:rsidRDefault="005B3A66">
      <w:pPr>
        <w:pStyle w:val="TOC5"/>
        <w:rPr>
          <w:rFonts w:asciiTheme="minorHAnsi" w:eastAsiaTheme="minorEastAsia" w:hAnsiTheme="minorHAnsi" w:cstheme="minorBidi"/>
          <w:noProof/>
          <w:kern w:val="0"/>
          <w:sz w:val="22"/>
          <w:szCs w:val="22"/>
        </w:rPr>
      </w:pPr>
      <w:r>
        <w:rPr>
          <w:noProof/>
        </w:rPr>
        <w:t>18  Provision for student representatives</w:t>
      </w:r>
      <w:r>
        <w:rPr>
          <w:noProof/>
        </w:rPr>
        <w:tab/>
      </w:r>
      <w:r>
        <w:rPr>
          <w:noProof/>
        </w:rPr>
        <w:fldChar w:fldCharType="begin"/>
      </w:r>
      <w:r>
        <w:rPr>
          <w:noProof/>
        </w:rPr>
        <w:instrText xml:space="preserve"> PAGEREF _Toc96606213 \h </w:instrText>
      </w:r>
      <w:r>
        <w:rPr>
          <w:noProof/>
        </w:rPr>
      </w:r>
      <w:r>
        <w:rPr>
          <w:noProof/>
        </w:rPr>
        <w:fldChar w:fldCharType="separate"/>
      </w:r>
      <w:r>
        <w:rPr>
          <w:noProof/>
        </w:rPr>
        <w:t>6</w:t>
      </w:r>
      <w:r>
        <w:rPr>
          <w:noProof/>
        </w:rPr>
        <w:fldChar w:fldCharType="end"/>
      </w:r>
    </w:p>
    <w:p w14:paraId="497A7E1D" w14:textId="2713632F" w:rsidR="005B3A66" w:rsidRDefault="005B3A66">
      <w:pPr>
        <w:pStyle w:val="TOC5"/>
        <w:rPr>
          <w:rFonts w:asciiTheme="minorHAnsi" w:eastAsiaTheme="minorEastAsia" w:hAnsiTheme="minorHAnsi" w:cstheme="minorBidi"/>
          <w:noProof/>
          <w:kern w:val="0"/>
          <w:sz w:val="22"/>
          <w:szCs w:val="22"/>
        </w:rPr>
      </w:pPr>
      <w:r>
        <w:rPr>
          <w:noProof/>
        </w:rPr>
        <w:t>19  Use of compulsory student services and amenities fees</w:t>
      </w:r>
      <w:r>
        <w:rPr>
          <w:noProof/>
        </w:rPr>
        <w:tab/>
      </w:r>
      <w:r>
        <w:rPr>
          <w:noProof/>
        </w:rPr>
        <w:fldChar w:fldCharType="begin"/>
      </w:r>
      <w:r>
        <w:rPr>
          <w:noProof/>
        </w:rPr>
        <w:instrText xml:space="preserve"> PAGEREF _Toc96606214 \h </w:instrText>
      </w:r>
      <w:r>
        <w:rPr>
          <w:noProof/>
        </w:rPr>
      </w:r>
      <w:r>
        <w:rPr>
          <w:noProof/>
        </w:rPr>
        <w:fldChar w:fldCharType="separate"/>
      </w:r>
      <w:r>
        <w:rPr>
          <w:noProof/>
        </w:rPr>
        <w:t>6</w:t>
      </w:r>
      <w:r>
        <w:rPr>
          <w:noProof/>
        </w:rPr>
        <w:fldChar w:fldCharType="end"/>
      </w:r>
    </w:p>
    <w:p w14:paraId="7B45052F" w14:textId="277DA83E" w:rsidR="005B3A66" w:rsidRDefault="005B3A66">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_Toc96606215 \h </w:instrText>
      </w:r>
      <w:r>
        <w:rPr>
          <w:noProof/>
        </w:rPr>
      </w:r>
      <w:r>
        <w:rPr>
          <w:noProof/>
        </w:rPr>
        <w:fldChar w:fldCharType="separate"/>
      </w:r>
      <w:r>
        <w:rPr>
          <w:noProof/>
        </w:rPr>
        <w:t>8</w:t>
      </w:r>
      <w:r>
        <w:rPr>
          <w:noProof/>
        </w:rPr>
        <w:fldChar w:fldCharType="end"/>
      </w:r>
    </w:p>
    <w:p w14:paraId="21E4D66F" w14:textId="40797720" w:rsidR="005B3A66" w:rsidRDefault="005B3A66">
      <w:pPr>
        <w:pStyle w:val="TOC9"/>
        <w:rPr>
          <w:rFonts w:asciiTheme="minorHAnsi" w:eastAsiaTheme="minorEastAsia" w:hAnsiTheme="minorHAnsi" w:cstheme="minorBidi"/>
          <w:i w:val="0"/>
          <w:noProof/>
          <w:kern w:val="0"/>
          <w:sz w:val="22"/>
          <w:szCs w:val="22"/>
        </w:rPr>
      </w:pPr>
      <w:r>
        <w:rPr>
          <w:noProof/>
        </w:rPr>
        <w:t>Student Services, Amenities, Representation and Advocacy Guidelines</w:t>
      </w:r>
      <w:r>
        <w:rPr>
          <w:noProof/>
        </w:rPr>
        <w:tab/>
      </w:r>
      <w:r>
        <w:rPr>
          <w:noProof/>
        </w:rPr>
        <w:fldChar w:fldCharType="begin"/>
      </w:r>
      <w:r>
        <w:rPr>
          <w:noProof/>
        </w:rPr>
        <w:instrText xml:space="preserve"> PAGEREF _Toc96606216 \h </w:instrText>
      </w:r>
      <w:r>
        <w:rPr>
          <w:noProof/>
        </w:rPr>
      </w:r>
      <w:r>
        <w:rPr>
          <w:noProof/>
        </w:rPr>
        <w:fldChar w:fldCharType="separate"/>
      </w:r>
      <w:r>
        <w:rPr>
          <w:noProof/>
        </w:rPr>
        <w:t>8</w:t>
      </w:r>
      <w:r>
        <w:rPr>
          <w:noProof/>
        </w:rPr>
        <w:fldChar w:fldCharType="end"/>
      </w:r>
    </w:p>
    <w:p w14:paraId="23586B68" w14:textId="63032BA0" w:rsidR="00F6696E" w:rsidRDefault="00B418CB" w:rsidP="00F6696E">
      <w:pPr>
        <w:outlineLvl w:val="0"/>
      </w:pPr>
      <w:r>
        <w:fldChar w:fldCharType="end"/>
      </w:r>
    </w:p>
    <w:p w14:paraId="121D4376" w14:textId="77777777" w:rsidR="00F6696E" w:rsidRPr="00A802BC" w:rsidRDefault="00F6696E" w:rsidP="00F6696E">
      <w:pPr>
        <w:outlineLvl w:val="0"/>
        <w:rPr>
          <w:sz w:val="20"/>
        </w:rPr>
      </w:pPr>
    </w:p>
    <w:p w14:paraId="07B1AEB5" w14:textId="77777777" w:rsidR="00F6696E" w:rsidRDefault="00F6696E" w:rsidP="00F6696E">
      <w:pPr>
        <w:sectPr w:rsidR="00F6696E" w:rsidSect="006705F1">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340BF522" w14:textId="31635942" w:rsidR="003178CE" w:rsidRDefault="003178CE" w:rsidP="003178CE">
      <w:pPr>
        <w:pStyle w:val="ActHead6"/>
      </w:pPr>
      <w:bookmarkStart w:id="0" w:name="_Toc51764868"/>
      <w:bookmarkStart w:id="1" w:name="_Toc56602497"/>
      <w:bookmarkStart w:id="2" w:name="_Toc58575516"/>
      <w:bookmarkStart w:id="3" w:name="_Toc69985800"/>
      <w:bookmarkStart w:id="4" w:name="_Toc96606193"/>
      <w:r w:rsidRPr="00FF3326">
        <w:lastRenderedPageBreak/>
        <w:t xml:space="preserve">Part 1 – </w:t>
      </w:r>
      <w:bookmarkEnd w:id="0"/>
      <w:bookmarkEnd w:id="1"/>
      <w:bookmarkEnd w:id="2"/>
      <w:r w:rsidRPr="00FF3326">
        <w:t>Introduction</w:t>
      </w:r>
      <w:bookmarkEnd w:id="3"/>
      <w:bookmarkEnd w:id="4"/>
    </w:p>
    <w:p w14:paraId="46880901" w14:textId="1F89122F" w:rsidR="00554826" w:rsidRPr="00554826" w:rsidRDefault="00554826" w:rsidP="00E747FD">
      <w:pPr>
        <w:pStyle w:val="ActHead5"/>
        <w:ind w:left="0" w:firstLine="0"/>
      </w:pPr>
      <w:bookmarkStart w:id="5" w:name="_Toc96606194"/>
      <w:r w:rsidRPr="00554826">
        <w:t>1  Name</w:t>
      </w:r>
      <w:bookmarkEnd w:id="5"/>
    </w:p>
    <w:p w14:paraId="6BCE4E7E" w14:textId="04127484" w:rsidR="00554826" w:rsidRDefault="00554826" w:rsidP="00554826">
      <w:pPr>
        <w:pStyle w:val="subsection"/>
      </w:pPr>
      <w:r w:rsidRPr="009C2562">
        <w:tab/>
      </w:r>
      <w:r w:rsidRPr="009C2562">
        <w:tab/>
        <w:t xml:space="preserve">This </w:t>
      </w:r>
      <w:r>
        <w:t xml:space="preserve">instrument </w:t>
      </w:r>
      <w:r w:rsidRPr="009C2562">
        <w:t xml:space="preserve">is the </w:t>
      </w:r>
      <w:bookmarkStart w:id="6" w:name="BKCheck15B_3"/>
      <w:bookmarkEnd w:id="6"/>
      <w:r w:rsidR="006C70C5" w:rsidRPr="006C70C5">
        <w:rPr>
          <w:i/>
        </w:rPr>
        <w:t xml:space="preserve">Higher Education Support (Student Services, Amenities, Representation and Advocacy) </w:t>
      </w:r>
      <w:r w:rsidR="00A95397">
        <w:rPr>
          <w:i/>
        </w:rPr>
        <w:t xml:space="preserve">Guidelines </w:t>
      </w:r>
      <w:r w:rsidR="006C70C5">
        <w:rPr>
          <w:i/>
        </w:rPr>
        <w:t>202</w:t>
      </w:r>
      <w:r w:rsidR="00B81ADB">
        <w:rPr>
          <w:i/>
        </w:rPr>
        <w:t>2</w:t>
      </w:r>
      <w:r w:rsidRPr="009C2562">
        <w:t>.</w:t>
      </w:r>
    </w:p>
    <w:p w14:paraId="64A61D86" w14:textId="77777777" w:rsidR="00554826" w:rsidRPr="00554826" w:rsidRDefault="00554826" w:rsidP="00554826">
      <w:pPr>
        <w:pStyle w:val="ActHead5"/>
      </w:pPr>
      <w:bookmarkStart w:id="7" w:name="_Toc96606195"/>
      <w:r w:rsidRPr="00554826">
        <w:t>2  Commencement</w:t>
      </w:r>
      <w:bookmarkEnd w:id="7"/>
    </w:p>
    <w:p w14:paraId="53C7914B"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2A1DCE80"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7B9D3EF2" w14:textId="77777777" w:rsidTr="006705F1">
        <w:trPr>
          <w:tblHeader/>
        </w:trPr>
        <w:tc>
          <w:tcPr>
            <w:tcW w:w="8364" w:type="dxa"/>
            <w:gridSpan w:val="3"/>
            <w:tcBorders>
              <w:top w:val="single" w:sz="12" w:space="0" w:color="auto"/>
              <w:bottom w:val="single" w:sz="6" w:space="0" w:color="auto"/>
            </w:tcBorders>
            <w:shd w:val="clear" w:color="auto" w:fill="auto"/>
            <w:hideMark/>
          </w:tcPr>
          <w:p w14:paraId="5487DFB0" w14:textId="77777777" w:rsidR="003767E2" w:rsidRPr="003422B4" w:rsidRDefault="003767E2" w:rsidP="006705F1">
            <w:pPr>
              <w:pStyle w:val="TableHeading"/>
            </w:pPr>
            <w:r w:rsidRPr="003422B4">
              <w:t>Commencement information</w:t>
            </w:r>
          </w:p>
        </w:tc>
      </w:tr>
      <w:tr w:rsidR="003767E2" w:rsidRPr="003422B4" w14:paraId="2205CDC2" w14:textId="77777777" w:rsidTr="006705F1">
        <w:trPr>
          <w:tblHeader/>
        </w:trPr>
        <w:tc>
          <w:tcPr>
            <w:tcW w:w="2127" w:type="dxa"/>
            <w:tcBorders>
              <w:top w:val="single" w:sz="6" w:space="0" w:color="auto"/>
              <w:bottom w:val="single" w:sz="6" w:space="0" w:color="auto"/>
            </w:tcBorders>
            <w:shd w:val="clear" w:color="auto" w:fill="auto"/>
            <w:hideMark/>
          </w:tcPr>
          <w:p w14:paraId="5A84CC37" w14:textId="77777777" w:rsidR="003767E2" w:rsidRPr="003422B4" w:rsidRDefault="003767E2" w:rsidP="006705F1">
            <w:pPr>
              <w:pStyle w:val="TableHeading"/>
            </w:pPr>
            <w:r w:rsidRPr="003422B4">
              <w:t>Column 1</w:t>
            </w:r>
          </w:p>
        </w:tc>
        <w:tc>
          <w:tcPr>
            <w:tcW w:w="4394" w:type="dxa"/>
            <w:tcBorders>
              <w:top w:val="single" w:sz="6" w:space="0" w:color="auto"/>
              <w:bottom w:val="single" w:sz="6" w:space="0" w:color="auto"/>
            </w:tcBorders>
            <w:shd w:val="clear" w:color="auto" w:fill="auto"/>
            <w:hideMark/>
          </w:tcPr>
          <w:p w14:paraId="339B2F06" w14:textId="77777777" w:rsidR="003767E2" w:rsidRPr="003422B4" w:rsidRDefault="003767E2" w:rsidP="006705F1">
            <w:pPr>
              <w:pStyle w:val="TableHeading"/>
            </w:pPr>
            <w:r w:rsidRPr="003422B4">
              <w:t>Column 2</w:t>
            </w:r>
          </w:p>
        </w:tc>
        <w:tc>
          <w:tcPr>
            <w:tcW w:w="1843" w:type="dxa"/>
            <w:tcBorders>
              <w:top w:val="single" w:sz="6" w:space="0" w:color="auto"/>
              <w:bottom w:val="single" w:sz="6" w:space="0" w:color="auto"/>
            </w:tcBorders>
            <w:shd w:val="clear" w:color="auto" w:fill="auto"/>
            <w:hideMark/>
          </w:tcPr>
          <w:p w14:paraId="6367D93C" w14:textId="77777777" w:rsidR="003767E2" w:rsidRPr="003422B4" w:rsidRDefault="003767E2" w:rsidP="006705F1">
            <w:pPr>
              <w:pStyle w:val="TableHeading"/>
            </w:pPr>
            <w:r w:rsidRPr="003422B4">
              <w:t>Column 3</w:t>
            </w:r>
          </w:p>
        </w:tc>
      </w:tr>
      <w:tr w:rsidR="003767E2" w:rsidRPr="003422B4" w14:paraId="4EFFADDE" w14:textId="77777777" w:rsidTr="006705F1">
        <w:trPr>
          <w:tblHeader/>
        </w:trPr>
        <w:tc>
          <w:tcPr>
            <w:tcW w:w="2127" w:type="dxa"/>
            <w:tcBorders>
              <w:top w:val="single" w:sz="6" w:space="0" w:color="auto"/>
              <w:bottom w:val="single" w:sz="12" w:space="0" w:color="auto"/>
            </w:tcBorders>
            <w:shd w:val="clear" w:color="auto" w:fill="auto"/>
            <w:hideMark/>
          </w:tcPr>
          <w:p w14:paraId="53B341B9" w14:textId="77777777" w:rsidR="003767E2" w:rsidRPr="003422B4" w:rsidRDefault="003767E2" w:rsidP="006705F1">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1EED4388" w14:textId="77777777" w:rsidR="003767E2" w:rsidRPr="003422B4" w:rsidRDefault="003767E2" w:rsidP="006705F1">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0F446C69" w14:textId="77777777" w:rsidR="003767E2" w:rsidRPr="003422B4" w:rsidRDefault="003767E2" w:rsidP="006705F1">
            <w:pPr>
              <w:pStyle w:val="TableHeading"/>
            </w:pPr>
            <w:r w:rsidRPr="003422B4">
              <w:t>Date/Details</w:t>
            </w:r>
          </w:p>
        </w:tc>
      </w:tr>
      <w:tr w:rsidR="003767E2" w:rsidRPr="003422B4" w14:paraId="6F55A193" w14:textId="77777777" w:rsidTr="006705F1">
        <w:tc>
          <w:tcPr>
            <w:tcW w:w="2127" w:type="dxa"/>
            <w:tcBorders>
              <w:top w:val="single" w:sz="12" w:space="0" w:color="auto"/>
              <w:bottom w:val="single" w:sz="12" w:space="0" w:color="auto"/>
            </w:tcBorders>
            <w:shd w:val="clear" w:color="auto" w:fill="auto"/>
            <w:hideMark/>
          </w:tcPr>
          <w:p w14:paraId="41BE008E" w14:textId="722E9A8C" w:rsidR="003767E2" w:rsidRPr="003A6229" w:rsidRDefault="003767E2" w:rsidP="006705F1">
            <w:pPr>
              <w:pStyle w:val="Tabletext"/>
              <w:rPr>
                <w:i/>
              </w:rPr>
            </w:pPr>
            <w:r w:rsidRPr="003422B4">
              <w:t xml:space="preserve">1.  </w:t>
            </w:r>
            <w:r w:rsidR="006C70C5">
              <w:rPr>
                <w:iCs/>
              </w:rPr>
              <w:t>The whole of this instrument</w:t>
            </w:r>
          </w:p>
        </w:tc>
        <w:tc>
          <w:tcPr>
            <w:tcW w:w="4394" w:type="dxa"/>
            <w:tcBorders>
              <w:top w:val="single" w:sz="12" w:space="0" w:color="auto"/>
              <w:bottom w:val="single" w:sz="12" w:space="0" w:color="auto"/>
            </w:tcBorders>
            <w:shd w:val="clear" w:color="auto" w:fill="auto"/>
            <w:hideMark/>
          </w:tcPr>
          <w:p w14:paraId="3128186F" w14:textId="282043DB" w:rsidR="003767E2" w:rsidRPr="006C70C5" w:rsidRDefault="006C70C5" w:rsidP="006705F1">
            <w:pPr>
              <w:pStyle w:val="Tabletext"/>
              <w:rPr>
                <w:iCs/>
              </w:rPr>
            </w:pPr>
            <w:r>
              <w:rPr>
                <w:iCs/>
              </w:rPr>
              <w:t>The day after this instrument is registered.</w:t>
            </w:r>
          </w:p>
        </w:tc>
        <w:tc>
          <w:tcPr>
            <w:tcW w:w="1843" w:type="dxa"/>
            <w:tcBorders>
              <w:top w:val="single" w:sz="12" w:space="0" w:color="auto"/>
              <w:bottom w:val="single" w:sz="12" w:space="0" w:color="auto"/>
            </w:tcBorders>
            <w:shd w:val="clear" w:color="auto" w:fill="auto"/>
          </w:tcPr>
          <w:p w14:paraId="6A3E33C9" w14:textId="019BB2B3" w:rsidR="003767E2" w:rsidRPr="006C70C5" w:rsidRDefault="003767E2" w:rsidP="006705F1">
            <w:pPr>
              <w:pStyle w:val="Tabletext"/>
              <w:rPr>
                <w:iCs/>
              </w:rPr>
            </w:pPr>
          </w:p>
        </w:tc>
      </w:tr>
    </w:tbl>
    <w:p w14:paraId="43247266"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68457F68"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4D359624" w14:textId="77777777" w:rsidR="00554826" w:rsidRPr="00554826" w:rsidRDefault="00554826" w:rsidP="00554826">
      <w:pPr>
        <w:pStyle w:val="ActHead5"/>
      </w:pPr>
      <w:bookmarkStart w:id="8" w:name="_Toc96606196"/>
      <w:r w:rsidRPr="00554826">
        <w:t>3  Authority</w:t>
      </w:r>
      <w:bookmarkEnd w:id="8"/>
    </w:p>
    <w:p w14:paraId="1BCDC95C" w14:textId="490461EA" w:rsidR="00554826" w:rsidRPr="009C2562" w:rsidRDefault="00554826" w:rsidP="00554826">
      <w:pPr>
        <w:pStyle w:val="subsection"/>
      </w:pPr>
      <w:r w:rsidRPr="009C2562">
        <w:tab/>
      </w:r>
      <w:r w:rsidRPr="009C2562">
        <w:tab/>
        <w:t xml:space="preserve">This instrument is made under </w:t>
      </w:r>
      <w:r w:rsidR="006C70C5">
        <w:t>section 238-10 of the Act.</w:t>
      </w:r>
    </w:p>
    <w:p w14:paraId="40B27F93" w14:textId="77777777" w:rsidR="00554826" w:rsidRPr="00554826" w:rsidRDefault="00554826" w:rsidP="00554826">
      <w:pPr>
        <w:pStyle w:val="ActHead5"/>
      </w:pPr>
      <w:bookmarkStart w:id="9" w:name="_Toc96606197"/>
      <w:r w:rsidRPr="00554826">
        <w:t>4  Definitions</w:t>
      </w:r>
      <w:bookmarkEnd w:id="9"/>
    </w:p>
    <w:p w14:paraId="1AD50A3D" w14:textId="2A48D86E" w:rsidR="00554826" w:rsidRPr="009C2562" w:rsidRDefault="00554826" w:rsidP="00554826">
      <w:pPr>
        <w:pStyle w:val="notetext"/>
      </w:pPr>
      <w:r w:rsidRPr="009C2562">
        <w:t>Note:</w:t>
      </w:r>
      <w:r w:rsidRPr="009C2562">
        <w:tab/>
        <w:t xml:space="preserve">A number of expressions used in this instrument are defined in </w:t>
      </w:r>
      <w:r w:rsidR="006C70C5">
        <w:t>Schedule 1</w:t>
      </w:r>
      <w:r>
        <w:t xml:space="preserve"> of the Act</w:t>
      </w:r>
      <w:r w:rsidRPr="009C2562">
        <w:t>, including the following:</w:t>
      </w:r>
    </w:p>
    <w:p w14:paraId="022061E2" w14:textId="3C96AA06" w:rsidR="00AA7D3E" w:rsidRDefault="00554826" w:rsidP="00AA7D3E">
      <w:pPr>
        <w:pStyle w:val="notepara"/>
      </w:pPr>
      <w:r w:rsidRPr="009C2562">
        <w:t>(a)</w:t>
      </w:r>
      <w:r w:rsidRPr="009C2562">
        <w:tab/>
      </w:r>
      <w:r w:rsidR="00AA7D3E">
        <w:t>course of study;</w:t>
      </w:r>
    </w:p>
    <w:p w14:paraId="3B0E3B3E" w14:textId="0A29C4EB" w:rsidR="00AA7D3E" w:rsidRDefault="00AA7D3E" w:rsidP="00AA7D3E">
      <w:pPr>
        <w:pStyle w:val="notepara"/>
      </w:pPr>
      <w:r>
        <w:t>(b)</w:t>
      </w:r>
      <w:r>
        <w:tab/>
        <w:t xml:space="preserve">student; and </w:t>
      </w:r>
    </w:p>
    <w:p w14:paraId="79F685D9" w14:textId="48656CDE" w:rsidR="00554826" w:rsidRPr="009C2562" w:rsidRDefault="00AA7D3E" w:rsidP="00AA7D3E">
      <w:pPr>
        <w:pStyle w:val="notepara"/>
      </w:pPr>
      <w:r>
        <w:t>(c)</w:t>
      </w:r>
      <w:r>
        <w:tab/>
      </w:r>
      <w:r w:rsidR="003B7C7C">
        <w:t>student services and amenities fee</w:t>
      </w:r>
      <w:r>
        <w:t>.</w:t>
      </w:r>
    </w:p>
    <w:p w14:paraId="3699D11C" w14:textId="77777777" w:rsidR="00554826" w:rsidRPr="009C2562" w:rsidRDefault="00554826" w:rsidP="00554826">
      <w:pPr>
        <w:pStyle w:val="subsection"/>
      </w:pPr>
      <w:r w:rsidRPr="009C2562">
        <w:tab/>
      </w:r>
      <w:r w:rsidRPr="009C2562">
        <w:tab/>
        <w:t>In this instrument:</w:t>
      </w:r>
    </w:p>
    <w:p w14:paraId="45F7E4B5" w14:textId="3D0A1A84" w:rsidR="00554826" w:rsidRDefault="00554826" w:rsidP="00554826">
      <w:pPr>
        <w:pStyle w:val="Definition"/>
        <w:rPr>
          <w:i/>
        </w:rPr>
      </w:pPr>
      <w:r w:rsidRPr="009C2562">
        <w:rPr>
          <w:b/>
          <w:i/>
        </w:rPr>
        <w:t>Act</w:t>
      </w:r>
      <w:r w:rsidRPr="009C2562">
        <w:t xml:space="preserve"> means the </w:t>
      </w:r>
      <w:r w:rsidR="006C70C5">
        <w:rPr>
          <w:i/>
        </w:rPr>
        <w:t>Higher Education Support Act 2003</w:t>
      </w:r>
      <w:r w:rsidR="003178CE">
        <w:rPr>
          <w:i/>
        </w:rPr>
        <w:t>.</w:t>
      </w:r>
    </w:p>
    <w:p w14:paraId="520DC846" w14:textId="0F79984C" w:rsidR="00554826" w:rsidRDefault="006C70C5" w:rsidP="00554826">
      <w:pPr>
        <w:pStyle w:val="Definition"/>
      </w:pPr>
      <w:r>
        <w:rPr>
          <w:b/>
          <w:i/>
        </w:rPr>
        <w:t>HEP</w:t>
      </w:r>
      <w:r w:rsidR="00554826">
        <w:rPr>
          <w:b/>
          <w:i/>
        </w:rPr>
        <w:t xml:space="preserve"> </w:t>
      </w:r>
      <w:r w:rsidR="00554826" w:rsidRPr="009C2562">
        <w:t>means</w:t>
      </w:r>
      <w:r w:rsidR="00554826">
        <w:t xml:space="preserve"> </w:t>
      </w:r>
      <w:r w:rsidR="003178CE">
        <w:t>a higher education provider that receives a grant under Part 2-2 of the Act in respect of the year 2012 or a later year</w:t>
      </w:r>
      <w:r w:rsidR="00554826">
        <w:t>.</w:t>
      </w:r>
    </w:p>
    <w:p w14:paraId="3A54D2FB" w14:textId="2B5C799D" w:rsidR="00554826" w:rsidRPr="00554826" w:rsidRDefault="00554826" w:rsidP="00554826">
      <w:pPr>
        <w:pStyle w:val="ActHead5"/>
      </w:pPr>
      <w:bookmarkStart w:id="10" w:name="_Toc454781205"/>
      <w:bookmarkStart w:id="11" w:name="_Toc96606198"/>
      <w:r w:rsidRPr="00554826">
        <w:t>5  Schedule</w:t>
      </w:r>
      <w:bookmarkEnd w:id="10"/>
      <w:bookmarkEnd w:id="11"/>
    </w:p>
    <w:p w14:paraId="632EC152" w14:textId="255BD689" w:rsidR="00554826" w:rsidRDefault="00554826" w:rsidP="00554826">
      <w:pPr>
        <w:pStyle w:val="subsection"/>
      </w:pPr>
      <w:r w:rsidRPr="006065DA">
        <w:tab/>
      </w:r>
      <w:r w:rsidRPr="006065DA">
        <w:tab/>
      </w:r>
      <w:r w:rsidR="000836BB">
        <w:t>The instrument specified in the Schedule to this instrument is repealed as set out in the applicable items in the Schedule.</w:t>
      </w:r>
    </w:p>
    <w:p w14:paraId="60575B1A" w14:textId="281E9C78" w:rsidR="003178CE" w:rsidRDefault="003178CE">
      <w:pPr>
        <w:spacing w:line="240" w:lineRule="auto"/>
        <w:rPr>
          <w:rFonts w:eastAsia="Times New Roman" w:cs="Times New Roman"/>
          <w:lang w:eastAsia="en-AU"/>
        </w:rPr>
      </w:pPr>
      <w:r>
        <w:br w:type="page"/>
      </w:r>
    </w:p>
    <w:p w14:paraId="60AA265C" w14:textId="30E8CE89" w:rsidR="00407321" w:rsidRDefault="00407321" w:rsidP="00407321">
      <w:pPr>
        <w:pStyle w:val="ActHead5"/>
        <w:keepNext w:val="0"/>
        <w:keepLines w:val="0"/>
        <w:ind w:left="0" w:firstLine="0"/>
      </w:pPr>
      <w:bookmarkStart w:id="12" w:name="_Toc96606199"/>
      <w:bookmarkStart w:id="13" w:name="_Toc69985806"/>
      <w:r>
        <w:lastRenderedPageBreak/>
        <w:t>6</w:t>
      </w:r>
      <w:r w:rsidRPr="006705F1">
        <w:t xml:space="preserve"> </w:t>
      </w:r>
      <w:r>
        <w:t xml:space="preserve"> Outline</w:t>
      </w:r>
      <w:bookmarkEnd w:id="12"/>
    </w:p>
    <w:p w14:paraId="6E483356" w14:textId="77777777" w:rsidR="00407321" w:rsidRPr="009F74F6" w:rsidRDefault="00407321" w:rsidP="009F2485">
      <w:pPr>
        <w:pStyle w:val="subsection"/>
      </w:pPr>
    </w:p>
    <w:tbl>
      <w:tblPr>
        <w:tblStyle w:val="TableGrid"/>
        <w:tblW w:w="0" w:type="auto"/>
        <w:tblInd w:w="1134" w:type="dxa"/>
        <w:tblLook w:val="04A0" w:firstRow="1" w:lastRow="0" w:firstColumn="1" w:lastColumn="0" w:noHBand="0" w:noVBand="1"/>
      </w:tblPr>
      <w:tblGrid>
        <w:gridCol w:w="7169"/>
      </w:tblGrid>
      <w:tr w:rsidR="00407321" w14:paraId="7D519315" w14:textId="77777777" w:rsidTr="00407321">
        <w:tc>
          <w:tcPr>
            <w:tcW w:w="8529" w:type="dxa"/>
          </w:tcPr>
          <w:p w14:paraId="487AF476" w14:textId="1153E820" w:rsidR="00407321" w:rsidRDefault="00407321" w:rsidP="00407321">
            <w:pPr>
              <w:pStyle w:val="subsection"/>
              <w:ind w:left="0" w:firstLine="0"/>
            </w:pPr>
            <w:r>
              <w:t>Section 19-67 of the Act provides the basis for these Guidelines and states</w:t>
            </w:r>
            <w:r w:rsidR="0072070F">
              <w:t>, at subsections 19-67(1) to (4)</w:t>
            </w:r>
            <w:r>
              <w:t>:</w:t>
            </w:r>
          </w:p>
          <w:p w14:paraId="09698887" w14:textId="77777777" w:rsidR="00407321" w:rsidRPr="00407321" w:rsidRDefault="00407321" w:rsidP="00407321">
            <w:pPr>
              <w:shd w:val="clear" w:color="auto" w:fill="FFFFFF"/>
              <w:spacing w:before="180" w:line="240" w:lineRule="auto"/>
              <w:ind w:left="1134" w:hanging="1134"/>
              <w:rPr>
                <w:rFonts w:eastAsia="Times New Roman" w:cs="Times New Roman"/>
                <w:color w:val="000000"/>
                <w:szCs w:val="22"/>
                <w:lang w:eastAsia="en-AU"/>
              </w:rPr>
            </w:pPr>
            <w:r w:rsidRPr="00407321">
              <w:rPr>
                <w:rFonts w:eastAsia="Times New Roman" w:cs="Times New Roman"/>
                <w:color w:val="000000"/>
                <w:szCs w:val="22"/>
                <w:lang w:eastAsia="en-AU"/>
              </w:rPr>
              <w:t>             (1)  A higher education provider that receives a grant under Part 2</w:t>
            </w:r>
            <w:r w:rsidRPr="00407321">
              <w:rPr>
                <w:rFonts w:eastAsia="Times New Roman" w:cs="Times New Roman"/>
                <w:color w:val="000000"/>
                <w:szCs w:val="22"/>
                <w:lang w:eastAsia="en-AU"/>
              </w:rPr>
              <w:noBreakHyphen/>
              <w:t>2 in respect of the year 2012 or a later year must comply in respect of the year with the requirements of the Student Services, Amenities, Representation and Advocacy Guidelines as those guidelines were in force on the 30 June just before the year.</w:t>
            </w:r>
          </w:p>
          <w:p w14:paraId="30A75E63" w14:textId="77777777" w:rsidR="00407321" w:rsidRPr="00407321" w:rsidRDefault="00407321" w:rsidP="00407321">
            <w:pPr>
              <w:shd w:val="clear" w:color="auto" w:fill="FFFFFF"/>
              <w:spacing w:before="122" w:line="240" w:lineRule="auto"/>
              <w:ind w:left="1985" w:hanging="851"/>
              <w:rPr>
                <w:rFonts w:eastAsia="Times New Roman" w:cs="Times New Roman"/>
                <w:color w:val="000000"/>
                <w:sz w:val="18"/>
                <w:szCs w:val="18"/>
                <w:lang w:eastAsia="en-AU"/>
              </w:rPr>
            </w:pPr>
            <w:r w:rsidRPr="00407321">
              <w:rPr>
                <w:rFonts w:eastAsia="Times New Roman" w:cs="Times New Roman"/>
                <w:color w:val="000000"/>
                <w:sz w:val="18"/>
                <w:szCs w:val="18"/>
                <w:lang w:eastAsia="en-AU"/>
              </w:rPr>
              <w:t>Note:          The Student Services, Amenities, Representation and Advocacy Guidelines are made by the Minister under section 238</w:t>
            </w:r>
            <w:r w:rsidRPr="00407321">
              <w:rPr>
                <w:rFonts w:eastAsia="Times New Roman" w:cs="Times New Roman"/>
                <w:color w:val="000000"/>
                <w:sz w:val="18"/>
                <w:szCs w:val="18"/>
                <w:lang w:eastAsia="en-AU"/>
              </w:rPr>
              <w:noBreakHyphen/>
              <w:t>10.</w:t>
            </w:r>
          </w:p>
          <w:p w14:paraId="1FDCD069" w14:textId="77777777" w:rsidR="00407321" w:rsidRPr="00407321" w:rsidRDefault="00407321" w:rsidP="00407321">
            <w:pPr>
              <w:shd w:val="clear" w:color="auto" w:fill="FFFFFF"/>
              <w:spacing w:before="180" w:line="240" w:lineRule="auto"/>
              <w:ind w:left="1134" w:hanging="1134"/>
              <w:rPr>
                <w:rFonts w:eastAsia="Times New Roman" w:cs="Times New Roman"/>
                <w:color w:val="000000"/>
                <w:szCs w:val="22"/>
                <w:lang w:eastAsia="en-AU"/>
              </w:rPr>
            </w:pPr>
            <w:r w:rsidRPr="00407321">
              <w:rPr>
                <w:rFonts w:eastAsia="Times New Roman" w:cs="Times New Roman"/>
                <w:color w:val="000000"/>
                <w:szCs w:val="22"/>
                <w:lang w:eastAsia="en-AU"/>
              </w:rPr>
              <w:t>             (2)  The Student Services, Amenities, Representation and Advocacy Guidelines may provide for:</w:t>
            </w:r>
          </w:p>
          <w:p w14:paraId="75341AD1" w14:textId="77777777" w:rsidR="00407321" w:rsidRPr="00407321" w:rsidRDefault="00407321" w:rsidP="00407321">
            <w:pPr>
              <w:shd w:val="clear" w:color="auto" w:fill="FFFFFF"/>
              <w:spacing w:before="40" w:line="240" w:lineRule="auto"/>
              <w:ind w:left="1644" w:hanging="1644"/>
              <w:rPr>
                <w:rFonts w:eastAsia="Times New Roman" w:cs="Times New Roman"/>
                <w:color w:val="000000"/>
                <w:szCs w:val="22"/>
                <w:lang w:eastAsia="en-AU"/>
              </w:rPr>
            </w:pPr>
            <w:r w:rsidRPr="00407321">
              <w:rPr>
                <w:rFonts w:eastAsia="Times New Roman" w:cs="Times New Roman"/>
                <w:color w:val="000000"/>
                <w:szCs w:val="22"/>
                <w:lang w:eastAsia="en-AU"/>
              </w:rPr>
              <w:t>                     (a)  requirements for providing students with information about services that are not of an academic nature and that support students; and</w:t>
            </w:r>
          </w:p>
          <w:p w14:paraId="6AF5B97C" w14:textId="77777777" w:rsidR="00407321" w:rsidRPr="00407321" w:rsidRDefault="00407321" w:rsidP="00407321">
            <w:pPr>
              <w:shd w:val="clear" w:color="auto" w:fill="FFFFFF"/>
              <w:spacing w:before="40" w:line="240" w:lineRule="auto"/>
              <w:ind w:left="1644" w:hanging="1644"/>
              <w:rPr>
                <w:rFonts w:eastAsia="Times New Roman" w:cs="Times New Roman"/>
                <w:color w:val="000000"/>
                <w:szCs w:val="22"/>
                <w:lang w:eastAsia="en-AU"/>
              </w:rPr>
            </w:pPr>
            <w:r w:rsidRPr="00407321">
              <w:rPr>
                <w:rFonts w:eastAsia="Times New Roman" w:cs="Times New Roman"/>
                <w:color w:val="000000"/>
                <w:szCs w:val="22"/>
                <w:lang w:eastAsia="en-AU"/>
              </w:rPr>
              <w:t>                     (b)  requirements for providing students with access to such services; and</w:t>
            </w:r>
          </w:p>
          <w:p w14:paraId="6FD9CA19" w14:textId="77777777" w:rsidR="00407321" w:rsidRPr="00407321" w:rsidRDefault="00407321" w:rsidP="00407321">
            <w:pPr>
              <w:shd w:val="clear" w:color="auto" w:fill="FFFFFF"/>
              <w:spacing w:before="40" w:line="240" w:lineRule="auto"/>
              <w:ind w:left="1644" w:hanging="1644"/>
              <w:rPr>
                <w:rFonts w:eastAsia="Times New Roman" w:cs="Times New Roman"/>
                <w:color w:val="000000"/>
                <w:szCs w:val="22"/>
                <w:lang w:eastAsia="en-AU"/>
              </w:rPr>
            </w:pPr>
            <w:r w:rsidRPr="00407321">
              <w:rPr>
                <w:rFonts w:eastAsia="Times New Roman" w:cs="Times New Roman"/>
                <w:color w:val="000000"/>
                <w:szCs w:val="22"/>
                <w:lang w:eastAsia="en-AU"/>
              </w:rPr>
              <w:t>                     (c)  requirements relating to the representation and advocacy of the interests of students.</w:t>
            </w:r>
          </w:p>
          <w:p w14:paraId="112B0B42" w14:textId="77777777" w:rsidR="00407321" w:rsidRPr="00407321" w:rsidRDefault="00407321" w:rsidP="00407321">
            <w:pPr>
              <w:shd w:val="clear" w:color="auto" w:fill="FFFFFF"/>
              <w:spacing w:before="180" w:line="240" w:lineRule="auto"/>
              <w:ind w:left="1134" w:hanging="1134"/>
              <w:rPr>
                <w:rFonts w:eastAsia="Times New Roman" w:cs="Times New Roman"/>
                <w:color w:val="000000"/>
                <w:szCs w:val="22"/>
                <w:lang w:eastAsia="en-AU"/>
              </w:rPr>
            </w:pPr>
            <w:r w:rsidRPr="00407321">
              <w:rPr>
                <w:rFonts w:eastAsia="Times New Roman" w:cs="Times New Roman"/>
                <w:color w:val="000000"/>
                <w:szCs w:val="22"/>
                <w:lang w:eastAsia="en-AU"/>
              </w:rPr>
              <w:t>             (3)  However, the Student Services, Amenities, Representation and Advocacy Guidelines cannot require a provider to fund an organisation of students, or of students and other persons.</w:t>
            </w:r>
          </w:p>
          <w:p w14:paraId="3B5BA54A" w14:textId="77777777" w:rsidR="00407321" w:rsidRPr="00407321" w:rsidRDefault="00407321" w:rsidP="00407321">
            <w:pPr>
              <w:shd w:val="clear" w:color="auto" w:fill="FFFFFF"/>
              <w:spacing w:before="180" w:line="240" w:lineRule="auto"/>
              <w:ind w:left="1134" w:hanging="1134"/>
              <w:rPr>
                <w:rFonts w:eastAsia="Times New Roman" w:cs="Times New Roman"/>
                <w:color w:val="000000"/>
                <w:szCs w:val="22"/>
                <w:lang w:eastAsia="en-AU"/>
              </w:rPr>
            </w:pPr>
            <w:r w:rsidRPr="00407321">
              <w:rPr>
                <w:rFonts w:eastAsia="Times New Roman" w:cs="Times New Roman"/>
                <w:color w:val="000000"/>
                <w:szCs w:val="22"/>
                <w:lang w:eastAsia="en-AU"/>
              </w:rPr>
              <w:t>             (4)  Subsection 19</w:t>
            </w:r>
            <w:r w:rsidRPr="00407321">
              <w:rPr>
                <w:rFonts w:eastAsia="Times New Roman" w:cs="Times New Roman"/>
                <w:color w:val="000000"/>
                <w:szCs w:val="22"/>
                <w:lang w:eastAsia="en-AU"/>
              </w:rPr>
              <w:noBreakHyphen/>
              <w:t>65(1) does not apply in relation to the Student Services, Amenities, Representation and Advocacy Guidelines.</w:t>
            </w:r>
          </w:p>
          <w:p w14:paraId="76D26035" w14:textId="27409F78" w:rsidR="00407321" w:rsidRDefault="00407321" w:rsidP="00407321">
            <w:pPr>
              <w:pStyle w:val="subsection"/>
              <w:ind w:left="0" w:firstLine="0"/>
            </w:pPr>
            <w:r>
              <w:t>As such, the Guidelines set out the requirements as referred to in subsection 19</w:t>
            </w:r>
            <w:r>
              <w:noBreakHyphen/>
              <w:t xml:space="preserve">67(2).  </w:t>
            </w:r>
          </w:p>
          <w:p w14:paraId="75328C5E" w14:textId="2156008B" w:rsidR="00407321" w:rsidRDefault="00407321" w:rsidP="00407321">
            <w:pPr>
              <w:pStyle w:val="subsection"/>
              <w:ind w:left="0" w:firstLine="0"/>
            </w:pPr>
            <w:r>
              <w:t xml:space="preserve">Requirements relating to information and access to </w:t>
            </w:r>
            <w:r w:rsidRPr="00407321">
              <w:rPr>
                <w:color w:val="000000"/>
                <w:szCs w:val="22"/>
              </w:rPr>
              <w:t>services that are not of an academic nature and that support students</w:t>
            </w:r>
            <w:r>
              <w:rPr>
                <w:color w:val="000000"/>
                <w:szCs w:val="22"/>
              </w:rPr>
              <w:t xml:space="preserve"> are set out in Part 2 and requirements relating to </w:t>
            </w:r>
            <w:r w:rsidRPr="00407321">
              <w:rPr>
                <w:color w:val="000000"/>
                <w:szCs w:val="22"/>
              </w:rPr>
              <w:t>the representation and advocacy of the interests of students</w:t>
            </w:r>
            <w:r>
              <w:rPr>
                <w:color w:val="000000"/>
                <w:szCs w:val="22"/>
              </w:rPr>
              <w:t xml:space="preserve"> are set out in Part 3.</w:t>
            </w:r>
          </w:p>
          <w:p w14:paraId="4FC61647" w14:textId="7DE4F935" w:rsidR="00407321" w:rsidRDefault="00407321" w:rsidP="00407321">
            <w:pPr>
              <w:pStyle w:val="subsection"/>
              <w:ind w:left="0" w:firstLine="0"/>
            </w:pPr>
          </w:p>
        </w:tc>
      </w:tr>
    </w:tbl>
    <w:p w14:paraId="6817AD10" w14:textId="77777777" w:rsidR="00407321" w:rsidRPr="009F74F6" w:rsidRDefault="00407321" w:rsidP="009F2485">
      <w:pPr>
        <w:pStyle w:val="subsection"/>
      </w:pPr>
    </w:p>
    <w:p w14:paraId="31C67F14" w14:textId="77777777" w:rsidR="00407321" w:rsidRPr="00E74E41" w:rsidRDefault="00407321" w:rsidP="009F2485">
      <w:pPr>
        <w:pStyle w:val="ActHead7"/>
        <w:keepNext w:val="0"/>
        <w:keepLines w:val="0"/>
        <w:ind w:left="0" w:firstLine="0"/>
      </w:pPr>
    </w:p>
    <w:p w14:paraId="419C2FB1" w14:textId="585A9256" w:rsidR="003178CE" w:rsidRPr="003178CE" w:rsidRDefault="003178CE" w:rsidP="009F2485">
      <w:pPr>
        <w:pStyle w:val="ActHead6"/>
        <w:keepLines w:val="0"/>
      </w:pPr>
      <w:bookmarkStart w:id="14" w:name="_Toc96606200"/>
      <w:r w:rsidRPr="007E19B9">
        <w:lastRenderedPageBreak/>
        <w:t xml:space="preserve">Part 2 </w:t>
      </w:r>
      <w:bookmarkStart w:id="15" w:name="_Hlk95301170"/>
      <w:r w:rsidRPr="007E19B9">
        <w:t xml:space="preserve">– </w:t>
      </w:r>
      <w:bookmarkEnd w:id="13"/>
      <w:bookmarkEnd w:id="15"/>
      <w:r w:rsidR="0072070F">
        <w:t xml:space="preserve">Requirements </w:t>
      </w:r>
      <w:r w:rsidR="0072070F" w:rsidRPr="00407321">
        <w:rPr>
          <w:color w:val="000000"/>
          <w:szCs w:val="22"/>
        </w:rPr>
        <w:t>for providing students with information about</w:t>
      </w:r>
      <w:r w:rsidR="0072070F">
        <w:rPr>
          <w:color w:val="000000"/>
          <w:szCs w:val="22"/>
        </w:rPr>
        <w:t>, and access to,</w:t>
      </w:r>
      <w:r w:rsidR="0072070F" w:rsidRPr="00407321">
        <w:rPr>
          <w:color w:val="000000"/>
          <w:szCs w:val="22"/>
        </w:rPr>
        <w:t xml:space="preserve"> services</w:t>
      </w:r>
      <w:bookmarkEnd w:id="14"/>
    </w:p>
    <w:p w14:paraId="2B692E6D" w14:textId="58F5A089" w:rsidR="006705F1" w:rsidRPr="006705F1" w:rsidRDefault="00E20AB3" w:rsidP="009F2485">
      <w:pPr>
        <w:pStyle w:val="ActHead5"/>
        <w:keepLines w:val="0"/>
        <w:ind w:left="0" w:firstLine="0"/>
      </w:pPr>
      <w:bookmarkStart w:id="16" w:name="_Toc96606201"/>
      <w:r>
        <w:t>7</w:t>
      </w:r>
      <w:r w:rsidR="006705F1" w:rsidRPr="006705F1">
        <w:t xml:space="preserve">  </w:t>
      </w:r>
      <w:r w:rsidR="006705F1">
        <w:t>Orientation</w:t>
      </w:r>
      <w:bookmarkEnd w:id="16"/>
    </w:p>
    <w:p w14:paraId="315A316B" w14:textId="3F80C10E" w:rsidR="006705F1" w:rsidRDefault="006705F1" w:rsidP="009F2485">
      <w:pPr>
        <w:pStyle w:val="subsection"/>
        <w:keepNext/>
      </w:pPr>
      <w:r w:rsidRPr="006705F1">
        <w:tab/>
        <w:t>(1)</w:t>
      </w:r>
      <w:r w:rsidRPr="006705F1">
        <w:tab/>
      </w:r>
      <w:r>
        <w:t>HEPs must provide an orientation program and orientation information for all students enrolled at the HEP</w:t>
      </w:r>
      <w:r w:rsidR="00264297">
        <w:t xml:space="preserve"> to provide students with information that are not of an academic nature and that support students</w:t>
      </w:r>
      <w:r>
        <w:t xml:space="preserve">. </w:t>
      </w:r>
    </w:p>
    <w:p w14:paraId="16104F8B" w14:textId="45D69062" w:rsidR="006705F1" w:rsidRDefault="006705F1" w:rsidP="009F74F6">
      <w:pPr>
        <w:pStyle w:val="subsection"/>
        <w:rPr>
          <w:szCs w:val="22"/>
        </w:rPr>
      </w:pPr>
      <w:r>
        <w:tab/>
        <w:t>(2)</w:t>
      </w:r>
      <w:r>
        <w:tab/>
      </w:r>
      <w:r w:rsidR="0072070F">
        <w:t>A</w:t>
      </w:r>
      <w:r w:rsidR="002C3534">
        <w:t xml:space="preserve"> HEP must make the orientation program and information accessible to all students enrolled at the HEP, allowing for those enrolling at different entry points. </w:t>
      </w:r>
    </w:p>
    <w:p w14:paraId="40877651" w14:textId="75D64D07" w:rsidR="00BE467A" w:rsidRDefault="00BE467A" w:rsidP="009F74F6">
      <w:pPr>
        <w:pStyle w:val="subsection"/>
        <w:rPr>
          <w:szCs w:val="22"/>
        </w:rPr>
      </w:pPr>
      <w:r>
        <w:rPr>
          <w:szCs w:val="22"/>
        </w:rPr>
        <w:tab/>
        <w:t>(3)</w:t>
      </w:r>
      <w:r>
        <w:rPr>
          <w:szCs w:val="22"/>
        </w:rPr>
        <w:tab/>
      </w:r>
      <w:r w:rsidR="0072070F">
        <w:rPr>
          <w:szCs w:val="22"/>
        </w:rPr>
        <w:t>T</w:t>
      </w:r>
      <w:r>
        <w:rPr>
          <w:szCs w:val="22"/>
        </w:rPr>
        <w:t>he orientation program</w:t>
      </w:r>
      <w:r w:rsidR="0072070F">
        <w:rPr>
          <w:szCs w:val="22"/>
        </w:rPr>
        <w:t xml:space="preserve"> referred to in subsection (1)</w:t>
      </w:r>
      <w:r>
        <w:rPr>
          <w:szCs w:val="22"/>
        </w:rPr>
        <w:t xml:space="preserve"> must be designed to assist students with transition to study, by familiarising students with the HEP, the campuses, and the available support services, including in relation to safety. </w:t>
      </w:r>
    </w:p>
    <w:p w14:paraId="33CE56DA" w14:textId="329F393F" w:rsidR="003B7C7C" w:rsidRDefault="003B7C7C" w:rsidP="00E74E41">
      <w:pPr>
        <w:pStyle w:val="subsection"/>
      </w:pPr>
      <w:r>
        <w:tab/>
        <w:t>(</w:t>
      </w:r>
      <w:r w:rsidR="00BE467A">
        <w:t>4</w:t>
      </w:r>
      <w:r>
        <w:t>)</w:t>
      </w:r>
      <w:r>
        <w:tab/>
      </w:r>
      <w:r w:rsidR="0072070F">
        <w:t>As</w:t>
      </w:r>
      <w:r>
        <w:t xml:space="preserve"> part of </w:t>
      </w:r>
      <w:r w:rsidR="0072070F">
        <w:t xml:space="preserve">the </w:t>
      </w:r>
      <w:r>
        <w:t>orientation program</w:t>
      </w:r>
      <w:r w:rsidR="0072070F">
        <w:t xml:space="preserve"> referred to in subsection (1)</w:t>
      </w:r>
      <w:r>
        <w:t>, students must be provided with information about the student services and amenities fee, the services it enables, and how they can access those services.</w:t>
      </w:r>
    </w:p>
    <w:p w14:paraId="767E1AE9" w14:textId="5ED7F334" w:rsidR="00C4583D" w:rsidRPr="003422B4" w:rsidRDefault="00C4583D" w:rsidP="00E74E41">
      <w:pPr>
        <w:pStyle w:val="notetext"/>
      </w:pPr>
      <w:r w:rsidRPr="003422B4">
        <w:rPr>
          <w:snapToGrid w:val="0"/>
          <w:lang w:eastAsia="en-US"/>
        </w:rPr>
        <w:t>Note:</w:t>
      </w:r>
      <w:r w:rsidRPr="003422B4">
        <w:rPr>
          <w:snapToGrid w:val="0"/>
          <w:lang w:eastAsia="en-US"/>
        </w:rPr>
        <w:tab/>
      </w:r>
      <w:r>
        <w:rPr>
          <w:snapToGrid w:val="0"/>
          <w:lang w:eastAsia="en-US"/>
        </w:rPr>
        <w:t>An orientation program may provide relevant information to students enrolled at the HEP in a number of ways, including in written or oral form, or by electronic means such as through the HEP’s website, email, SMS broadcasts or podcasts.</w:t>
      </w:r>
    </w:p>
    <w:p w14:paraId="0D517BDF" w14:textId="6BA9828E" w:rsidR="00CD548F" w:rsidRPr="006705F1" w:rsidRDefault="00E20AB3" w:rsidP="001E1B3E">
      <w:pPr>
        <w:pStyle w:val="ActHead5"/>
        <w:keepNext w:val="0"/>
        <w:keepLines w:val="0"/>
        <w:ind w:left="0" w:firstLine="0"/>
      </w:pPr>
      <w:bookmarkStart w:id="17" w:name="_Toc96606202"/>
      <w:r>
        <w:t>8</w:t>
      </w:r>
      <w:r w:rsidR="00CD548F" w:rsidRPr="006705F1">
        <w:t xml:space="preserve">  </w:t>
      </w:r>
      <w:r w:rsidR="00CD548F">
        <w:t>Services</w:t>
      </w:r>
      <w:bookmarkEnd w:id="17"/>
      <w:r w:rsidR="00CD548F">
        <w:t xml:space="preserve"> </w:t>
      </w:r>
    </w:p>
    <w:p w14:paraId="2A827BD8" w14:textId="4EC5F0AB" w:rsidR="00CD548F" w:rsidRDefault="00CD548F" w:rsidP="009F74F6">
      <w:pPr>
        <w:pStyle w:val="subsection"/>
      </w:pPr>
      <w:r w:rsidRPr="006705F1">
        <w:tab/>
        <w:t>(1)</w:t>
      </w:r>
      <w:r w:rsidRPr="006705F1">
        <w:tab/>
      </w:r>
      <w:r>
        <w:t xml:space="preserve">HEPs must ensure that all students enrolled at the HEP are provided with information on how to access the following services: </w:t>
      </w:r>
    </w:p>
    <w:p w14:paraId="0A09DAC1" w14:textId="3C81EDE0" w:rsidR="00CD548F" w:rsidRDefault="00CD548F" w:rsidP="00E74E41">
      <w:pPr>
        <w:pStyle w:val="paragraph"/>
      </w:pPr>
      <w:r>
        <w:tab/>
        <w:t>(a)</w:t>
      </w:r>
      <w:r>
        <w:tab/>
        <w:t>hea</w:t>
      </w:r>
      <w:r w:rsidR="00AA7D3E">
        <w:t>l</w:t>
      </w:r>
      <w:r>
        <w:t>th services—</w:t>
      </w:r>
      <w:r w:rsidR="0072070F">
        <w:t>including</w:t>
      </w:r>
      <w:r>
        <w:t xml:space="preserve"> medical and emergency health services, mental hea</w:t>
      </w:r>
      <w:r w:rsidR="005B0D94">
        <w:t>l</w:t>
      </w:r>
      <w:r>
        <w:t>th services and health-related counselling</w:t>
      </w:r>
      <w:r w:rsidR="0072070F">
        <w:t>;</w:t>
      </w:r>
      <w:r>
        <w:t xml:space="preserve"> </w:t>
      </w:r>
    </w:p>
    <w:p w14:paraId="592CBD56" w14:textId="6BDEC421" w:rsidR="00CD548F" w:rsidRDefault="00CD548F" w:rsidP="00E74E41">
      <w:pPr>
        <w:pStyle w:val="paragraph"/>
      </w:pPr>
      <w:r>
        <w:tab/>
        <w:t>(b)</w:t>
      </w:r>
      <w:r>
        <w:tab/>
        <w:t>welfare services—</w:t>
      </w:r>
      <w:r w:rsidR="0072070F">
        <w:t>including</w:t>
      </w:r>
      <w:r>
        <w:t xml:space="preserve"> services to assist with accommodation, financial matters, legal concerns and employment</w:t>
      </w:r>
      <w:r w:rsidR="0072070F">
        <w:t>;</w:t>
      </w:r>
      <w:r>
        <w:t xml:space="preserve"> </w:t>
      </w:r>
    </w:p>
    <w:p w14:paraId="6CB88198" w14:textId="5AB633A0" w:rsidR="00CD548F" w:rsidRDefault="00CD548F" w:rsidP="00E74E41">
      <w:pPr>
        <w:pStyle w:val="paragraph"/>
      </w:pPr>
      <w:r>
        <w:tab/>
        <w:t>(c)</w:t>
      </w:r>
      <w:r>
        <w:tab/>
        <w:t>advocacy services—</w:t>
      </w:r>
      <w:r w:rsidR="0072070F">
        <w:t>including</w:t>
      </w:r>
      <w:r>
        <w:t xml:space="preserve"> advocacy and referral services for all students enrolled at the HEP across a range of academic, procedural and administrative issues</w:t>
      </w:r>
      <w:r w:rsidR="009F74F6">
        <w:t xml:space="preserve"> in respect of </w:t>
      </w:r>
      <w:r>
        <w:t>issues relating to equity, discrimination, harassment, grievances, complaints, disputes, exclusion, discipline and misconduct, supervision, and unsatisfactory progress</w:t>
      </w:r>
      <w:r w:rsidR="0072070F">
        <w:t>;</w:t>
      </w:r>
      <w:r>
        <w:t xml:space="preserve"> </w:t>
      </w:r>
    </w:p>
    <w:p w14:paraId="68B15C10" w14:textId="6658A904" w:rsidR="00CD548F" w:rsidRDefault="00CD548F" w:rsidP="00E74E41">
      <w:pPr>
        <w:pStyle w:val="paragraph"/>
      </w:pPr>
      <w:r>
        <w:tab/>
        <w:t>(d)</w:t>
      </w:r>
      <w:r>
        <w:tab/>
        <w:t>career services—</w:t>
      </w:r>
      <w:r w:rsidR="0072070F">
        <w:t>including</w:t>
      </w:r>
      <w:r>
        <w:t xml:space="preserve"> services to assist students to develop their </w:t>
      </w:r>
      <w:r w:rsidR="00E244F6">
        <w:t>c</w:t>
      </w:r>
      <w:r>
        <w:t xml:space="preserve">urriculum </w:t>
      </w:r>
      <w:r w:rsidR="00E244F6">
        <w:t>v</w:t>
      </w:r>
      <w:r>
        <w:t xml:space="preserve">itae and </w:t>
      </w:r>
      <w:r w:rsidR="00E244F6">
        <w:t>r</w:t>
      </w:r>
      <w:r>
        <w:t xml:space="preserve">esume, interview skills, and career management skills, </w:t>
      </w:r>
      <w:r w:rsidR="00E244F6">
        <w:t xml:space="preserve">and services to assist students to </w:t>
      </w:r>
      <w:r>
        <w:t xml:space="preserve">search for jobs, graduate programs, vacation work and work experience. </w:t>
      </w:r>
    </w:p>
    <w:p w14:paraId="4C0605CC" w14:textId="3F7CDCE7" w:rsidR="00CD548F" w:rsidRDefault="00CD548F" w:rsidP="00E74E41">
      <w:pPr>
        <w:pStyle w:val="subsection"/>
        <w:rPr>
          <w:szCs w:val="22"/>
        </w:rPr>
      </w:pPr>
      <w:r>
        <w:tab/>
        <w:t>(2)</w:t>
      </w:r>
      <w:r>
        <w:tab/>
      </w:r>
      <w:r w:rsidR="009F74F6">
        <w:t>I</w:t>
      </w:r>
      <w:r w:rsidR="009A3B2D">
        <w:t>nformation may be provided to students about these services in a number of ways</w:t>
      </w:r>
      <w:r w:rsidR="009F74F6">
        <w:t xml:space="preserve"> (in </w:t>
      </w:r>
      <w:r w:rsidR="009A3B2D">
        <w:t>written or oral form, or by electronic means such as through the HEP’s website, email, SMS broadcasts or podcasts</w:t>
      </w:r>
      <w:r w:rsidR="009F74F6">
        <w:t>)</w:t>
      </w:r>
      <w:r w:rsidR="009A3B2D">
        <w:t>.</w:t>
      </w:r>
      <w:r w:rsidRPr="00E2249C">
        <w:rPr>
          <w:szCs w:val="22"/>
        </w:rPr>
        <w:t xml:space="preserve"> </w:t>
      </w:r>
    </w:p>
    <w:p w14:paraId="7903BF8B" w14:textId="76833F28" w:rsidR="00E244F6" w:rsidRDefault="00E244F6" w:rsidP="00E74E41">
      <w:pPr>
        <w:pStyle w:val="subsection"/>
        <w:rPr>
          <w:szCs w:val="22"/>
        </w:rPr>
      </w:pPr>
      <w:r>
        <w:rPr>
          <w:szCs w:val="22"/>
        </w:rPr>
        <w:tab/>
        <w:t>(3)</w:t>
      </w:r>
      <w:r>
        <w:rPr>
          <w:szCs w:val="22"/>
        </w:rPr>
        <w:tab/>
        <w:t>HEPs must not charge students for the referral if making a referral to an external provider.</w:t>
      </w:r>
    </w:p>
    <w:p w14:paraId="4F921185" w14:textId="3E091B5E" w:rsidR="00E244F6" w:rsidRPr="00E20AB3" w:rsidRDefault="00E244F6" w:rsidP="00E74E41">
      <w:pPr>
        <w:pStyle w:val="subsection"/>
      </w:pPr>
      <w:r>
        <w:rPr>
          <w:szCs w:val="22"/>
        </w:rPr>
        <w:tab/>
        <w:t>(4)</w:t>
      </w:r>
      <w:r>
        <w:rPr>
          <w:szCs w:val="22"/>
        </w:rPr>
        <w:tab/>
        <w:t>HEPs must not charge students for access to advocacy services.</w:t>
      </w:r>
    </w:p>
    <w:p w14:paraId="470BF326" w14:textId="3BA0ACA7" w:rsidR="00E244F6" w:rsidRPr="006705F1" w:rsidRDefault="00E244F6" w:rsidP="009F2485">
      <w:pPr>
        <w:pStyle w:val="ActHead5"/>
        <w:keepNext w:val="0"/>
        <w:keepLines w:val="0"/>
        <w:ind w:left="0" w:firstLine="0"/>
      </w:pPr>
      <w:bookmarkStart w:id="18" w:name="_Toc96606203"/>
      <w:r>
        <w:lastRenderedPageBreak/>
        <w:t>9</w:t>
      </w:r>
      <w:r w:rsidRPr="006705F1">
        <w:t xml:space="preserve">  </w:t>
      </w:r>
      <w:r>
        <w:t>Provision of services</w:t>
      </w:r>
      <w:bookmarkEnd w:id="18"/>
      <w:r>
        <w:t xml:space="preserve"> </w:t>
      </w:r>
    </w:p>
    <w:p w14:paraId="307BDD96" w14:textId="1111DE5D" w:rsidR="00E244F6" w:rsidRPr="00BA6190" w:rsidRDefault="00E244F6" w:rsidP="009F74F6">
      <w:pPr>
        <w:pStyle w:val="subsection"/>
      </w:pPr>
      <w:r w:rsidRPr="006705F1">
        <w:tab/>
        <w:t>(1)</w:t>
      </w:r>
      <w:r w:rsidRPr="006705F1">
        <w:tab/>
      </w:r>
      <w:r w:rsidR="00221426">
        <w:t xml:space="preserve">HEPs must </w:t>
      </w:r>
      <w:r w:rsidR="00221426" w:rsidRPr="00995DB7">
        <w:t>ensure that where they provide health, welfare, advocacy or career services directly to students enrolled at the HEP, trained and qualifi</w:t>
      </w:r>
      <w:r w:rsidR="00221426" w:rsidRPr="00BA6190">
        <w:t>ed staff are engaged to</w:t>
      </w:r>
      <w:r w:rsidR="00A669C1" w:rsidRPr="00BA6190">
        <w:t xml:space="preserve"> </w:t>
      </w:r>
      <w:r w:rsidR="00A669C1" w:rsidRPr="00995DB7">
        <w:t>provide those services and</w:t>
      </w:r>
      <w:r w:rsidR="00221426" w:rsidRPr="00995DB7">
        <w:t xml:space="preserve"> meet the needs of students enrolled at the HEP. </w:t>
      </w:r>
    </w:p>
    <w:p w14:paraId="68C1D7FF" w14:textId="4F469A05" w:rsidR="00221426" w:rsidRDefault="00221426" w:rsidP="00E74E41">
      <w:pPr>
        <w:pStyle w:val="subsection"/>
      </w:pPr>
      <w:r w:rsidRPr="00BA6190">
        <w:tab/>
        <w:t>(2)</w:t>
      </w:r>
      <w:r w:rsidRPr="00BA6190">
        <w:tab/>
      </w:r>
      <w:r w:rsidR="009F74F6" w:rsidRPr="00BA6190">
        <w:t>W</w:t>
      </w:r>
      <w:r w:rsidRPr="00BA6190">
        <w:t>here these services are provided by a third party engaged by the HEP, the HEP must ensure that the third party engages trained and qualified staff to</w:t>
      </w:r>
      <w:r w:rsidR="00A669C1" w:rsidRPr="00BA6190">
        <w:t xml:space="preserve"> </w:t>
      </w:r>
      <w:r w:rsidR="00A669C1" w:rsidRPr="00995DB7">
        <w:t>provide those services and</w:t>
      </w:r>
      <w:r w:rsidRPr="00995DB7">
        <w:t xml:space="preserve"> meet the needs of students enrolled at the HEP.</w:t>
      </w:r>
    </w:p>
    <w:p w14:paraId="1EC2A73D" w14:textId="230B7249" w:rsidR="00221426" w:rsidRPr="006705F1" w:rsidRDefault="00221426" w:rsidP="005B0D94">
      <w:pPr>
        <w:pStyle w:val="ActHead5"/>
        <w:keepNext w:val="0"/>
        <w:keepLines w:val="0"/>
        <w:ind w:left="0" w:firstLine="0"/>
      </w:pPr>
      <w:bookmarkStart w:id="19" w:name="_Toc96606204"/>
      <w:r>
        <w:t>10</w:t>
      </w:r>
      <w:r w:rsidRPr="006705F1">
        <w:t xml:space="preserve">  </w:t>
      </w:r>
      <w:r>
        <w:t>Advocacy officers</w:t>
      </w:r>
      <w:bookmarkEnd w:id="19"/>
      <w:r>
        <w:t xml:space="preserve"> </w:t>
      </w:r>
    </w:p>
    <w:p w14:paraId="216B6997" w14:textId="16239C2E" w:rsidR="00221426" w:rsidRDefault="00221426" w:rsidP="009F74F6">
      <w:pPr>
        <w:pStyle w:val="subsection"/>
      </w:pPr>
      <w:r w:rsidRPr="006705F1">
        <w:tab/>
        <w:t>(1)</w:t>
      </w:r>
      <w:r w:rsidRPr="006705F1">
        <w:tab/>
      </w:r>
      <w:r>
        <w:t xml:space="preserve">HEPs must ensure students enrolled at the HEP have access to advocacy officers for services </w:t>
      </w:r>
      <w:r w:rsidR="009F74F6">
        <w:t>referred to</w:t>
      </w:r>
      <w:r>
        <w:t xml:space="preserve"> in paragraph 8(1)(c). </w:t>
      </w:r>
    </w:p>
    <w:p w14:paraId="41787A0C" w14:textId="06677AB1" w:rsidR="00221426" w:rsidRDefault="00221426" w:rsidP="009F74F6">
      <w:pPr>
        <w:pStyle w:val="subsection"/>
      </w:pPr>
      <w:r>
        <w:tab/>
        <w:t>(2)</w:t>
      </w:r>
      <w:r>
        <w:tab/>
        <w:t xml:space="preserve">Advocacy officers </w:t>
      </w:r>
      <w:r w:rsidR="00320B74">
        <w:t xml:space="preserve">must </w:t>
      </w:r>
      <w:r>
        <w:t>act in the best interest of students and</w:t>
      </w:r>
      <w:r w:rsidR="009F2485">
        <w:t xml:space="preserve"> must</w:t>
      </w:r>
      <w:r>
        <w:t xml:space="preserve"> be independent from the HEP’s decision-makers and other staff who administer the HEP’s academic and procedural rules and regulations. </w:t>
      </w:r>
    </w:p>
    <w:p w14:paraId="0514BFD6" w14:textId="71040258" w:rsidR="00221426" w:rsidRDefault="00221426" w:rsidP="00E74E41">
      <w:pPr>
        <w:pStyle w:val="subsection"/>
      </w:pPr>
      <w:r>
        <w:tab/>
        <w:t>(3)</w:t>
      </w:r>
      <w:r>
        <w:tab/>
        <w:t>Advocacy officers must avoid potential or actual conflicts of interest in carrying out their duties.</w:t>
      </w:r>
    </w:p>
    <w:p w14:paraId="46476D45" w14:textId="77777777" w:rsidR="0042090F" w:rsidRDefault="00221426" w:rsidP="00320B74">
      <w:pPr>
        <w:pStyle w:val="ActHead5"/>
        <w:keepNext w:val="0"/>
        <w:keepLines w:val="0"/>
        <w:ind w:left="0" w:firstLine="0"/>
      </w:pPr>
      <w:bookmarkStart w:id="20" w:name="_Toc96606205"/>
      <w:r>
        <w:t>1</w:t>
      </w:r>
      <w:r w:rsidR="00B81319">
        <w:t>1</w:t>
      </w:r>
      <w:r w:rsidRPr="006705F1">
        <w:t xml:space="preserve">  </w:t>
      </w:r>
      <w:r w:rsidR="00B81319">
        <w:t xml:space="preserve">Reasonable and appropriate level of </w:t>
      </w:r>
      <w:r w:rsidR="002923EC">
        <w:t>services</w:t>
      </w:r>
      <w:bookmarkEnd w:id="20"/>
      <w:r>
        <w:t xml:space="preserve"> </w:t>
      </w:r>
    </w:p>
    <w:p w14:paraId="3AEF76A2" w14:textId="4C1F0B4B" w:rsidR="00221426" w:rsidRPr="006705F1" w:rsidRDefault="0042090F" w:rsidP="009F74F6">
      <w:pPr>
        <w:pStyle w:val="subsection"/>
      </w:pPr>
      <w:r w:rsidRPr="006705F1">
        <w:tab/>
        <w:t>(1)</w:t>
      </w:r>
      <w:r w:rsidRPr="006705F1">
        <w:tab/>
      </w:r>
      <w:r>
        <w:t xml:space="preserve">HEPs must provide students enrolled at the HEP with a reasonable and appropriate level of services that are not of an academic nature and that support students. </w:t>
      </w:r>
    </w:p>
    <w:p w14:paraId="199D884D" w14:textId="6DA4072F" w:rsidR="00B81319" w:rsidRDefault="00221426" w:rsidP="009F74F6">
      <w:pPr>
        <w:pStyle w:val="subsection"/>
      </w:pPr>
      <w:r w:rsidRPr="006705F1">
        <w:tab/>
        <w:t>(1)</w:t>
      </w:r>
      <w:r w:rsidRPr="006705F1">
        <w:tab/>
      </w:r>
      <w:r w:rsidR="00B81319">
        <w:t xml:space="preserve">HEPs must consider the varying and different circumstances of students enrolled at the HEP in determining what would be a reasonable and appropriate level of </w:t>
      </w:r>
      <w:r w:rsidR="00854838">
        <w:t xml:space="preserve">services to provide </w:t>
      </w:r>
      <w:r w:rsidR="00B81319">
        <w:t xml:space="preserve">at a particular campus. </w:t>
      </w:r>
    </w:p>
    <w:p w14:paraId="0FA6EAD6" w14:textId="32F9385B" w:rsidR="00221426" w:rsidRDefault="00B81319" w:rsidP="00E74E41">
      <w:pPr>
        <w:pStyle w:val="subsection"/>
      </w:pPr>
      <w:r>
        <w:tab/>
        <w:t>(2)</w:t>
      </w:r>
      <w:r>
        <w:tab/>
        <w:t xml:space="preserve">HEPs </w:t>
      </w:r>
      <w:r w:rsidR="00854838">
        <w:t xml:space="preserve">must </w:t>
      </w:r>
      <w:r>
        <w:t>consider the composition of the student cohort with regard to undergraduate students, postgraduate students, international students, part-time students and distance education or online students, course delivery mode and the campus location</w:t>
      </w:r>
      <w:r w:rsidR="005373D2">
        <w:t xml:space="preserve"> in determining what would be a reasonable and appropriate level of services</w:t>
      </w:r>
      <w:r>
        <w:t xml:space="preserve">. </w:t>
      </w:r>
    </w:p>
    <w:p w14:paraId="21498D5F" w14:textId="01B54226" w:rsidR="00B81319" w:rsidRDefault="00B81319" w:rsidP="00E74E41">
      <w:pPr>
        <w:spacing w:line="240" w:lineRule="auto"/>
        <w:rPr>
          <w:rFonts w:eastAsia="Times New Roman" w:cs="Times New Roman"/>
          <w:lang w:eastAsia="en-AU"/>
        </w:rPr>
      </w:pPr>
      <w:r>
        <w:br w:type="page"/>
      </w:r>
    </w:p>
    <w:p w14:paraId="1430D73E" w14:textId="01EE6902" w:rsidR="00B81319" w:rsidRPr="003178CE" w:rsidRDefault="00B81319" w:rsidP="00320B74">
      <w:pPr>
        <w:pStyle w:val="ActHead6"/>
        <w:keepNext w:val="0"/>
        <w:keepLines w:val="0"/>
      </w:pPr>
      <w:bookmarkStart w:id="21" w:name="_Toc96606206"/>
      <w:r w:rsidRPr="007E19B9">
        <w:lastRenderedPageBreak/>
        <w:t xml:space="preserve">Part </w:t>
      </w:r>
      <w:r>
        <w:t>3</w:t>
      </w:r>
      <w:r w:rsidRPr="007E19B9">
        <w:t xml:space="preserve"> – </w:t>
      </w:r>
      <w:r w:rsidR="009F74F6">
        <w:rPr>
          <w:color w:val="000000"/>
          <w:szCs w:val="22"/>
        </w:rPr>
        <w:t>R</w:t>
      </w:r>
      <w:r w:rsidR="009F74F6" w:rsidRPr="00407321">
        <w:rPr>
          <w:color w:val="000000"/>
          <w:szCs w:val="22"/>
        </w:rPr>
        <w:t>equirements relating to the representation and advocacy of the interests of students</w:t>
      </w:r>
      <w:bookmarkEnd w:id="21"/>
      <w:r w:rsidR="009F74F6" w:rsidDel="009F74F6">
        <w:t xml:space="preserve"> </w:t>
      </w:r>
    </w:p>
    <w:p w14:paraId="6C0F52BD" w14:textId="54264980" w:rsidR="00B81319" w:rsidRPr="006705F1" w:rsidRDefault="00B81319" w:rsidP="00320B74">
      <w:pPr>
        <w:pStyle w:val="ActHead5"/>
        <w:keepNext w:val="0"/>
        <w:keepLines w:val="0"/>
        <w:ind w:left="0" w:firstLine="0"/>
      </w:pPr>
      <w:bookmarkStart w:id="22" w:name="_Toc96606207"/>
      <w:r>
        <w:t>12</w:t>
      </w:r>
      <w:r w:rsidRPr="006705F1">
        <w:t xml:space="preserve">  </w:t>
      </w:r>
      <w:r w:rsidR="009F74F6">
        <w:t>General</w:t>
      </w:r>
      <w:bookmarkEnd w:id="22"/>
    </w:p>
    <w:p w14:paraId="47FDE7E1" w14:textId="6EB9E2BC" w:rsidR="00B81319" w:rsidRDefault="00B81319" w:rsidP="00E74E41">
      <w:pPr>
        <w:pStyle w:val="subsection"/>
      </w:pPr>
      <w:r>
        <w:tab/>
        <w:t>(</w:t>
      </w:r>
      <w:r w:rsidR="009F74F6">
        <w:t>1</w:t>
      </w:r>
      <w:r>
        <w:t>)</w:t>
      </w:r>
      <w:r>
        <w:tab/>
      </w:r>
      <w:r w:rsidR="00063C7E">
        <w:t xml:space="preserve">HEPs </w:t>
      </w:r>
      <w:r w:rsidR="009F74F6">
        <w:t xml:space="preserve">must </w:t>
      </w:r>
      <w:r w:rsidR="00063C7E">
        <w:t xml:space="preserve">support student engagement and representation through the provision of clear consultative arrangements, including with student representatives and major student organisations recognised by the HEP where appropriate. </w:t>
      </w:r>
    </w:p>
    <w:p w14:paraId="214C1DA7" w14:textId="4FB9FA66" w:rsidR="00063C7E" w:rsidRDefault="00063C7E" w:rsidP="00E74E41">
      <w:pPr>
        <w:pStyle w:val="subsection"/>
      </w:pPr>
      <w:r>
        <w:tab/>
        <w:t>(</w:t>
      </w:r>
      <w:r w:rsidR="00E74E41">
        <w:t>2</w:t>
      </w:r>
      <w:r>
        <w:t>)</w:t>
      </w:r>
      <w:r>
        <w:tab/>
        <w:t xml:space="preserve">The </w:t>
      </w:r>
      <w:r w:rsidR="009F74F6">
        <w:t>requirements in this Part are not intended to</w:t>
      </w:r>
      <w:r>
        <w:t xml:space="preserve"> preclude student representatives at a HEP forming an organisation that represents students enrolled at the HEP. </w:t>
      </w:r>
    </w:p>
    <w:p w14:paraId="0438D44F" w14:textId="6AB434B2" w:rsidR="00063C7E" w:rsidRPr="006705F1" w:rsidRDefault="00063C7E" w:rsidP="00320B74">
      <w:pPr>
        <w:pStyle w:val="ActHead5"/>
        <w:keepNext w:val="0"/>
        <w:keepLines w:val="0"/>
        <w:ind w:left="0" w:firstLine="0"/>
      </w:pPr>
      <w:bookmarkStart w:id="23" w:name="_Toc96606208"/>
      <w:r>
        <w:t>13</w:t>
      </w:r>
      <w:r w:rsidRPr="006705F1">
        <w:t xml:space="preserve">  </w:t>
      </w:r>
      <w:r w:rsidR="009430E8">
        <w:t xml:space="preserve">Process </w:t>
      </w:r>
      <w:r w:rsidR="00A613C9">
        <w:t>by which students are consulted</w:t>
      </w:r>
      <w:bookmarkEnd w:id="23"/>
    </w:p>
    <w:p w14:paraId="142B0D40" w14:textId="01D682E8" w:rsidR="009430E8" w:rsidRDefault="00063C7E" w:rsidP="009F74F6">
      <w:pPr>
        <w:pStyle w:val="subsection"/>
      </w:pPr>
      <w:r w:rsidRPr="006705F1">
        <w:tab/>
        <w:t>(1)</w:t>
      </w:r>
      <w:r w:rsidRPr="006705F1">
        <w:tab/>
      </w:r>
      <w:r w:rsidR="009430E8">
        <w:t>HEPs must establish and maintain a clearly defined and effective process by which students enrolled at the HEP are consulted.</w:t>
      </w:r>
    </w:p>
    <w:p w14:paraId="1301A513" w14:textId="65342ABC" w:rsidR="00063C7E" w:rsidRDefault="009430E8" w:rsidP="00E74E41">
      <w:pPr>
        <w:pStyle w:val="subsection"/>
      </w:pPr>
      <w:r>
        <w:tab/>
        <w:t>(2)</w:t>
      </w:r>
      <w:r>
        <w:tab/>
        <w:t xml:space="preserve">That process must be reviewed and approved annually by the governing body of that HEP after being made available to students enrolled at the HEP for comment. </w:t>
      </w:r>
    </w:p>
    <w:p w14:paraId="35AC2245" w14:textId="75E92A57" w:rsidR="00A613C9" w:rsidRPr="006705F1" w:rsidRDefault="00A613C9" w:rsidP="00D75F27">
      <w:pPr>
        <w:pStyle w:val="ActHead5"/>
        <w:keepNext w:val="0"/>
        <w:keepLines w:val="0"/>
        <w:ind w:left="0" w:firstLine="0"/>
      </w:pPr>
      <w:bookmarkStart w:id="24" w:name="_Toc96606209"/>
      <w:r>
        <w:t>14</w:t>
      </w:r>
      <w:r w:rsidRPr="006705F1">
        <w:t xml:space="preserve">  </w:t>
      </w:r>
      <w:r>
        <w:t>Consultation about decision making processes</w:t>
      </w:r>
      <w:bookmarkEnd w:id="24"/>
    </w:p>
    <w:p w14:paraId="2B9E443E" w14:textId="749CF052" w:rsidR="00A613C9" w:rsidRDefault="00A613C9" w:rsidP="009F74F6">
      <w:pPr>
        <w:pStyle w:val="subsection"/>
      </w:pPr>
      <w:r w:rsidRPr="006705F1">
        <w:tab/>
      </w:r>
      <w:r>
        <w:t>(1)</w:t>
      </w:r>
      <w:r w:rsidRPr="006705F1">
        <w:tab/>
      </w:r>
      <w:r>
        <w:t>HEPs must advise students enrolled at the HEP of avenues available for students to be involved in decision making processes generally, including by publishing the details of the consultation mechanisms on their website and in their annual report.</w:t>
      </w:r>
    </w:p>
    <w:p w14:paraId="23B977F4" w14:textId="056C8915" w:rsidR="003E1D66" w:rsidRPr="00063C7E" w:rsidRDefault="003E1D66" w:rsidP="00E74E41">
      <w:pPr>
        <w:pStyle w:val="subsection"/>
      </w:pPr>
      <w:r>
        <w:tab/>
        <w:t>(2)</w:t>
      </w:r>
      <w:r>
        <w:tab/>
        <w:t xml:space="preserve">These mechanisms must include consultation with democratically elected student representatives. </w:t>
      </w:r>
    </w:p>
    <w:p w14:paraId="6BAD3E85" w14:textId="7CC6AA8E" w:rsidR="003E1D66" w:rsidRPr="006705F1" w:rsidRDefault="003E1D66" w:rsidP="00D75F27">
      <w:pPr>
        <w:pStyle w:val="ActHead5"/>
        <w:keepNext w:val="0"/>
        <w:keepLines w:val="0"/>
        <w:ind w:left="0" w:firstLine="0"/>
      </w:pPr>
      <w:bookmarkStart w:id="25" w:name="_Toc96606210"/>
      <w:r>
        <w:t>15</w:t>
      </w:r>
      <w:r w:rsidRPr="006705F1">
        <w:t xml:space="preserve">  </w:t>
      </w:r>
      <w:r>
        <w:t xml:space="preserve">Consultation about proceeds from compulsory </w:t>
      </w:r>
      <w:r w:rsidR="0056275B">
        <w:t>student services and amenities fee</w:t>
      </w:r>
      <w:r w:rsidR="00F53F44">
        <w:t>s</w:t>
      </w:r>
      <w:bookmarkEnd w:id="25"/>
    </w:p>
    <w:p w14:paraId="10727A5E" w14:textId="4AC54A37" w:rsidR="003E1D66" w:rsidRDefault="003E1D66" w:rsidP="009F74F6">
      <w:pPr>
        <w:pStyle w:val="subsection"/>
      </w:pPr>
      <w:r w:rsidRPr="006705F1">
        <w:tab/>
      </w:r>
      <w:r w:rsidRPr="006705F1">
        <w:tab/>
      </w:r>
      <w:r>
        <w:t xml:space="preserve">HEPs must consult with students enrolled at the HEP regarding the specific uses of proceeds from any compulsory </w:t>
      </w:r>
      <w:r w:rsidR="00F53F44">
        <w:t>student services and amenities fees</w:t>
      </w:r>
      <w:r>
        <w:t xml:space="preserve">, as outlined in section </w:t>
      </w:r>
      <w:r w:rsidR="007D6B58">
        <w:t>19</w:t>
      </w:r>
      <w:r>
        <w:t>.</w:t>
      </w:r>
    </w:p>
    <w:p w14:paraId="5D35601B" w14:textId="6D1505EE" w:rsidR="00B77169" w:rsidRPr="006705F1" w:rsidRDefault="00B77169" w:rsidP="005373D2">
      <w:pPr>
        <w:pStyle w:val="ActHead5"/>
        <w:keepNext w:val="0"/>
        <w:keepLines w:val="0"/>
        <w:ind w:left="0" w:firstLine="0"/>
      </w:pPr>
      <w:bookmarkStart w:id="26" w:name="_Toc96606211"/>
      <w:r>
        <w:t>16</w:t>
      </w:r>
      <w:r w:rsidRPr="006705F1">
        <w:t xml:space="preserve">  </w:t>
      </w:r>
      <w:r w:rsidR="00464A5F">
        <w:t>Consultation with s</w:t>
      </w:r>
      <w:r>
        <w:t>tudent representatives</w:t>
      </w:r>
      <w:r w:rsidR="00464A5F">
        <w:t xml:space="preserve"> from independent student organisations</w:t>
      </w:r>
      <w:bookmarkEnd w:id="26"/>
    </w:p>
    <w:p w14:paraId="3DF1FB8F" w14:textId="0FB19755" w:rsidR="00464A5F" w:rsidRDefault="00B77169" w:rsidP="009F74F6">
      <w:pPr>
        <w:pStyle w:val="subsection"/>
      </w:pPr>
      <w:r w:rsidRPr="006705F1">
        <w:tab/>
        <w:t>(1)</w:t>
      </w:r>
      <w:r w:rsidRPr="006705F1">
        <w:tab/>
      </w:r>
      <w:r w:rsidR="00E74E41">
        <w:t>W</w:t>
      </w:r>
      <w:r>
        <w:t xml:space="preserve">here a HEP recognises independent student organisations that have student representatives who are democratically elected by students enrolled at the HEP, students in relevant elected positions </w:t>
      </w:r>
      <w:r w:rsidR="008E3F3E">
        <w:t>must be invited to participate</w:t>
      </w:r>
      <w:r>
        <w:t xml:space="preserve"> in the HEP’s normal consultative arrangements.</w:t>
      </w:r>
    </w:p>
    <w:p w14:paraId="120D320D" w14:textId="54B43345" w:rsidR="00B77169" w:rsidRDefault="00464A5F" w:rsidP="00E74E41">
      <w:pPr>
        <w:pStyle w:val="subsection"/>
      </w:pPr>
      <w:r>
        <w:tab/>
        <w:t>(2)</w:t>
      </w:r>
      <w:r>
        <w:tab/>
      </w:r>
      <w:r w:rsidR="00B77169">
        <w:t xml:space="preserve">Students in these positions </w:t>
      </w:r>
      <w:r w:rsidR="008E3F3E">
        <w:t xml:space="preserve">must also be invited to participate in the consultation process referred to in </w:t>
      </w:r>
      <w:r w:rsidR="00B77169">
        <w:t xml:space="preserve">sections 14 and 15, provided that </w:t>
      </w:r>
      <w:r>
        <w:t>they are representative of the composition of students enrolled at the HEP.</w:t>
      </w:r>
    </w:p>
    <w:p w14:paraId="2165AEF8" w14:textId="5D05BD65" w:rsidR="00464A5F" w:rsidRPr="006705F1" w:rsidRDefault="00464A5F" w:rsidP="00AE5E68">
      <w:pPr>
        <w:pStyle w:val="ActHead5"/>
        <w:keepNext w:val="0"/>
        <w:keepLines w:val="0"/>
        <w:ind w:left="0" w:firstLine="0"/>
      </w:pPr>
      <w:bookmarkStart w:id="27" w:name="_Toc96606212"/>
      <w:r>
        <w:lastRenderedPageBreak/>
        <w:t>17</w:t>
      </w:r>
      <w:r w:rsidRPr="006705F1">
        <w:t xml:space="preserve">  </w:t>
      </w:r>
      <w:r>
        <w:t>Consultation with students in democratically elected positions</w:t>
      </w:r>
      <w:bookmarkEnd w:id="27"/>
    </w:p>
    <w:p w14:paraId="75930D81" w14:textId="01133CEF" w:rsidR="0008664E" w:rsidRPr="00BA6190" w:rsidRDefault="00464A5F" w:rsidP="009F74F6">
      <w:pPr>
        <w:pStyle w:val="subsection"/>
      </w:pPr>
      <w:r w:rsidRPr="006705F1">
        <w:tab/>
        <w:t>(1)</w:t>
      </w:r>
      <w:r w:rsidRPr="006705F1">
        <w:tab/>
      </w:r>
      <w:r w:rsidR="00E74E41">
        <w:t>W</w:t>
      </w:r>
      <w:r w:rsidR="0008664E">
        <w:t xml:space="preserve">here a </w:t>
      </w:r>
      <w:r>
        <w:t>HEP already ha</w:t>
      </w:r>
      <w:r w:rsidR="0008664E">
        <w:t>s</w:t>
      </w:r>
      <w:r>
        <w:t>, in their establishing legislation, provision for democratically elected student representation on governing and related bodies</w:t>
      </w:r>
      <w:r w:rsidR="0008664E">
        <w:t xml:space="preserve">, </w:t>
      </w:r>
      <w:r w:rsidR="00B356A1">
        <w:t xml:space="preserve">students in </w:t>
      </w:r>
      <w:r w:rsidR="00B356A1" w:rsidRPr="00BA6190">
        <w:t xml:space="preserve">relevant positions </w:t>
      </w:r>
      <w:r w:rsidR="008E3F3E" w:rsidRPr="00BA6190">
        <w:t>must</w:t>
      </w:r>
      <w:r w:rsidR="00076B66" w:rsidRPr="00BA6190">
        <w:t>, subject to any contrary intention in that legislation,</w:t>
      </w:r>
      <w:r w:rsidR="008E3F3E" w:rsidRPr="00BA6190">
        <w:t xml:space="preserve"> be invited to participate in </w:t>
      </w:r>
      <w:r w:rsidR="0087206F" w:rsidRPr="00BA6190">
        <w:t xml:space="preserve">the </w:t>
      </w:r>
      <w:r w:rsidR="008E3F3E" w:rsidRPr="00BA6190">
        <w:t xml:space="preserve">consultation </w:t>
      </w:r>
      <w:r w:rsidR="0087206F" w:rsidRPr="00BA6190">
        <w:t xml:space="preserve">process referred to in </w:t>
      </w:r>
      <w:r w:rsidR="00B356A1" w:rsidRPr="00BA6190">
        <w:t>section 14</w:t>
      </w:r>
      <w:r w:rsidR="0008664E" w:rsidRPr="00BA6190">
        <w:t>,</w:t>
      </w:r>
      <w:r w:rsidR="00B356A1" w:rsidRPr="00BA6190">
        <w:t xml:space="preserve"> provided they are representative of the composition of students enrolled at the HEP. </w:t>
      </w:r>
    </w:p>
    <w:p w14:paraId="70E5F60E" w14:textId="64589538" w:rsidR="00464A5F" w:rsidRDefault="0008664E" w:rsidP="00E74E41">
      <w:pPr>
        <w:pStyle w:val="subsection"/>
      </w:pPr>
      <w:r w:rsidRPr="00BA6190">
        <w:tab/>
        <w:t>(2)</w:t>
      </w:r>
      <w:r w:rsidRPr="00BA6190">
        <w:tab/>
      </w:r>
      <w:r w:rsidR="00B356A1" w:rsidRPr="00BA6190">
        <w:t xml:space="preserve">Students in these positions </w:t>
      </w:r>
      <w:r w:rsidR="0087206F" w:rsidRPr="00BA6190">
        <w:t>must</w:t>
      </w:r>
      <w:r w:rsidR="00995DB7" w:rsidRPr="00BA6190">
        <w:t>, subject to any contrary intention in the</w:t>
      </w:r>
      <w:r w:rsidR="00541480">
        <w:t>ir</w:t>
      </w:r>
      <w:r w:rsidR="00995DB7" w:rsidRPr="00BA6190">
        <w:t xml:space="preserve"> establishing legislation</w:t>
      </w:r>
      <w:r w:rsidR="00825D57">
        <w:t>,</w:t>
      </w:r>
      <w:r w:rsidR="0087206F" w:rsidRPr="00BA6190">
        <w:t xml:space="preserve"> be</w:t>
      </w:r>
      <w:r w:rsidR="0087206F">
        <w:t xml:space="preserve"> invited to participate in the consultation process referred to in</w:t>
      </w:r>
      <w:r w:rsidR="00B356A1">
        <w:t xml:space="preserve"> section 15, provided that their election envisaged this role.</w:t>
      </w:r>
    </w:p>
    <w:p w14:paraId="14AA4AC9" w14:textId="5F98A171" w:rsidR="001731FA" w:rsidRPr="006705F1" w:rsidRDefault="001731FA" w:rsidP="00AE5E68">
      <w:pPr>
        <w:pStyle w:val="ActHead5"/>
        <w:keepNext w:val="0"/>
        <w:keepLines w:val="0"/>
        <w:ind w:left="0" w:firstLine="0"/>
      </w:pPr>
      <w:bookmarkStart w:id="28" w:name="_Toc96606213"/>
      <w:r>
        <w:t>18</w:t>
      </w:r>
      <w:r w:rsidRPr="006705F1">
        <w:t xml:space="preserve">  </w:t>
      </w:r>
      <w:r>
        <w:t>Provision for student representatives</w:t>
      </w:r>
      <w:bookmarkEnd w:id="28"/>
      <w:r>
        <w:t xml:space="preserve"> </w:t>
      </w:r>
    </w:p>
    <w:p w14:paraId="4D9EA800" w14:textId="704A6A68" w:rsidR="001731FA" w:rsidRDefault="001731FA" w:rsidP="009F74F6">
      <w:pPr>
        <w:pStyle w:val="subsection"/>
      </w:pPr>
      <w:r w:rsidRPr="006705F1">
        <w:tab/>
        <w:t>(1)</w:t>
      </w:r>
      <w:r w:rsidRPr="006705F1">
        <w:tab/>
      </w:r>
      <w:r w:rsidR="00E74E41">
        <w:t>W</w:t>
      </w:r>
      <w:r>
        <w:t>here sections 16 and 17 do not apply to the HEP, the HEP must provide for student representatives to be democratically elected for the purposes of meeting the requirements of section 14, with at least one representative elected from</w:t>
      </w:r>
      <w:r w:rsidR="003E6A7E">
        <w:t xml:space="preserve"> </w:t>
      </w:r>
      <w:r>
        <w:t xml:space="preserve">the following categories: </w:t>
      </w:r>
    </w:p>
    <w:p w14:paraId="10FBA27A" w14:textId="10C417C1" w:rsidR="001731FA" w:rsidRDefault="001731FA" w:rsidP="00E74E41">
      <w:pPr>
        <w:pStyle w:val="paragraph"/>
      </w:pPr>
      <w:r w:rsidRPr="001731FA">
        <w:tab/>
        <w:t>(a)</w:t>
      </w:r>
      <w:r w:rsidRPr="001731FA">
        <w:tab/>
      </w:r>
      <w:r>
        <w:t xml:space="preserve">students enrolled in an undergraduate course of study; </w:t>
      </w:r>
    </w:p>
    <w:p w14:paraId="4DCFF68B" w14:textId="69916481" w:rsidR="001731FA" w:rsidRDefault="001731FA" w:rsidP="00E74E41">
      <w:pPr>
        <w:pStyle w:val="paragraph"/>
      </w:pPr>
      <w:r>
        <w:tab/>
        <w:t>(b)</w:t>
      </w:r>
      <w:r>
        <w:tab/>
        <w:t xml:space="preserve">students enrolled in a postgraduate course of study; and </w:t>
      </w:r>
    </w:p>
    <w:p w14:paraId="09C98B19" w14:textId="6C7D9D0E" w:rsidR="001731FA" w:rsidRDefault="001731FA" w:rsidP="00E74E41">
      <w:pPr>
        <w:pStyle w:val="paragraph"/>
      </w:pPr>
      <w:r>
        <w:tab/>
        <w:t>(c)</w:t>
      </w:r>
      <w:r>
        <w:tab/>
        <w:t>overseas students.</w:t>
      </w:r>
    </w:p>
    <w:p w14:paraId="5795E293" w14:textId="412D9621" w:rsidR="00587B79" w:rsidRDefault="00587B79" w:rsidP="00E74E41">
      <w:pPr>
        <w:pStyle w:val="subsection"/>
      </w:pPr>
      <w:r w:rsidRPr="006705F1">
        <w:tab/>
        <w:t>(</w:t>
      </w:r>
      <w:r>
        <w:t>2</w:t>
      </w:r>
      <w:r w:rsidRPr="006705F1">
        <w:t>)</w:t>
      </w:r>
      <w:r w:rsidRPr="006705F1">
        <w:tab/>
      </w:r>
      <w:r>
        <w:t xml:space="preserve">In meeting the </w:t>
      </w:r>
      <w:r w:rsidR="00AE4CB2">
        <w:t xml:space="preserve">requirements to provide democratically elected student representation </w:t>
      </w:r>
      <w:r>
        <w:t xml:space="preserve">under section 17 or subsection (1), a HEP must meet the necessary and reasonable costs of conducting democratic, valid and transparent polls. </w:t>
      </w:r>
    </w:p>
    <w:p w14:paraId="798C9F30" w14:textId="2ED627AB" w:rsidR="001731FA" w:rsidRDefault="00AE4CB2" w:rsidP="005B0D94">
      <w:pPr>
        <w:pStyle w:val="subsection"/>
      </w:pPr>
      <w:r>
        <w:tab/>
        <w:t>(3)</w:t>
      </w:r>
      <w:r>
        <w:tab/>
        <w:t xml:space="preserve">In meeting the requirements under section 17 or subsection (1), a HEP must provide adequate and reasonable support, resources and infrastructure for democratically elected student representatives to carry out their functions on behalf of students enrolled at the HEP. </w:t>
      </w:r>
    </w:p>
    <w:p w14:paraId="1AE69738" w14:textId="4D5291B3" w:rsidR="00587B79" w:rsidRDefault="00587B79" w:rsidP="00E74E41">
      <w:pPr>
        <w:pStyle w:val="notetext"/>
        <w:rPr>
          <w:snapToGrid w:val="0"/>
          <w:lang w:eastAsia="en-US"/>
        </w:rPr>
      </w:pPr>
      <w:r w:rsidRPr="003422B4">
        <w:rPr>
          <w:snapToGrid w:val="0"/>
          <w:lang w:eastAsia="en-US"/>
        </w:rPr>
        <w:t>Note</w:t>
      </w:r>
      <w:r w:rsidR="00F53F44">
        <w:rPr>
          <w:snapToGrid w:val="0"/>
          <w:lang w:eastAsia="en-US"/>
        </w:rPr>
        <w:t xml:space="preserve"> 1</w:t>
      </w:r>
      <w:r w:rsidRPr="003422B4">
        <w:rPr>
          <w:snapToGrid w:val="0"/>
          <w:lang w:eastAsia="en-US"/>
        </w:rPr>
        <w:t>:</w:t>
      </w:r>
      <w:r w:rsidRPr="003422B4">
        <w:rPr>
          <w:snapToGrid w:val="0"/>
          <w:lang w:eastAsia="en-US"/>
        </w:rPr>
        <w:tab/>
      </w:r>
      <w:r>
        <w:rPr>
          <w:snapToGrid w:val="0"/>
          <w:lang w:eastAsia="en-US"/>
        </w:rPr>
        <w:t>Nothing in this section is intended to limit a HEP using additional mechanisms for student consultation as appropriate</w:t>
      </w:r>
      <w:r w:rsidR="00BB04C9">
        <w:rPr>
          <w:snapToGrid w:val="0"/>
          <w:lang w:eastAsia="en-US"/>
        </w:rPr>
        <w:t xml:space="preserve"> or intended to limit a HEP from providing support for other student representatives elected as part of the HEP’s approved consultation mechanisms</w:t>
      </w:r>
      <w:r w:rsidRPr="003422B4">
        <w:rPr>
          <w:snapToGrid w:val="0"/>
          <w:lang w:eastAsia="en-US"/>
        </w:rPr>
        <w:t>.</w:t>
      </w:r>
    </w:p>
    <w:p w14:paraId="3993DB35" w14:textId="1BB28809" w:rsidR="00587B79" w:rsidRDefault="0056275B" w:rsidP="003E6A7E">
      <w:pPr>
        <w:pStyle w:val="notetext"/>
        <w:rPr>
          <w:snapToGrid w:val="0"/>
          <w:lang w:eastAsia="en-US"/>
        </w:rPr>
      </w:pPr>
      <w:r w:rsidRPr="003422B4">
        <w:rPr>
          <w:snapToGrid w:val="0"/>
          <w:lang w:eastAsia="en-US"/>
        </w:rPr>
        <w:t>Note</w:t>
      </w:r>
      <w:r w:rsidR="00F53F44">
        <w:rPr>
          <w:snapToGrid w:val="0"/>
          <w:lang w:eastAsia="en-US"/>
        </w:rPr>
        <w:t xml:space="preserve"> 2</w:t>
      </w:r>
      <w:r w:rsidRPr="003422B4">
        <w:rPr>
          <w:snapToGrid w:val="0"/>
          <w:lang w:eastAsia="en-US"/>
        </w:rPr>
        <w:t>:</w:t>
      </w:r>
      <w:r w:rsidRPr="003422B4">
        <w:rPr>
          <w:snapToGrid w:val="0"/>
          <w:lang w:eastAsia="en-US"/>
        </w:rPr>
        <w:tab/>
      </w:r>
      <w:r>
        <w:rPr>
          <w:snapToGrid w:val="0"/>
          <w:lang w:eastAsia="en-US"/>
        </w:rPr>
        <w:t xml:space="preserve">For the purposes of subsection (3), examples of resources and infrastructure are office spaces and IT equipment. </w:t>
      </w:r>
    </w:p>
    <w:p w14:paraId="66EC67C4" w14:textId="66D50842" w:rsidR="003E6A7E" w:rsidRPr="006705F1" w:rsidRDefault="003E6A7E" w:rsidP="003E6A7E">
      <w:pPr>
        <w:pStyle w:val="ActHead5"/>
        <w:keepNext w:val="0"/>
        <w:keepLines w:val="0"/>
        <w:ind w:left="0" w:firstLine="0"/>
      </w:pPr>
      <w:bookmarkStart w:id="29" w:name="_Toc96606214"/>
      <w:r>
        <w:t>19</w:t>
      </w:r>
      <w:r w:rsidRPr="006705F1">
        <w:t xml:space="preserve">  </w:t>
      </w:r>
      <w:r>
        <w:t>Use of compulsory student services and amenities fees</w:t>
      </w:r>
      <w:bookmarkEnd w:id="29"/>
      <w:r>
        <w:t xml:space="preserve"> </w:t>
      </w:r>
    </w:p>
    <w:p w14:paraId="784D5359" w14:textId="0309DDF4" w:rsidR="00587B79" w:rsidRDefault="00587B79" w:rsidP="009F74F6">
      <w:pPr>
        <w:pStyle w:val="subsection"/>
      </w:pPr>
      <w:r w:rsidRPr="006705F1">
        <w:tab/>
        <w:t>(1)</w:t>
      </w:r>
      <w:r w:rsidRPr="006705F1">
        <w:tab/>
      </w:r>
      <w:r w:rsidR="003E6A7E">
        <w:t>I</w:t>
      </w:r>
      <w:r w:rsidR="00F53F44">
        <w:t xml:space="preserve">n relation to decisions regarding the specific uses of the proceeds from any compulsory student services and amenities fee, HEPs must establish and maintain a clearly defined and effective process by which students enrolled at the HEP are consulted that is reviewed and approved annually by the governing body of the HEP. </w:t>
      </w:r>
    </w:p>
    <w:p w14:paraId="155B571E" w14:textId="71B027A0" w:rsidR="00F53F44" w:rsidRDefault="00F53F44" w:rsidP="00E74E41">
      <w:pPr>
        <w:pStyle w:val="subsection"/>
      </w:pPr>
      <w:r>
        <w:tab/>
        <w:t>(2)</w:t>
      </w:r>
      <w:r>
        <w:tab/>
        <w:t xml:space="preserve">Consultation with students must be undertaken through a formal process of engagement with the democratically elected student representatives identified in sections 16, 17 or 18. </w:t>
      </w:r>
    </w:p>
    <w:p w14:paraId="0DED1226" w14:textId="34D19F53" w:rsidR="00F53F44" w:rsidRDefault="00F53F44" w:rsidP="00E74E41">
      <w:pPr>
        <w:pStyle w:val="subsection"/>
      </w:pPr>
      <w:r>
        <w:lastRenderedPageBreak/>
        <w:tab/>
        <w:t>(3)</w:t>
      </w:r>
      <w:r>
        <w:tab/>
        <w:t>Consultation</w:t>
      </w:r>
      <w:r w:rsidR="00EE7D43">
        <w:t xml:space="preserve"> </w:t>
      </w:r>
      <w:r w:rsidR="003D3DF0">
        <w:t xml:space="preserve">with students must be timely, form part of the HEP’s annual financial planning, and must include notifying students enrolled at the HEP and democratically elected student representatives referred to above of: </w:t>
      </w:r>
    </w:p>
    <w:p w14:paraId="511E1161" w14:textId="60EA360B" w:rsidR="003D3DF0" w:rsidRDefault="003D3DF0" w:rsidP="00E74E41">
      <w:pPr>
        <w:pStyle w:val="paragraph"/>
      </w:pPr>
      <w:r w:rsidRPr="003D3DF0">
        <w:tab/>
        <w:t>(a)</w:t>
      </w:r>
      <w:r w:rsidRPr="003D3DF0">
        <w:tab/>
      </w:r>
      <w:r>
        <w:t xml:space="preserve">the purpose of the student services and amenities fee; </w:t>
      </w:r>
    </w:p>
    <w:p w14:paraId="14283BBC" w14:textId="65DFDDA9" w:rsidR="003D3DF0" w:rsidRDefault="003D3DF0" w:rsidP="00E74E41">
      <w:pPr>
        <w:pStyle w:val="paragraph"/>
      </w:pPr>
      <w:r>
        <w:tab/>
        <w:t>(b)</w:t>
      </w:r>
      <w:r>
        <w:tab/>
        <w:t xml:space="preserve">the amount of revenue anticipated; </w:t>
      </w:r>
    </w:p>
    <w:p w14:paraId="58479B8C" w14:textId="1E5E6222" w:rsidR="003D3DF0" w:rsidRDefault="003D3DF0" w:rsidP="00E74E41">
      <w:pPr>
        <w:pStyle w:val="paragraph"/>
      </w:pPr>
      <w:r>
        <w:tab/>
        <w:t>(c)</w:t>
      </w:r>
      <w:r>
        <w:tab/>
        <w:t xml:space="preserve">the mechanisms to establish priorities for expenditure; and </w:t>
      </w:r>
    </w:p>
    <w:p w14:paraId="25E7854D" w14:textId="3B2CE0EE" w:rsidR="003D3DF0" w:rsidRDefault="003D3DF0" w:rsidP="00E74E41">
      <w:pPr>
        <w:pStyle w:val="paragraph"/>
      </w:pPr>
      <w:r>
        <w:tab/>
        <w:t>(d)</w:t>
      </w:r>
      <w:r>
        <w:tab/>
        <w:t>the timing and mechanism available to comment on the proposed priorities.</w:t>
      </w:r>
    </w:p>
    <w:p w14:paraId="115E63A4" w14:textId="47833CA4" w:rsidR="003D3DF0" w:rsidRDefault="003D3DF0" w:rsidP="00E74E41">
      <w:pPr>
        <w:pStyle w:val="subsection"/>
      </w:pPr>
      <w:r>
        <w:tab/>
        <w:t>(4)</w:t>
      </w:r>
      <w:r>
        <w:tab/>
      </w:r>
      <w:r w:rsidR="003E6A7E">
        <w:t>O</w:t>
      </w:r>
      <w:r>
        <w:t xml:space="preserve">nce consultation has been undertaken, and the HEP has determined through consultation how the revenue will be spent, information on the established priorities, proposed heads of expenditure and projects to be funded must be made publicly available to students enrolled at the HEP. </w:t>
      </w:r>
    </w:p>
    <w:p w14:paraId="43BDD251" w14:textId="3C298C11" w:rsidR="003D3DF0" w:rsidRPr="003D3DF0" w:rsidRDefault="003D3DF0" w:rsidP="00E74E41">
      <w:pPr>
        <w:pStyle w:val="subsection"/>
      </w:pPr>
      <w:r>
        <w:tab/>
        <w:t>(5)</w:t>
      </w:r>
      <w:r>
        <w:tab/>
      </w:r>
      <w:r w:rsidR="00BA6190">
        <w:t>HEPs must provide a publicly available report on student services and amenities fee allocations and actual expenditure for the year as part of their annual reporting and in the form approved by the Minister.</w:t>
      </w:r>
    </w:p>
    <w:p w14:paraId="01E090E9" w14:textId="77777777" w:rsidR="00554826" w:rsidRDefault="00554826" w:rsidP="00E74E41">
      <w:pPr>
        <w:spacing w:line="240" w:lineRule="auto"/>
        <w:rPr>
          <w:rFonts w:eastAsia="Times New Roman" w:cs="Times New Roman"/>
          <w:lang w:eastAsia="en-AU"/>
        </w:rPr>
      </w:pPr>
      <w:r>
        <w:br w:type="page"/>
      </w:r>
    </w:p>
    <w:p w14:paraId="1F23E1C2" w14:textId="77777777" w:rsidR="00D6537E" w:rsidRPr="004E1307" w:rsidRDefault="004E1307" w:rsidP="005373D2">
      <w:pPr>
        <w:pStyle w:val="ActHead6"/>
        <w:keepNext w:val="0"/>
        <w:keepLines w:val="0"/>
      </w:pPr>
      <w:bookmarkStart w:id="30" w:name="_Toc96606215"/>
      <w:r>
        <w:lastRenderedPageBreak/>
        <w:t xml:space="preserve">Schedule </w:t>
      </w:r>
      <w:r w:rsidR="00D6537E" w:rsidRPr="004E1307">
        <w:t>1—Repeals</w:t>
      </w:r>
      <w:bookmarkEnd w:id="30"/>
    </w:p>
    <w:p w14:paraId="3E98A246" w14:textId="656D8E9F" w:rsidR="00D6537E" w:rsidRPr="00D6537E" w:rsidRDefault="003D3DF0" w:rsidP="005373D2">
      <w:pPr>
        <w:pStyle w:val="ActHead9"/>
        <w:keepNext w:val="0"/>
        <w:keepLines w:val="0"/>
      </w:pPr>
      <w:bookmarkStart w:id="31" w:name="_Toc96606216"/>
      <w:bookmarkStart w:id="32" w:name="_Hlk95299969"/>
      <w:r>
        <w:t>Student Services, Amenities, Representation and Advocacy Guidelines</w:t>
      </w:r>
      <w:bookmarkEnd w:id="31"/>
      <w:r>
        <w:t xml:space="preserve"> </w:t>
      </w:r>
      <w:bookmarkEnd w:id="32"/>
    </w:p>
    <w:p w14:paraId="00963D43" w14:textId="77777777" w:rsidR="00D6537E" w:rsidRDefault="00D6537E" w:rsidP="005373D2">
      <w:pPr>
        <w:pStyle w:val="ItemHead"/>
        <w:keepNext w:val="0"/>
        <w:keepLines w:val="0"/>
      </w:pPr>
      <w:r w:rsidRPr="00B1728A">
        <w:t xml:space="preserve">1  </w:t>
      </w:r>
      <w:r w:rsidR="00BB1533">
        <w:t>The w</w:t>
      </w:r>
      <w:r>
        <w:t>hole of the instrument</w:t>
      </w:r>
    </w:p>
    <w:p w14:paraId="1EB8E10C" w14:textId="77777777" w:rsidR="004E1307" w:rsidRDefault="00D6537E" w:rsidP="005373D2">
      <w:pPr>
        <w:pStyle w:val="Item"/>
        <w:keepLines w:val="0"/>
      </w:pPr>
      <w:r>
        <w:t>Repeal the instrument</w:t>
      </w:r>
    </w:p>
    <w:p w14:paraId="359E5B8F" w14:textId="77777777" w:rsidR="00554826" w:rsidRPr="00554826" w:rsidRDefault="00554826" w:rsidP="009F74F6"/>
    <w:p w14:paraId="172B45E5" w14:textId="18899866" w:rsidR="00554826" w:rsidRDefault="00554826" w:rsidP="00E74E41">
      <w:pPr>
        <w:spacing w:line="240" w:lineRule="auto"/>
      </w:pPr>
    </w:p>
    <w:sectPr w:rsidR="00554826"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7A528" w14:textId="77777777" w:rsidR="00076B66" w:rsidRDefault="00076B66" w:rsidP="00715914">
      <w:pPr>
        <w:spacing w:line="240" w:lineRule="auto"/>
      </w:pPr>
      <w:r>
        <w:separator/>
      </w:r>
    </w:p>
  </w:endnote>
  <w:endnote w:type="continuationSeparator" w:id="0">
    <w:p w14:paraId="5431C77D" w14:textId="77777777" w:rsidR="00076B66" w:rsidRDefault="00076B6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8D358" w14:textId="77777777" w:rsidR="00076B66" w:rsidRPr="00E33C1C" w:rsidRDefault="00076B6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76B66" w14:paraId="2EE99C79" w14:textId="77777777" w:rsidTr="00B33709">
      <w:tc>
        <w:tcPr>
          <w:tcW w:w="709" w:type="dxa"/>
          <w:tcBorders>
            <w:top w:val="nil"/>
            <w:left w:val="nil"/>
            <w:bottom w:val="nil"/>
            <w:right w:val="nil"/>
          </w:tcBorders>
        </w:tcPr>
        <w:p w14:paraId="6E908F2A" w14:textId="77777777" w:rsidR="00076B66" w:rsidRDefault="00076B6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AD120F0" w14:textId="77777777" w:rsidR="00076B66" w:rsidRPr="004E1307" w:rsidRDefault="00076B6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03E97993" w14:textId="77777777" w:rsidR="00076B66" w:rsidRDefault="00076B66" w:rsidP="00A369E3">
          <w:pPr>
            <w:spacing w:line="0" w:lineRule="atLeast"/>
            <w:jc w:val="right"/>
            <w:rPr>
              <w:sz w:val="18"/>
            </w:rPr>
          </w:pPr>
        </w:p>
      </w:tc>
    </w:tr>
    <w:tr w:rsidR="00076B66" w14:paraId="3ECA9FD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3249DE8" w14:textId="77777777" w:rsidR="00076B66" w:rsidRDefault="00076B66" w:rsidP="00A369E3">
          <w:pPr>
            <w:jc w:val="right"/>
            <w:rPr>
              <w:sz w:val="18"/>
            </w:rPr>
          </w:pPr>
        </w:p>
      </w:tc>
    </w:tr>
  </w:tbl>
  <w:p w14:paraId="7E634E7A" w14:textId="77777777" w:rsidR="00076B66" w:rsidRPr="00ED79B6" w:rsidRDefault="00076B6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5389" w14:textId="77777777" w:rsidR="00076B66" w:rsidRPr="00E33C1C" w:rsidRDefault="00076B6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076B66" w14:paraId="1FB1EE69" w14:textId="77777777" w:rsidTr="00A369E3">
      <w:tc>
        <w:tcPr>
          <w:tcW w:w="1384" w:type="dxa"/>
          <w:tcBorders>
            <w:top w:val="nil"/>
            <w:left w:val="nil"/>
            <w:bottom w:val="nil"/>
            <w:right w:val="nil"/>
          </w:tcBorders>
        </w:tcPr>
        <w:p w14:paraId="45729D37" w14:textId="77777777" w:rsidR="00076B66" w:rsidRDefault="00076B66" w:rsidP="00A369E3">
          <w:pPr>
            <w:spacing w:line="0" w:lineRule="atLeast"/>
            <w:rPr>
              <w:sz w:val="18"/>
            </w:rPr>
          </w:pPr>
        </w:p>
      </w:tc>
      <w:tc>
        <w:tcPr>
          <w:tcW w:w="6379" w:type="dxa"/>
          <w:tcBorders>
            <w:top w:val="nil"/>
            <w:left w:val="nil"/>
            <w:bottom w:val="nil"/>
            <w:right w:val="nil"/>
          </w:tcBorders>
        </w:tcPr>
        <w:p w14:paraId="590616C7" w14:textId="77777777" w:rsidR="00076B66" w:rsidRDefault="00076B6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59A4BB4A" w14:textId="77777777" w:rsidR="00076B66" w:rsidRDefault="00076B6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76B66" w14:paraId="0098DCB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813F489" w14:textId="77777777" w:rsidR="00076B66" w:rsidRDefault="00076B66" w:rsidP="00A369E3">
          <w:pPr>
            <w:rPr>
              <w:sz w:val="18"/>
            </w:rPr>
          </w:pPr>
        </w:p>
      </w:tc>
    </w:tr>
  </w:tbl>
  <w:p w14:paraId="035789F6" w14:textId="77777777" w:rsidR="00076B66" w:rsidRPr="00ED79B6" w:rsidRDefault="00076B66"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D346F" w14:textId="77777777" w:rsidR="00076B66" w:rsidRPr="00E33C1C" w:rsidRDefault="00076B6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76B66" w14:paraId="23D8E5EF" w14:textId="77777777" w:rsidTr="00B33709">
      <w:tc>
        <w:tcPr>
          <w:tcW w:w="1384" w:type="dxa"/>
          <w:tcBorders>
            <w:top w:val="nil"/>
            <w:left w:val="nil"/>
            <w:bottom w:val="nil"/>
            <w:right w:val="nil"/>
          </w:tcBorders>
        </w:tcPr>
        <w:p w14:paraId="2EB15DC4" w14:textId="77777777" w:rsidR="00076B66" w:rsidRDefault="00076B66" w:rsidP="00A369E3">
          <w:pPr>
            <w:spacing w:line="0" w:lineRule="atLeast"/>
            <w:rPr>
              <w:sz w:val="18"/>
            </w:rPr>
          </w:pPr>
        </w:p>
      </w:tc>
      <w:tc>
        <w:tcPr>
          <w:tcW w:w="6379" w:type="dxa"/>
          <w:tcBorders>
            <w:top w:val="nil"/>
            <w:left w:val="nil"/>
            <w:bottom w:val="nil"/>
            <w:right w:val="nil"/>
          </w:tcBorders>
        </w:tcPr>
        <w:p w14:paraId="65670111" w14:textId="77777777" w:rsidR="00076B66" w:rsidRDefault="00076B66" w:rsidP="00A369E3">
          <w:pPr>
            <w:spacing w:line="0" w:lineRule="atLeast"/>
            <w:jc w:val="center"/>
            <w:rPr>
              <w:sz w:val="18"/>
            </w:rPr>
          </w:pPr>
        </w:p>
      </w:tc>
      <w:tc>
        <w:tcPr>
          <w:tcW w:w="709" w:type="dxa"/>
          <w:tcBorders>
            <w:top w:val="nil"/>
            <w:left w:val="nil"/>
            <w:bottom w:val="nil"/>
            <w:right w:val="nil"/>
          </w:tcBorders>
        </w:tcPr>
        <w:p w14:paraId="3BA0D35A" w14:textId="77777777" w:rsidR="00076B66" w:rsidRDefault="00076B66" w:rsidP="00A369E3">
          <w:pPr>
            <w:spacing w:line="0" w:lineRule="atLeast"/>
            <w:jc w:val="right"/>
            <w:rPr>
              <w:sz w:val="18"/>
            </w:rPr>
          </w:pPr>
        </w:p>
      </w:tc>
    </w:tr>
  </w:tbl>
  <w:p w14:paraId="52F9CB2E" w14:textId="77777777" w:rsidR="00076B66" w:rsidRPr="00ED79B6" w:rsidRDefault="00076B66"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07A05" w14:textId="77777777" w:rsidR="00076B66" w:rsidRPr="002B0EA5" w:rsidRDefault="00076B66" w:rsidP="006705F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76B66" w14:paraId="63FE4327" w14:textId="77777777" w:rsidTr="006705F1">
      <w:tc>
        <w:tcPr>
          <w:tcW w:w="365" w:type="pct"/>
        </w:tcPr>
        <w:p w14:paraId="50C5CD16" w14:textId="77777777" w:rsidR="00076B66" w:rsidRDefault="00076B66" w:rsidP="006705F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F599278" w14:textId="2F2751FC" w:rsidR="00076B66" w:rsidRDefault="00076B66" w:rsidP="006705F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Support (Student Services, Amenities, Representation and Advocacy Guidelines) Instrument 2022</w:t>
          </w:r>
          <w:r w:rsidRPr="004E1307">
            <w:rPr>
              <w:i/>
              <w:sz w:val="18"/>
            </w:rPr>
            <w:fldChar w:fldCharType="end"/>
          </w:r>
        </w:p>
      </w:tc>
      <w:tc>
        <w:tcPr>
          <w:tcW w:w="947" w:type="pct"/>
        </w:tcPr>
        <w:p w14:paraId="3A54D864" w14:textId="77777777" w:rsidR="00076B66" w:rsidRDefault="00076B66" w:rsidP="006705F1">
          <w:pPr>
            <w:spacing w:line="0" w:lineRule="atLeast"/>
            <w:jc w:val="right"/>
            <w:rPr>
              <w:sz w:val="18"/>
            </w:rPr>
          </w:pPr>
        </w:p>
      </w:tc>
    </w:tr>
    <w:tr w:rsidR="00076B66" w14:paraId="6EDBDDB5" w14:textId="77777777" w:rsidTr="006705F1">
      <w:tc>
        <w:tcPr>
          <w:tcW w:w="5000" w:type="pct"/>
          <w:gridSpan w:val="3"/>
        </w:tcPr>
        <w:p w14:paraId="2C630C4E" w14:textId="77777777" w:rsidR="00076B66" w:rsidRDefault="00076B66" w:rsidP="006705F1">
          <w:pPr>
            <w:jc w:val="right"/>
            <w:rPr>
              <w:sz w:val="18"/>
            </w:rPr>
          </w:pPr>
        </w:p>
      </w:tc>
    </w:tr>
  </w:tbl>
  <w:p w14:paraId="03D54CA3" w14:textId="77777777" w:rsidR="00076B66" w:rsidRPr="00ED79B6" w:rsidRDefault="00076B66" w:rsidP="006705F1">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65B70" w14:textId="77777777" w:rsidR="00076B66" w:rsidRPr="002B0EA5" w:rsidRDefault="00076B66" w:rsidP="006705F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76B66" w14:paraId="3FFCE0B1" w14:textId="77777777" w:rsidTr="006705F1">
      <w:tc>
        <w:tcPr>
          <w:tcW w:w="947" w:type="pct"/>
        </w:tcPr>
        <w:p w14:paraId="30DEADA2" w14:textId="77777777" w:rsidR="00076B66" w:rsidRDefault="00076B66" w:rsidP="006705F1">
          <w:pPr>
            <w:spacing w:line="0" w:lineRule="atLeast"/>
            <w:rPr>
              <w:sz w:val="18"/>
            </w:rPr>
          </w:pPr>
        </w:p>
      </w:tc>
      <w:tc>
        <w:tcPr>
          <w:tcW w:w="3688" w:type="pct"/>
        </w:tcPr>
        <w:p w14:paraId="69B7E070" w14:textId="31822CA1" w:rsidR="00076B66" w:rsidRDefault="00076B66" w:rsidP="006705F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D0249">
            <w:rPr>
              <w:i/>
              <w:noProof/>
              <w:sz w:val="18"/>
            </w:rPr>
            <w:t>Higher Education Support (Student Services, Amenities, Representation and Advocacy) Guidelines 2022</w:t>
          </w:r>
          <w:r w:rsidRPr="004E1307">
            <w:rPr>
              <w:i/>
              <w:sz w:val="18"/>
            </w:rPr>
            <w:fldChar w:fldCharType="end"/>
          </w:r>
        </w:p>
      </w:tc>
      <w:tc>
        <w:tcPr>
          <w:tcW w:w="365" w:type="pct"/>
        </w:tcPr>
        <w:p w14:paraId="4E2A188E" w14:textId="77777777" w:rsidR="00076B66" w:rsidRDefault="00076B66" w:rsidP="006705F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076B66" w14:paraId="61E1DBD9" w14:textId="77777777" w:rsidTr="006705F1">
      <w:tc>
        <w:tcPr>
          <w:tcW w:w="5000" w:type="pct"/>
          <w:gridSpan w:val="3"/>
        </w:tcPr>
        <w:p w14:paraId="6344CFB9" w14:textId="77777777" w:rsidR="00076B66" w:rsidRDefault="00076B66" w:rsidP="006705F1">
          <w:pPr>
            <w:rPr>
              <w:sz w:val="18"/>
            </w:rPr>
          </w:pPr>
        </w:p>
      </w:tc>
    </w:tr>
  </w:tbl>
  <w:p w14:paraId="30BC0666" w14:textId="77777777" w:rsidR="00076B66" w:rsidRPr="00ED79B6" w:rsidRDefault="00076B66" w:rsidP="006705F1">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02924" w14:textId="77777777" w:rsidR="00076B66" w:rsidRPr="002B0EA5" w:rsidRDefault="00076B66" w:rsidP="006705F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76B66" w14:paraId="0F25B971" w14:textId="77777777" w:rsidTr="006705F1">
      <w:tc>
        <w:tcPr>
          <w:tcW w:w="365" w:type="pct"/>
        </w:tcPr>
        <w:p w14:paraId="2C472AAA" w14:textId="77777777" w:rsidR="00076B66" w:rsidRDefault="00076B66" w:rsidP="006705F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13C7467" w14:textId="66FFA206" w:rsidR="00076B66" w:rsidRDefault="00076B66" w:rsidP="006705F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D0249">
            <w:rPr>
              <w:i/>
              <w:noProof/>
              <w:sz w:val="18"/>
            </w:rPr>
            <w:t>Higher Education Support (Student Services, Amenities, Representation and Advocacy) Guidelines 2022</w:t>
          </w:r>
          <w:r w:rsidRPr="004E1307">
            <w:rPr>
              <w:i/>
              <w:sz w:val="18"/>
            </w:rPr>
            <w:fldChar w:fldCharType="end"/>
          </w:r>
        </w:p>
      </w:tc>
      <w:tc>
        <w:tcPr>
          <w:tcW w:w="947" w:type="pct"/>
        </w:tcPr>
        <w:p w14:paraId="474A798C" w14:textId="77777777" w:rsidR="00076B66" w:rsidRDefault="00076B66" w:rsidP="006705F1">
          <w:pPr>
            <w:spacing w:line="0" w:lineRule="atLeast"/>
            <w:jc w:val="right"/>
            <w:rPr>
              <w:sz w:val="18"/>
            </w:rPr>
          </w:pPr>
        </w:p>
      </w:tc>
    </w:tr>
    <w:tr w:rsidR="00076B66" w14:paraId="22464F25" w14:textId="77777777" w:rsidTr="006705F1">
      <w:tc>
        <w:tcPr>
          <w:tcW w:w="5000" w:type="pct"/>
          <w:gridSpan w:val="3"/>
        </w:tcPr>
        <w:p w14:paraId="3547E5C4" w14:textId="77777777" w:rsidR="00076B66" w:rsidRDefault="00076B66" w:rsidP="006705F1">
          <w:pPr>
            <w:jc w:val="right"/>
            <w:rPr>
              <w:sz w:val="18"/>
            </w:rPr>
          </w:pPr>
        </w:p>
      </w:tc>
    </w:tr>
  </w:tbl>
  <w:p w14:paraId="7E570818" w14:textId="77777777" w:rsidR="00076B66" w:rsidRPr="00ED79B6" w:rsidRDefault="00076B66" w:rsidP="006705F1">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26D2C" w14:textId="77777777" w:rsidR="00076B66" w:rsidRPr="002B0EA5" w:rsidRDefault="00076B66" w:rsidP="006705F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76B66" w14:paraId="7A888498" w14:textId="77777777" w:rsidTr="006705F1">
      <w:tc>
        <w:tcPr>
          <w:tcW w:w="947" w:type="pct"/>
        </w:tcPr>
        <w:p w14:paraId="73D30906" w14:textId="77777777" w:rsidR="00076B66" w:rsidRDefault="00076B66" w:rsidP="006705F1">
          <w:pPr>
            <w:spacing w:line="0" w:lineRule="atLeast"/>
            <w:rPr>
              <w:sz w:val="18"/>
            </w:rPr>
          </w:pPr>
        </w:p>
      </w:tc>
      <w:tc>
        <w:tcPr>
          <w:tcW w:w="3688" w:type="pct"/>
        </w:tcPr>
        <w:p w14:paraId="020E156F" w14:textId="5BC54F43" w:rsidR="00076B66" w:rsidRDefault="00076B66" w:rsidP="006705F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D0249">
            <w:rPr>
              <w:i/>
              <w:noProof/>
              <w:sz w:val="18"/>
            </w:rPr>
            <w:t>Higher Education Support (Student Services, Amenities, Representation and Advocacy) Guidelines 2022</w:t>
          </w:r>
          <w:r w:rsidRPr="004E1307">
            <w:rPr>
              <w:i/>
              <w:sz w:val="18"/>
            </w:rPr>
            <w:fldChar w:fldCharType="end"/>
          </w:r>
        </w:p>
      </w:tc>
      <w:tc>
        <w:tcPr>
          <w:tcW w:w="365" w:type="pct"/>
        </w:tcPr>
        <w:p w14:paraId="7158E650" w14:textId="77777777" w:rsidR="00076B66" w:rsidRDefault="00076B66" w:rsidP="006705F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076B66" w14:paraId="4291A13D" w14:textId="77777777" w:rsidTr="006705F1">
      <w:tc>
        <w:tcPr>
          <w:tcW w:w="5000" w:type="pct"/>
          <w:gridSpan w:val="3"/>
        </w:tcPr>
        <w:p w14:paraId="6253C3F6" w14:textId="77777777" w:rsidR="00076B66" w:rsidRDefault="00076B66" w:rsidP="006705F1">
          <w:pPr>
            <w:rPr>
              <w:sz w:val="18"/>
            </w:rPr>
          </w:pPr>
        </w:p>
      </w:tc>
    </w:tr>
  </w:tbl>
  <w:p w14:paraId="67E37813" w14:textId="77777777" w:rsidR="00076B66" w:rsidRPr="00ED79B6" w:rsidRDefault="00076B66" w:rsidP="006705F1">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BBFD6" w14:textId="77777777" w:rsidR="00076B66" w:rsidRDefault="00076B66" w:rsidP="00715914">
      <w:pPr>
        <w:spacing w:line="240" w:lineRule="auto"/>
      </w:pPr>
      <w:r>
        <w:separator/>
      </w:r>
    </w:p>
  </w:footnote>
  <w:footnote w:type="continuationSeparator" w:id="0">
    <w:p w14:paraId="5431BF1B" w14:textId="77777777" w:rsidR="00076B66" w:rsidRDefault="00076B6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EE2B8" w14:textId="77777777" w:rsidR="00076B66" w:rsidRPr="005F1388" w:rsidRDefault="00076B66"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778EF" w14:textId="77777777" w:rsidR="00076B66" w:rsidRPr="005F1388" w:rsidRDefault="00076B6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D5A5E" w14:textId="77777777" w:rsidR="00076B66" w:rsidRDefault="00076B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18767" w14:textId="77777777" w:rsidR="00076B66" w:rsidRPr="00ED79B6" w:rsidRDefault="00076B66" w:rsidP="006705F1">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8F54E" w14:textId="77777777" w:rsidR="00076B66" w:rsidRPr="00ED79B6" w:rsidRDefault="00076B66" w:rsidP="006705F1">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2A4D7" w14:textId="77777777" w:rsidR="00076B66" w:rsidRPr="00ED79B6" w:rsidRDefault="00076B6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72BE4" w14:textId="77777777" w:rsidR="00076B66" w:rsidRDefault="00076B66" w:rsidP="00715914">
    <w:pPr>
      <w:rPr>
        <w:sz w:val="20"/>
      </w:rPr>
    </w:pPr>
  </w:p>
  <w:p w14:paraId="089B8C5E" w14:textId="77777777" w:rsidR="00076B66" w:rsidRDefault="00076B66" w:rsidP="00715914">
    <w:pPr>
      <w:rPr>
        <w:sz w:val="20"/>
      </w:rPr>
    </w:pPr>
  </w:p>
  <w:p w14:paraId="5264B103" w14:textId="77777777" w:rsidR="00076B66" w:rsidRPr="007A1328" w:rsidRDefault="00076B66" w:rsidP="00715914">
    <w:pPr>
      <w:rPr>
        <w:sz w:val="20"/>
      </w:rPr>
    </w:pPr>
  </w:p>
  <w:p w14:paraId="7BE7A923" w14:textId="77777777" w:rsidR="00076B66" w:rsidRPr="007A1328" w:rsidRDefault="00076B66" w:rsidP="00715914">
    <w:pPr>
      <w:rPr>
        <w:b/>
        <w:sz w:val="24"/>
      </w:rPr>
    </w:pPr>
  </w:p>
  <w:p w14:paraId="015096E2" w14:textId="77777777" w:rsidR="00076B66" w:rsidRPr="007A1328" w:rsidRDefault="00076B66"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5A648" w14:textId="77777777" w:rsidR="00076B66" w:rsidRPr="007A1328" w:rsidRDefault="00076B66" w:rsidP="00715914">
    <w:pPr>
      <w:jc w:val="right"/>
      <w:rPr>
        <w:sz w:val="20"/>
      </w:rPr>
    </w:pPr>
  </w:p>
  <w:p w14:paraId="2BE8F94D" w14:textId="77777777" w:rsidR="00076B66" w:rsidRPr="007A1328" w:rsidRDefault="00076B66" w:rsidP="00715914">
    <w:pPr>
      <w:jc w:val="right"/>
      <w:rPr>
        <w:sz w:val="20"/>
      </w:rPr>
    </w:pPr>
  </w:p>
  <w:p w14:paraId="23B0D8BD" w14:textId="77777777" w:rsidR="00076B66" w:rsidRPr="007A1328" w:rsidRDefault="00076B66" w:rsidP="00715914">
    <w:pPr>
      <w:jc w:val="right"/>
      <w:rPr>
        <w:sz w:val="20"/>
      </w:rPr>
    </w:pPr>
  </w:p>
  <w:p w14:paraId="5277955D" w14:textId="77777777" w:rsidR="00076B66" w:rsidRPr="007A1328" w:rsidRDefault="00076B66" w:rsidP="00715914">
    <w:pPr>
      <w:jc w:val="right"/>
      <w:rPr>
        <w:b/>
        <w:sz w:val="24"/>
      </w:rPr>
    </w:pPr>
  </w:p>
  <w:p w14:paraId="50A9EE4C" w14:textId="77777777" w:rsidR="00076B66" w:rsidRPr="007A1328" w:rsidRDefault="00076B66"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612D4DC7"/>
    <w:multiLevelType w:val="hybridMultilevel"/>
    <w:tmpl w:val="C1A0CE02"/>
    <w:lvl w:ilvl="0" w:tplc="E37EEE4E">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C5"/>
    <w:rsid w:val="00004174"/>
    <w:rsid w:val="00004470"/>
    <w:rsid w:val="000136AF"/>
    <w:rsid w:val="000258B1"/>
    <w:rsid w:val="00040A89"/>
    <w:rsid w:val="000437C1"/>
    <w:rsid w:val="0004455A"/>
    <w:rsid w:val="0005365D"/>
    <w:rsid w:val="000614BF"/>
    <w:rsid w:val="00063C7E"/>
    <w:rsid w:val="0006709C"/>
    <w:rsid w:val="00072485"/>
    <w:rsid w:val="00074376"/>
    <w:rsid w:val="00076B66"/>
    <w:rsid w:val="000836BB"/>
    <w:rsid w:val="000854A5"/>
    <w:rsid w:val="0008664E"/>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731FA"/>
    <w:rsid w:val="001809D7"/>
    <w:rsid w:val="001939E1"/>
    <w:rsid w:val="00194C3E"/>
    <w:rsid w:val="00195382"/>
    <w:rsid w:val="001B2CB6"/>
    <w:rsid w:val="001C61C5"/>
    <w:rsid w:val="001C69C4"/>
    <w:rsid w:val="001D37EF"/>
    <w:rsid w:val="001E1B3E"/>
    <w:rsid w:val="001E3590"/>
    <w:rsid w:val="001E7407"/>
    <w:rsid w:val="001F5D5E"/>
    <w:rsid w:val="001F6219"/>
    <w:rsid w:val="001F6CD4"/>
    <w:rsid w:val="00206C4D"/>
    <w:rsid w:val="002128E9"/>
    <w:rsid w:val="00215AF1"/>
    <w:rsid w:val="00221426"/>
    <w:rsid w:val="002321E8"/>
    <w:rsid w:val="00232984"/>
    <w:rsid w:val="0024010F"/>
    <w:rsid w:val="00240749"/>
    <w:rsid w:val="00243018"/>
    <w:rsid w:val="002564A4"/>
    <w:rsid w:val="00264297"/>
    <w:rsid w:val="0026736C"/>
    <w:rsid w:val="00281308"/>
    <w:rsid w:val="00284719"/>
    <w:rsid w:val="002923EC"/>
    <w:rsid w:val="00297ECB"/>
    <w:rsid w:val="002A7BCF"/>
    <w:rsid w:val="002C3534"/>
    <w:rsid w:val="002C3FD1"/>
    <w:rsid w:val="002D043A"/>
    <w:rsid w:val="002D266B"/>
    <w:rsid w:val="002D6224"/>
    <w:rsid w:val="002F1C87"/>
    <w:rsid w:val="002F22C5"/>
    <w:rsid w:val="00304F8B"/>
    <w:rsid w:val="003178CE"/>
    <w:rsid w:val="00320B74"/>
    <w:rsid w:val="00335BC6"/>
    <w:rsid w:val="003415D3"/>
    <w:rsid w:val="00344338"/>
    <w:rsid w:val="00344701"/>
    <w:rsid w:val="00352608"/>
    <w:rsid w:val="00352B0F"/>
    <w:rsid w:val="00360459"/>
    <w:rsid w:val="003767E2"/>
    <w:rsid w:val="0038049F"/>
    <w:rsid w:val="003B7C7C"/>
    <w:rsid w:val="003C6231"/>
    <w:rsid w:val="003D0249"/>
    <w:rsid w:val="003D0BFE"/>
    <w:rsid w:val="003D3DF0"/>
    <w:rsid w:val="003D5700"/>
    <w:rsid w:val="003E1D66"/>
    <w:rsid w:val="003E341B"/>
    <w:rsid w:val="003E4D00"/>
    <w:rsid w:val="003E6A7E"/>
    <w:rsid w:val="00407321"/>
    <w:rsid w:val="004116CD"/>
    <w:rsid w:val="00417EB9"/>
    <w:rsid w:val="0042090F"/>
    <w:rsid w:val="00424CA9"/>
    <w:rsid w:val="004276DF"/>
    <w:rsid w:val="00431E9B"/>
    <w:rsid w:val="004379E3"/>
    <w:rsid w:val="0044015E"/>
    <w:rsid w:val="0044291A"/>
    <w:rsid w:val="00464A5F"/>
    <w:rsid w:val="00467661"/>
    <w:rsid w:val="00472DBE"/>
    <w:rsid w:val="00474A19"/>
    <w:rsid w:val="00477830"/>
    <w:rsid w:val="00487764"/>
    <w:rsid w:val="00496F97"/>
    <w:rsid w:val="004B2C0F"/>
    <w:rsid w:val="004B6C48"/>
    <w:rsid w:val="004C4E59"/>
    <w:rsid w:val="004C6809"/>
    <w:rsid w:val="004D7374"/>
    <w:rsid w:val="004E063A"/>
    <w:rsid w:val="004E1307"/>
    <w:rsid w:val="004E7BEC"/>
    <w:rsid w:val="00505D3D"/>
    <w:rsid w:val="00506AF6"/>
    <w:rsid w:val="00516B8D"/>
    <w:rsid w:val="005218FF"/>
    <w:rsid w:val="005303C8"/>
    <w:rsid w:val="005373D2"/>
    <w:rsid w:val="00537FBC"/>
    <w:rsid w:val="00541480"/>
    <w:rsid w:val="00554826"/>
    <w:rsid w:val="0056275B"/>
    <w:rsid w:val="00562877"/>
    <w:rsid w:val="00577329"/>
    <w:rsid w:val="00584811"/>
    <w:rsid w:val="00585784"/>
    <w:rsid w:val="00587B79"/>
    <w:rsid w:val="00593AA6"/>
    <w:rsid w:val="00594161"/>
    <w:rsid w:val="00594749"/>
    <w:rsid w:val="005A2BBB"/>
    <w:rsid w:val="005A65D5"/>
    <w:rsid w:val="005B0D94"/>
    <w:rsid w:val="005B3A66"/>
    <w:rsid w:val="005B4067"/>
    <w:rsid w:val="005C3F41"/>
    <w:rsid w:val="005D1D92"/>
    <w:rsid w:val="005D2D09"/>
    <w:rsid w:val="005F16AB"/>
    <w:rsid w:val="00600219"/>
    <w:rsid w:val="00604F2A"/>
    <w:rsid w:val="00620076"/>
    <w:rsid w:val="00623D6E"/>
    <w:rsid w:val="00627E0A"/>
    <w:rsid w:val="0065488B"/>
    <w:rsid w:val="006705F1"/>
    <w:rsid w:val="00670EA1"/>
    <w:rsid w:val="00677CC2"/>
    <w:rsid w:val="0068744B"/>
    <w:rsid w:val="006905DE"/>
    <w:rsid w:val="0069207B"/>
    <w:rsid w:val="006A154F"/>
    <w:rsid w:val="006A437B"/>
    <w:rsid w:val="006A66EF"/>
    <w:rsid w:val="006B5789"/>
    <w:rsid w:val="006C30C5"/>
    <w:rsid w:val="006C70C5"/>
    <w:rsid w:val="006C7F8C"/>
    <w:rsid w:val="006D5A12"/>
    <w:rsid w:val="006E2E1C"/>
    <w:rsid w:val="006E6246"/>
    <w:rsid w:val="006E69C2"/>
    <w:rsid w:val="006E6DCC"/>
    <w:rsid w:val="006F318F"/>
    <w:rsid w:val="0070017E"/>
    <w:rsid w:val="00700B2C"/>
    <w:rsid w:val="007050A2"/>
    <w:rsid w:val="00713084"/>
    <w:rsid w:val="00714F20"/>
    <w:rsid w:val="0071590F"/>
    <w:rsid w:val="00715914"/>
    <w:rsid w:val="0072070F"/>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6B58"/>
    <w:rsid w:val="007D7911"/>
    <w:rsid w:val="007E163D"/>
    <w:rsid w:val="007E667A"/>
    <w:rsid w:val="007F28C9"/>
    <w:rsid w:val="007F51B2"/>
    <w:rsid w:val="008040DD"/>
    <w:rsid w:val="008117E9"/>
    <w:rsid w:val="00824498"/>
    <w:rsid w:val="00825D57"/>
    <w:rsid w:val="00826BD1"/>
    <w:rsid w:val="00854838"/>
    <w:rsid w:val="00854D0B"/>
    <w:rsid w:val="00856A31"/>
    <w:rsid w:val="00860B4E"/>
    <w:rsid w:val="00867B37"/>
    <w:rsid w:val="0087206F"/>
    <w:rsid w:val="008754D0"/>
    <w:rsid w:val="00875D13"/>
    <w:rsid w:val="008855C9"/>
    <w:rsid w:val="00886456"/>
    <w:rsid w:val="00896176"/>
    <w:rsid w:val="008A46E1"/>
    <w:rsid w:val="008A4F43"/>
    <w:rsid w:val="008B2706"/>
    <w:rsid w:val="008C2EAC"/>
    <w:rsid w:val="008D0EE0"/>
    <w:rsid w:val="008E0027"/>
    <w:rsid w:val="008E3F3E"/>
    <w:rsid w:val="008E6067"/>
    <w:rsid w:val="008F54E7"/>
    <w:rsid w:val="00901500"/>
    <w:rsid w:val="00903422"/>
    <w:rsid w:val="009254C3"/>
    <w:rsid w:val="00932377"/>
    <w:rsid w:val="00941236"/>
    <w:rsid w:val="009430E8"/>
    <w:rsid w:val="00943FD5"/>
    <w:rsid w:val="00947D5A"/>
    <w:rsid w:val="009532A5"/>
    <w:rsid w:val="009545BD"/>
    <w:rsid w:val="00964CF0"/>
    <w:rsid w:val="009726EF"/>
    <w:rsid w:val="00977806"/>
    <w:rsid w:val="00982242"/>
    <w:rsid w:val="00984D18"/>
    <w:rsid w:val="0098575C"/>
    <w:rsid w:val="009868E9"/>
    <w:rsid w:val="009900A3"/>
    <w:rsid w:val="00995DB7"/>
    <w:rsid w:val="009A3B2D"/>
    <w:rsid w:val="009C3413"/>
    <w:rsid w:val="009F2485"/>
    <w:rsid w:val="009F74F6"/>
    <w:rsid w:val="00A0441E"/>
    <w:rsid w:val="00A12128"/>
    <w:rsid w:val="00A22C98"/>
    <w:rsid w:val="00A231E2"/>
    <w:rsid w:val="00A369E3"/>
    <w:rsid w:val="00A57600"/>
    <w:rsid w:val="00A613C9"/>
    <w:rsid w:val="00A64912"/>
    <w:rsid w:val="00A669C1"/>
    <w:rsid w:val="00A70A74"/>
    <w:rsid w:val="00A75FE9"/>
    <w:rsid w:val="00A95397"/>
    <w:rsid w:val="00AA7D3E"/>
    <w:rsid w:val="00AD53CC"/>
    <w:rsid w:val="00AD5641"/>
    <w:rsid w:val="00AE4CB2"/>
    <w:rsid w:val="00AE5E68"/>
    <w:rsid w:val="00AF06CF"/>
    <w:rsid w:val="00B07CDB"/>
    <w:rsid w:val="00B16A31"/>
    <w:rsid w:val="00B17DFD"/>
    <w:rsid w:val="00B25306"/>
    <w:rsid w:val="00B27831"/>
    <w:rsid w:val="00B308FE"/>
    <w:rsid w:val="00B33709"/>
    <w:rsid w:val="00B33B3C"/>
    <w:rsid w:val="00B356A1"/>
    <w:rsid w:val="00B36392"/>
    <w:rsid w:val="00B418CB"/>
    <w:rsid w:val="00B47444"/>
    <w:rsid w:val="00B50ADC"/>
    <w:rsid w:val="00B566B1"/>
    <w:rsid w:val="00B63834"/>
    <w:rsid w:val="00B77169"/>
    <w:rsid w:val="00B80199"/>
    <w:rsid w:val="00B81319"/>
    <w:rsid w:val="00B81ADB"/>
    <w:rsid w:val="00B83204"/>
    <w:rsid w:val="00B856E7"/>
    <w:rsid w:val="00BA220B"/>
    <w:rsid w:val="00BA3A57"/>
    <w:rsid w:val="00BA6190"/>
    <w:rsid w:val="00BB04C9"/>
    <w:rsid w:val="00BB1533"/>
    <w:rsid w:val="00BB309F"/>
    <w:rsid w:val="00BB4E1A"/>
    <w:rsid w:val="00BC015E"/>
    <w:rsid w:val="00BC449F"/>
    <w:rsid w:val="00BC76AC"/>
    <w:rsid w:val="00BD0ECB"/>
    <w:rsid w:val="00BE2155"/>
    <w:rsid w:val="00BE467A"/>
    <w:rsid w:val="00BE719A"/>
    <w:rsid w:val="00BE720A"/>
    <w:rsid w:val="00BF0D73"/>
    <w:rsid w:val="00BF2465"/>
    <w:rsid w:val="00C16619"/>
    <w:rsid w:val="00C25E7F"/>
    <w:rsid w:val="00C2746F"/>
    <w:rsid w:val="00C323D6"/>
    <w:rsid w:val="00C324A0"/>
    <w:rsid w:val="00C42BF8"/>
    <w:rsid w:val="00C4583D"/>
    <w:rsid w:val="00C50043"/>
    <w:rsid w:val="00C7573B"/>
    <w:rsid w:val="00C97A54"/>
    <w:rsid w:val="00CA5B23"/>
    <w:rsid w:val="00CB602E"/>
    <w:rsid w:val="00CB7E90"/>
    <w:rsid w:val="00CD548F"/>
    <w:rsid w:val="00CE051D"/>
    <w:rsid w:val="00CE1335"/>
    <w:rsid w:val="00CE493D"/>
    <w:rsid w:val="00CF07FA"/>
    <w:rsid w:val="00CF0BB2"/>
    <w:rsid w:val="00CF3EE8"/>
    <w:rsid w:val="00D13441"/>
    <w:rsid w:val="00D150E7"/>
    <w:rsid w:val="00D52DC2"/>
    <w:rsid w:val="00D53BCC"/>
    <w:rsid w:val="00D54C9E"/>
    <w:rsid w:val="00D6537E"/>
    <w:rsid w:val="00D70DFB"/>
    <w:rsid w:val="00D75F27"/>
    <w:rsid w:val="00D766DF"/>
    <w:rsid w:val="00D8206C"/>
    <w:rsid w:val="00D91327"/>
    <w:rsid w:val="00D91F10"/>
    <w:rsid w:val="00D94BAF"/>
    <w:rsid w:val="00DA186E"/>
    <w:rsid w:val="00DA4116"/>
    <w:rsid w:val="00DB251C"/>
    <w:rsid w:val="00DB4630"/>
    <w:rsid w:val="00DC4F88"/>
    <w:rsid w:val="00DE107C"/>
    <w:rsid w:val="00DF0CEA"/>
    <w:rsid w:val="00DF2388"/>
    <w:rsid w:val="00E032F1"/>
    <w:rsid w:val="00E05704"/>
    <w:rsid w:val="00E20AB3"/>
    <w:rsid w:val="00E244F6"/>
    <w:rsid w:val="00E338EF"/>
    <w:rsid w:val="00E544BB"/>
    <w:rsid w:val="00E747FD"/>
    <w:rsid w:val="00E74DC7"/>
    <w:rsid w:val="00E74E41"/>
    <w:rsid w:val="00E8075A"/>
    <w:rsid w:val="00E940D8"/>
    <w:rsid w:val="00E94D5E"/>
    <w:rsid w:val="00EA7100"/>
    <w:rsid w:val="00EA7F9F"/>
    <w:rsid w:val="00EB1274"/>
    <w:rsid w:val="00ED2BB6"/>
    <w:rsid w:val="00ED34E1"/>
    <w:rsid w:val="00ED3B8D"/>
    <w:rsid w:val="00EE5E36"/>
    <w:rsid w:val="00EE7D43"/>
    <w:rsid w:val="00EF2E3A"/>
    <w:rsid w:val="00EF737C"/>
    <w:rsid w:val="00F02C7C"/>
    <w:rsid w:val="00F072A7"/>
    <w:rsid w:val="00F078DC"/>
    <w:rsid w:val="00F27243"/>
    <w:rsid w:val="00F32BA8"/>
    <w:rsid w:val="00F32EE0"/>
    <w:rsid w:val="00F349F1"/>
    <w:rsid w:val="00F35833"/>
    <w:rsid w:val="00F4350D"/>
    <w:rsid w:val="00F479C4"/>
    <w:rsid w:val="00F53F4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07EA4E"/>
  <w15:docId w15:val="{C5A82EC2-03EF-4D2B-BEA2-452AD6CC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heading2charchar1">
    <w:name w:val="heading2charchar1"/>
    <w:basedOn w:val="DefaultParagraphFont"/>
    <w:rsid w:val="00E747FD"/>
  </w:style>
  <w:style w:type="character" w:styleId="CommentReference">
    <w:name w:val="annotation reference"/>
    <w:basedOn w:val="DefaultParagraphFont"/>
    <w:uiPriority w:val="99"/>
    <w:semiHidden/>
    <w:unhideWhenUsed/>
    <w:rsid w:val="002C3534"/>
    <w:rPr>
      <w:sz w:val="16"/>
      <w:szCs w:val="16"/>
    </w:rPr>
  </w:style>
  <w:style w:type="paragraph" w:styleId="CommentText">
    <w:name w:val="annotation text"/>
    <w:basedOn w:val="Normal"/>
    <w:link w:val="CommentTextChar"/>
    <w:uiPriority w:val="99"/>
    <w:unhideWhenUsed/>
    <w:rsid w:val="002C3534"/>
    <w:pPr>
      <w:spacing w:line="240" w:lineRule="auto"/>
    </w:pPr>
    <w:rPr>
      <w:sz w:val="20"/>
    </w:rPr>
  </w:style>
  <w:style w:type="character" w:customStyle="1" w:styleId="CommentTextChar">
    <w:name w:val="Comment Text Char"/>
    <w:basedOn w:val="DefaultParagraphFont"/>
    <w:link w:val="CommentText"/>
    <w:uiPriority w:val="99"/>
    <w:rsid w:val="002C3534"/>
  </w:style>
  <w:style w:type="paragraph" w:styleId="CommentSubject">
    <w:name w:val="annotation subject"/>
    <w:basedOn w:val="CommentText"/>
    <w:next w:val="CommentText"/>
    <w:link w:val="CommentSubjectChar"/>
    <w:uiPriority w:val="99"/>
    <w:semiHidden/>
    <w:unhideWhenUsed/>
    <w:rsid w:val="002C3534"/>
    <w:rPr>
      <w:b/>
      <w:bCs/>
    </w:rPr>
  </w:style>
  <w:style w:type="character" w:customStyle="1" w:styleId="CommentSubjectChar">
    <w:name w:val="Comment Subject Char"/>
    <w:basedOn w:val="CommentTextChar"/>
    <w:link w:val="CommentSubject"/>
    <w:uiPriority w:val="99"/>
    <w:semiHidden/>
    <w:rsid w:val="002C3534"/>
    <w:rPr>
      <w:b/>
      <w:bCs/>
    </w:rPr>
  </w:style>
  <w:style w:type="paragraph" w:customStyle="1" w:styleId="notetext0">
    <w:name w:val="notetext"/>
    <w:basedOn w:val="Normal"/>
    <w:rsid w:val="00407321"/>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E74E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3618">
      <w:bodyDiv w:val="1"/>
      <w:marLeft w:val="0"/>
      <w:marRight w:val="0"/>
      <w:marTop w:val="0"/>
      <w:marBottom w:val="0"/>
      <w:divBdr>
        <w:top w:val="none" w:sz="0" w:space="0" w:color="auto"/>
        <w:left w:val="none" w:sz="0" w:space="0" w:color="auto"/>
        <w:bottom w:val="none" w:sz="0" w:space="0" w:color="auto"/>
        <w:right w:val="none" w:sz="0" w:space="0" w:color="auto"/>
      </w:divBdr>
    </w:div>
    <w:div w:id="149297108">
      <w:bodyDiv w:val="1"/>
      <w:marLeft w:val="0"/>
      <w:marRight w:val="0"/>
      <w:marTop w:val="0"/>
      <w:marBottom w:val="0"/>
      <w:divBdr>
        <w:top w:val="none" w:sz="0" w:space="0" w:color="auto"/>
        <w:left w:val="none" w:sz="0" w:space="0" w:color="auto"/>
        <w:bottom w:val="none" w:sz="0" w:space="0" w:color="auto"/>
        <w:right w:val="none" w:sz="0" w:space="0" w:color="auto"/>
      </w:divBdr>
    </w:div>
    <w:div w:id="311374604">
      <w:bodyDiv w:val="1"/>
      <w:marLeft w:val="0"/>
      <w:marRight w:val="0"/>
      <w:marTop w:val="0"/>
      <w:marBottom w:val="0"/>
      <w:divBdr>
        <w:top w:val="none" w:sz="0" w:space="0" w:color="auto"/>
        <w:left w:val="none" w:sz="0" w:space="0" w:color="auto"/>
        <w:bottom w:val="none" w:sz="0" w:space="0" w:color="auto"/>
        <w:right w:val="none" w:sz="0" w:space="0" w:color="auto"/>
      </w:divBdr>
    </w:div>
    <w:div w:id="19029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3157\AppData\Local\Temp\1\MicrosoftEdgeDownloads\0bcb5d39-ad20-4c42-b53a-8602ebee2fd4\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38057EA04109045A4295464960635FC" ma:contentTypeVersion="" ma:contentTypeDescription="PDMS Document Site Content Type" ma:contentTypeScope="" ma:versionID="21cda227af2614520e91a9b1a309c61a">
  <xsd:schema xmlns:xsd="http://www.w3.org/2001/XMLSchema" xmlns:xs="http://www.w3.org/2001/XMLSchema" xmlns:p="http://schemas.microsoft.com/office/2006/metadata/properties" xmlns:ns2="C99ED96B-DAA9-4919-9496-24137AAE8E98" targetNamespace="http://schemas.microsoft.com/office/2006/metadata/properties" ma:root="true" ma:fieldsID="d9598d1ae5bc9feb01c53626503e6804" ns2:_="">
    <xsd:import namespace="C99ED96B-DAA9-4919-9496-24137AAE8E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D96B-DAA9-4919-9496-24137AAE8E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99ED96B-DAA9-4919-9496-24137AAE8E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4887E-0981-4CE7-B5E8-7821F31B6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D96B-DAA9-4919-9496-24137AAE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3.xml><?xml version="1.0" encoding="utf-8"?>
<ds:datastoreItem xmlns:ds="http://schemas.openxmlformats.org/officeDocument/2006/customXml" ds:itemID="{C9EE9B34-782E-487E-96C5-CE42C4A3705E}">
  <ds:schemaRefs>
    <ds:schemaRef ds:uri="C99ED96B-DAA9-4919-9496-24137AAE8E98"/>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BFB497FE-611A-4536-B0AC-CCE2698A3B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1</TotalTime>
  <Pages>12</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SIM,Tanya</dc:creator>
  <cp:lastModifiedBy>BAKER,Fiona</cp:lastModifiedBy>
  <cp:revision>3</cp:revision>
  <dcterms:created xsi:type="dcterms:W3CDTF">2022-03-17T22:13:00Z</dcterms:created>
  <dcterms:modified xsi:type="dcterms:W3CDTF">2022-03-17T23:45:00Z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0x010100266966F133664895A6EE3632470D45F500338057EA04109045A4295464960635FC</vt:lpwstr>
  </property>
</Properties>
</file>