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3976A01A" w:rsidR="00670C8D" w:rsidRPr="00521029" w:rsidRDefault="001A048D"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 xml:space="preserve">Family Law (superannuation) amendment </w:t>
      </w:r>
      <w:r w:rsidR="00E82826">
        <w:rPr>
          <w:rFonts w:ascii="Times New Roman" w:hAnsi="Times New Roman"/>
          <w:b/>
          <w:sz w:val="24"/>
          <w:u w:val="single"/>
        </w:rPr>
        <w:t>(2022 Measures no.</w:t>
      </w:r>
      <w:r w:rsidR="00E05485">
        <w:rPr>
          <w:rFonts w:ascii="Times New Roman" w:hAnsi="Times New Roman"/>
          <w:b/>
          <w:sz w:val="24"/>
          <w:u w:val="single"/>
        </w:rPr>
        <w:t xml:space="preserve"> </w:t>
      </w:r>
      <w:r w:rsidR="00E82826">
        <w:rPr>
          <w:rFonts w:ascii="Times New Roman" w:hAnsi="Times New Roman"/>
          <w:b/>
          <w:sz w:val="24"/>
          <w:u w:val="single"/>
        </w:rPr>
        <w:t xml:space="preserve">1) </w:t>
      </w:r>
      <w:r>
        <w:rPr>
          <w:rFonts w:ascii="Times New Roman" w:hAnsi="Times New Roman"/>
          <w:b/>
          <w:sz w:val="24"/>
          <w:u w:val="single"/>
        </w:rPr>
        <w:t>REGULATION</w:t>
      </w:r>
      <w:r w:rsidR="002650A0">
        <w:rPr>
          <w:rFonts w:ascii="Times New Roman" w:hAnsi="Times New Roman"/>
          <w:b/>
          <w:sz w:val="24"/>
          <w:u w:val="single"/>
        </w:rPr>
        <w:t>s</w:t>
      </w:r>
      <w:r>
        <w:rPr>
          <w:rFonts w:ascii="Times New Roman" w:hAnsi="Times New Roman"/>
          <w:b/>
          <w:sz w:val="24"/>
          <w:u w:val="single"/>
        </w:rPr>
        <w:t xml:space="preserve"> 2022</w:t>
      </w:r>
    </w:p>
    <w:p w14:paraId="09BFDCCA" w14:textId="77777777" w:rsidR="00670C8D" w:rsidRPr="00521029" w:rsidRDefault="00670C8D" w:rsidP="00521029">
      <w:pPr>
        <w:rPr>
          <w:rFonts w:ascii="Times New Roman" w:hAnsi="Times New Roman"/>
        </w:rPr>
      </w:pPr>
    </w:p>
    <w:p w14:paraId="146FF33D" w14:textId="390A7DC5"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E" w14:textId="4EBAB715" w:rsidR="002B361E" w:rsidRPr="001D3031" w:rsidRDefault="002B361E" w:rsidP="00F065F8">
      <w:pPr>
        <w:spacing w:line="360" w:lineRule="auto"/>
        <w:rPr>
          <w:rFonts w:ascii="Times New Roman" w:hAnsi="Times New Roman" w:cs="Times New Roman"/>
          <w:b/>
          <w:sz w:val="24"/>
          <w:u w:val="single"/>
        </w:rPr>
      </w:pPr>
    </w:p>
    <w:p w14:paraId="09BFDCCF" w14:textId="77777777" w:rsidR="005D194A" w:rsidRPr="009B07B6" w:rsidRDefault="00E23B2F" w:rsidP="00CF14E3">
      <w:pPr>
        <w:spacing w:line="360" w:lineRule="auto"/>
        <w:jc w:val="center"/>
        <w:rPr>
          <w:rFonts w:ascii="Times New Roman" w:hAnsi="Times New Roman" w:cs="Times New Roman"/>
          <w:sz w:val="24"/>
          <w:szCs w:val="24"/>
        </w:rPr>
      </w:pPr>
      <w:r w:rsidRPr="009B07B6">
        <w:rPr>
          <w:rFonts w:ascii="Times New Roman" w:hAnsi="Times New Roman" w:cs="Times New Roman"/>
          <w:sz w:val="24"/>
          <w:szCs w:val="24"/>
        </w:rPr>
        <w:t>Issued by authority of the Attorney-General</w:t>
      </w:r>
      <w:r w:rsidR="005D194A" w:rsidRPr="009B07B6">
        <w:rPr>
          <w:rFonts w:ascii="Times New Roman" w:hAnsi="Times New Roman" w:cs="Times New Roman"/>
          <w:sz w:val="24"/>
          <w:szCs w:val="24"/>
        </w:rPr>
        <w:t xml:space="preserve"> </w:t>
      </w:r>
    </w:p>
    <w:p w14:paraId="09BFDCD4" w14:textId="607AF5A0" w:rsidR="00AF0C63" w:rsidRPr="009B07B6" w:rsidRDefault="00C16B35" w:rsidP="007F0526">
      <w:pPr>
        <w:spacing w:line="360" w:lineRule="auto"/>
        <w:jc w:val="center"/>
        <w:rPr>
          <w:rFonts w:ascii="Times New Roman" w:hAnsi="Times New Roman" w:cs="Times New Roman"/>
          <w:i/>
          <w:sz w:val="24"/>
          <w:szCs w:val="24"/>
        </w:rPr>
      </w:pPr>
      <w:r w:rsidRPr="009B07B6">
        <w:rPr>
          <w:rFonts w:ascii="Times New Roman" w:hAnsi="Times New Roman" w:cs="Times New Roman"/>
          <w:sz w:val="24"/>
          <w:szCs w:val="24"/>
        </w:rPr>
        <w:t>in compliance with</w:t>
      </w:r>
      <w:r w:rsidR="005D194A" w:rsidRPr="009B07B6">
        <w:rPr>
          <w:rFonts w:ascii="Times New Roman" w:hAnsi="Times New Roman" w:cs="Times New Roman"/>
          <w:sz w:val="24"/>
          <w:szCs w:val="24"/>
        </w:rPr>
        <w:t xml:space="preserve"> section 15J of the </w:t>
      </w:r>
      <w:r w:rsidR="00AC39E5" w:rsidRPr="009B07B6">
        <w:rPr>
          <w:rFonts w:ascii="Times New Roman" w:hAnsi="Times New Roman" w:cs="Times New Roman"/>
          <w:i/>
          <w:sz w:val="24"/>
          <w:szCs w:val="24"/>
        </w:rPr>
        <w:t>Legislati</w:t>
      </w:r>
      <w:r w:rsidR="005D194A" w:rsidRPr="009B07B6">
        <w:rPr>
          <w:rFonts w:ascii="Times New Roman" w:hAnsi="Times New Roman" w:cs="Times New Roman"/>
          <w:i/>
          <w:sz w:val="24"/>
          <w:szCs w:val="24"/>
        </w:rPr>
        <w:t>on</w:t>
      </w:r>
      <w:r w:rsidR="00AC39E5" w:rsidRPr="009B07B6">
        <w:rPr>
          <w:rFonts w:ascii="Times New Roman" w:hAnsi="Times New Roman" w:cs="Times New Roman"/>
          <w:i/>
          <w:sz w:val="24"/>
          <w:szCs w:val="24"/>
        </w:rPr>
        <w:t xml:space="preserve"> Act </w:t>
      </w:r>
      <w:r w:rsidR="005D194A" w:rsidRPr="009B07B6">
        <w:rPr>
          <w:rFonts w:ascii="Times New Roman" w:hAnsi="Times New Roman" w:cs="Times New Roman"/>
          <w:i/>
          <w:sz w:val="24"/>
          <w:szCs w:val="24"/>
        </w:rPr>
        <w:t>20</w:t>
      </w:r>
      <w:r w:rsidR="00AF0C63" w:rsidRPr="009B07B6">
        <w:rPr>
          <w:rFonts w:ascii="Times New Roman" w:hAnsi="Times New Roman" w:cs="Times New Roman"/>
          <w:i/>
          <w:sz w:val="24"/>
          <w:szCs w:val="24"/>
        </w:rPr>
        <w:t>0</w:t>
      </w:r>
      <w:r w:rsidR="005D194A" w:rsidRPr="009B07B6">
        <w:rPr>
          <w:rFonts w:ascii="Times New Roman" w:hAnsi="Times New Roman" w:cs="Times New Roman"/>
          <w:i/>
          <w:sz w:val="24"/>
          <w:szCs w:val="24"/>
        </w:rPr>
        <w:t>3</w:t>
      </w:r>
      <w:r w:rsidR="00AF0C63" w:rsidRPr="009B07B6">
        <w:rPr>
          <w:rFonts w:ascii="Times New Roman" w:hAnsi="Times New Roman" w:cs="Times New Roman"/>
          <w:i/>
          <w:sz w:val="24"/>
          <w:szCs w:val="24"/>
        </w:rPr>
        <w:t xml:space="preserve"> </w:t>
      </w:r>
    </w:p>
    <w:p w14:paraId="09BFDCD5" w14:textId="57C2C3EA" w:rsidR="0026109C" w:rsidRPr="009B07B6" w:rsidRDefault="0026109C" w:rsidP="006916F9">
      <w:pPr>
        <w:rPr>
          <w:rFonts w:ascii="Times New Roman" w:hAnsi="Times New Roman" w:cs="Times New Roman"/>
          <w:b/>
          <w:sz w:val="24"/>
          <w:szCs w:val="24"/>
        </w:rPr>
      </w:pPr>
      <w:r w:rsidRPr="009B07B6">
        <w:rPr>
          <w:rFonts w:ascii="Times New Roman" w:hAnsi="Times New Roman" w:cs="Times New Roman"/>
          <w:b/>
          <w:caps/>
          <w:sz w:val="24"/>
          <w:szCs w:val="24"/>
        </w:rPr>
        <w:t>Purpose and operation of the Instrument</w:t>
      </w:r>
    </w:p>
    <w:p w14:paraId="169DC534" w14:textId="0E8B1320" w:rsidR="00EC5CFA" w:rsidRPr="009B07B6" w:rsidRDefault="00EC5CFA" w:rsidP="006916F9">
      <w:pPr>
        <w:rPr>
          <w:rFonts w:ascii="Times New Roman" w:hAnsi="Times New Roman" w:cs="Times New Roman"/>
          <w:sz w:val="24"/>
          <w:szCs w:val="24"/>
        </w:rPr>
      </w:pPr>
      <w:r w:rsidRPr="009B07B6">
        <w:rPr>
          <w:rFonts w:ascii="Times New Roman" w:hAnsi="Times New Roman" w:cs="Times New Roman"/>
          <w:sz w:val="24"/>
          <w:szCs w:val="24"/>
        </w:rPr>
        <w:t>Subsection 125(1) of the </w:t>
      </w:r>
      <w:r w:rsidRPr="009B07B6">
        <w:rPr>
          <w:rFonts w:ascii="Times New Roman" w:hAnsi="Times New Roman" w:cs="Times New Roman"/>
          <w:i/>
          <w:iCs/>
          <w:sz w:val="24"/>
          <w:szCs w:val="24"/>
        </w:rPr>
        <w:t>Family Law Act 1975</w:t>
      </w:r>
      <w:r w:rsidRPr="009B07B6">
        <w:rPr>
          <w:rFonts w:ascii="Times New Roman" w:hAnsi="Times New Roman" w:cs="Times New Roman"/>
          <w:sz w:val="24"/>
          <w:szCs w:val="24"/>
        </w:rPr>
        <w:t>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 Law Act.</w:t>
      </w:r>
      <w:r w:rsidR="002C474E" w:rsidRPr="009B07B6">
        <w:rPr>
          <w:rFonts w:ascii="Times New Roman" w:hAnsi="Times New Roman" w:cs="Times New Roman"/>
          <w:sz w:val="24"/>
          <w:szCs w:val="24"/>
        </w:rPr>
        <w:t xml:space="preserve"> </w:t>
      </w:r>
    </w:p>
    <w:p w14:paraId="3DA31E0E" w14:textId="6C59C97B" w:rsidR="00EC5CFA" w:rsidRPr="009B07B6" w:rsidRDefault="00EC5CFA" w:rsidP="002650A0">
      <w:pPr>
        <w:rPr>
          <w:rFonts w:ascii="Times New Roman" w:hAnsi="Times New Roman" w:cs="Times New Roman"/>
          <w:sz w:val="24"/>
          <w:szCs w:val="24"/>
        </w:rPr>
      </w:pPr>
      <w:r w:rsidRPr="009B07B6">
        <w:rPr>
          <w:rFonts w:ascii="Times New Roman" w:hAnsi="Times New Roman" w:cs="Times New Roman"/>
          <w:sz w:val="24"/>
          <w:szCs w:val="24"/>
        </w:rPr>
        <w:t>Part VIIIB of the Family Law Act provides for the division of superannuation between married and de</w:t>
      </w:r>
      <w:r w:rsidR="00E05485" w:rsidRPr="009B07B6">
        <w:rPr>
          <w:rFonts w:ascii="Times New Roman" w:hAnsi="Times New Roman" w:cs="Times New Roman"/>
          <w:sz w:val="24"/>
          <w:szCs w:val="24"/>
        </w:rPr>
        <w:t> </w:t>
      </w:r>
      <w:r w:rsidRPr="009B07B6">
        <w:rPr>
          <w:rFonts w:ascii="Times New Roman" w:hAnsi="Times New Roman" w:cs="Times New Roman"/>
          <w:sz w:val="24"/>
          <w:szCs w:val="24"/>
        </w:rPr>
        <w:t xml:space="preserve">facto couples on relationship breakdown. The Family Law (Superannuation) Regulations 2001 (the </w:t>
      </w:r>
      <w:r w:rsidR="00C23B30" w:rsidRPr="009B07B6">
        <w:rPr>
          <w:rFonts w:ascii="Times New Roman" w:hAnsi="Times New Roman" w:cs="Times New Roman"/>
          <w:sz w:val="24"/>
          <w:szCs w:val="24"/>
        </w:rPr>
        <w:t xml:space="preserve">FLS </w:t>
      </w:r>
      <w:r w:rsidRPr="009B07B6">
        <w:rPr>
          <w:rFonts w:ascii="Times New Roman" w:hAnsi="Times New Roman" w:cs="Times New Roman"/>
          <w:sz w:val="24"/>
          <w:szCs w:val="24"/>
        </w:rPr>
        <w:t>Regulations) have been prescribed to give effect to the distribution of superannuation interests under Part VIIIB of the Family Law Act.</w:t>
      </w:r>
    </w:p>
    <w:p w14:paraId="21D93B58" w14:textId="77777777" w:rsidR="001470C3" w:rsidRPr="009B07B6" w:rsidRDefault="001470C3" w:rsidP="001470C3">
      <w:pPr>
        <w:spacing w:after="0"/>
        <w:rPr>
          <w:rFonts w:ascii="Times New Roman" w:hAnsi="Times New Roman" w:cs="Times New Roman"/>
          <w:sz w:val="24"/>
          <w:szCs w:val="24"/>
        </w:rPr>
      </w:pPr>
      <w:r w:rsidRPr="009B07B6">
        <w:rPr>
          <w:rFonts w:ascii="Times New Roman" w:hAnsi="Times New Roman" w:cs="Times New Roman"/>
          <w:sz w:val="24"/>
          <w:szCs w:val="24"/>
        </w:rPr>
        <w:t xml:space="preserve">The purpose of the </w:t>
      </w:r>
      <w:r w:rsidRPr="009B07B6">
        <w:rPr>
          <w:rFonts w:ascii="Times New Roman" w:eastAsia="Times New Roman" w:hAnsi="Times New Roman" w:cs="Times New Roman"/>
          <w:i/>
          <w:sz w:val="24"/>
          <w:szCs w:val="24"/>
          <w:lang w:eastAsia="en-AU"/>
        </w:rPr>
        <w:t xml:space="preserve">Family Law (Superannuation) Amendment (2022 Measures No. 1) Regulations 2022 </w:t>
      </w:r>
      <w:r w:rsidRPr="009B07B6">
        <w:rPr>
          <w:rFonts w:ascii="Times New Roman" w:eastAsia="Times New Roman" w:hAnsi="Times New Roman" w:cs="Times New Roman"/>
          <w:sz w:val="24"/>
          <w:szCs w:val="24"/>
          <w:lang w:eastAsia="en-AU"/>
        </w:rPr>
        <w:t>(the Amendment Instrument)</w:t>
      </w:r>
      <w:r w:rsidRPr="009B07B6">
        <w:rPr>
          <w:rFonts w:ascii="Times New Roman" w:eastAsia="Times New Roman" w:hAnsi="Times New Roman" w:cs="Times New Roman"/>
          <w:i/>
          <w:sz w:val="24"/>
          <w:szCs w:val="24"/>
          <w:lang w:eastAsia="en-AU"/>
        </w:rPr>
        <w:t xml:space="preserve"> </w:t>
      </w:r>
      <w:r w:rsidRPr="009B07B6">
        <w:rPr>
          <w:rFonts w:ascii="Times New Roman" w:hAnsi="Times New Roman" w:cs="Times New Roman"/>
          <w:sz w:val="24"/>
          <w:szCs w:val="24"/>
        </w:rPr>
        <w:t>is to:</w:t>
      </w:r>
    </w:p>
    <w:p w14:paraId="25C65C90" w14:textId="47A4BF14" w:rsidR="001470C3" w:rsidRPr="009B07B6" w:rsidRDefault="001470C3" w:rsidP="001470C3">
      <w:pPr>
        <w:pStyle w:val="ListParagraph"/>
        <w:numPr>
          <w:ilvl w:val="0"/>
          <w:numId w:val="24"/>
        </w:numPr>
        <w:spacing w:after="0"/>
        <w:rPr>
          <w:rFonts w:ascii="Times New Roman" w:hAnsi="Times New Roman" w:cs="Times New Roman"/>
          <w:sz w:val="24"/>
          <w:szCs w:val="24"/>
        </w:rPr>
      </w:pPr>
      <w:r w:rsidRPr="009B07B6">
        <w:rPr>
          <w:rFonts w:ascii="Times New Roman" w:hAnsi="Times New Roman" w:cs="Times New Roman"/>
          <w:sz w:val="24"/>
          <w:szCs w:val="24"/>
        </w:rPr>
        <w:t xml:space="preserve">include definitions and update references and terminology in the FLS Regulations, </w:t>
      </w:r>
      <w:r w:rsidRPr="009B07B6">
        <w:rPr>
          <w:rFonts w:ascii="Times New Roman" w:eastAsiaTheme="minorEastAsia" w:hAnsi="Times New Roman" w:cs="Times New Roman"/>
          <w:sz w:val="24"/>
          <w:szCs w:val="24"/>
        </w:rPr>
        <w:t xml:space="preserve">as a result of the merger between QSuper and Sunsuper </w:t>
      </w:r>
      <w:r w:rsidR="001F6067" w:rsidRPr="009B07B6">
        <w:rPr>
          <w:rFonts w:ascii="Times New Roman" w:eastAsiaTheme="minorEastAsia" w:hAnsi="Times New Roman" w:cs="Times New Roman"/>
          <w:sz w:val="24"/>
          <w:szCs w:val="24"/>
        </w:rPr>
        <w:t xml:space="preserve">on 28 February 2022; </w:t>
      </w:r>
    </w:p>
    <w:p w14:paraId="45D9BFA0" w14:textId="77777777" w:rsidR="001470C3" w:rsidRPr="009B07B6" w:rsidRDefault="001470C3" w:rsidP="001470C3">
      <w:pPr>
        <w:pStyle w:val="ListParagraph"/>
        <w:numPr>
          <w:ilvl w:val="0"/>
          <w:numId w:val="24"/>
        </w:numPr>
        <w:spacing w:after="0"/>
        <w:rPr>
          <w:rFonts w:ascii="Times New Roman" w:hAnsi="Times New Roman" w:cs="Times New Roman"/>
          <w:sz w:val="24"/>
          <w:szCs w:val="24"/>
        </w:rPr>
      </w:pPr>
      <w:r w:rsidRPr="009B07B6">
        <w:rPr>
          <w:rFonts w:ascii="Times New Roman" w:hAnsi="Times New Roman" w:cs="Times New Roman"/>
          <w:sz w:val="24"/>
          <w:szCs w:val="24"/>
        </w:rPr>
        <w:t xml:space="preserve">clarify that the Attorney-General has the power to make information determinations for hybrid superannuation funds (with both defined benefit and accumulation components), consistent with existing powers in the FLS Regulations to make information determinations for defined benefit and accumulation funds; and </w:t>
      </w:r>
    </w:p>
    <w:p w14:paraId="273E7347" w14:textId="443A66B8" w:rsidR="001470C3" w:rsidRPr="009B07B6" w:rsidRDefault="001470C3" w:rsidP="008773BC">
      <w:pPr>
        <w:pStyle w:val="ListParagraph"/>
        <w:numPr>
          <w:ilvl w:val="0"/>
          <w:numId w:val="24"/>
        </w:numPr>
        <w:spacing w:after="0"/>
        <w:rPr>
          <w:rFonts w:ascii="Times New Roman" w:hAnsi="Times New Roman" w:cs="Times New Roman"/>
          <w:sz w:val="24"/>
          <w:szCs w:val="24"/>
        </w:rPr>
      </w:pPr>
      <w:r w:rsidRPr="009B07B6">
        <w:rPr>
          <w:rFonts w:ascii="Times New Roman" w:hAnsi="Times New Roman" w:cs="Times New Roman"/>
          <w:sz w:val="24"/>
          <w:szCs w:val="24"/>
        </w:rPr>
        <w:t xml:space="preserve">make two other minor amendments to update an out-of-date cross-reference and to fix a typographical error. </w:t>
      </w:r>
    </w:p>
    <w:p w14:paraId="33F4F494" w14:textId="77777777" w:rsidR="002650A0" w:rsidRPr="009B07B6" w:rsidRDefault="002650A0" w:rsidP="002650A0">
      <w:pPr>
        <w:pStyle w:val="ListParagraph"/>
        <w:spacing w:after="0" w:line="264" w:lineRule="auto"/>
        <w:rPr>
          <w:rFonts w:ascii="Times New Roman" w:hAnsi="Times New Roman" w:cs="Times New Roman"/>
          <w:sz w:val="24"/>
          <w:szCs w:val="24"/>
        </w:rPr>
      </w:pPr>
      <w:bookmarkStart w:id="0" w:name="_Hlk95914828"/>
    </w:p>
    <w:bookmarkEnd w:id="0"/>
    <w:p w14:paraId="1A2C0DC2" w14:textId="4D49766E" w:rsidR="002650A0" w:rsidRPr="009B07B6" w:rsidRDefault="002650A0" w:rsidP="002650A0">
      <w:pPr>
        <w:spacing w:after="0"/>
        <w:rPr>
          <w:rFonts w:ascii="Times New Roman" w:hAnsi="Times New Roman" w:cs="Times New Roman"/>
          <w:sz w:val="24"/>
          <w:szCs w:val="24"/>
        </w:rPr>
      </w:pPr>
      <w:r w:rsidRPr="009B07B6">
        <w:rPr>
          <w:rFonts w:ascii="Times New Roman" w:hAnsi="Times New Roman" w:cs="Times New Roman"/>
          <w:sz w:val="24"/>
          <w:szCs w:val="24"/>
        </w:rPr>
        <w:t xml:space="preserve">To facilitate the merger between QSuper and Sunsuper, the Queensland Government passed the </w:t>
      </w:r>
      <w:r w:rsidRPr="009B07B6">
        <w:rPr>
          <w:rFonts w:ascii="Times New Roman" w:hAnsi="Times New Roman" w:cs="Times New Roman"/>
          <w:i/>
          <w:iCs/>
          <w:sz w:val="24"/>
          <w:szCs w:val="24"/>
        </w:rPr>
        <w:t>Superannuation (State Public Sector) (Scheme Administration) Amendment Act 2021</w:t>
      </w:r>
      <w:r w:rsidRPr="009B07B6">
        <w:rPr>
          <w:rFonts w:ascii="Times New Roman" w:hAnsi="Times New Roman" w:cs="Times New Roman"/>
          <w:sz w:val="24"/>
          <w:szCs w:val="24"/>
        </w:rPr>
        <w:t xml:space="preserve"> (Qld) (the ‘Amendment Act’). Section 60 of Part 6 of the Amendment Act provides that the </w:t>
      </w:r>
      <w:r w:rsidRPr="009B07B6">
        <w:rPr>
          <w:rFonts w:ascii="Times New Roman" w:hAnsi="Times New Roman" w:cs="Times New Roman"/>
          <w:i/>
          <w:iCs/>
          <w:sz w:val="24"/>
          <w:szCs w:val="24"/>
        </w:rPr>
        <w:t>Superannuation (State Public Sector) Deed 1990</w:t>
      </w:r>
      <w:r w:rsidRPr="009B07B6">
        <w:rPr>
          <w:rFonts w:ascii="Times New Roman" w:hAnsi="Times New Roman" w:cs="Times New Roman"/>
          <w:sz w:val="24"/>
          <w:szCs w:val="24"/>
        </w:rPr>
        <w:t xml:space="preserve"> (Qld)</w:t>
      </w:r>
      <w:r w:rsidR="00804C8B" w:rsidRPr="009B07B6">
        <w:rPr>
          <w:rFonts w:ascii="Times New Roman" w:hAnsi="Times New Roman" w:cs="Times New Roman"/>
          <w:sz w:val="24"/>
          <w:szCs w:val="24"/>
        </w:rPr>
        <w:t>, which establishes the QSuper fund,</w:t>
      </w:r>
      <w:r w:rsidRPr="009B07B6">
        <w:rPr>
          <w:rFonts w:ascii="Times New Roman" w:hAnsi="Times New Roman" w:cs="Times New Roman"/>
          <w:sz w:val="24"/>
          <w:szCs w:val="24"/>
        </w:rPr>
        <w:t xml:space="preserve"> will be repealed. However, section 12 in Division 3 of Part 2 of the Amendment Act provides that the scheme, as established by the </w:t>
      </w:r>
      <w:r w:rsidRPr="009B07B6">
        <w:rPr>
          <w:rFonts w:ascii="Times New Roman" w:hAnsi="Times New Roman" w:cs="Times New Roman"/>
          <w:i/>
          <w:iCs/>
          <w:sz w:val="24"/>
          <w:szCs w:val="24"/>
        </w:rPr>
        <w:t>Superannuation (State Public Sector) Act 1990 (Qld)</w:t>
      </w:r>
      <w:r w:rsidRPr="009B07B6">
        <w:rPr>
          <w:rFonts w:ascii="Times New Roman" w:hAnsi="Times New Roman" w:cs="Times New Roman"/>
          <w:sz w:val="24"/>
          <w:szCs w:val="24"/>
        </w:rPr>
        <w:t xml:space="preserve"> and the repealed </w:t>
      </w:r>
      <w:r w:rsidRPr="009B07B6">
        <w:rPr>
          <w:rFonts w:ascii="Times New Roman" w:hAnsi="Times New Roman" w:cs="Times New Roman"/>
          <w:i/>
          <w:iCs/>
          <w:sz w:val="24"/>
          <w:szCs w:val="24"/>
        </w:rPr>
        <w:t>Superannuation (State Public Sector) Deed 1990</w:t>
      </w:r>
      <w:r w:rsidRPr="009B07B6">
        <w:rPr>
          <w:rFonts w:ascii="Times New Roman" w:hAnsi="Times New Roman" w:cs="Times New Roman"/>
          <w:sz w:val="24"/>
          <w:szCs w:val="24"/>
        </w:rPr>
        <w:t xml:space="preserve"> (Qld), will continue in existence. Following the commencement of Division 3 of Part 2 and Part 6 of the Amendment Act, the repealed provisions of the </w:t>
      </w:r>
      <w:r w:rsidRPr="009B07B6">
        <w:rPr>
          <w:rFonts w:ascii="Times New Roman" w:hAnsi="Times New Roman" w:cs="Times New Roman"/>
          <w:i/>
          <w:iCs/>
          <w:sz w:val="24"/>
          <w:szCs w:val="24"/>
        </w:rPr>
        <w:t xml:space="preserve">Superannuation (State Public Sector) Deed </w:t>
      </w:r>
      <w:r w:rsidRPr="009B07B6">
        <w:rPr>
          <w:rFonts w:ascii="Times New Roman" w:hAnsi="Times New Roman" w:cs="Times New Roman"/>
          <w:i/>
          <w:iCs/>
          <w:sz w:val="24"/>
          <w:szCs w:val="24"/>
        </w:rPr>
        <w:lastRenderedPageBreak/>
        <w:t>1990</w:t>
      </w:r>
      <w:r w:rsidRPr="009B07B6">
        <w:rPr>
          <w:rFonts w:ascii="Times New Roman" w:hAnsi="Times New Roman" w:cs="Times New Roman"/>
          <w:i/>
          <w:sz w:val="24"/>
          <w:szCs w:val="24"/>
        </w:rPr>
        <w:t xml:space="preserve"> (Qld) </w:t>
      </w:r>
      <w:r w:rsidR="00575656">
        <w:rPr>
          <w:rFonts w:ascii="Times New Roman" w:hAnsi="Times New Roman" w:cs="Times New Roman"/>
          <w:sz w:val="24"/>
          <w:szCs w:val="24"/>
        </w:rPr>
        <w:t>were</w:t>
      </w:r>
      <w:r w:rsidRPr="009B07B6">
        <w:rPr>
          <w:rFonts w:ascii="Times New Roman" w:hAnsi="Times New Roman" w:cs="Times New Roman"/>
          <w:sz w:val="24"/>
          <w:szCs w:val="24"/>
        </w:rPr>
        <w:t xml:space="preserve"> restated in a new instrument. This instrument </w:t>
      </w:r>
      <w:r w:rsidR="00575656">
        <w:rPr>
          <w:rFonts w:ascii="Times New Roman" w:hAnsi="Times New Roman" w:cs="Times New Roman"/>
          <w:sz w:val="24"/>
          <w:szCs w:val="24"/>
        </w:rPr>
        <w:t>is</w:t>
      </w:r>
      <w:r w:rsidRPr="009B07B6">
        <w:rPr>
          <w:rFonts w:ascii="Times New Roman" w:hAnsi="Times New Roman" w:cs="Times New Roman"/>
          <w:sz w:val="24"/>
          <w:szCs w:val="24"/>
        </w:rPr>
        <w:t xml:space="preserve"> the new trust deed for the merged fund, which is known as the Australian Retirement Trust.</w:t>
      </w:r>
      <w:r w:rsidR="006013E9" w:rsidRPr="009B07B6">
        <w:rPr>
          <w:rFonts w:ascii="Times New Roman" w:hAnsi="Times New Roman" w:cs="Times New Roman"/>
          <w:sz w:val="24"/>
          <w:szCs w:val="24"/>
        </w:rPr>
        <w:t xml:space="preserve"> The Amendment Instrument amends </w:t>
      </w:r>
      <w:r w:rsidR="00D224B0" w:rsidRPr="009B07B6">
        <w:rPr>
          <w:rFonts w:ascii="Times New Roman" w:hAnsi="Times New Roman" w:cs="Times New Roman"/>
          <w:sz w:val="24"/>
          <w:szCs w:val="24"/>
        </w:rPr>
        <w:t xml:space="preserve">FLS </w:t>
      </w:r>
      <w:r w:rsidR="006013E9" w:rsidRPr="009B07B6">
        <w:rPr>
          <w:rFonts w:ascii="Times New Roman" w:hAnsi="Times New Roman" w:cs="Times New Roman"/>
          <w:sz w:val="24"/>
          <w:szCs w:val="24"/>
        </w:rPr>
        <w:t xml:space="preserve">Regulations </w:t>
      </w:r>
      <w:r w:rsidR="00BA2EAB" w:rsidRPr="009B07B6">
        <w:rPr>
          <w:rFonts w:ascii="Times New Roman" w:hAnsi="Times New Roman" w:cs="Times New Roman"/>
          <w:sz w:val="24"/>
          <w:szCs w:val="24"/>
        </w:rPr>
        <w:t xml:space="preserve">3, </w:t>
      </w:r>
      <w:r w:rsidR="006013E9" w:rsidRPr="009B07B6">
        <w:rPr>
          <w:rFonts w:ascii="Times New Roman" w:hAnsi="Times New Roman" w:cs="Times New Roman"/>
          <w:sz w:val="24"/>
          <w:szCs w:val="24"/>
        </w:rPr>
        <w:t>9B and 12 of the FLS Regulations to reflect these changes.</w:t>
      </w:r>
    </w:p>
    <w:p w14:paraId="2718943C" w14:textId="77777777" w:rsidR="002650A0" w:rsidRPr="009B07B6" w:rsidRDefault="002650A0" w:rsidP="002650A0">
      <w:pPr>
        <w:spacing w:after="0"/>
        <w:rPr>
          <w:rFonts w:ascii="Times New Roman" w:hAnsi="Times New Roman" w:cs="Times New Roman"/>
          <w:sz w:val="24"/>
          <w:szCs w:val="24"/>
        </w:rPr>
      </w:pPr>
    </w:p>
    <w:p w14:paraId="7959ECA3" w14:textId="0BDC3C57" w:rsidR="002650A0" w:rsidRPr="009B07B6" w:rsidRDefault="002650A0" w:rsidP="006C7A4D">
      <w:pPr>
        <w:rPr>
          <w:rFonts w:ascii="Times New Roman" w:hAnsi="Times New Roman" w:cs="Times New Roman"/>
          <w:b/>
          <w:bCs/>
          <w:color w:val="000000"/>
          <w:sz w:val="24"/>
          <w:szCs w:val="24"/>
          <w:shd w:val="clear" w:color="auto" w:fill="FFFFFF"/>
        </w:rPr>
      </w:pPr>
      <w:r w:rsidRPr="009B07B6">
        <w:rPr>
          <w:rFonts w:ascii="Times New Roman" w:hAnsi="Times New Roman" w:cs="Times New Roman"/>
          <w:sz w:val="24"/>
          <w:szCs w:val="24"/>
        </w:rPr>
        <w:t xml:space="preserve">The </w:t>
      </w:r>
      <w:r w:rsidR="008F41FE">
        <w:rPr>
          <w:rFonts w:ascii="Times New Roman" w:hAnsi="Times New Roman" w:cs="Times New Roman"/>
          <w:sz w:val="24"/>
          <w:szCs w:val="24"/>
        </w:rPr>
        <w:t>Minister</w:t>
      </w:r>
      <w:r w:rsidRPr="009B07B6">
        <w:rPr>
          <w:rFonts w:ascii="Times New Roman" w:hAnsi="Times New Roman" w:cs="Times New Roman"/>
          <w:sz w:val="24"/>
          <w:szCs w:val="24"/>
        </w:rPr>
        <w:t xml:space="preserve"> has the power in the FLS Regulations to make information determinations for an accumulation fund (regulation 63) or for a defined benefit fund (regulation 64), but there is not currently a specific power to make an information determination for hybrid funds (funds with both defined benefit and accumulation components). The Amendment Instrument provides a specific power for the </w:t>
      </w:r>
      <w:r w:rsidR="008F41FE">
        <w:rPr>
          <w:rFonts w:ascii="Times New Roman" w:hAnsi="Times New Roman" w:cs="Times New Roman"/>
          <w:sz w:val="24"/>
          <w:szCs w:val="24"/>
        </w:rPr>
        <w:t>Minister</w:t>
      </w:r>
      <w:r w:rsidRPr="009B07B6">
        <w:rPr>
          <w:rFonts w:ascii="Times New Roman" w:hAnsi="Times New Roman" w:cs="Times New Roman"/>
          <w:sz w:val="24"/>
          <w:szCs w:val="24"/>
        </w:rPr>
        <w:t xml:space="preserve"> to make an information determination for a hybrid superannuation fund</w:t>
      </w:r>
      <w:r w:rsidR="00745F27" w:rsidRPr="009B07B6">
        <w:rPr>
          <w:rFonts w:ascii="Times New Roman" w:hAnsi="Times New Roman" w:cs="Times New Roman"/>
          <w:sz w:val="24"/>
          <w:szCs w:val="24"/>
        </w:rPr>
        <w:t>,</w:t>
      </w:r>
      <w:r w:rsidRPr="009B07B6">
        <w:rPr>
          <w:rFonts w:ascii="Times New Roman" w:hAnsi="Times New Roman" w:cs="Times New Roman"/>
          <w:sz w:val="24"/>
          <w:szCs w:val="24"/>
        </w:rPr>
        <w:t xml:space="preserve"> to clarify the </w:t>
      </w:r>
      <w:r w:rsidR="008F41FE">
        <w:rPr>
          <w:rFonts w:ascii="Times New Roman" w:hAnsi="Times New Roman" w:cs="Times New Roman"/>
          <w:sz w:val="24"/>
          <w:szCs w:val="24"/>
        </w:rPr>
        <w:t xml:space="preserve">Minister’s </w:t>
      </w:r>
      <w:r w:rsidRPr="009B07B6">
        <w:rPr>
          <w:rFonts w:ascii="Times New Roman" w:hAnsi="Times New Roman" w:cs="Times New Roman"/>
          <w:sz w:val="24"/>
          <w:szCs w:val="24"/>
        </w:rPr>
        <w:t xml:space="preserve">power to make such determinations. This power applies retrospectively to ensure that any information determinations already in existence are given legislative certainty. </w:t>
      </w:r>
    </w:p>
    <w:p w14:paraId="322432D8" w14:textId="77777777" w:rsidR="00570DE9" w:rsidRPr="009B07B6" w:rsidRDefault="00570DE9" w:rsidP="00570DE9">
      <w:pPr>
        <w:rPr>
          <w:rFonts w:ascii="Times New Roman" w:hAnsi="Times New Roman" w:cs="Times New Roman"/>
          <w:b/>
          <w:sz w:val="24"/>
          <w:szCs w:val="24"/>
        </w:rPr>
      </w:pPr>
      <w:r w:rsidRPr="009B07B6">
        <w:rPr>
          <w:rFonts w:ascii="Times New Roman" w:hAnsi="Times New Roman" w:cs="Times New Roman"/>
          <w:b/>
          <w:sz w:val="24"/>
          <w:szCs w:val="24"/>
        </w:rPr>
        <w:t>INCORPORATION BY REFERENCE</w:t>
      </w:r>
    </w:p>
    <w:p w14:paraId="31BF551F" w14:textId="77777777" w:rsidR="00570DE9" w:rsidRPr="009B07B6" w:rsidRDefault="00570DE9" w:rsidP="00570DE9">
      <w:pPr>
        <w:pStyle w:val="CommentText"/>
        <w:spacing w:line="276" w:lineRule="auto"/>
        <w:rPr>
          <w:rFonts w:ascii="Times New Roman" w:hAnsi="Times New Roman" w:cs="Times New Roman"/>
          <w:color w:val="0000FF" w:themeColor="hyperlink"/>
          <w:sz w:val="24"/>
          <w:szCs w:val="24"/>
          <w:u w:val="single"/>
        </w:rPr>
      </w:pPr>
      <w:r w:rsidRPr="009B07B6">
        <w:rPr>
          <w:rFonts w:ascii="Times New Roman" w:hAnsi="Times New Roman" w:cs="Times New Roman"/>
          <w:sz w:val="24"/>
          <w:szCs w:val="24"/>
        </w:rPr>
        <w:t xml:space="preserve">The Amendment Instrument incorporates by reference the </w:t>
      </w:r>
      <w:r w:rsidRPr="009B07B6">
        <w:rPr>
          <w:rFonts w:ascii="Times New Roman" w:hAnsi="Times New Roman" w:cs="Times New Roman"/>
          <w:i/>
          <w:sz w:val="24"/>
          <w:szCs w:val="24"/>
        </w:rPr>
        <w:t xml:space="preserve">Superannuation (State Public Sector) Act 1990 </w:t>
      </w:r>
      <w:r w:rsidRPr="009B07B6">
        <w:rPr>
          <w:rFonts w:ascii="Times New Roman" w:hAnsi="Times New Roman" w:cs="Times New Roman"/>
          <w:sz w:val="24"/>
          <w:szCs w:val="24"/>
        </w:rPr>
        <w:t xml:space="preserve">(Qld) including the amendments made by the </w:t>
      </w:r>
      <w:r w:rsidRPr="009B07B6">
        <w:rPr>
          <w:rFonts w:ascii="Times New Roman" w:hAnsi="Times New Roman" w:cs="Times New Roman"/>
          <w:i/>
          <w:sz w:val="24"/>
          <w:szCs w:val="24"/>
        </w:rPr>
        <w:t xml:space="preserve">Superannuation (State Public Sector) (Scheme Administration) Amendment Act 2021 </w:t>
      </w:r>
      <w:r w:rsidRPr="009B07B6">
        <w:rPr>
          <w:rFonts w:ascii="Times New Roman" w:hAnsi="Times New Roman" w:cs="Times New Roman"/>
          <w:sz w:val="24"/>
          <w:szCs w:val="24"/>
        </w:rPr>
        <w:t xml:space="preserve">(Qld). The </w:t>
      </w:r>
      <w:r w:rsidRPr="009B07B6">
        <w:rPr>
          <w:rFonts w:ascii="Times New Roman" w:hAnsi="Times New Roman" w:cs="Times New Roman"/>
          <w:i/>
          <w:sz w:val="24"/>
          <w:szCs w:val="24"/>
        </w:rPr>
        <w:t xml:space="preserve">Superannuation (State Public Sector) Act 1990 </w:t>
      </w:r>
      <w:r w:rsidRPr="009B07B6">
        <w:rPr>
          <w:rFonts w:ascii="Times New Roman" w:hAnsi="Times New Roman" w:cs="Times New Roman"/>
          <w:sz w:val="24"/>
          <w:szCs w:val="24"/>
        </w:rPr>
        <w:t xml:space="preserve">(Qld) and </w:t>
      </w:r>
      <w:r w:rsidRPr="009B07B6">
        <w:rPr>
          <w:rFonts w:ascii="Times New Roman" w:hAnsi="Times New Roman" w:cs="Times New Roman"/>
          <w:i/>
          <w:sz w:val="24"/>
          <w:szCs w:val="24"/>
        </w:rPr>
        <w:t xml:space="preserve">Superannuation (State Public Sector) (Scheme Administration) Amendment Act 2021 </w:t>
      </w:r>
      <w:r w:rsidRPr="009B07B6">
        <w:rPr>
          <w:rFonts w:ascii="Times New Roman" w:hAnsi="Times New Roman" w:cs="Times New Roman"/>
          <w:sz w:val="24"/>
          <w:szCs w:val="24"/>
        </w:rPr>
        <w:t xml:space="preserve">(Qld) can be accessed at: </w:t>
      </w:r>
      <w:hyperlink r:id="rId11" w:history="1">
        <w:r w:rsidRPr="009B07B6">
          <w:rPr>
            <w:rStyle w:val="Hyperlink"/>
            <w:rFonts w:ascii="Times New Roman" w:hAnsi="Times New Roman" w:cs="Times New Roman"/>
            <w:sz w:val="24"/>
            <w:szCs w:val="24"/>
          </w:rPr>
          <w:t>https://www.legislation.qld.gov.au/</w:t>
        </w:r>
      </w:hyperlink>
    </w:p>
    <w:p w14:paraId="14315923" w14:textId="2CB5FA8C" w:rsidR="00570DE9" w:rsidRPr="009B07B6" w:rsidRDefault="00570DE9" w:rsidP="00570DE9">
      <w:pPr>
        <w:rPr>
          <w:rFonts w:ascii="Times New Roman" w:hAnsi="Times New Roman" w:cs="Times New Roman"/>
          <w:sz w:val="24"/>
          <w:szCs w:val="24"/>
        </w:rPr>
      </w:pPr>
      <w:r w:rsidRPr="009B07B6">
        <w:rPr>
          <w:rFonts w:ascii="Times New Roman" w:hAnsi="Times New Roman" w:cs="Times New Roman"/>
          <w:sz w:val="24"/>
          <w:szCs w:val="24"/>
        </w:rPr>
        <w:t xml:space="preserve">The Amendment Instrument also incorporates by reference the trust deed governing the scheme which is continued in existence under section 5 of the </w:t>
      </w:r>
      <w:r w:rsidRPr="009B07B6">
        <w:rPr>
          <w:rFonts w:ascii="Times New Roman" w:hAnsi="Times New Roman" w:cs="Times New Roman"/>
          <w:i/>
          <w:sz w:val="24"/>
          <w:szCs w:val="24"/>
        </w:rPr>
        <w:t xml:space="preserve">Superannuation (State Public Sector) Act 1990 </w:t>
      </w:r>
      <w:r w:rsidRPr="009B07B6">
        <w:rPr>
          <w:rFonts w:ascii="Times New Roman" w:hAnsi="Times New Roman" w:cs="Times New Roman"/>
          <w:sz w:val="24"/>
          <w:szCs w:val="24"/>
        </w:rPr>
        <w:t xml:space="preserve">(Qld). The deed is incorporated as in force at the time that Part 1 of the Amendment Instrument commences. The new trust deed for the scheme </w:t>
      </w:r>
      <w:r w:rsidR="00BD11FC">
        <w:rPr>
          <w:rFonts w:ascii="Times New Roman" w:hAnsi="Times New Roman" w:cs="Times New Roman"/>
          <w:sz w:val="24"/>
          <w:szCs w:val="24"/>
        </w:rPr>
        <w:t>is available</w:t>
      </w:r>
      <w:r w:rsidRPr="009B07B6">
        <w:rPr>
          <w:rFonts w:ascii="Times New Roman" w:hAnsi="Times New Roman" w:cs="Times New Roman"/>
          <w:sz w:val="24"/>
          <w:szCs w:val="24"/>
        </w:rPr>
        <w:t xml:space="preserve"> at: </w:t>
      </w:r>
      <w:hyperlink r:id="rId12" w:history="1">
        <w:r w:rsidRPr="009B07B6">
          <w:rPr>
            <w:rStyle w:val="Hyperlink"/>
            <w:rFonts w:ascii="Times New Roman" w:hAnsi="Times New Roman" w:cs="Times New Roman"/>
            <w:sz w:val="24"/>
            <w:szCs w:val="24"/>
          </w:rPr>
          <w:t>https://www.australianretirementtrust.com.au/</w:t>
        </w:r>
      </w:hyperlink>
      <w:r w:rsidRPr="009B07B6">
        <w:rPr>
          <w:rFonts w:ascii="Times New Roman" w:hAnsi="Times New Roman" w:cs="Times New Roman"/>
          <w:sz w:val="24"/>
          <w:szCs w:val="24"/>
        </w:rPr>
        <w:t xml:space="preserve">. </w:t>
      </w:r>
    </w:p>
    <w:p w14:paraId="22DDF611" w14:textId="2DA4E37C" w:rsidR="007F0526" w:rsidRPr="009B07B6" w:rsidRDefault="007F0526" w:rsidP="006C7A4D">
      <w:pPr>
        <w:rPr>
          <w:rFonts w:ascii="Times New Roman" w:hAnsi="Times New Roman" w:cs="Times New Roman"/>
          <w:b/>
          <w:caps/>
          <w:sz w:val="24"/>
          <w:szCs w:val="24"/>
        </w:rPr>
      </w:pPr>
      <w:r w:rsidRPr="009B07B6">
        <w:rPr>
          <w:rFonts w:ascii="Times New Roman" w:hAnsi="Times New Roman" w:cs="Times New Roman"/>
          <w:b/>
          <w:caps/>
          <w:sz w:val="24"/>
          <w:szCs w:val="24"/>
        </w:rPr>
        <w:t>CONSULTATION</w:t>
      </w:r>
    </w:p>
    <w:p w14:paraId="008D8034" w14:textId="5C59964A" w:rsidR="00830B68" w:rsidRPr="009B07B6" w:rsidRDefault="00C12B3F" w:rsidP="005E2FDE">
      <w:pPr>
        <w:rPr>
          <w:rFonts w:ascii="Times New Roman" w:hAnsi="Times New Roman" w:cs="Times New Roman"/>
          <w:b/>
          <w:sz w:val="24"/>
          <w:szCs w:val="24"/>
        </w:rPr>
      </w:pPr>
      <w:r w:rsidRPr="009B07B6">
        <w:rPr>
          <w:rFonts w:ascii="Times New Roman" w:hAnsi="Times New Roman" w:cs="Times New Roman"/>
          <w:color w:val="000000"/>
          <w:sz w:val="24"/>
          <w:szCs w:val="24"/>
          <w:shd w:val="clear" w:color="auto" w:fill="FFFFFF"/>
        </w:rPr>
        <w:t>T</w:t>
      </w:r>
      <w:r w:rsidRPr="009B07B6">
        <w:rPr>
          <w:rFonts w:ascii="Times New Roman" w:hAnsi="Times New Roman" w:cs="Times New Roman"/>
          <w:sz w:val="24"/>
          <w:szCs w:val="24"/>
        </w:rPr>
        <w:t xml:space="preserve">he </w:t>
      </w:r>
      <w:r w:rsidR="009E386F" w:rsidRPr="009B07B6">
        <w:rPr>
          <w:rFonts w:ascii="Times New Roman" w:hAnsi="Times New Roman" w:cs="Times New Roman"/>
          <w:sz w:val="24"/>
          <w:szCs w:val="24"/>
        </w:rPr>
        <w:t xml:space="preserve">Attorney-General’s Department consulted with QSuper and the Australian Government Actuary on the development of the amendments in relation to the merger. For the amendments addressing small drafting errors and creating the express power to make information determinations in relation to hybrid funds the Attorney-General’s Department consulted with the Department of Finance, </w:t>
      </w:r>
      <w:r w:rsidR="00005CAB">
        <w:rPr>
          <w:rFonts w:ascii="Times New Roman" w:hAnsi="Times New Roman" w:cs="Times New Roman"/>
          <w:sz w:val="24"/>
          <w:szCs w:val="24"/>
        </w:rPr>
        <w:t>t</w:t>
      </w:r>
      <w:r w:rsidR="009E386F" w:rsidRPr="009B07B6">
        <w:rPr>
          <w:rFonts w:ascii="Times New Roman" w:hAnsi="Times New Roman" w:cs="Times New Roman"/>
          <w:sz w:val="24"/>
          <w:szCs w:val="24"/>
        </w:rPr>
        <w:t>he Treasury, the Commonwealth Superannuation Corporation, the Department of Defence, the Department of Veterans’ Affairs</w:t>
      </w:r>
      <w:r w:rsidR="00E52BB3" w:rsidRPr="009B07B6">
        <w:rPr>
          <w:rFonts w:ascii="Times New Roman" w:hAnsi="Times New Roman" w:cs="Times New Roman"/>
          <w:sz w:val="24"/>
          <w:szCs w:val="24"/>
        </w:rPr>
        <w:t xml:space="preserve"> </w:t>
      </w:r>
      <w:r w:rsidR="009E386F" w:rsidRPr="009B07B6">
        <w:rPr>
          <w:rFonts w:ascii="Times New Roman" w:hAnsi="Times New Roman" w:cs="Times New Roman"/>
          <w:sz w:val="24"/>
          <w:szCs w:val="24"/>
        </w:rPr>
        <w:t xml:space="preserve">and the Australian Government Actuary. </w:t>
      </w:r>
      <w:r w:rsidR="001470C3" w:rsidRPr="009B07B6">
        <w:rPr>
          <w:rFonts w:ascii="Times New Roman" w:hAnsi="Times New Roman" w:cs="Times New Roman"/>
          <w:sz w:val="24"/>
          <w:szCs w:val="24"/>
        </w:rPr>
        <w:t>The purpose of the consultation was to ensure the accuracy of the proposed amendments, given their technical nature. The feedback was supportive of the amendments, and minor suggestions were incorporated.</w:t>
      </w:r>
    </w:p>
    <w:p w14:paraId="3BCF335A" w14:textId="3E01C3EA" w:rsidR="00F065F8" w:rsidRPr="009B07B6" w:rsidRDefault="00F065F8" w:rsidP="00573F03">
      <w:pPr>
        <w:spacing w:after="0"/>
        <w:rPr>
          <w:rFonts w:ascii="Times New Roman" w:hAnsi="Times New Roman" w:cs="Times New Roman"/>
          <w:bCs/>
          <w:sz w:val="24"/>
          <w:szCs w:val="24"/>
        </w:rPr>
      </w:pPr>
      <w:r w:rsidRPr="009B07B6">
        <w:rPr>
          <w:rFonts w:ascii="Times New Roman" w:hAnsi="Times New Roman" w:cs="Times New Roman"/>
          <w:bCs/>
          <w:sz w:val="24"/>
          <w:szCs w:val="24"/>
        </w:rPr>
        <w:t>The Office of Best Practice Regulation was consulted about this instrument and has advised that a Regulatory Impact Statement is not required (OBPR</w:t>
      </w:r>
      <w:r w:rsidR="00570DE9" w:rsidRPr="009B07B6">
        <w:rPr>
          <w:rFonts w:ascii="Times New Roman" w:hAnsi="Times New Roman" w:cs="Times New Roman"/>
          <w:bCs/>
          <w:sz w:val="24"/>
          <w:szCs w:val="24"/>
        </w:rPr>
        <w:t>22-01665</w:t>
      </w:r>
      <w:r w:rsidRPr="009B07B6">
        <w:rPr>
          <w:rFonts w:ascii="Times New Roman" w:hAnsi="Times New Roman" w:cs="Times New Roman"/>
          <w:bCs/>
          <w:sz w:val="24"/>
          <w:szCs w:val="24"/>
        </w:rPr>
        <w:t>).</w:t>
      </w:r>
    </w:p>
    <w:p w14:paraId="16F1C869" w14:textId="77777777" w:rsidR="00F065F8" w:rsidRPr="009B07B6" w:rsidRDefault="00F065F8" w:rsidP="00F065F8">
      <w:pPr>
        <w:spacing w:after="0" w:line="240" w:lineRule="auto"/>
        <w:rPr>
          <w:rFonts w:ascii="Times New Roman" w:hAnsi="Times New Roman" w:cs="Times New Roman"/>
          <w:bCs/>
          <w:sz w:val="24"/>
          <w:szCs w:val="24"/>
        </w:rPr>
      </w:pPr>
    </w:p>
    <w:p w14:paraId="3FCFC2B2" w14:textId="1F733E7E" w:rsidR="00F065F8" w:rsidRPr="009B07B6" w:rsidRDefault="00F065F8" w:rsidP="00F065F8">
      <w:pPr>
        <w:rPr>
          <w:rFonts w:ascii="Times New Roman" w:hAnsi="Times New Roman" w:cs="Times New Roman"/>
          <w:bCs/>
          <w:sz w:val="24"/>
          <w:szCs w:val="24"/>
        </w:rPr>
      </w:pPr>
      <w:r w:rsidRPr="009B07B6">
        <w:rPr>
          <w:rFonts w:ascii="Times New Roman" w:hAnsi="Times New Roman" w:cs="Times New Roman"/>
          <w:bCs/>
          <w:sz w:val="24"/>
          <w:szCs w:val="24"/>
        </w:rPr>
        <w:lastRenderedPageBreak/>
        <w:t xml:space="preserve">This </w:t>
      </w:r>
      <w:r w:rsidR="00AA5A0A">
        <w:rPr>
          <w:rFonts w:ascii="Times New Roman" w:hAnsi="Times New Roman" w:cs="Times New Roman"/>
          <w:bCs/>
          <w:sz w:val="24"/>
          <w:szCs w:val="24"/>
        </w:rPr>
        <w:t>Amendment I</w:t>
      </w:r>
      <w:r w:rsidRPr="009B07B6">
        <w:rPr>
          <w:rFonts w:ascii="Times New Roman" w:hAnsi="Times New Roman" w:cs="Times New Roman"/>
          <w:bCs/>
          <w:sz w:val="24"/>
          <w:szCs w:val="24"/>
        </w:rPr>
        <w:t xml:space="preserve">nstrument is compatible with the human rights and freedoms recognised or declared in the international instruments listed in section 3 of the </w:t>
      </w:r>
      <w:r w:rsidRPr="009B07B6">
        <w:rPr>
          <w:rFonts w:ascii="Times New Roman" w:hAnsi="Times New Roman" w:cs="Times New Roman"/>
          <w:bCs/>
          <w:i/>
          <w:sz w:val="24"/>
          <w:szCs w:val="24"/>
        </w:rPr>
        <w:t>Human Rights (Parliamentary Scrutiny) Act 2011</w:t>
      </w:r>
      <w:r w:rsidRPr="009B07B6">
        <w:rPr>
          <w:rFonts w:ascii="Times New Roman" w:hAnsi="Times New Roman" w:cs="Times New Roman"/>
          <w:bCs/>
          <w:sz w:val="24"/>
          <w:szCs w:val="24"/>
        </w:rPr>
        <w:t xml:space="preserve">. A Statement of Compatibility with Human Rights is set out in </w:t>
      </w:r>
      <w:r w:rsidRPr="009B07B6">
        <w:rPr>
          <w:rFonts w:ascii="Times New Roman" w:hAnsi="Times New Roman" w:cs="Times New Roman"/>
          <w:b/>
          <w:bCs/>
          <w:sz w:val="24"/>
          <w:szCs w:val="24"/>
        </w:rPr>
        <w:t>Attachment A</w:t>
      </w:r>
      <w:r w:rsidRPr="009B07B6">
        <w:rPr>
          <w:rFonts w:ascii="Times New Roman" w:hAnsi="Times New Roman" w:cs="Times New Roman"/>
          <w:bCs/>
          <w:sz w:val="24"/>
          <w:szCs w:val="24"/>
        </w:rPr>
        <w:t>.</w:t>
      </w:r>
    </w:p>
    <w:p w14:paraId="58D8B1FD" w14:textId="31676FF6" w:rsidR="00570DE9" w:rsidRPr="009B07B6" w:rsidRDefault="00570DE9" w:rsidP="00F065F8">
      <w:pPr>
        <w:rPr>
          <w:rFonts w:ascii="Times New Roman" w:hAnsi="Times New Roman" w:cs="Times New Roman"/>
          <w:bCs/>
          <w:sz w:val="24"/>
          <w:szCs w:val="24"/>
        </w:rPr>
      </w:pPr>
      <w:r w:rsidRPr="009B07B6">
        <w:rPr>
          <w:rFonts w:ascii="Times New Roman" w:hAnsi="Times New Roman" w:cs="Times New Roman"/>
          <w:bCs/>
          <w:sz w:val="24"/>
          <w:szCs w:val="24"/>
        </w:rPr>
        <w:t>The</w:t>
      </w:r>
      <w:r w:rsidR="00AA5A0A">
        <w:rPr>
          <w:rFonts w:ascii="Times New Roman" w:hAnsi="Times New Roman" w:cs="Times New Roman"/>
          <w:bCs/>
          <w:sz w:val="24"/>
          <w:szCs w:val="24"/>
        </w:rPr>
        <w:t xml:space="preserve"> Amendment Instrument</w:t>
      </w:r>
      <w:r w:rsidRPr="009B07B6">
        <w:rPr>
          <w:rFonts w:ascii="Times New Roman" w:hAnsi="Times New Roman" w:cs="Times New Roman"/>
          <w:bCs/>
          <w:sz w:val="24"/>
          <w:szCs w:val="24"/>
        </w:rPr>
        <w:t xml:space="preserve"> </w:t>
      </w:r>
      <w:r w:rsidR="00AA5A0A">
        <w:rPr>
          <w:rFonts w:ascii="Times New Roman" w:hAnsi="Times New Roman" w:cs="Times New Roman"/>
          <w:bCs/>
          <w:sz w:val="24"/>
          <w:szCs w:val="24"/>
        </w:rPr>
        <w:t xml:space="preserve">is </w:t>
      </w:r>
      <w:r w:rsidRPr="009B07B6">
        <w:rPr>
          <w:rFonts w:ascii="Times New Roman" w:hAnsi="Times New Roman" w:cs="Times New Roman"/>
          <w:bCs/>
          <w:sz w:val="24"/>
          <w:szCs w:val="24"/>
        </w:rPr>
        <w:t xml:space="preserve">a legislative instrument for the purposes of the </w:t>
      </w:r>
      <w:r w:rsidRPr="003B5558">
        <w:rPr>
          <w:rFonts w:ascii="Times New Roman" w:hAnsi="Times New Roman" w:cs="Times New Roman"/>
          <w:bCs/>
          <w:i/>
          <w:sz w:val="24"/>
          <w:szCs w:val="24"/>
        </w:rPr>
        <w:t>Legislation Act 2003</w:t>
      </w:r>
      <w:r w:rsidRPr="009B07B6">
        <w:rPr>
          <w:rFonts w:ascii="Times New Roman" w:hAnsi="Times New Roman" w:cs="Times New Roman"/>
          <w:bCs/>
          <w:sz w:val="24"/>
          <w:szCs w:val="24"/>
        </w:rPr>
        <w:t xml:space="preserve">. Details of the </w:t>
      </w:r>
      <w:r w:rsidR="00AA5A0A">
        <w:rPr>
          <w:rFonts w:ascii="Times New Roman" w:hAnsi="Times New Roman" w:cs="Times New Roman"/>
          <w:bCs/>
          <w:sz w:val="24"/>
          <w:szCs w:val="24"/>
        </w:rPr>
        <w:t>Amendment Instrument</w:t>
      </w:r>
      <w:r w:rsidRPr="009B07B6">
        <w:rPr>
          <w:rFonts w:ascii="Times New Roman" w:hAnsi="Times New Roman" w:cs="Times New Roman"/>
          <w:bCs/>
          <w:sz w:val="24"/>
          <w:szCs w:val="24"/>
        </w:rPr>
        <w:t xml:space="preserve"> are set out in </w:t>
      </w:r>
      <w:r w:rsidRPr="009B07B6">
        <w:rPr>
          <w:rFonts w:ascii="Times New Roman" w:hAnsi="Times New Roman" w:cs="Times New Roman"/>
          <w:b/>
          <w:bCs/>
          <w:sz w:val="24"/>
          <w:szCs w:val="24"/>
        </w:rPr>
        <w:t>Attachment B</w:t>
      </w:r>
      <w:r w:rsidRPr="009B07B6">
        <w:rPr>
          <w:rFonts w:ascii="Times New Roman" w:hAnsi="Times New Roman" w:cs="Times New Roman"/>
          <w:bCs/>
          <w:sz w:val="24"/>
          <w:szCs w:val="24"/>
        </w:rPr>
        <w:t xml:space="preserve">. </w:t>
      </w:r>
    </w:p>
    <w:p w14:paraId="6EE50D00" w14:textId="77777777" w:rsidR="00570DE9" w:rsidRPr="009B07B6" w:rsidRDefault="00570DE9" w:rsidP="00F065F8">
      <w:pPr>
        <w:rPr>
          <w:rFonts w:ascii="Times New Roman" w:hAnsi="Times New Roman" w:cs="Times New Roman"/>
          <w:b/>
          <w:sz w:val="24"/>
          <w:szCs w:val="24"/>
        </w:rPr>
      </w:pPr>
    </w:p>
    <w:p w14:paraId="5CAB999F" w14:textId="608AA4D2" w:rsidR="00F065F8" w:rsidRPr="009B07B6" w:rsidRDefault="00F065F8">
      <w:pPr>
        <w:rPr>
          <w:rFonts w:ascii="Times New Roman" w:hAnsi="Times New Roman" w:cs="Times New Roman"/>
          <w:b/>
          <w:sz w:val="24"/>
          <w:szCs w:val="24"/>
        </w:rPr>
      </w:pPr>
      <w:r w:rsidRPr="009B07B6">
        <w:rPr>
          <w:rFonts w:ascii="Times New Roman" w:hAnsi="Times New Roman" w:cs="Times New Roman"/>
          <w:b/>
          <w:sz w:val="24"/>
          <w:szCs w:val="24"/>
        </w:rPr>
        <w:br w:type="page"/>
      </w:r>
    </w:p>
    <w:p w14:paraId="0419B102" w14:textId="01CCAEE5" w:rsidR="00F065F8" w:rsidRPr="009B07B6" w:rsidRDefault="00F065F8" w:rsidP="00D81019">
      <w:pPr>
        <w:jc w:val="right"/>
        <w:rPr>
          <w:rFonts w:ascii="Times New Roman" w:hAnsi="Times New Roman" w:cs="Times New Roman"/>
          <w:b/>
          <w:sz w:val="24"/>
          <w:szCs w:val="24"/>
        </w:rPr>
      </w:pPr>
      <w:r w:rsidRPr="009B07B6">
        <w:rPr>
          <w:rFonts w:ascii="Times New Roman" w:hAnsi="Times New Roman" w:cs="Times New Roman"/>
          <w:b/>
          <w:sz w:val="24"/>
          <w:szCs w:val="24"/>
        </w:rPr>
        <w:lastRenderedPageBreak/>
        <w:t>Attachment A</w:t>
      </w:r>
    </w:p>
    <w:p w14:paraId="0118B0BF" w14:textId="5BE8C028" w:rsidR="00170488" w:rsidRPr="009B07B6" w:rsidRDefault="00170488" w:rsidP="007400F6">
      <w:pPr>
        <w:rPr>
          <w:rFonts w:ascii="Times New Roman" w:hAnsi="Times New Roman" w:cs="Times New Roman"/>
          <w:b/>
          <w:sz w:val="24"/>
          <w:szCs w:val="24"/>
        </w:rPr>
      </w:pPr>
      <w:r w:rsidRPr="009B07B6">
        <w:rPr>
          <w:rFonts w:ascii="Times New Roman" w:hAnsi="Times New Roman" w:cs="Times New Roman"/>
          <w:b/>
          <w:sz w:val="24"/>
          <w:szCs w:val="24"/>
        </w:rPr>
        <w:t xml:space="preserve">STATEMENT OF COMPATIBILITY </w:t>
      </w:r>
      <w:r w:rsidR="00573F03">
        <w:rPr>
          <w:rFonts w:ascii="Times New Roman" w:hAnsi="Times New Roman" w:cs="Times New Roman"/>
          <w:b/>
          <w:sz w:val="24"/>
          <w:szCs w:val="24"/>
        </w:rPr>
        <w:t>WITH</w:t>
      </w:r>
      <w:r w:rsidR="00573F03" w:rsidRPr="009B07B6">
        <w:rPr>
          <w:rFonts w:ascii="Times New Roman" w:hAnsi="Times New Roman" w:cs="Times New Roman"/>
          <w:b/>
          <w:sz w:val="24"/>
          <w:szCs w:val="24"/>
        </w:rPr>
        <w:t xml:space="preserve"> </w:t>
      </w:r>
      <w:r w:rsidRPr="009B07B6">
        <w:rPr>
          <w:rFonts w:ascii="Times New Roman" w:hAnsi="Times New Roman" w:cs="Times New Roman"/>
          <w:b/>
          <w:sz w:val="24"/>
          <w:szCs w:val="24"/>
        </w:rPr>
        <w:t>HUMAN RIGHTS</w:t>
      </w:r>
    </w:p>
    <w:p w14:paraId="2D1A3B32" w14:textId="77777777" w:rsidR="00570DE9" w:rsidRPr="009B07B6" w:rsidRDefault="00570DE9" w:rsidP="00570DE9">
      <w:pPr>
        <w:spacing w:after="0" w:line="240" w:lineRule="auto"/>
        <w:jc w:val="center"/>
        <w:rPr>
          <w:rFonts w:ascii="Times New Roman" w:hAnsi="Times New Roman" w:cs="Times New Roman"/>
          <w:i/>
          <w:iCs/>
          <w:color w:val="000000"/>
          <w:sz w:val="24"/>
          <w:szCs w:val="24"/>
        </w:rPr>
      </w:pPr>
      <w:r w:rsidRPr="009B07B6">
        <w:rPr>
          <w:rFonts w:ascii="Times New Roman" w:hAnsi="Times New Roman" w:cs="Times New Roman"/>
          <w:i/>
          <w:iCs/>
          <w:color w:val="000000"/>
          <w:sz w:val="24"/>
          <w:szCs w:val="24"/>
        </w:rPr>
        <w:t>Prepared in accordance with Part 3 of the Human Rights (Parliamentary Scrutiny) Act 2011</w:t>
      </w:r>
    </w:p>
    <w:p w14:paraId="625DAC8D" w14:textId="77777777" w:rsidR="00570DE9" w:rsidRPr="009B07B6" w:rsidRDefault="00570DE9" w:rsidP="00570DE9">
      <w:pPr>
        <w:spacing w:after="0" w:line="240" w:lineRule="auto"/>
        <w:jc w:val="center"/>
        <w:rPr>
          <w:rFonts w:ascii="Times New Roman" w:hAnsi="Times New Roman" w:cs="Times New Roman"/>
          <w:b/>
          <w:iCs/>
          <w:color w:val="000000"/>
          <w:sz w:val="24"/>
          <w:szCs w:val="24"/>
        </w:rPr>
      </w:pPr>
    </w:p>
    <w:p w14:paraId="2F15FA61" w14:textId="38051BB4" w:rsidR="00570DE9" w:rsidRPr="009B07B6" w:rsidRDefault="00570DE9" w:rsidP="00D81019">
      <w:pPr>
        <w:spacing w:after="0" w:line="240" w:lineRule="auto"/>
        <w:rPr>
          <w:rFonts w:ascii="Times New Roman" w:hAnsi="Times New Roman" w:cs="Times New Roman"/>
          <w:b/>
          <w:iCs/>
          <w:color w:val="000000"/>
          <w:sz w:val="24"/>
          <w:szCs w:val="24"/>
        </w:rPr>
      </w:pPr>
      <w:r w:rsidRPr="009B07B6">
        <w:rPr>
          <w:rFonts w:ascii="Times New Roman" w:hAnsi="Times New Roman" w:cs="Times New Roman"/>
          <w:b/>
          <w:iCs/>
          <w:color w:val="000000"/>
          <w:sz w:val="24"/>
          <w:szCs w:val="24"/>
        </w:rPr>
        <w:t xml:space="preserve">Family Law (Superannuation) Amendment (2022 Measures No. 1) Regulations 2022 </w:t>
      </w:r>
    </w:p>
    <w:p w14:paraId="2B414842" w14:textId="72E19F49" w:rsidR="00170488" w:rsidRPr="009B07B6" w:rsidRDefault="00170488" w:rsidP="00170488">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rPr>
        <w:t>Th</w:t>
      </w:r>
      <w:r w:rsidR="00570DE9" w:rsidRPr="009B07B6">
        <w:rPr>
          <w:rFonts w:ascii="Times New Roman" w:hAnsi="Times New Roman" w:cs="Times New Roman"/>
          <w:sz w:val="24"/>
          <w:szCs w:val="24"/>
        </w:rPr>
        <w:t xml:space="preserve">is disallowable Legislative </w:t>
      </w:r>
      <w:r w:rsidRPr="009B07B6">
        <w:rPr>
          <w:rFonts w:ascii="Times New Roman" w:hAnsi="Times New Roman" w:cs="Times New Roman"/>
          <w:sz w:val="24"/>
          <w:szCs w:val="24"/>
        </w:rPr>
        <w:t xml:space="preserve">Instrument is compatible with the human rights and freedoms recognised or declared in the international instruments listed in section 3 of the </w:t>
      </w:r>
      <w:r w:rsidRPr="009B07B6">
        <w:rPr>
          <w:rFonts w:ascii="Times New Roman" w:hAnsi="Times New Roman" w:cs="Times New Roman"/>
          <w:i/>
          <w:iCs/>
          <w:sz w:val="24"/>
          <w:szCs w:val="24"/>
        </w:rPr>
        <w:t>Human Rights (Parliamentary Scrutiny) Act 2011</w:t>
      </w:r>
      <w:r w:rsidRPr="009B07B6">
        <w:rPr>
          <w:rFonts w:ascii="Times New Roman" w:hAnsi="Times New Roman" w:cs="Times New Roman"/>
          <w:sz w:val="24"/>
          <w:szCs w:val="24"/>
        </w:rPr>
        <w:t>.</w:t>
      </w:r>
    </w:p>
    <w:p w14:paraId="631A94E4" w14:textId="049E9157" w:rsidR="00A929CF" w:rsidRDefault="00570DE9" w:rsidP="009B07B6">
      <w:pPr>
        <w:spacing w:after="0" w:line="240" w:lineRule="auto"/>
        <w:rPr>
          <w:rFonts w:ascii="Times New Roman" w:hAnsi="Times New Roman" w:cs="Times New Roman"/>
          <w:b/>
          <w:iCs/>
          <w:color w:val="000000"/>
          <w:sz w:val="24"/>
          <w:szCs w:val="24"/>
        </w:rPr>
      </w:pPr>
      <w:r w:rsidRPr="009B07B6">
        <w:rPr>
          <w:rFonts w:ascii="Times New Roman" w:hAnsi="Times New Roman" w:cs="Times New Roman"/>
          <w:b/>
          <w:iCs/>
          <w:color w:val="000000"/>
          <w:sz w:val="24"/>
          <w:szCs w:val="24"/>
        </w:rPr>
        <w:t xml:space="preserve">Overview of the disallowable legislative instrument </w:t>
      </w:r>
    </w:p>
    <w:p w14:paraId="523A5BC5" w14:textId="77777777" w:rsidR="002108C4" w:rsidRPr="009B07B6" w:rsidRDefault="002108C4" w:rsidP="009B07B6">
      <w:pPr>
        <w:spacing w:after="0" w:line="240" w:lineRule="auto"/>
        <w:rPr>
          <w:rFonts w:ascii="Times New Roman" w:hAnsi="Times New Roman" w:cs="Times New Roman"/>
          <w:sz w:val="24"/>
          <w:szCs w:val="24"/>
        </w:rPr>
      </w:pPr>
    </w:p>
    <w:p w14:paraId="6517DB33" w14:textId="766B0E36" w:rsidR="00564937" w:rsidRPr="00564937" w:rsidRDefault="00A929CF" w:rsidP="00002E2A">
      <w:r w:rsidRPr="00002E2A">
        <w:rPr>
          <w:rFonts w:ascii="Times New Roman" w:hAnsi="Times New Roman" w:cs="Times New Roman"/>
          <w:sz w:val="24"/>
          <w:szCs w:val="24"/>
        </w:rPr>
        <w:t xml:space="preserve">The </w:t>
      </w:r>
      <w:r w:rsidRPr="00002E2A">
        <w:rPr>
          <w:rFonts w:ascii="Times New Roman" w:eastAsia="Times New Roman" w:hAnsi="Times New Roman" w:cs="Times New Roman"/>
          <w:i/>
          <w:sz w:val="24"/>
          <w:szCs w:val="24"/>
          <w:lang w:eastAsia="en-AU"/>
        </w:rPr>
        <w:t xml:space="preserve">Family Law (Superannuation) Amendment (2022 Measures No. 1) Regulations 2022 </w:t>
      </w:r>
      <w:r w:rsidRPr="00002E2A">
        <w:rPr>
          <w:rFonts w:ascii="Times New Roman" w:eastAsia="Times New Roman" w:hAnsi="Times New Roman" w:cs="Times New Roman"/>
          <w:sz w:val="24"/>
          <w:szCs w:val="24"/>
          <w:lang w:eastAsia="en-AU"/>
        </w:rPr>
        <w:t>(the Amendment Instrument)</w:t>
      </w:r>
      <w:r w:rsidR="00806706" w:rsidRPr="00002E2A">
        <w:rPr>
          <w:rFonts w:ascii="Times New Roman" w:eastAsia="Times New Roman" w:hAnsi="Times New Roman" w:cs="Times New Roman"/>
          <w:sz w:val="24"/>
          <w:szCs w:val="24"/>
          <w:lang w:eastAsia="en-AU"/>
        </w:rPr>
        <w:t xml:space="preserve"> </w:t>
      </w:r>
      <w:r w:rsidR="00366C8F" w:rsidRPr="00002E2A">
        <w:rPr>
          <w:rFonts w:ascii="Times New Roman" w:eastAsia="Times New Roman" w:hAnsi="Times New Roman" w:cs="Times New Roman"/>
          <w:sz w:val="24"/>
          <w:szCs w:val="24"/>
          <w:lang w:eastAsia="en-AU"/>
        </w:rPr>
        <w:t xml:space="preserve">amends </w:t>
      </w:r>
      <w:r w:rsidR="00806706" w:rsidRPr="00002E2A">
        <w:rPr>
          <w:rFonts w:ascii="Times New Roman" w:eastAsia="Times New Roman" w:hAnsi="Times New Roman" w:cs="Times New Roman"/>
          <w:sz w:val="24"/>
          <w:szCs w:val="24"/>
          <w:lang w:eastAsia="en-AU"/>
        </w:rPr>
        <w:t>the Family Law (Superannuation) Regulations 2001 (FLS Regulations), to ensure that the FLS Regulations remain accurate and fit for purpose.</w:t>
      </w:r>
      <w:r w:rsidRPr="00002E2A">
        <w:rPr>
          <w:rFonts w:ascii="Times New Roman" w:eastAsia="Times New Roman" w:hAnsi="Times New Roman" w:cs="Times New Roman"/>
          <w:i/>
          <w:sz w:val="24"/>
          <w:szCs w:val="24"/>
          <w:lang w:eastAsia="en-AU"/>
        </w:rPr>
        <w:t xml:space="preserve"> </w:t>
      </w:r>
      <w:r w:rsidR="00806706" w:rsidRPr="00002E2A">
        <w:rPr>
          <w:rFonts w:ascii="Times New Roman" w:eastAsia="Times New Roman" w:hAnsi="Times New Roman" w:cs="Times New Roman"/>
          <w:sz w:val="24"/>
          <w:szCs w:val="24"/>
          <w:lang w:eastAsia="en-AU"/>
        </w:rPr>
        <w:t>The Amendment Instrument updates</w:t>
      </w:r>
      <w:r w:rsidR="00227CE4" w:rsidRPr="00002E2A">
        <w:rPr>
          <w:rFonts w:ascii="Times New Roman" w:eastAsia="Times New Roman" w:hAnsi="Times New Roman" w:cs="Times New Roman"/>
          <w:sz w:val="24"/>
          <w:szCs w:val="24"/>
          <w:lang w:eastAsia="en-AU"/>
        </w:rPr>
        <w:t xml:space="preserve"> </w:t>
      </w:r>
      <w:r w:rsidRPr="00002E2A">
        <w:rPr>
          <w:rFonts w:ascii="Times New Roman" w:hAnsi="Times New Roman" w:cs="Times New Roman"/>
          <w:sz w:val="24"/>
          <w:szCs w:val="24"/>
        </w:rPr>
        <w:t>definitions</w:t>
      </w:r>
      <w:r w:rsidR="00806706" w:rsidRPr="00002E2A">
        <w:rPr>
          <w:rFonts w:ascii="Times New Roman" w:hAnsi="Times New Roman" w:cs="Times New Roman"/>
          <w:sz w:val="24"/>
          <w:szCs w:val="24"/>
        </w:rPr>
        <w:t>,</w:t>
      </w:r>
      <w:r w:rsidR="009B064C" w:rsidRPr="00002E2A">
        <w:rPr>
          <w:rFonts w:ascii="Times New Roman" w:hAnsi="Times New Roman" w:cs="Times New Roman"/>
          <w:sz w:val="24"/>
          <w:szCs w:val="24"/>
        </w:rPr>
        <w:t xml:space="preserve"> </w:t>
      </w:r>
      <w:r w:rsidRPr="00002E2A">
        <w:rPr>
          <w:rFonts w:ascii="Times New Roman" w:hAnsi="Times New Roman" w:cs="Times New Roman"/>
          <w:sz w:val="24"/>
          <w:szCs w:val="24"/>
        </w:rPr>
        <w:t>references</w:t>
      </w:r>
      <w:r w:rsidR="00806706" w:rsidRPr="00002E2A">
        <w:rPr>
          <w:rFonts w:ascii="Times New Roman" w:hAnsi="Times New Roman" w:cs="Times New Roman"/>
          <w:sz w:val="24"/>
          <w:szCs w:val="24"/>
        </w:rPr>
        <w:t>,</w:t>
      </w:r>
      <w:r w:rsidRPr="00002E2A">
        <w:rPr>
          <w:rFonts w:ascii="Times New Roman" w:hAnsi="Times New Roman" w:cs="Times New Roman"/>
          <w:sz w:val="24"/>
          <w:szCs w:val="24"/>
        </w:rPr>
        <w:t xml:space="preserve"> and terminology in the FLS Regulations, </w:t>
      </w:r>
      <w:r w:rsidR="00806706" w:rsidRPr="00002E2A">
        <w:rPr>
          <w:rFonts w:ascii="Times New Roman" w:eastAsiaTheme="minorEastAsia" w:hAnsi="Times New Roman" w:cs="Times New Roman"/>
          <w:sz w:val="24"/>
          <w:szCs w:val="24"/>
        </w:rPr>
        <w:t>following the</w:t>
      </w:r>
      <w:r w:rsidRPr="00002E2A">
        <w:rPr>
          <w:rFonts w:ascii="Times New Roman" w:eastAsiaTheme="minorEastAsia" w:hAnsi="Times New Roman" w:cs="Times New Roman"/>
          <w:sz w:val="24"/>
          <w:szCs w:val="24"/>
        </w:rPr>
        <w:t xml:space="preserve"> merger </w:t>
      </w:r>
      <w:r w:rsidR="00806706" w:rsidRPr="00002E2A">
        <w:rPr>
          <w:rFonts w:ascii="Times New Roman" w:eastAsiaTheme="minorEastAsia" w:hAnsi="Times New Roman" w:cs="Times New Roman"/>
          <w:sz w:val="24"/>
          <w:szCs w:val="24"/>
        </w:rPr>
        <w:t xml:space="preserve">of two </w:t>
      </w:r>
      <w:r w:rsidR="009B064C" w:rsidRPr="00002E2A">
        <w:rPr>
          <w:rFonts w:ascii="Times New Roman" w:eastAsiaTheme="minorEastAsia" w:hAnsi="Times New Roman" w:cs="Times New Roman"/>
          <w:sz w:val="24"/>
          <w:szCs w:val="24"/>
        </w:rPr>
        <w:t>superannuation</w:t>
      </w:r>
      <w:r w:rsidR="00806706" w:rsidRPr="00002E2A">
        <w:rPr>
          <w:rFonts w:ascii="Times New Roman" w:eastAsiaTheme="minorEastAsia" w:hAnsi="Times New Roman" w:cs="Times New Roman"/>
          <w:sz w:val="24"/>
          <w:szCs w:val="24"/>
        </w:rPr>
        <w:t xml:space="preserve"> funds,</w:t>
      </w:r>
      <w:r w:rsidRPr="00002E2A">
        <w:rPr>
          <w:rFonts w:ascii="Times New Roman" w:eastAsiaTheme="minorEastAsia" w:hAnsi="Times New Roman" w:cs="Times New Roman"/>
          <w:sz w:val="24"/>
          <w:szCs w:val="24"/>
        </w:rPr>
        <w:t xml:space="preserve"> QSuper and Sunsuper</w:t>
      </w:r>
      <w:r w:rsidR="00BB1D0F" w:rsidRPr="00002E2A">
        <w:rPr>
          <w:rFonts w:ascii="Times New Roman" w:eastAsiaTheme="minorEastAsia" w:hAnsi="Times New Roman" w:cs="Times New Roman"/>
          <w:sz w:val="24"/>
          <w:szCs w:val="24"/>
        </w:rPr>
        <w:t>. The Amendment Instrument</w:t>
      </w:r>
      <w:r w:rsidR="00BA5A88" w:rsidRPr="00002E2A">
        <w:rPr>
          <w:rFonts w:ascii="Times New Roman" w:eastAsiaTheme="minorEastAsia" w:hAnsi="Times New Roman" w:cs="Times New Roman"/>
          <w:sz w:val="24"/>
          <w:szCs w:val="24"/>
        </w:rPr>
        <w:t xml:space="preserve"> also clarifies</w:t>
      </w:r>
      <w:r w:rsidRPr="00002E2A">
        <w:rPr>
          <w:rFonts w:ascii="Times New Roman" w:hAnsi="Times New Roman" w:cs="Times New Roman"/>
          <w:sz w:val="24"/>
          <w:szCs w:val="24"/>
        </w:rPr>
        <w:t xml:space="preserve"> that the Attorney-General has the power to make information determinations for hybrid superannuation funds (with both defined benefit and accumulation components), consistent with existing powers in the FLS Regulations to make information determinations for defined benefit and accumulation funds</w:t>
      </w:r>
      <w:r w:rsidR="00760D91" w:rsidRPr="00002E2A">
        <w:rPr>
          <w:rFonts w:ascii="Times New Roman" w:hAnsi="Times New Roman" w:cs="Times New Roman"/>
          <w:sz w:val="24"/>
          <w:szCs w:val="24"/>
        </w:rPr>
        <w:t xml:space="preserve">. </w:t>
      </w:r>
      <w:r w:rsidR="0049679A" w:rsidRPr="00002E2A">
        <w:rPr>
          <w:rFonts w:ascii="Times New Roman" w:hAnsi="Times New Roman" w:cs="Times New Roman"/>
          <w:sz w:val="24"/>
          <w:szCs w:val="24"/>
        </w:rPr>
        <w:t xml:space="preserve">The Amendment Instrument </w:t>
      </w:r>
      <w:r w:rsidR="00760D91" w:rsidRPr="00002E2A">
        <w:rPr>
          <w:rFonts w:ascii="Times New Roman" w:hAnsi="Times New Roman" w:cs="Times New Roman"/>
          <w:sz w:val="24"/>
          <w:szCs w:val="24"/>
        </w:rPr>
        <w:t xml:space="preserve">also </w:t>
      </w:r>
      <w:r w:rsidR="0049679A" w:rsidRPr="00002E2A">
        <w:rPr>
          <w:rFonts w:ascii="Times New Roman" w:hAnsi="Times New Roman" w:cs="Times New Roman"/>
          <w:sz w:val="24"/>
          <w:szCs w:val="24"/>
        </w:rPr>
        <w:t>amends</w:t>
      </w:r>
      <w:r w:rsidRPr="00002E2A">
        <w:rPr>
          <w:rFonts w:ascii="Times New Roman" w:hAnsi="Times New Roman" w:cs="Times New Roman"/>
          <w:sz w:val="24"/>
          <w:szCs w:val="24"/>
        </w:rPr>
        <w:t xml:space="preserve"> an out-of-date cross-reference and typographical error. </w:t>
      </w:r>
    </w:p>
    <w:p w14:paraId="1068385F" w14:textId="47C888A6" w:rsidR="00570DE9" w:rsidRPr="009B07B6" w:rsidRDefault="00570DE9" w:rsidP="00D81019">
      <w:pPr>
        <w:spacing w:after="0" w:line="240" w:lineRule="auto"/>
        <w:rPr>
          <w:rFonts w:ascii="Times New Roman" w:hAnsi="Times New Roman" w:cs="Times New Roman"/>
          <w:b/>
          <w:iCs/>
          <w:color w:val="000000"/>
          <w:sz w:val="24"/>
          <w:szCs w:val="24"/>
        </w:rPr>
      </w:pPr>
      <w:r w:rsidRPr="009B07B6">
        <w:rPr>
          <w:rFonts w:ascii="Times New Roman" w:hAnsi="Times New Roman" w:cs="Times New Roman"/>
          <w:b/>
          <w:iCs/>
          <w:color w:val="000000"/>
          <w:sz w:val="24"/>
          <w:szCs w:val="24"/>
        </w:rPr>
        <w:t xml:space="preserve">Human rights implications </w:t>
      </w:r>
    </w:p>
    <w:p w14:paraId="027DE0A7" w14:textId="2AC987B7" w:rsidR="00170488" w:rsidRPr="009B07B6" w:rsidRDefault="00170488" w:rsidP="00170488">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rPr>
        <w:t>Schedule 1 engages the following rights:</w:t>
      </w:r>
    </w:p>
    <w:p w14:paraId="32200906" w14:textId="77777777" w:rsidR="00170488" w:rsidRPr="009B07B6" w:rsidRDefault="00170488" w:rsidP="00170488">
      <w:pPr>
        <w:numPr>
          <w:ilvl w:val="0"/>
          <w:numId w:val="22"/>
        </w:numPr>
        <w:shd w:val="clear" w:color="auto" w:fill="FFFFFF"/>
        <w:spacing w:before="240" w:after="0"/>
        <w:contextualSpacing/>
        <w:rPr>
          <w:rFonts w:ascii="Times New Roman" w:eastAsia="Times New Roman" w:hAnsi="Times New Roman" w:cs="Times New Roman"/>
          <w:sz w:val="24"/>
          <w:szCs w:val="24"/>
        </w:rPr>
      </w:pPr>
      <w:r w:rsidRPr="009B07B6">
        <w:rPr>
          <w:rFonts w:ascii="Times New Roman" w:eastAsia="Times New Roman" w:hAnsi="Times New Roman" w:cs="Times New Roman"/>
          <w:sz w:val="24"/>
          <w:szCs w:val="24"/>
        </w:rPr>
        <w:t>the equality of rights and responsibilities of spouses at the dissolution of a marriage or de facto relationship in Article 23(4) of the International Covenant on Civil and Political Rights (ICCPR);</w:t>
      </w:r>
    </w:p>
    <w:p w14:paraId="1206FCAB" w14:textId="77777777" w:rsidR="00170488" w:rsidRPr="009B07B6" w:rsidRDefault="00170488" w:rsidP="00170488">
      <w:pPr>
        <w:numPr>
          <w:ilvl w:val="0"/>
          <w:numId w:val="22"/>
        </w:numPr>
        <w:shd w:val="clear" w:color="auto" w:fill="FFFFFF"/>
        <w:spacing w:before="240" w:after="0"/>
        <w:contextualSpacing/>
        <w:rPr>
          <w:rFonts w:ascii="Times New Roman" w:eastAsia="Times New Roman" w:hAnsi="Times New Roman" w:cs="Times New Roman"/>
          <w:sz w:val="24"/>
          <w:szCs w:val="24"/>
        </w:rPr>
      </w:pPr>
      <w:r w:rsidRPr="009B07B6">
        <w:rPr>
          <w:rFonts w:ascii="Times New Roman" w:eastAsia="Times New Roman" w:hAnsi="Times New Roman" w:cs="Times New Roman"/>
          <w:sz w:val="24"/>
          <w:szCs w:val="24"/>
        </w:rPr>
        <w:t>the obligation to ensure the same rights for both spouses in respect of the ownership, acquisition, management, administration, enjoyment and disposition of property in Article 16 of the Convention on the Elimination of All Forms of Discrimination Against Women (CEDAW); </w:t>
      </w:r>
    </w:p>
    <w:p w14:paraId="3117F7EA" w14:textId="77777777" w:rsidR="00170488" w:rsidRPr="009B07B6" w:rsidRDefault="00170488" w:rsidP="00170488">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rPr>
        <w:t xml:space="preserve">Article 23(4) of the ICCPR states that ‘States Parties to the present Covenant shall take appropriate steps to ensure equality of rights and responsibilities of spouses as to marriage, during marriage and at its dissolution.’ </w:t>
      </w:r>
    </w:p>
    <w:p w14:paraId="7F8E8849" w14:textId="77777777" w:rsidR="00170488" w:rsidRPr="009B07B6" w:rsidRDefault="00170488" w:rsidP="00170488">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rPr>
        <w:t>Article 16 of CEDAW asserts the same rights should exist for both spouses in respect of the ownership, acquisition, management, administration, enjoyment and disposition of property, whether free of charge or for a valuable consideration.</w:t>
      </w:r>
    </w:p>
    <w:p w14:paraId="1A0F4A87" w14:textId="77777777" w:rsidR="00170488" w:rsidRPr="009B07B6" w:rsidRDefault="00170488" w:rsidP="00170488">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rPr>
        <w:lastRenderedPageBreak/>
        <w:t>Schedule 1 promotes these rights by providing certainty to separating couples, courts and trustees about the division of superannuation after a relationship breaks down. This will ensure superannuation interests affected by the amendments can be accurately valued and divided in accordance with the law under Part VIIIB of the Family Law Act. This promotes the just and equitable division of property between spouses, and the timely resolution of property disputes about separating spouses’ respective rights of ownership of property of the relationship.</w:t>
      </w:r>
    </w:p>
    <w:p w14:paraId="57AACB6C" w14:textId="77777777" w:rsidR="00170488" w:rsidRPr="009B07B6" w:rsidRDefault="00170488" w:rsidP="00170488">
      <w:pPr>
        <w:shd w:val="clear" w:color="auto" w:fill="FFFFFF"/>
        <w:spacing w:before="240"/>
        <w:rPr>
          <w:rFonts w:ascii="Times New Roman" w:hAnsi="Times New Roman" w:cs="Times New Roman"/>
          <w:sz w:val="24"/>
          <w:szCs w:val="24"/>
          <w:lang w:eastAsia="en-AU"/>
        </w:rPr>
      </w:pPr>
      <w:r w:rsidRPr="009B07B6">
        <w:rPr>
          <w:rFonts w:ascii="Times New Roman" w:hAnsi="Times New Roman" w:cs="Times New Roman"/>
          <w:b/>
          <w:bCs/>
          <w:sz w:val="24"/>
          <w:szCs w:val="24"/>
          <w:lang w:eastAsia="en-AU"/>
        </w:rPr>
        <w:t>Conclusion</w:t>
      </w:r>
    </w:p>
    <w:p w14:paraId="0CED8C56" w14:textId="77777777" w:rsidR="006A5DBF" w:rsidRPr="009B07B6" w:rsidRDefault="00170488" w:rsidP="007400F6">
      <w:pPr>
        <w:shd w:val="clear" w:color="auto" w:fill="FFFFFF"/>
        <w:spacing w:before="240"/>
        <w:rPr>
          <w:rFonts w:ascii="Times New Roman" w:hAnsi="Times New Roman" w:cs="Times New Roman"/>
          <w:sz w:val="24"/>
          <w:szCs w:val="24"/>
        </w:rPr>
      </w:pPr>
      <w:r w:rsidRPr="009B07B6">
        <w:rPr>
          <w:rFonts w:ascii="Times New Roman" w:hAnsi="Times New Roman" w:cs="Times New Roman"/>
          <w:sz w:val="24"/>
          <w:szCs w:val="24"/>
          <w:lang w:eastAsia="en-AU"/>
        </w:rPr>
        <w:t>The Amendment Instrument is compatible with human rights freedoms because it advances the protection of human rights.</w:t>
      </w:r>
      <w:r w:rsidRPr="009B07B6">
        <w:rPr>
          <w:rFonts w:ascii="Times New Roman" w:hAnsi="Times New Roman" w:cs="Times New Roman"/>
          <w:sz w:val="24"/>
          <w:szCs w:val="24"/>
        </w:rPr>
        <w:t> </w:t>
      </w:r>
    </w:p>
    <w:p w14:paraId="2D8CAADA" w14:textId="47042077" w:rsidR="007F0526" w:rsidRPr="009B07B6" w:rsidRDefault="007F0526" w:rsidP="00D81019">
      <w:pPr>
        <w:rPr>
          <w:rFonts w:ascii="Times New Roman" w:hAnsi="Times New Roman" w:cs="Times New Roman"/>
          <w:b/>
          <w:sz w:val="24"/>
          <w:szCs w:val="24"/>
        </w:rPr>
      </w:pPr>
    </w:p>
    <w:p w14:paraId="2DFC7333" w14:textId="77777777" w:rsidR="00570DE9" w:rsidRPr="009B07B6" w:rsidRDefault="00570DE9">
      <w:pPr>
        <w:rPr>
          <w:rFonts w:ascii="Times New Roman" w:hAnsi="Times New Roman" w:cs="Times New Roman"/>
          <w:b/>
          <w:sz w:val="24"/>
          <w:szCs w:val="24"/>
        </w:rPr>
      </w:pPr>
      <w:r w:rsidRPr="009B07B6">
        <w:rPr>
          <w:rFonts w:ascii="Times New Roman" w:hAnsi="Times New Roman" w:cs="Times New Roman"/>
          <w:b/>
          <w:sz w:val="24"/>
          <w:szCs w:val="24"/>
        </w:rPr>
        <w:br w:type="page"/>
      </w:r>
    </w:p>
    <w:p w14:paraId="76F1D9CD" w14:textId="00C20312" w:rsidR="00570DE9" w:rsidRPr="009B07B6" w:rsidRDefault="00570DE9" w:rsidP="003C3090">
      <w:pPr>
        <w:jc w:val="right"/>
        <w:rPr>
          <w:rFonts w:ascii="Times New Roman" w:hAnsi="Times New Roman" w:cs="Times New Roman"/>
          <w:b/>
          <w:sz w:val="24"/>
          <w:szCs w:val="24"/>
        </w:rPr>
      </w:pPr>
      <w:r w:rsidRPr="009B07B6">
        <w:rPr>
          <w:rFonts w:ascii="Times New Roman" w:hAnsi="Times New Roman" w:cs="Times New Roman"/>
          <w:b/>
          <w:sz w:val="24"/>
          <w:szCs w:val="24"/>
        </w:rPr>
        <w:lastRenderedPageBreak/>
        <w:t>Attachment B</w:t>
      </w:r>
    </w:p>
    <w:p w14:paraId="382BA6C8" w14:textId="50119C8B" w:rsidR="00570DE9" w:rsidRPr="009B07B6" w:rsidRDefault="00570DE9" w:rsidP="00532925">
      <w:pPr>
        <w:rPr>
          <w:rFonts w:ascii="Times New Roman" w:hAnsi="Times New Roman" w:cs="Times New Roman"/>
          <w:b/>
          <w:sz w:val="24"/>
          <w:szCs w:val="24"/>
        </w:rPr>
      </w:pPr>
      <w:r w:rsidRPr="009B07B6">
        <w:rPr>
          <w:rFonts w:ascii="Times New Roman" w:hAnsi="Times New Roman" w:cs="Times New Roman"/>
          <w:b/>
          <w:sz w:val="24"/>
          <w:szCs w:val="24"/>
        </w:rPr>
        <w:t>Details of the Family Law (Superannuation) Amendment (2022 Measures No. 1) Regulations 2022</w:t>
      </w:r>
    </w:p>
    <w:p w14:paraId="27FBF7E8" w14:textId="11139AF0" w:rsidR="0080296A" w:rsidRPr="009B07B6" w:rsidRDefault="00DE3176" w:rsidP="00532925">
      <w:pPr>
        <w:rPr>
          <w:rFonts w:ascii="Times New Roman" w:hAnsi="Times New Roman" w:cs="Times New Roman"/>
          <w:sz w:val="24"/>
          <w:szCs w:val="24"/>
          <w:u w:val="single"/>
        </w:rPr>
      </w:pPr>
      <w:r w:rsidRPr="009B07B6">
        <w:rPr>
          <w:rFonts w:ascii="Times New Roman" w:hAnsi="Times New Roman" w:cs="Times New Roman"/>
          <w:sz w:val="24"/>
          <w:szCs w:val="24"/>
          <w:u w:val="single"/>
        </w:rPr>
        <w:t>Section 1 – Name</w:t>
      </w:r>
      <w:r w:rsidR="005A281A" w:rsidRPr="009B07B6">
        <w:rPr>
          <w:rFonts w:ascii="Times New Roman" w:hAnsi="Times New Roman" w:cs="Times New Roman"/>
          <w:sz w:val="24"/>
          <w:szCs w:val="24"/>
          <w:u w:val="single"/>
        </w:rPr>
        <w:t xml:space="preserve"> </w:t>
      </w:r>
    </w:p>
    <w:p w14:paraId="08623635" w14:textId="37068DB1" w:rsidR="0080296A" w:rsidRPr="009B07B6" w:rsidRDefault="005A281A" w:rsidP="00532925">
      <w:pPr>
        <w:spacing w:after="0"/>
        <w:ind w:right="91"/>
        <w:rPr>
          <w:rFonts w:ascii="Times New Roman" w:eastAsia="Times New Roman" w:hAnsi="Times New Roman" w:cs="Times New Roman"/>
          <w:sz w:val="24"/>
          <w:szCs w:val="24"/>
          <w:lang w:eastAsia="en-AU"/>
        </w:rPr>
      </w:pPr>
      <w:r w:rsidRPr="009B07B6">
        <w:rPr>
          <w:rFonts w:ascii="Times New Roman" w:eastAsia="Times New Roman" w:hAnsi="Times New Roman" w:cs="Times New Roman"/>
          <w:sz w:val="24"/>
          <w:szCs w:val="24"/>
          <w:lang w:eastAsia="en-AU"/>
        </w:rPr>
        <w:t>Section 1 provides that the name</w:t>
      </w:r>
      <w:r w:rsidR="0080296A" w:rsidRPr="009B07B6">
        <w:rPr>
          <w:rFonts w:ascii="Times New Roman" w:eastAsia="Times New Roman" w:hAnsi="Times New Roman" w:cs="Times New Roman"/>
          <w:sz w:val="24"/>
          <w:szCs w:val="24"/>
          <w:lang w:eastAsia="en-AU"/>
        </w:rPr>
        <w:t xml:space="preserve"> of the </w:t>
      </w:r>
      <w:r w:rsidR="001722CB" w:rsidRPr="009B07B6">
        <w:rPr>
          <w:rFonts w:ascii="Times New Roman" w:eastAsia="Times New Roman" w:hAnsi="Times New Roman" w:cs="Times New Roman"/>
          <w:sz w:val="24"/>
          <w:szCs w:val="24"/>
          <w:lang w:eastAsia="en-AU"/>
        </w:rPr>
        <w:t xml:space="preserve">Amendment Instrument </w:t>
      </w:r>
      <w:r w:rsidR="0080296A" w:rsidRPr="009B07B6">
        <w:rPr>
          <w:rFonts w:ascii="Times New Roman" w:eastAsia="Times New Roman" w:hAnsi="Times New Roman" w:cs="Times New Roman"/>
          <w:sz w:val="24"/>
          <w:szCs w:val="24"/>
          <w:lang w:eastAsia="en-AU"/>
        </w:rPr>
        <w:t xml:space="preserve">is </w:t>
      </w:r>
      <w:r w:rsidR="0090161C" w:rsidRPr="009B07B6">
        <w:rPr>
          <w:rFonts w:ascii="Times New Roman" w:eastAsia="Times New Roman" w:hAnsi="Times New Roman" w:cs="Times New Roman"/>
          <w:sz w:val="24"/>
          <w:szCs w:val="24"/>
          <w:lang w:eastAsia="en-AU"/>
        </w:rPr>
        <w:t xml:space="preserve">the </w:t>
      </w:r>
      <w:r w:rsidR="0090161C" w:rsidRPr="009B07B6">
        <w:rPr>
          <w:rFonts w:ascii="Times New Roman" w:hAnsi="Times New Roman" w:cs="Times New Roman"/>
          <w:sz w:val="24"/>
          <w:szCs w:val="24"/>
        </w:rPr>
        <w:t>Family Law (Superannuation) Amendment (2022 Measures No. 1) Regulations 2022.</w:t>
      </w:r>
    </w:p>
    <w:p w14:paraId="3AC64833" w14:textId="77777777" w:rsidR="0080296A" w:rsidRPr="009B07B6" w:rsidRDefault="0080296A" w:rsidP="00532925">
      <w:pPr>
        <w:spacing w:after="0"/>
        <w:ind w:right="91"/>
        <w:rPr>
          <w:rFonts w:ascii="Times New Roman" w:eastAsia="Times New Roman" w:hAnsi="Times New Roman" w:cs="Times New Roman"/>
          <w:sz w:val="24"/>
          <w:szCs w:val="24"/>
          <w:lang w:eastAsia="en-AU"/>
        </w:rPr>
      </w:pPr>
    </w:p>
    <w:p w14:paraId="63CCA82A" w14:textId="77777777" w:rsidR="0080296A" w:rsidRPr="009B07B6" w:rsidRDefault="0080296A" w:rsidP="00532925">
      <w:pPr>
        <w:spacing w:after="0"/>
        <w:ind w:right="91"/>
        <w:rPr>
          <w:rFonts w:ascii="Times New Roman" w:eastAsia="Times New Roman" w:hAnsi="Times New Roman" w:cs="Times New Roman"/>
          <w:sz w:val="24"/>
          <w:szCs w:val="24"/>
          <w:u w:val="single"/>
          <w:lang w:eastAsia="en-AU"/>
        </w:rPr>
      </w:pPr>
      <w:r w:rsidRPr="009B07B6">
        <w:rPr>
          <w:rFonts w:ascii="Times New Roman" w:eastAsia="Times New Roman" w:hAnsi="Times New Roman" w:cs="Times New Roman"/>
          <w:sz w:val="24"/>
          <w:szCs w:val="24"/>
          <w:u w:val="single"/>
          <w:lang w:eastAsia="en-AU"/>
        </w:rPr>
        <w:t>Section 2 - Commencement</w:t>
      </w:r>
    </w:p>
    <w:p w14:paraId="3D5C32B8" w14:textId="77777777" w:rsidR="0080296A" w:rsidRPr="009B07B6" w:rsidRDefault="0080296A" w:rsidP="00532925">
      <w:pPr>
        <w:spacing w:after="0"/>
        <w:ind w:right="91"/>
        <w:rPr>
          <w:rFonts w:ascii="Times New Roman" w:eastAsia="Times New Roman" w:hAnsi="Times New Roman" w:cs="Times New Roman"/>
          <w:sz w:val="24"/>
          <w:szCs w:val="24"/>
          <w:lang w:eastAsia="en-AU"/>
        </w:rPr>
      </w:pPr>
    </w:p>
    <w:p w14:paraId="1512800F" w14:textId="0457B9A7" w:rsidR="0080296A" w:rsidRPr="009B07B6" w:rsidRDefault="005A281A" w:rsidP="00532925">
      <w:pPr>
        <w:spacing w:after="0"/>
        <w:ind w:right="91"/>
        <w:rPr>
          <w:rFonts w:ascii="Times New Roman" w:eastAsia="Times New Roman" w:hAnsi="Times New Roman" w:cs="Times New Roman"/>
          <w:color w:val="FF0000"/>
          <w:sz w:val="24"/>
          <w:szCs w:val="24"/>
          <w:lang w:eastAsia="en-AU"/>
        </w:rPr>
      </w:pPr>
      <w:bookmarkStart w:id="1" w:name="_GoBack"/>
      <w:r w:rsidRPr="009B07B6">
        <w:rPr>
          <w:rFonts w:ascii="Times New Roman" w:eastAsia="Times New Roman" w:hAnsi="Times New Roman" w:cs="Times New Roman"/>
          <w:sz w:val="24"/>
          <w:szCs w:val="24"/>
          <w:lang w:eastAsia="en-AU"/>
        </w:rPr>
        <w:t>Section 2</w:t>
      </w:r>
      <w:r w:rsidR="0080296A" w:rsidRPr="009B07B6">
        <w:rPr>
          <w:rFonts w:ascii="Times New Roman" w:eastAsia="Times New Roman" w:hAnsi="Times New Roman" w:cs="Times New Roman"/>
          <w:sz w:val="24"/>
          <w:szCs w:val="24"/>
          <w:lang w:eastAsia="en-AU"/>
        </w:rPr>
        <w:t xml:space="preserve"> provide</w:t>
      </w:r>
      <w:r w:rsidRPr="009B07B6">
        <w:rPr>
          <w:rFonts w:ascii="Times New Roman" w:eastAsia="Times New Roman" w:hAnsi="Times New Roman" w:cs="Times New Roman"/>
          <w:sz w:val="24"/>
          <w:szCs w:val="24"/>
          <w:lang w:eastAsia="en-AU"/>
        </w:rPr>
        <w:t>s that</w:t>
      </w:r>
      <w:r w:rsidR="0080296A" w:rsidRPr="009B07B6">
        <w:rPr>
          <w:rFonts w:ascii="Times New Roman" w:eastAsia="Times New Roman" w:hAnsi="Times New Roman" w:cs="Times New Roman"/>
          <w:sz w:val="24"/>
          <w:szCs w:val="24"/>
          <w:lang w:eastAsia="en-AU"/>
        </w:rPr>
        <w:t xml:space="preserve"> Part 1 of Schedule 1 of the Amendment </w:t>
      </w:r>
      <w:r w:rsidR="001722CB" w:rsidRPr="009B07B6">
        <w:rPr>
          <w:rFonts w:ascii="Times New Roman" w:eastAsia="Times New Roman" w:hAnsi="Times New Roman" w:cs="Times New Roman"/>
          <w:sz w:val="24"/>
          <w:szCs w:val="24"/>
          <w:lang w:eastAsia="en-AU"/>
        </w:rPr>
        <w:t xml:space="preserve">Instrument </w:t>
      </w:r>
      <w:r w:rsidRPr="009B07B6">
        <w:rPr>
          <w:rFonts w:ascii="Times New Roman" w:eastAsia="Times New Roman" w:hAnsi="Times New Roman" w:cs="Times New Roman"/>
          <w:sz w:val="24"/>
          <w:szCs w:val="24"/>
          <w:lang w:eastAsia="en-AU"/>
        </w:rPr>
        <w:t xml:space="preserve">is </w:t>
      </w:r>
      <w:r w:rsidR="0080296A" w:rsidRPr="009B07B6">
        <w:rPr>
          <w:rFonts w:ascii="Times New Roman" w:eastAsia="Times New Roman" w:hAnsi="Times New Roman" w:cs="Times New Roman"/>
          <w:sz w:val="24"/>
          <w:szCs w:val="24"/>
          <w:lang w:eastAsia="en-AU"/>
        </w:rPr>
        <w:t>to commence on the day after registration</w:t>
      </w:r>
      <w:r w:rsidRPr="009B07B6">
        <w:rPr>
          <w:rFonts w:ascii="Times New Roman" w:eastAsia="Times New Roman" w:hAnsi="Times New Roman" w:cs="Times New Roman"/>
          <w:sz w:val="24"/>
          <w:szCs w:val="24"/>
          <w:lang w:eastAsia="en-AU"/>
        </w:rPr>
        <w:t xml:space="preserve"> of the instrument</w:t>
      </w:r>
      <w:r w:rsidR="0080296A" w:rsidRPr="009B07B6">
        <w:rPr>
          <w:rFonts w:ascii="Times New Roman" w:eastAsia="Times New Roman" w:hAnsi="Times New Roman" w:cs="Times New Roman"/>
          <w:sz w:val="24"/>
          <w:szCs w:val="24"/>
          <w:lang w:eastAsia="en-AU"/>
        </w:rPr>
        <w:t xml:space="preserve"> and </w:t>
      </w:r>
      <w:r w:rsidRPr="009B07B6">
        <w:rPr>
          <w:rFonts w:ascii="Times New Roman" w:eastAsia="Times New Roman" w:hAnsi="Times New Roman" w:cs="Times New Roman"/>
          <w:sz w:val="24"/>
          <w:szCs w:val="24"/>
          <w:lang w:eastAsia="en-AU"/>
        </w:rPr>
        <w:t>that</w:t>
      </w:r>
      <w:r w:rsidR="0080296A" w:rsidRPr="009B07B6">
        <w:rPr>
          <w:rFonts w:ascii="Times New Roman" w:eastAsia="Times New Roman" w:hAnsi="Times New Roman" w:cs="Times New Roman"/>
          <w:sz w:val="24"/>
          <w:szCs w:val="24"/>
          <w:lang w:eastAsia="en-AU"/>
        </w:rPr>
        <w:t xml:space="preserve"> Part </w:t>
      </w:r>
      <w:r w:rsidRPr="009B07B6">
        <w:rPr>
          <w:rFonts w:ascii="Times New Roman" w:eastAsia="Times New Roman" w:hAnsi="Times New Roman" w:cs="Times New Roman"/>
          <w:sz w:val="24"/>
          <w:szCs w:val="24"/>
          <w:lang w:eastAsia="en-AU"/>
        </w:rPr>
        <w:t>2</w:t>
      </w:r>
      <w:r w:rsidR="0080296A" w:rsidRPr="009B07B6">
        <w:rPr>
          <w:rFonts w:ascii="Times New Roman" w:eastAsia="Times New Roman" w:hAnsi="Times New Roman" w:cs="Times New Roman"/>
          <w:sz w:val="24"/>
          <w:szCs w:val="24"/>
          <w:lang w:eastAsia="en-AU"/>
        </w:rPr>
        <w:t xml:space="preserve"> of Schedule 1 of the Amendment Regulations </w:t>
      </w:r>
      <w:r w:rsidRPr="009B07B6">
        <w:rPr>
          <w:rFonts w:ascii="Times New Roman" w:eastAsia="Times New Roman" w:hAnsi="Times New Roman" w:cs="Times New Roman"/>
          <w:sz w:val="24"/>
          <w:szCs w:val="24"/>
          <w:lang w:eastAsia="en-AU"/>
        </w:rPr>
        <w:t xml:space="preserve">is </w:t>
      </w:r>
      <w:r w:rsidR="0080296A" w:rsidRPr="009B07B6">
        <w:rPr>
          <w:rFonts w:ascii="Times New Roman" w:eastAsia="Times New Roman" w:hAnsi="Times New Roman" w:cs="Times New Roman"/>
          <w:sz w:val="24"/>
          <w:szCs w:val="24"/>
          <w:lang w:eastAsia="en-AU"/>
        </w:rPr>
        <w:t>to commence on 28 December 20</w:t>
      </w:r>
      <w:r w:rsidRPr="009B07B6">
        <w:rPr>
          <w:rFonts w:ascii="Times New Roman" w:eastAsia="Times New Roman" w:hAnsi="Times New Roman" w:cs="Times New Roman"/>
          <w:sz w:val="24"/>
          <w:szCs w:val="24"/>
          <w:lang w:eastAsia="en-AU"/>
        </w:rPr>
        <w:t>0</w:t>
      </w:r>
      <w:r w:rsidR="0080296A" w:rsidRPr="009B07B6">
        <w:rPr>
          <w:rFonts w:ascii="Times New Roman" w:eastAsia="Times New Roman" w:hAnsi="Times New Roman" w:cs="Times New Roman"/>
          <w:sz w:val="24"/>
          <w:szCs w:val="24"/>
          <w:lang w:eastAsia="en-AU"/>
        </w:rPr>
        <w:t xml:space="preserve">2. </w:t>
      </w:r>
      <w:bookmarkEnd w:id="1"/>
      <w:r w:rsidR="001470C3" w:rsidRPr="009B07B6">
        <w:rPr>
          <w:rFonts w:ascii="Times New Roman" w:hAnsi="Times New Roman" w:cs="Times New Roman"/>
          <w:sz w:val="24"/>
          <w:szCs w:val="24"/>
        </w:rPr>
        <w:t>Part 2 of Schedule 1 operates retrospectively to provide legislative certainty for any information determinations for hybrid funds which have already been made.</w:t>
      </w:r>
    </w:p>
    <w:p w14:paraId="01C7704E" w14:textId="77777777" w:rsidR="0080296A" w:rsidRPr="009B07B6" w:rsidRDefault="0080296A" w:rsidP="00532925">
      <w:pPr>
        <w:spacing w:after="0"/>
        <w:ind w:right="91"/>
        <w:rPr>
          <w:rFonts w:ascii="Times New Roman" w:eastAsia="Times New Roman" w:hAnsi="Times New Roman" w:cs="Times New Roman"/>
          <w:sz w:val="24"/>
          <w:szCs w:val="24"/>
          <w:lang w:eastAsia="en-AU"/>
        </w:rPr>
      </w:pPr>
    </w:p>
    <w:p w14:paraId="5B2C244B" w14:textId="77777777" w:rsidR="0080296A" w:rsidRPr="009B07B6" w:rsidRDefault="0080296A" w:rsidP="00532925">
      <w:pPr>
        <w:spacing w:after="0"/>
        <w:ind w:right="91"/>
        <w:rPr>
          <w:rFonts w:ascii="Times New Roman" w:eastAsia="Times New Roman" w:hAnsi="Times New Roman" w:cs="Times New Roman"/>
          <w:sz w:val="24"/>
          <w:szCs w:val="24"/>
          <w:u w:val="single"/>
          <w:lang w:eastAsia="en-AU"/>
        </w:rPr>
      </w:pPr>
      <w:r w:rsidRPr="009B07B6">
        <w:rPr>
          <w:rFonts w:ascii="Times New Roman" w:eastAsia="Times New Roman" w:hAnsi="Times New Roman" w:cs="Times New Roman"/>
          <w:sz w:val="24"/>
          <w:szCs w:val="24"/>
          <w:u w:val="single"/>
          <w:lang w:eastAsia="en-AU"/>
        </w:rPr>
        <w:t>Section 3 - Authority</w:t>
      </w:r>
    </w:p>
    <w:p w14:paraId="477947C9" w14:textId="77777777" w:rsidR="0080296A" w:rsidRPr="009B07B6" w:rsidRDefault="0080296A" w:rsidP="00532925">
      <w:pPr>
        <w:spacing w:after="0"/>
        <w:ind w:right="91"/>
        <w:rPr>
          <w:rFonts w:ascii="Times New Roman" w:eastAsia="Times New Roman" w:hAnsi="Times New Roman" w:cs="Times New Roman"/>
          <w:sz w:val="24"/>
          <w:szCs w:val="24"/>
          <w:lang w:eastAsia="en-AU"/>
        </w:rPr>
      </w:pPr>
    </w:p>
    <w:p w14:paraId="12C3C223" w14:textId="1D62CC8F" w:rsidR="0080296A" w:rsidRPr="009B07B6" w:rsidRDefault="005A281A" w:rsidP="00532925">
      <w:pPr>
        <w:spacing w:after="0"/>
        <w:ind w:right="91"/>
        <w:rPr>
          <w:rFonts w:ascii="Times New Roman" w:eastAsia="Times New Roman" w:hAnsi="Times New Roman" w:cs="Times New Roman"/>
          <w:sz w:val="24"/>
          <w:szCs w:val="24"/>
          <w:lang w:eastAsia="en-AU"/>
        </w:rPr>
      </w:pPr>
      <w:r w:rsidRPr="009B07B6">
        <w:rPr>
          <w:rFonts w:ascii="Times New Roman" w:eastAsia="Times New Roman" w:hAnsi="Times New Roman" w:cs="Times New Roman"/>
          <w:sz w:val="24"/>
          <w:szCs w:val="24"/>
          <w:lang w:eastAsia="en-AU"/>
        </w:rPr>
        <w:t>Section 3</w:t>
      </w:r>
      <w:r w:rsidR="0080296A" w:rsidRPr="009B07B6">
        <w:rPr>
          <w:rFonts w:ascii="Times New Roman" w:eastAsia="Times New Roman" w:hAnsi="Times New Roman" w:cs="Times New Roman"/>
          <w:sz w:val="24"/>
          <w:szCs w:val="24"/>
          <w:lang w:eastAsia="en-AU"/>
        </w:rPr>
        <w:t xml:space="preserve"> provide</w:t>
      </w:r>
      <w:r w:rsidRPr="009B07B6">
        <w:rPr>
          <w:rFonts w:ascii="Times New Roman" w:eastAsia="Times New Roman" w:hAnsi="Times New Roman" w:cs="Times New Roman"/>
          <w:sz w:val="24"/>
          <w:szCs w:val="24"/>
          <w:lang w:eastAsia="en-AU"/>
        </w:rPr>
        <w:t>s</w:t>
      </w:r>
      <w:r w:rsidR="0080296A" w:rsidRPr="009B07B6">
        <w:rPr>
          <w:rFonts w:ascii="Times New Roman" w:eastAsia="Times New Roman" w:hAnsi="Times New Roman" w:cs="Times New Roman"/>
          <w:sz w:val="24"/>
          <w:szCs w:val="24"/>
          <w:lang w:eastAsia="en-AU"/>
        </w:rPr>
        <w:t xml:space="preserve"> that the </w:t>
      </w:r>
      <w:r w:rsidR="0090161C" w:rsidRPr="009B07B6">
        <w:rPr>
          <w:rFonts w:ascii="Times New Roman" w:hAnsi="Times New Roman" w:cs="Times New Roman"/>
          <w:sz w:val="24"/>
          <w:szCs w:val="24"/>
        </w:rPr>
        <w:t xml:space="preserve">Family Law (Superannuation) Amendment (2022 Measures No. 1) Regulations 2022 </w:t>
      </w:r>
      <w:r w:rsidR="0090161C" w:rsidRPr="009B07B6">
        <w:rPr>
          <w:rFonts w:ascii="Times New Roman" w:eastAsia="Times New Roman" w:hAnsi="Times New Roman" w:cs="Times New Roman"/>
          <w:sz w:val="24"/>
          <w:szCs w:val="24"/>
          <w:lang w:eastAsia="en-AU"/>
        </w:rPr>
        <w:t>i</w:t>
      </w:r>
      <w:r w:rsidR="0080296A" w:rsidRPr="009B07B6">
        <w:rPr>
          <w:rFonts w:ascii="Times New Roman" w:eastAsia="Times New Roman" w:hAnsi="Times New Roman" w:cs="Times New Roman"/>
          <w:sz w:val="24"/>
          <w:szCs w:val="24"/>
          <w:lang w:eastAsia="en-AU"/>
        </w:rPr>
        <w:t xml:space="preserve">s made under the </w:t>
      </w:r>
      <w:r w:rsidR="0080296A" w:rsidRPr="009B07B6">
        <w:rPr>
          <w:rFonts w:ascii="Times New Roman" w:eastAsia="Times New Roman" w:hAnsi="Times New Roman" w:cs="Times New Roman"/>
          <w:i/>
          <w:sz w:val="24"/>
          <w:szCs w:val="24"/>
          <w:lang w:eastAsia="en-AU"/>
        </w:rPr>
        <w:t>Family Law Act 1975</w:t>
      </w:r>
      <w:r w:rsidR="0080296A" w:rsidRPr="009B07B6">
        <w:rPr>
          <w:rFonts w:ascii="Times New Roman" w:eastAsia="Times New Roman" w:hAnsi="Times New Roman" w:cs="Times New Roman"/>
          <w:sz w:val="24"/>
          <w:szCs w:val="24"/>
          <w:lang w:eastAsia="en-AU"/>
        </w:rPr>
        <w:t>.</w:t>
      </w:r>
    </w:p>
    <w:p w14:paraId="3C0CC168" w14:textId="77777777" w:rsidR="005A281A" w:rsidRPr="009B07B6" w:rsidRDefault="005A281A" w:rsidP="00532925">
      <w:pPr>
        <w:spacing w:after="0"/>
        <w:ind w:right="91"/>
        <w:rPr>
          <w:rFonts w:ascii="Times New Roman" w:eastAsia="Times New Roman" w:hAnsi="Times New Roman" w:cs="Times New Roman"/>
          <w:sz w:val="24"/>
          <w:szCs w:val="24"/>
          <w:lang w:eastAsia="en-AU"/>
        </w:rPr>
      </w:pPr>
    </w:p>
    <w:p w14:paraId="1D7BC8BB" w14:textId="678A6E7C" w:rsidR="005A281A" w:rsidRPr="009B07B6" w:rsidRDefault="005A281A" w:rsidP="00532925">
      <w:pPr>
        <w:keepNext/>
        <w:spacing w:after="0"/>
        <w:ind w:right="748"/>
        <w:rPr>
          <w:rFonts w:ascii="Times New Roman" w:eastAsia="Times New Roman" w:hAnsi="Times New Roman" w:cs="Times New Roman"/>
          <w:sz w:val="24"/>
          <w:szCs w:val="24"/>
          <w:u w:val="single"/>
          <w:lang w:eastAsia="en-AU"/>
        </w:rPr>
      </w:pPr>
      <w:r w:rsidRPr="009B07B6">
        <w:rPr>
          <w:rFonts w:ascii="Times New Roman" w:eastAsia="Times New Roman" w:hAnsi="Times New Roman" w:cs="Times New Roman"/>
          <w:sz w:val="24"/>
          <w:szCs w:val="24"/>
          <w:u w:val="single"/>
          <w:lang w:eastAsia="en-AU"/>
        </w:rPr>
        <w:t>Section 4 – Schedule</w:t>
      </w:r>
      <w:r w:rsidR="00BA17FB">
        <w:rPr>
          <w:rFonts w:ascii="Times New Roman" w:eastAsia="Times New Roman" w:hAnsi="Times New Roman" w:cs="Times New Roman"/>
          <w:sz w:val="24"/>
          <w:szCs w:val="24"/>
          <w:u w:val="single"/>
          <w:lang w:eastAsia="en-AU"/>
        </w:rPr>
        <w:t>s</w:t>
      </w:r>
      <w:r w:rsidRPr="009B07B6">
        <w:rPr>
          <w:rFonts w:ascii="Times New Roman" w:eastAsia="Times New Roman" w:hAnsi="Times New Roman" w:cs="Times New Roman"/>
          <w:sz w:val="24"/>
          <w:szCs w:val="24"/>
          <w:u w:val="single"/>
          <w:lang w:eastAsia="en-AU"/>
        </w:rPr>
        <w:t xml:space="preserve"> </w:t>
      </w:r>
    </w:p>
    <w:p w14:paraId="3068BB13" w14:textId="52E76808" w:rsidR="005A281A" w:rsidRPr="009B07B6" w:rsidRDefault="005A281A" w:rsidP="00532925">
      <w:pPr>
        <w:keepNext/>
        <w:spacing w:after="0"/>
        <w:ind w:right="748"/>
        <w:rPr>
          <w:rFonts w:ascii="Times New Roman" w:eastAsia="Times New Roman" w:hAnsi="Times New Roman" w:cs="Times New Roman"/>
          <w:sz w:val="24"/>
          <w:szCs w:val="24"/>
          <w:lang w:eastAsia="en-AU"/>
        </w:rPr>
      </w:pPr>
    </w:p>
    <w:p w14:paraId="76B05F95" w14:textId="647A39D6" w:rsidR="009A165A" w:rsidRPr="009B07B6" w:rsidRDefault="005A281A" w:rsidP="00532925">
      <w:pPr>
        <w:keepNext/>
        <w:spacing w:after="0"/>
        <w:ind w:right="748"/>
        <w:rPr>
          <w:rFonts w:ascii="Times New Roman" w:eastAsia="Times New Roman" w:hAnsi="Times New Roman" w:cs="Times New Roman"/>
          <w:sz w:val="24"/>
          <w:szCs w:val="24"/>
          <w:lang w:eastAsia="en-AU"/>
        </w:rPr>
      </w:pPr>
      <w:r w:rsidRPr="009B07B6">
        <w:rPr>
          <w:rFonts w:ascii="Times New Roman" w:eastAsia="Times New Roman" w:hAnsi="Times New Roman" w:cs="Times New Roman"/>
          <w:sz w:val="24"/>
          <w:szCs w:val="24"/>
          <w:lang w:eastAsia="en-AU"/>
        </w:rPr>
        <w:t xml:space="preserve">Section 4 is a technical provision which provides that each instrument </w:t>
      </w:r>
      <w:r w:rsidR="0080296A" w:rsidRPr="009B07B6">
        <w:rPr>
          <w:rFonts w:ascii="Times New Roman" w:eastAsia="Times New Roman" w:hAnsi="Times New Roman" w:cs="Times New Roman"/>
          <w:sz w:val="24"/>
          <w:szCs w:val="24"/>
          <w:lang w:eastAsia="en-AU"/>
        </w:rPr>
        <w:t>that is specified in a Schedule to this instrument is amended or repealed as set out in the applicable items in the Schedule concerned, and any other item in a Schedule to this instrument has effect according to its terms.</w:t>
      </w:r>
    </w:p>
    <w:p w14:paraId="4009AB99" w14:textId="77777777" w:rsidR="00D3204B" w:rsidRPr="009B07B6" w:rsidRDefault="00D3204B" w:rsidP="00532925">
      <w:pPr>
        <w:keepNext/>
        <w:spacing w:after="0"/>
        <w:ind w:right="748"/>
        <w:rPr>
          <w:rFonts w:ascii="Times New Roman" w:eastAsia="Times New Roman" w:hAnsi="Times New Roman" w:cs="Times New Roman"/>
          <w:sz w:val="24"/>
          <w:szCs w:val="24"/>
          <w:lang w:eastAsia="en-AU"/>
        </w:rPr>
      </w:pPr>
    </w:p>
    <w:p w14:paraId="7D946328" w14:textId="168E5C59" w:rsidR="009A165A" w:rsidRPr="009B07B6" w:rsidRDefault="001F764E" w:rsidP="00532925">
      <w:pPr>
        <w:rPr>
          <w:rFonts w:ascii="Times New Roman" w:hAnsi="Times New Roman" w:cs="Times New Roman"/>
          <w:sz w:val="24"/>
          <w:szCs w:val="24"/>
          <w:u w:val="single"/>
        </w:rPr>
      </w:pPr>
      <w:r w:rsidRPr="009B07B6">
        <w:rPr>
          <w:rFonts w:ascii="Times New Roman" w:hAnsi="Times New Roman" w:cs="Times New Roman"/>
          <w:sz w:val="24"/>
          <w:szCs w:val="24"/>
          <w:u w:val="single"/>
        </w:rPr>
        <w:t xml:space="preserve">Schedule 1 – Amendments </w:t>
      </w:r>
    </w:p>
    <w:p w14:paraId="4EC5CF10" w14:textId="17F52F4B" w:rsidR="00F939E0" w:rsidRPr="009B07B6" w:rsidRDefault="00F939E0" w:rsidP="00532925">
      <w:pPr>
        <w:rPr>
          <w:rFonts w:ascii="Times New Roman" w:hAnsi="Times New Roman" w:cs="Times New Roman"/>
          <w:b/>
          <w:sz w:val="24"/>
          <w:szCs w:val="24"/>
        </w:rPr>
      </w:pPr>
      <w:r w:rsidRPr="009B07B6">
        <w:rPr>
          <w:rFonts w:ascii="Times New Roman" w:hAnsi="Times New Roman" w:cs="Times New Roman"/>
          <w:b/>
          <w:sz w:val="24"/>
          <w:szCs w:val="24"/>
        </w:rPr>
        <w:t xml:space="preserve">Part 1 – Amendments commencing day after registration </w:t>
      </w:r>
    </w:p>
    <w:p w14:paraId="2DE2CB85" w14:textId="44BD8123" w:rsidR="00DE3176" w:rsidRPr="009B07B6" w:rsidRDefault="00DE3176" w:rsidP="00532925">
      <w:pPr>
        <w:rPr>
          <w:rFonts w:ascii="Times New Roman" w:hAnsi="Times New Roman" w:cs="Times New Roman"/>
          <w:b/>
          <w:sz w:val="24"/>
          <w:szCs w:val="24"/>
        </w:rPr>
      </w:pPr>
      <w:r w:rsidRPr="009B07B6">
        <w:rPr>
          <w:rFonts w:ascii="Times New Roman" w:hAnsi="Times New Roman" w:cs="Times New Roman"/>
          <w:b/>
          <w:sz w:val="24"/>
          <w:szCs w:val="24"/>
        </w:rPr>
        <w:t xml:space="preserve">Item </w:t>
      </w:r>
      <w:r w:rsidR="00D3204B" w:rsidRPr="009B07B6">
        <w:rPr>
          <w:rFonts w:ascii="Times New Roman" w:hAnsi="Times New Roman" w:cs="Times New Roman"/>
          <w:b/>
          <w:sz w:val="24"/>
          <w:szCs w:val="24"/>
        </w:rPr>
        <w:t>1</w:t>
      </w:r>
      <w:r w:rsidR="00F27B5F">
        <w:rPr>
          <w:rFonts w:ascii="Times New Roman" w:hAnsi="Times New Roman" w:cs="Times New Roman"/>
          <w:b/>
          <w:sz w:val="24"/>
          <w:szCs w:val="24"/>
        </w:rPr>
        <w:t>:</w:t>
      </w:r>
      <w:r w:rsidR="00D3204B" w:rsidRPr="009B07B6">
        <w:rPr>
          <w:rFonts w:ascii="Times New Roman" w:hAnsi="Times New Roman" w:cs="Times New Roman"/>
          <w:b/>
          <w:sz w:val="24"/>
          <w:szCs w:val="24"/>
        </w:rPr>
        <w:t xml:space="preserve"> Regulation 3 </w:t>
      </w:r>
    </w:p>
    <w:p w14:paraId="30C2DE72" w14:textId="6F29C97D" w:rsidR="0005618E" w:rsidRPr="009B07B6" w:rsidRDefault="00863443" w:rsidP="00F73113">
      <w:pPr>
        <w:pStyle w:val="Definition"/>
        <w:spacing w:before="0" w:after="240" w:line="276" w:lineRule="auto"/>
        <w:ind w:left="0"/>
        <w:rPr>
          <w:sz w:val="24"/>
          <w:szCs w:val="24"/>
        </w:rPr>
      </w:pPr>
      <w:r w:rsidRPr="009B07B6">
        <w:rPr>
          <w:sz w:val="24"/>
          <w:szCs w:val="24"/>
        </w:rPr>
        <w:t xml:space="preserve">Item </w:t>
      </w:r>
      <w:r w:rsidR="00090C39" w:rsidRPr="009B07B6">
        <w:rPr>
          <w:sz w:val="24"/>
          <w:szCs w:val="24"/>
        </w:rPr>
        <w:t>1 amends Regulation 3 to insert</w:t>
      </w:r>
      <w:r w:rsidRPr="009B07B6">
        <w:rPr>
          <w:sz w:val="24"/>
          <w:szCs w:val="24"/>
        </w:rPr>
        <w:t xml:space="preserve"> definitions of</w:t>
      </w:r>
      <w:r w:rsidR="00090C39" w:rsidRPr="009B07B6">
        <w:rPr>
          <w:sz w:val="24"/>
          <w:szCs w:val="24"/>
        </w:rPr>
        <w:t xml:space="preserve"> ‘Deed’, ‘Government Division Rules’ and ‘Participation Schedule’ for the purposes of FLS Regulations. </w:t>
      </w:r>
      <w:r w:rsidR="002A4A75" w:rsidRPr="009B07B6">
        <w:rPr>
          <w:sz w:val="24"/>
          <w:szCs w:val="24"/>
        </w:rPr>
        <w:t xml:space="preserve">These </w:t>
      </w:r>
      <w:r w:rsidR="007C51BB" w:rsidRPr="009B07B6">
        <w:rPr>
          <w:sz w:val="24"/>
          <w:szCs w:val="24"/>
        </w:rPr>
        <w:t>terms comprise parts of the new trust deed of the Scheme</w:t>
      </w:r>
      <w:r w:rsidR="00E51DC1" w:rsidRPr="009B07B6">
        <w:rPr>
          <w:sz w:val="24"/>
          <w:szCs w:val="24"/>
        </w:rPr>
        <w:t xml:space="preserve"> </w:t>
      </w:r>
      <w:r w:rsidR="0005618E" w:rsidRPr="009B07B6">
        <w:rPr>
          <w:sz w:val="24"/>
          <w:szCs w:val="24"/>
        </w:rPr>
        <w:t xml:space="preserve">continued in existence by the </w:t>
      </w:r>
      <w:r w:rsidR="0005618E" w:rsidRPr="009B07B6">
        <w:rPr>
          <w:i/>
          <w:sz w:val="24"/>
          <w:szCs w:val="24"/>
        </w:rPr>
        <w:t xml:space="preserve">Superannuation (State Public Sector) Act 1990 </w:t>
      </w:r>
      <w:r w:rsidR="0005618E" w:rsidRPr="009B07B6">
        <w:rPr>
          <w:sz w:val="24"/>
          <w:szCs w:val="24"/>
        </w:rPr>
        <w:t xml:space="preserve">(Qld) </w:t>
      </w:r>
      <w:r w:rsidR="00E51DC1" w:rsidRPr="009B07B6">
        <w:rPr>
          <w:sz w:val="24"/>
          <w:szCs w:val="24"/>
        </w:rPr>
        <w:t>following th</w:t>
      </w:r>
      <w:r w:rsidR="0005618E" w:rsidRPr="009B07B6">
        <w:rPr>
          <w:sz w:val="24"/>
          <w:szCs w:val="24"/>
        </w:rPr>
        <w:t>e merger</w:t>
      </w:r>
      <w:r w:rsidR="002A4A75" w:rsidRPr="009B07B6">
        <w:rPr>
          <w:sz w:val="24"/>
          <w:szCs w:val="24"/>
        </w:rPr>
        <w:t>.</w:t>
      </w:r>
      <w:r w:rsidR="001470C3" w:rsidRPr="009B07B6">
        <w:rPr>
          <w:sz w:val="24"/>
          <w:szCs w:val="24"/>
        </w:rPr>
        <w:t xml:space="preserve"> The purpose of this amendment is to provide definitions for terms used in </w:t>
      </w:r>
      <w:r w:rsidR="00BA17FB">
        <w:rPr>
          <w:sz w:val="24"/>
          <w:szCs w:val="24"/>
        </w:rPr>
        <w:t xml:space="preserve">the </w:t>
      </w:r>
      <w:r w:rsidR="001470C3" w:rsidRPr="009B07B6">
        <w:rPr>
          <w:sz w:val="24"/>
          <w:szCs w:val="24"/>
        </w:rPr>
        <w:t>FLS Regulations, to assist with the interpretation of the FLS Regulations.</w:t>
      </w:r>
    </w:p>
    <w:p w14:paraId="45C92BF0" w14:textId="77777777" w:rsidR="006C0559" w:rsidRDefault="006C0559" w:rsidP="00532925">
      <w:pPr>
        <w:rPr>
          <w:rFonts w:ascii="Times New Roman" w:hAnsi="Times New Roman" w:cs="Times New Roman"/>
          <w:b/>
          <w:sz w:val="24"/>
          <w:szCs w:val="24"/>
        </w:rPr>
      </w:pPr>
    </w:p>
    <w:p w14:paraId="28B73B00" w14:textId="094561E4" w:rsidR="00DE3176" w:rsidRPr="009B07B6" w:rsidRDefault="00DE3176" w:rsidP="00532925">
      <w:pPr>
        <w:rPr>
          <w:rFonts w:ascii="Times New Roman" w:hAnsi="Times New Roman" w:cs="Times New Roman"/>
          <w:b/>
          <w:sz w:val="24"/>
          <w:szCs w:val="24"/>
        </w:rPr>
      </w:pPr>
      <w:r w:rsidRPr="009B07B6">
        <w:rPr>
          <w:rFonts w:ascii="Times New Roman" w:hAnsi="Times New Roman" w:cs="Times New Roman"/>
          <w:b/>
          <w:sz w:val="24"/>
          <w:szCs w:val="24"/>
        </w:rPr>
        <w:lastRenderedPageBreak/>
        <w:t>Item 2</w:t>
      </w:r>
      <w:r w:rsidR="00F27B5F">
        <w:rPr>
          <w:rFonts w:ascii="Times New Roman" w:hAnsi="Times New Roman" w:cs="Times New Roman"/>
          <w:b/>
          <w:sz w:val="24"/>
          <w:szCs w:val="24"/>
        </w:rPr>
        <w:t>:</w:t>
      </w:r>
      <w:r w:rsidR="00F60EC0" w:rsidRPr="009B07B6">
        <w:rPr>
          <w:rFonts w:ascii="Times New Roman" w:hAnsi="Times New Roman" w:cs="Times New Roman"/>
          <w:b/>
          <w:sz w:val="24"/>
          <w:szCs w:val="24"/>
        </w:rPr>
        <w:t xml:space="preserve"> </w:t>
      </w:r>
      <w:r w:rsidR="0054070E" w:rsidRPr="009B07B6">
        <w:rPr>
          <w:rFonts w:ascii="Times New Roman" w:hAnsi="Times New Roman" w:cs="Times New Roman"/>
          <w:b/>
          <w:sz w:val="24"/>
          <w:szCs w:val="24"/>
        </w:rPr>
        <w:t xml:space="preserve">Regulation 9B (heading) </w:t>
      </w:r>
    </w:p>
    <w:p w14:paraId="5B90E6AA" w14:textId="4E68D8FF" w:rsidR="002E1A27" w:rsidRPr="009B07B6" w:rsidRDefault="00900564" w:rsidP="00532925">
      <w:pPr>
        <w:rPr>
          <w:rFonts w:ascii="Times New Roman" w:hAnsi="Times New Roman" w:cs="Times New Roman"/>
          <w:sz w:val="24"/>
          <w:szCs w:val="24"/>
        </w:rPr>
      </w:pPr>
      <w:r w:rsidRPr="009B07B6">
        <w:rPr>
          <w:rFonts w:ascii="Times New Roman" w:hAnsi="Times New Roman" w:cs="Times New Roman"/>
          <w:sz w:val="24"/>
          <w:szCs w:val="24"/>
        </w:rPr>
        <w:t>Item 2 repeals the current heading</w:t>
      </w:r>
      <w:r w:rsidR="00727D3F" w:rsidRPr="009B07B6">
        <w:rPr>
          <w:rFonts w:ascii="Times New Roman" w:hAnsi="Times New Roman" w:cs="Times New Roman"/>
          <w:sz w:val="24"/>
          <w:szCs w:val="24"/>
        </w:rPr>
        <w:t xml:space="preserve"> of Regulation 9B which is</w:t>
      </w:r>
      <w:r w:rsidRPr="009B07B6">
        <w:rPr>
          <w:rFonts w:ascii="Times New Roman" w:hAnsi="Times New Roman" w:cs="Times New Roman"/>
          <w:sz w:val="24"/>
          <w:szCs w:val="24"/>
        </w:rPr>
        <w:t xml:space="preserve"> ‘Meaning of </w:t>
      </w:r>
      <w:r w:rsidRPr="009B07B6">
        <w:rPr>
          <w:rFonts w:ascii="Times New Roman" w:hAnsi="Times New Roman" w:cs="Times New Roman"/>
          <w:i/>
          <w:sz w:val="24"/>
          <w:szCs w:val="24"/>
        </w:rPr>
        <w:t>percentage-only interest</w:t>
      </w:r>
      <w:r w:rsidRPr="009B07B6">
        <w:rPr>
          <w:rFonts w:ascii="Times New Roman" w:hAnsi="Times New Roman" w:cs="Times New Roman"/>
          <w:sz w:val="24"/>
          <w:szCs w:val="24"/>
        </w:rPr>
        <w:t xml:space="preserve"> – parliament 70 category under </w:t>
      </w:r>
      <w:r w:rsidRPr="009B07B6">
        <w:rPr>
          <w:rFonts w:ascii="Times New Roman" w:hAnsi="Times New Roman" w:cs="Times New Roman"/>
          <w:i/>
          <w:sz w:val="24"/>
          <w:szCs w:val="24"/>
        </w:rPr>
        <w:t xml:space="preserve">Superannuation (State Public Sector) Deed 1990 </w:t>
      </w:r>
      <w:r w:rsidRPr="009B07B6">
        <w:rPr>
          <w:rFonts w:ascii="Times New Roman" w:hAnsi="Times New Roman" w:cs="Times New Roman"/>
          <w:sz w:val="24"/>
          <w:szCs w:val="24"/>
        </w:rPr>
        <w:t xml:space="preserve">(Qld)’ and substitutes it with </w:t>
      </w:r>
      <w:r w:rsidR="002E1A27" w:rsidRPr="009B07B6">
        <w:rPr>
          <w:rFonts w:ascii="Times New Roman" w:hAnsi="Times New Roman" w:cs="Times New Roman"/>
          <w:sz w:val="24"/>
          <w:szCs w:val="24"/>
        </w:rPr>
        <w:t xml:space="preserve">‘Meaning of </w:t>
      </w:r>
      <w:r w:rsidR="002E1A27" w:rsidRPr="009B07B6">
        <w:rPr>
          <w:rFonts w:ascii="Times New Roman" w:hAnsi="Times New Roman" w:cs="Times New Roman"/>
          <w:i/>
          <w:iCs/>
          <w:sz w:val="24"/>
          <w:szCs w:val="24"/>
        </w:rPr>
        <w:t xml:space="preserve">percentage-only interest – </w:t>
      </w:r>
      <w:r w:rsidR="002E1A27" w:rsidRPr="009B07B6">
        <w:rPr>
          <w:rFonts w:ascii="Times New Roman" w:hAnsi="Times New Roman" w:cs="Times New Roman"/>
          <w:sz w:val="24"/>
          <w:szCs w:val="24"/>
        </w:rPr>
        <w:t>parliament 70 category under the Deed</w:t>
      </w:r>
      <w:r w:rsidR="00A059FB" w:rsidRPr="009B07B6">
        <w:rPr>
          <w:rFonts w:ascii="Times New Roman" w:hAnsi="Times New Roman" w:cs="Times New Roman"/>
          <w:sz w:val="24"/>
          <w:szCs w:val="24"/>
        </w:rPr>
        <w:t>’</w:t>
      </w:r>
      <w:r w:rsidR="002E1A27" w:rsidRPr="009B07B6">
        <w:rPr>
          <w:rFonts w:ascii="Times New Roman" w:hAnsi="Times New Roman" w:cs="Times New Roman"/>
          <w:sz w:val="24"/>
          <w:szCs w:val="24"/>
        </w:rPr>
        <w:t>.</w:t>
      </w:r>
      <w:r w:rsidR="00B776CF" w:rsidRPr="009B07B6">
        <w:rPr>
          <w:rFonts w:ascii="Times New Roman" w:hAnsi="Times New Roman" w:cs="Times New Roman"/>
          <w:sz w:val="24"/>
          <w:szCs w:val="24"/>
        </w:rPr>
        <w:t xml:space="preserve"> ‘Deed’ is defined in FLS Regulation 3</w:t>
      </w:r>
      <w:r w:rsidR="00F27B5F">
        <w:rPr>
          <w:rFonts w:ascii="Times New Roman" w:hAnsi="Times New Roman" w:cs="Times New Roman"/>
          <w:sz w:val="24"/>
          <w:szCs w:val="24"/>
        </w:rPr>
        <w:t xml:space="preserve">, as inserted by </w:t>
      </w:r>
      <w:r w:rsidR="002D4B69">
        <w:rPr>
          <w:rFonts w:ascii="Times New Roman" w:hAnsi="Times New Roman" w:cs="Times New Roman"/>
          <w:sz w:val="24"/>
          <w:szCs w:val="24"/>
        </w:rPr>
        <w:t>I</w:t>
      </w:r>
      <w:r w:rsidR="00F27B5F">
        <w:rPr>
          <w:rFonts w:ascii="Times New Roman" w:hAnsi="Times New Roman" w:cs="Times New Roman"/>
          <w:sz w:val="24"/>
          <w:szCs w:val="24"/>
        </w:rPr>
        <w:t>tem 1</w:t>
      </w:r>
      <w:r w:rsidR="00B776CF" w:rsidRPr="009B07B6">
        <w:rPr>
          <w:rFonts w:ascii="Times New Roman" w:hAnsi="Times New Roman" w:cs="Times New Roman"/>
          <w:sz w:val="24"/>
          <w:szCs w:val="24"/>
        </w:rPr>
        <w:t xml:space="preserve">. </w:t>
      </w:r>
    </w:p>
    <w:p w14:paraId="73FE9348" w14:textId="4DA45FA1" w:rsidR="002E1A27" w:rsidRPr="009B07B6" w:rsidRDefault="00727D3F" w:rsidP="00532925">
      <w:pPr>
        <w:keepNext/>
        <w:rPr>
          <w:rFonts w:ascii="Times New Roman" w:hAnsi="Times New Roman" w:cs="Times New Roman"/>
          <w:sz w:val="24"/>
          <w:szCs w:val="24"/>
        </w:rPr>
      </w:pPr>
      <w:r w:rsidRPr="009B07B6">
        <w:rPr>
          <w:rFonts w:ascii="Times New Roman" w:hAnsi="Times New Roman" w:cs="Times New Roman"/>
          <w:sz w:val="24"/>
          <w:szCs w:val="24"/>
        </w:rPr>
        <w:t xml:space="preserve">This reflects the changes arising as a result of the merger and the subsequent commencement of the </w:t>
      </w:r>
      <w:r w:rsidRPr="009B07B6">
        <w:rPr>
          <w:rFonts w:ascii="Times New Roman" w:hAnsi="Times New Roman" w:cs="Times New Roman"/>
          <w:i/>
          <w:sz w:val="24"/>
          <w:szCs w:val="24"/>
        </w:rPr>
        <w:t xml:space="preserve">Superannuation (State Public Sector) (Scheme Administration) Amendment Act 2021 </w:t>
      </w:r>
      <w:r w:rsidRPr="009B07B6">
        <w:rPr>
          <w:rFonts w:ascii="Times New Roman" w:hAnsi="Times New Roman" w:cs="Times New Roman"/>
          <w:sz w:val="24"/>
          <w:szCs w:val="24"/>
        </w:rPr>
        <w:t xml:space="preserve">(Qld) which repeals the </w:t>
      </w:r>
      <w:r w:rsidRPr="009B07B6">
        <w:rPr>
          <w:rFonts w:ascii="Times New Roman" w:eastAsia="Times New Roman" w:hAnsi="Times New Roman" w:cs="Times New Roman"/>
          <w:i/>
          <w:iCs/>
          <w:sz w:val="24"/>
          <w:szCs w:val="24"/>
        </w:rPr>
        <w:t>Superannuation (State Public Sector) Deed 1990</w:t>
      </w:r>
      <w:r w:rsidRPr="009B07B6">
        <w:rPr>
          <w:rFonts w:ascii="Times New Roman" w:eastAsia="Times New Roman" w:hAnsi="Times New Roman" w:cs="Times New Roman"/>
          <w:i/>
          <w:sz w:val="24"/>
          <w:szCs w:val="24"/>
        </w:rPr>
        <w:t xml:space="preserve"> </w:t>
      </w:r>
      <w:r w:rsidRPr="009B07B6">
        <w:rPr>
          <w:rFonts w:ascii="Times New Roman" w:eastAsia="Times New Roman" w:hAnsi="Times New Roman" w:cs="Times New Roman"/>
          <w:sz w:val="24"/>
          <w:szCs w:val="24"/>
        </w:rPr>
        <w:t xml:space="preserve">(Qld) but enables the Scheme established under the </w:t>
      </w:r>
      <w:r w:rsidRPr="009B07B6">
        <w:rPr>
          <w:rFonts w:ascii="Times New Roman" w:hAnsi="Times New Roman" w:cs="Times New Roman"/>
          <w:i/>
          <w:sz w:val="24"/>
          <w:szCs w:val="24"/>
        </w:rPr>
        <w:t>Superannuation (State Public Sector) Act 1990</w:t>
      </w:r>
      <w:r w:rsidRPr="009B07B6">
        <w:rPr>
          <w:rFonts w:ascii="Times New Roman" w:hAnsi="Times New Roman" w:cs="Times New Roman"/>
          <w:sz w:val="24"/>
          <w:szCs w:val="24"/>
        </w:rPr>
        <w:t xml:space="preserve"> (Qld) to continue in existence. </w:t>
      </w:r>
      <w:r w:rsidR="001470C3" w:rsidRPr="009B07B6">
        <w:rPr>
          <w:rFonts w:ascii="Times New Roman" w:hAnsi="Times New Roman" w:cs="Times New Roman"/>
          <w:sz w:val="24"/>
          <w:szCs w:val="24"/>
        </w:rPr>
        <w:t>Th</w:t>
      </w:r>
      <w:r w:rsidR="00A059FB" w:rsidRPr="009B07B6">
        <w:rPr>
          <w:rFonts w:ascii="Times New Roman" w:hAnsi="Times New Roman" w:cs="Times New Roman"/>
          <w:sz w:val="24"/>
          <w:szCs w:val="24"/>
        </w:rPr>
        <w:t>is</w:t>
      </w:r>
      <w:r w:rsidR="001470C3" w:rsidRPr="009B07B6">
        <w:rPr>
          <w:rFonts w:ascii="Times New Roman" w:hAnsi="Times New Roman" w:cs="Times New Roman"/>
          <w:sz w:val="24"/>
          <w:szCs w:val="24"/>
        </w:rPr>
        <w:t xml:space="preserve"> amendment ensure</w:t>
      </w:r>
      <w:r w:rsidR="00A059FB" w:rsidRPr="009B07B6">
        <w:rPr>
          <w:rFonts w:ascii="Times New Roman" w:hAnsi="Times New Roman" w:cs="Times New Roman"/>
          <w:sz w:val="24"/>
          <w:szCs w:val="24"/>
        </w:rPr>
        <w:t>s</w:t>
      </w:r>
      <w:r w:rsidR="001470C3" w:rsidRPr="009B07B6">
        <w:rPr>
          <w:rFonts w:ascii="Times New Roman" w:hAnsi="Times New Roman" w:cs="Times New Roman"/>
          <w:sz w:val="24"/>
          <w:szCs w:val="24"/>
        </w:rPr>
        <w:t xml:space="preserve"> that terminology in the FLS Regulations remains accurate and fit for purpose.</w:t>
      </w:r>
    </w:p>
    <w:p w14:paraId="14CAD166" w14:textId="19D7504B" w:rsidR="002E1A27" w:rsidRPr="009B07B6" w:rsidRDefault="002E1A27" w:rsidP="00532925">
      <w:pPr>
        <w:spacing w:after="0"/>
        <w:rPr>
          <w:rFonts w:ascii="Times New Roman" w:hAnsi="Times New Roman" w:cs="Times New Roman"/>
          <w:b/>
          <w:sz w:val="24"/>
          <w:szCs w:val="24"/>
        </w:rPr>
      </w:pPr>
      <w:r w:rsidRPr="009B07B6">
        <w:rPr>
          <w:rFonts w:ascii="Times New Roman" w:hAnsi="Times New Roman" w:cs="Times New Roman"/>
          <w:b/>
          <w:sz w:val="24"/>
          <w:szCs w:val="24"/>
        </w:rPr>
        <w:t xml:space="preserve">Item </w:t>
      </w:r>
      <w:r w:rsidR="0024600D" w:rsidRPr="009B07B6">
        <w:rPr>
          <w:rFonts w:ascii="Times New Roman" w:hAnsi="Times New Roman" w:cs="Times New Roman"/>
          <w:b/>
          <w:sz w:val="24"/>
          <w:szCs w:val="24"/>
        </w:rPr>
        <w:t>3</w:t>
      </w:r>
      <w:r w:rsidR="00F27B5F">
        <w:rPr>
          <w:rFonts w:ascii="Times New Roman" w:hAnsi="Times New Roman" w:cs="Times New Roman"/>
          <w:b/>
          <w:sz w:val="24"/>
          <w:szCs w:val="24"/>
        </w:rPr>
        <w:t>:</w:t>
      </w:r>
      <w:r w:rsidRPr="009B07B6">
        <w:rPr>
          <w:rFonts w:ascii="Times New Roman" w:hAnsi="Times New Roman" w:cs="Times New Roman"/>
          <w:b/>
          <w:sz w:val="24"/>
          <w:szCs w:val="24"/>
        </w:rPr>
        <w:t xml:space="preserve"> </w:t>
      </w:r>
      <w:r w:rsidR="0024600D" w:rsidRPr="009B07B6">
        <w:rPr>
          <w:rFonts w:ascii="Times New Roman" w:hAnsi="Times New Roman" w:cs="Times New Roman"/>
          <w:b/>
          <w:sz w:val="24"/>
          <w:szCs w:val="24"/>
        </w:rPr>
        <w:t>S</w:t>
      </w:r>
      <w:r w:rsidRPr="009B07B6">
        <w:rPr>
          <w:rFonts w:ascii="Times New Roman" w:hAnsi="Times New Roman" w:cs="Times New Roman"/>
          <w:b/>
          <w:sz w:val="24"/>
          <w:szCs w:val="24"/>
        </w:rPr>
        <w:t>ub</w:t>
      </w:r>
      <w:r w:rsidR="00C437B6" w:rsidRPr="009B07B6">
        <w:rPr>
          <w:rFonts w:ascii="Times New Roman" w:hAnsi="Times New Roman" w:cs="Times New Roman"/>
          <w:b/>
          <w:sz w:val="24"/>
          <w:szCs w:val="24"/>
        </w:rPr>
        <w:t>r</w:t>
      </w:r>
      <w:r w:rsidRPr="009B07B6">
        <w:rPr>
          <w:rFonts w:ascii="Times New Roman" w:hAnsi="Times New Roman" w:cs="Times New Roman"/>
          <w:b/>
          <w:sz w:val="24"/>
          <w:szCs w:val="24"/>
        </w:rPr>
        <w:t>egulation 9B(1)</w:t>
      </w:r>
    </w:p>
    <w:p w14:paraId="5D74A33E" w14:textId="02DC3840" w:rsidR="00EB7E96" w:rsidRPr="009B07B6" w:rsidRDefault="00D81B78" w:rsidP="00532925">
      <w:pPr>
        <w:pStyle w:val="Definition"/>
        <w:spacing w:line="276" w:lineRule="auto"/>
        <w:ind w:left="0"/>
        <w:rPr>
          <w:sz w:val="24"/>
          <w:szCs w:val="24"/>
        </w:rPr>
      </w:pPr>
      <w:r w:rsidRPr="009B07B6">
        <w:rPr>
          <w:sz w:val="24"/>
          <w:szCs w:val="24"/>
        </w:rPr>
        <w:t xml:space="preserve">Item 3 updates a reference to the repealed </w:t>
      </w:r>
      <w:r w:rsidRPr="009B07B6">
        <w:rPr>
          <w:i/>
          <w:iCs/>
          <w:sz w:val="24"/>
          <w:szCs w:val="24"/>
        </w:rPr>
        <w:t>Superannuation (State Public Sector) Deed 1990</w:t>
      </w:r>
      <w:r w:rsidRPr="009B07B6">
        <w:rPr>
          <w:sz w:val="24"/>
          <w:szCs w:val="24"/>
        </w:rPr>
        <w:t xml:space="preserve"> (Qld)</w:t>
      </w:r>
      <w:r w:rsidR="00F27B5F">
        <w:rPr>
          <w:sz w:val="24"/>
          <w:szCs w:val="24"/>
        </w:rPr>
        <w:t xml:space="preserve"> (the Deed)</w:t>
      </w:r>
      <w:r w:rsidRPr="009B07B6">
        <w:rPr>
          <w:sz w:val="24"/>
          <w:szCs w:val="24"/>
        </w:rPr>
        <w:t xml:space="preserve"> and replaces it with a reference to the Government Division Rules</w:t>
      </w:r>
      <w:r w:rsidR="00F154C9">
        <w:rPr>
          <w:sz w:val="24"/>
          <w:szCs w:val="24"/>
        </w:rPr>
        <w:t xml:space="preserve"> </w:t>
      </w:r>
      <w:r w:rsidR="002D4B69">
        <w:rPr>
          <w:sz w:val="24"/>
          <w:szCs w:val="24"/>
        </w:rPr>
        <w:t>which is defined in Regulation 3, as inserted by Item 1</w:t>
      </w:r>
      <w:r w:rsidRPr="009B07B6">
        <w:rPr>
          <w:sz w:val="24"/>
          <w:szCs w:val="24"/>
        </w:rPr>
        <w:t xml:space="preserve">. </w:t>
      </w:r>
      <w:r w:rsidR="00EB7E96" w:rsidRPr="009B07B6">
        <w:rPr>
          <w:sz w:val="24"/>
          <w:szCs w:val="24"/>
        </w:rPr>
        <w:t>Th</w:t>
      </w:r>
      <w:r w:rsidR="00B776CF" w:rsidRPr="009B07B6">
        <w:rPr>
          <w:sz w:val="24"/>
          <w:szCs w:val="24"/>
        </w:rPr>
        <w:t>is</w:t>
      </w:r>
      <w:r w:rsidR="00254F99" w:rsidRPr="009B07B6">
        <w:rPr>
          <w:sz w:val="24"/>
          <w:szCs w:val="24"/>
        </w:rPr>
        <w:t xml:space="preserve"> </w:t>
      </w:r>
      <w:r w:rsidR="00EB7E96" w:rsidRPr="009B07B6">
        <w:rPr>
          <w:sz w:val="24"/>
          <w:szCs w:val="24"/>
        </w:rPr>
        <w:t xml:space="preserve">amendment </w:t>
      </w:r>
      <w:r w:rsidR="00B776CF" w:rsidRPr="009B07B6">
        <w:rPr>
          <w:sz w:val="24"/>
          <w:szCs w:val="24"/>
        </w:rPr>
        <w:t xml:space="preserve">reflects the new structure of the Deed and ensures that </w:t>
      </w:r>
      <w:r w:rsidR="00254F99" w:rsidRPr="009B07B6">
        <w:rPr>
          <w:sz w:val="24"/>
          <w:szCs w:val="24"/>
        </w:rPr>
        <w:t>terminology</w:t>
      </w:r>
      <w:r w:rsidR="00B776CF" w:rsidRPr="009B07B6">
        <w:rPr>
          <w:sz w:val="24"/>
          <w:szCs w:val="24"/>
        </w:rPr>
        <w:t xml:space="preserve"> in the FLS Regulations remains accurate and fit for purpose. </w:t>
      </w:r>
    </w:p>
    <w:p w14:paraId="51380302" w14:textId="5398ED83" w:rsidR="00EB7E96" w:rsidRPr="009B07B6" w:rsidRDefault="00D81B78" w:rsidP="00532925">
      <w:pPr>
        <w:pStyle w:val="Definition"/>
        <w:spacing w:line="276" w:lineRule="auto"/>
        <w:ind w:left="0"/>
        <w:rPr>
          <w:b/>
          <w:sz w:val="24"/>
          <w:szCs w:val="24"/>
        </w:rPr>
      </w:pPr>
      <w:r w:rsidRPr="009B07B6">
        <w:rPr>
          <w:b/>
          <w:sz w:val="24"/>
          <w:szCs w:val="24"/>
        </w:rPr>
        <w:t>Item 4: Paragraphs 9B(2)(c) and (d)</w:t>
      </w:r>
    </w:p>
    <w:p w14:paraId="649FC710" w14:textId="60F647AF" w:rsidR="00EB7E96" w:rsidRPr="009B07B6" w:rsidRDefault="00EB7E96" w:rsidP="00532925">
      <w:pPr>
        <w:pStyle w:val="Definition"/>
        <w:spacing w:line="276" w:lineRule="auto"/>
        <w:ind w:left="0"/>
        <w:rPr>
          <w:sz w:val="24"/>
          <w:szCs w:val="24"/>
        </w:rPr>
      </w:pPr>
      <w:r w:rsidRPr="009B07B6">
        <w:rPr>
          <w:sz w:val="24"/>
          <w:szCs w:val="24"/>
        </w:rPr>
        <w:t xml:space="preserve">Item 4 updates a reference to the repealed </w:t>
      </w:r>
      <w:r w:rsidRPr="009B07B6">
        <w:rPr>
          <w:i/>
          <w:iCs/>
          <w:sz w:val="24"/>
          <w:szCs w:val="24"/>
        </w:rPr>
        <w:t>Superannuation (State Public Sector) Deed 1990</w:t>
      </w:r>
      <w:r w:rsidRPr="009B07B6">
        <w:rPr>
          <w:sz w:val="24"/>
          <w:szCs w:val="24"/>
        </w:rPr>
        <w:t xml:space="preserve"> (Qld)</w:t>
      </w:r>
      <w:r w:rsidR="002D4B69">
        <w:rPr>
          <w:sz w:val="24"/>
          <w:szCs w:val="24"/>
        </w:rPr>
        <w:t xml:space="preserve"> (the Deed)</w:t>
      </w:r>
      <w:r w:rsidRPr="009B07B6">
        <w:rPr>
          <w:sz w:val="24"/>
          <w:szCs w:val="24"/>
        </w:rPr>
        <w:t xml:space="preserve"> and replaces it with a reference to the ‘</w:t>
      </w:r>
      <w:r w:rsidR="002C23E5" w:rsidRPr="009B07B6">
        <w:rPr>
          <w:sz w:val="24"/>
          <w:szCs w:val="24"/>
        </w:rPr>
        <w:t>P</w:t>
      </w:r>
      <w:r w:rsidRPr="009B07B6">
        <w:rPr>
          <w:sz w:val="24"/>
          <w:szCs w:val="24"/>
        </w:rPr>
        <w:t xml:space="preserve">articipation </w:t>
      </w:r>
      <w:r w:rsidR="002C23E5" w:rsidRPr="009B07B6">
        <w:rPr>
          <w:sz w:val="24"/>
          <w:szCs w:val="24"/>
        </w:rPr>
        <w:t>S</w:t>
      </w:r>
      <w:r w:rsidRPr="009B07B6">
        <w:rPr>
          <w:sz w:val="24"/>
          <w:szCs w:val="24"/>
        </w:rPr>
        <w:t xml:space="preserve">chedule’. </w:t>
      </w:r>
      <w:r w:rsidR="00254F99" w:rsidRPr="009B07B6">
        <w:rPr>
          <w:sz w:val="24"/>
          <w:szCs w:val="24"/>
        </w:rPr>
        <w:t>This amendment reflects the new structure of the Deed and ensures that terminology in the FLS Regulations remains accurate and fit for purpose</w:t>
      </w:r>
      <w:r w:rsidR="009056B0" w:rsidRPr="009B07B6">
        <w:rPr>
          <w:sz w:val="24"/>
          <w:szCs w:val="24"/>
        </w:rPr>
        <w:t>.</w:t>
      </w:r>
    </w:p>
    <w:p w14:paraId="5FDF6E35" w14:textId="26D21F24" w:rsidR="002C23E5" w:rsidRPr="009B07B6" w:rsidRDefault="002C23E5" w:rsidP="00532925">
      <w:pPr>
        <w:pStyle w:val="Definition"/>
        <w:spacing w:line="276" w:lineRule="auto"/>
        <w:ind w:left="0"/>
        <w:rPr>
          <w:b/>
          <w:sz w:val="24"/>
          <w:szCs w:val="24"/>
        </w:rPr>
      </w:pPr>
      <w:r w:rsidRPr="009B07B6">
        <w:rPr>
          <w:b/>
          <w:sz w:val="24"/>
          <w:szCs w:val="24"/>
        </w:rPr>
        <w:t xml:space="preserve">Item 5: Subregulation 9B(3) (definition of </w:t>
      </w:r>
      <w:r w:rsidRPr="009B07B6">
        <w:rPr>
          <w:b/>
          <w:i/>
          <w:sz w:val="24"/>
          <w:szCs w:val="24"/>
        </w:rPr>
        <w:t>Deed</w:t>
      </w:r>
      <w:r w:rsidRPr="009B07B6">
        <w:rPr>
          <w:b/>
          <w:sz w:val="24"/>
          <w:szCs w:val="24"/>
        </w:rPr>
        <w:t xml:space="preserve">) </w:t>
      </w:r>
    </w:p>
    <w:p w14:paraId="0AE2CBA0" w14:textId="1F013A17" w:rsidR="002C23E5" w:rsidRPr="009B07B6" w:rsidRDefault="002C23E5" w:rsidP="00532925">
      <w:pPr>
        <w:pStyle w:val="Definition"/>
        <w:spacing w:line="276" w:lineRule="auto"/>
        <w:ind w:left="0"/>
        <w:rPr>
          <w:sz w:val="24"/>
          <w:szCs w:val="24"/>
        </w:rPr>
      </w:pPr>
      <w:r w:rsidRPr="009B07B6">
        <w:rPr>
          <w:sz w:val="24"/>
          <w:szCs w:val="24"/>
        </w:rPr>
        <w:t xml:space="preserve">Item 5 repeals the definition of </w:t>
      </w:r>
      <w:r w:rsidRPr="009B07B6">
        <w:rPr>
          <w:i/>
          <w:sz w:val="24"/>
          <w:szCs w:val="24"/>
        </w:rPr>
        <w:t>Deed</w:t>
      </w:r>
      <w:r w:rsidRPr="009B07B6">
        <w:rPr>
          <w:sz w:val="24"/>
          <w:szCs w:val="24"/>
        </w:rPr>
        <w:t xml:space="preserve"> for the purposes of subregulation 9B(3). This reflects the changes to the Deed that occurred as a result of the merger. </w:t>
      </w:r>
      <w:r w:rsidR="00F139CF" w:rsidRPr="009B07B6">
        <w:rPr>
          <w:sz w:val="24"/>
          <w:szCs w:val="24"/>
        </w:rPr>
        <w:t xml:space="preserve">Item 1 inserts a new definition of </w:t>
      </w:r>
      <w:r w:rsidR="00F139CF" w:rsidRPr="009B07B6">
        <w:rPr>
          <w:i/>
          <w:sz w:val="24"/>
          <w:szCs w:val="24"/>
        </w:rPr>
        <w:t>Deed</w:t>
      </w:r>
      <w:r w:rsidR="00F139CF" w:rsidRPr="009B07B6">
        <w:rPr>
          <w:sz w:val="24"/>
          <w:szCs w:val="24"/>
        </w:rPr>
        <w:t xml:space="preserve"> into Regulation 3 for the purposes of the FLS Regulations. </w:t>
      </w:r>
      <w:r w:rsidR="001470C3" w:rsidRPr="009B07B6">
        <w:rPr>
          <w:sz w:val="24"/>
          <w:szCs w:val="24"/>
        </w:rPr>
        <w:t>Th</w:t>
      </w:r>
      <w:r w:rsidR="00254F99" w:rsidRPr="009B07B6">
        <w:rPr>
          <w:sz w:val="24"/>
          <w:szCs w:val="24"/>
        </w:rPr>
        <w:t>is amendment</w:t>
      </w:r>
      <w:r w:rsidR="001F6067" w:rsidRPr="009B07B6">
        <w:rPr>
          <w:sz w:val="24"/>
          <w:szCs w:val="24"/>
        </w:rPr>
        <w:t xml:space="preserve"> </w:t>
      </w:r>
      <w:r w:rsidR="001470C3" w:rsidRPr="009B07B6">
        <w:rPr>
          <w:sz w:val="24"/>
          <w:szCs w:val="24"/>
        </w:rPr>
        <w:t>ensure</w:t>
      </w:r>
      <w:r w:rsidR="00254F99" w:rsidRPr="009B07B6">
        <w:rPr>
          <w:sz w:val="24"/>
          <w:szCs w:val="24"/>
        </w:rPr>
        <w:t>s</w:t>
      </w:r>
      <w:r w:rsidR="001470C3" w:rsidRPr="009B07B6">
        <w:rPr>
          <w:sz w:val="24"/>
          <w:szCs w:val="24"/>
        </w:rPr>
        <w:t xml:space="preserve"> that terminology in the FLS Regulations remains accurate and fit for purpose.</w:t>
      </w:r>
    </w:p>
    <w:p w14:paraId="54BF066B" w14:textId="60BCDEBE" w:rsidR="002C23E5" w:rsidRPr="009B07B6" w:rsidRDefault="002C23E5" w:rsidP="00532925">
      <w:pPr>
        <w:pStyle w:val="Definition"/>
        <w:spacing w:line="276" w:lineRule="auto"/>
        <w:ind w:left="0"/>
        <w:rPr>
          <w:b/>
          <w:sz w:val="24"/>
          <w:szCs w:val="24"/>
        </w:rPr>
      </w:pPr>
      <w:r w:rsidRPr="009B07B6">
        <w:rPr>
          <w:b/>
          <w:sz w:val="24"/>
          <w:szCs w:val="24"/>
        </w:rPr>
        <w:t xml:space="preserve">Item 6: Paragraph 11(1A)(a) </w:t>
      </w:r>
    </w:p>
    <w:p w14:paraId="7262A66E" w14:textId="3D97B27E" w:rsidR="002C23E5" w:rsidRPr="009B07B6" w:rsidRDefault="002C23E5" w:rsidP="00532925">
      <w:pPr>
        <w:pStyle w:val="Definition"/>
        <w:spacing w:line="276" w:lineRule="auto"/>
        <w:ind w:left="0"/>
        <w:rPr>
          <w:sz w:val="24"/>
          <w:szCs w:val="24"/>
        </w:rPr>
      </w:pPr>
      <w:r w:rsidRPr="009B07B6">
        <w:rPr>
          <w:sz w:val="24"/>
          <w:szCs w:val="24"/>
        </w:rPr>
        <w:t xml:space="preserve">Item 6 omits the numeral ‘(1)’ in paragraph 11(1A)(a) and replaces it with the word ‘one’. This is a technical amendment to correct a drafting error. </w:t>
      </w:r>
    </w:p>
    <w:p w14:paraId="6FD5941E" w14:textId="24758677" w:rsidR="003A2BE2" w:rsidRPr="009B07B6" w:rsidRDefault="002C23E5" w:rsidP="00532925">
      <w:pPr>
        <w:pStyle w:val="Definition"/>
        <w:spacing w:line="276" w:lineRule="auto"/>
        <w:ind w:left="0"/>
        <w:rPr>
          <w:b/>
          <w:sz w:val="24"/>
          <w:szCs w:val="24"/>
        </w:rPr>
      </w:pPr>
      <w:r w:rsidRPr="009B07B6">
        <w:rPr>
          <w:b/>
          <w:sz w:val="24"/>
          <w:szCs w:val="24"/>
        </w:rPr>
        <w:t xml:space="preserve">Item 7: </w:t>
      </w:r>
      <w:r w:rsidR="002A4A75" w:rsidRPr="009B07B6">
        <w:rPr>
          <w:b/>
          <w:sz w:val="24"/>
          <w:szCs w:val="24"/>
        </w:rPr>
        <w:t>Paragraph 12(1)(c)</w:t>
      </w:r>
    </w:p>
    <w:p w14:paraId="4B13AB5B" w14:textId="57045F0B" w:rsidR="003A2BE2" w:rsidRPr="009B07B6" w:rsidRDefault="003A2BE2" w:rsidP="00532925">
      <w:pPr>
        <w:pStyle w:val="Definition"/>
        <w:spacing w:line="276" w:lineRule="auto"/>
        <w:ind w:left="0"/>
        <w:rPr>
          <w:sz w:val="24"/>
          <w:szCs w:val="24"/>
        </w:rPr>
      </w:pPr>
      <w:r w:rsidRPr="009B07B6">
        <w:rPr>
          <w:sz w:val="24"/>
          <w:szCs w:val="24"/>
        </w:rPr>
        <w:t>Item 7 amends paragraph 12(1)(c) to omit the reference to ‘subregulation 6.01(2)’ and substitute it with ‘regulation 1.03C’. This updates an out-of-date cross-reference to a provision in the Superannuation Industry (Supervision) Regulations 1994.</w:t>
      </w:r>
      <w:r w:rsidR="00C81489" w:rsidRPr="009B07B6">
        <w:rPr>
          <w:sz w:val="24"/>
          <w:szCs w:val="24"/>
        </w:rPr>
        <w:t xml:space="preserve"> Th</w:t>
      </w:r>
      <w:r w:rsidR="00254F99" w:rsidRPr="009B07B6">
        <w:rPr>
          <w:sz w:val="24"/>
          <w:szCs w:val="24"/>
        </w:rPr>
        <w:t xml:space="preserve">is amendment </w:t>
      </w:r>
      <w:r w:rsidR="00C81489" w:rsidRPr="009B07B6">
        <w:rPr>
          <w:sz w:val="24"/>
          <w:szCs w:val="24"/>
        </w:rPr>
        <w:t>ensure</w:t>
      </w:r>
      <w:r w:rsidR="00254F99" w:rsidRPr="009B07B6">
        <w:rPr>
          <w:sz w:val="24"/>
          <w:szCs w:val="24"/>
        </w:rPr>
        <w:t>s</w:t>
      </w:r>
      <w:r w:rsidR="00C81489" w:rsidRPr="009B07B6">
        <w:rPr>
          <w:sz w:val="24"/>
          <w:szCs w:val="24"/>
        </w:rPr>
        <w:t xml:space="preserve"> that terminology in the FLS Regulations remains accurate and fit for purpose.</w:t>
      </w:r>
    </w:p>
    <w:p w14:paraId="4B542ACC" w14:textId="5C97E46E" w:rsidR="003D2E9F" w:rsidRPr="009B07B6" w:rsidRDefault="003D2E9F" w:rsidP="00532925">
      <w:pPr>
        <w:pStyle w:val="Definition"/>
        <w:spacing w:line="276" w:lineRule="auto"/>
        <w:ind w:left="0"/>
        <w:rPr>
          <w:b/>
          <w:sz w:val="24"/>
          <w:szCs w:val="24"/>
        </w:rPr>
      </w:pPr>
      <w:r w:rsidRPr="009B07B6">
        <w:rPr>
          <w:b/>
          <w:sz w:val="24"/>
          <w:szCs w:val="24"/>
        </w:rPr>
        <w:lastRenderedPageBreak/>
        <w:t xml:space="preserve">Item 8: Paragraph 12(1)(ea) </w:t>
      </w:r>
    </w:p>
    <w:p w14:paraId="0376FF6F" w14:textId="3F0505E1" w:rsidR="003D2E9F" w:rsidRPr="009B07B6" w:rsidRDefault="003D2E9F" w:rsidP="00532925">
      <w:pPr>
        <w:pStyle w:val="Definition"/>
        <w:spacing w:line="276" w:lineRule="auto"/>
        <w:ind w:left="0"/>
        <w:rPr>
          <w:sz w:val="24"/>
          <w:szCs w:val="24"/>
        </w:rPr>
      </w:pPr>
      <w:r w:rsidRPr="009B07B6">
        <w:rPr>
          <w:sz w:val="24"/>
          <w:szCs w:val="24"/>
        </w:rPr>
        <w:t xml:space="preserve">Item 8 amends paragraph 12(1)(ea) to omit ‘established by the </w:t>
      </w:r>
      <w:r w:rsidRPr="009B07B6">
        <w:rPr>
          <w:i/>
          <w:sz w:val="24"/>
          <w:szCs w:val="24"/>
        </w:rPr>
        <w:t xml:space="preserve">Superannuation (State Public Sector) Deed 1990 </w:t>
      </w:r>
      <w:r w:rsidRPr="009B07B6">
        <w:rPr>
          <w:sz w:val="24"/>
          <w:szCs w:val="24"/>
        </w:rPr>
        <w:t>(Qld)</w:t>
      </w:r>
      <w:r w:rsidR="00930D24" w:rsidRPr="009B07B6">
        <w:rPr>
          <w:sz w:val="24"/>
          <w:szCs w:val="24"/>
        </w:rPr>
        <w:t>’</w:t>
      </w:r>
      <w:r w:rsidRPr="009B07B6">
        <w:rPr>
          <w:sz w:val="24"/>
          <w:szCs w:val="24"/>
        </w:rPr>
        <w:t xml:space="preserve"> and substitute it with ‘continued in existence by the </w:t>
      </w:r>
      <w:r w:rsidRPr="009B07B6">
        <w:rPr>
          <w:i/>
          <w:sz w:val="24"/>
          <w:szCs w:val="24"/>
        </w:rPr>
        <w:t>Superannuation (State Public Sector) Act 1990</w:t>
      </w:r>
      <w:r w:rsidRPr="009B07B6">
        <w:rPr>
          <w:sz w:val="24"/>
          <w:szCs w:val="24"/>
        </w:rPr>
        <w:t xml:space="preserve"> (Qld)’.</w:t>
      </w:r>
    </w:p>
    <w:p w14:paraId="5AEEA0D8" w14:textId="7D95D65F" w:rsidR="003D2E9F" w:rsidRPr="009B07B6" w:rsidRDefault="003D2E9F" w:rsidP="00532925">
      <w:pPr>
        <w:pStyle w:val="Definition"/>
        <w:spacing w:line="276" w:lineRule="auto"/>
        <w:ind w:left="0"/>
        <w:rPr>
          <w:sz w:val="24"/>
          <w:szCs w:val="24"/>
        </w:rPr>
      </w:pPr>
      <w:r w:rsidRPr="009B07B6">
        <w:rPr>
          <w:sz w:val="24"/>
          <w:szCs w:val="24"/>
        </w:rPr>
        <w:t xml:space="preserve">This reflects the changes arising as a result of the merger and the subsequent commencement of section 5 of the </w:t>
      </w:r>
      <w:r w:rsidRPr="009B07B6">
        <w:rPr>
          <w:i/>
          <w:sz w:val="24"/>
          <w:szCs w:val="24"/>
        </w:rPr>
        <w:t xml:space="preserve">Superannuation (State Public Sector) (Scheme Administration) Amendment Act 2021 </w:t>
      </w:r>
      <w:r w:rsidRPr="009B07B6">
        <w:rPr>
          <w:sz w:val="24"/>
          <w:szCs w:val="24"/>
        </w:rPr>
        <w:t xml:space="preserve">(Qld) which repeals the </w:t>
      </w:r>
      <w:r w:rsidRPr="009B07B6">
        <w:rPr>
          <w:i/>
          <w:iCs/>
          <w:sz w:val="24"/>
          <w:szCs w:val="24"/>
        </w:rPr>
        <w:t>Superannuation (State Public Sector) Deed 1990</w:t>
      </w:r>
      <w:r w:rsidRPr="009B07B6">
        <w:rPr>
          <w:sz w:val="24"/>
          <w:szCs w:val="24"/>
        </w:rPr>
        <w:t xml:space="preserve"> (Qld) but enables the Scheme established under the </w:t>
      </w:r>
      <w:r w:rsidRPr="009B07B6">
        <w:rPr>
          <w:i/>
          <w:sz w:val="24"/>
          <w:szCs w:val="24"/>
        </w:rPr>
        <w:t>Superannuation (State Public Sector) Act 1990</w:t>
      </w:r>
      <w:r w:rsidRPr="009B07B6">
        <w:rPr>
          <w:sz w:val="24"/>
          <w:szCs w:val="24"/>
        </w:rPr>
        <w:t xml:space="preserve"> (Qld) to continue in existence. </w:t>
      </w:r>
      <w:r w:rsidR="00C81489" w:rsidRPr="009B07B6">
        <w:rPr>
          <w:sz w:val="24"/>
          <w:szCs w:val="24"/>
        </w:rPr>
        <w:t>Th</w:t>
      </w:r>
      <w:r w:rsidR="00254F99" w:rsidRPr="009B07B6">
        <w:rPr>
          <w:sz w:val="24"/>
          <w:szCs w:val="24"/>
        </w:rPr>
        <w:t xml:space="preserve">is amendment </w:t>
      </w:r>
      <w:r w:rsidR="00C81489" w:rsidRPr="009B07B6">
        <w:rPr>
          <w:sz w:val="24"/>
          <w:szCs w:val="24"/>
        </w:rPr>
        <w:t>ensure</w:t>
      </w:r>
      <w:r w:rsidR="00254F99" w:rsidRPr="009B07B6">
        <w:rPr>
          <w:sz w:val="24"/>
          <w:szCs w:val="24"/>
        </w:rPr>
        <w:t>s</w:t>
      </w:r>
      <w:r w:rsidR="00C81489" w:rsidRPr="009B07B6">
        <w:rPr>
          <w:sz w:val="24"/>
          <w:szCs w:val="24"/>
        </w:rPr>
        <w:t xml:space="preserve"> that terminology in the FLS Regulations remains accurate and fit for purpose.</w:t>
      </w:r>
    </w:p>
    <w:p w14:paraId="0821DD82" w14:textId="46F5565F" w:rsidR="003D2E9F" w:rsidRPr="009B07B6" w:rsidRDefault="003D2E9F" w:rsidP="00532925">
      <w:pPr>
        <w:pStyle w:val="Definition"/>
        <w:spacing w:line="276" w:lineRule="auto"/>
        <w:ind w:left="0"/>
        <w:rPr>
          <w:b/>
          <w:sz w:val="24"/>
          <w:szCs w:val="24"/>
        </w:rPr>
      </w:pPr>
      <w:r w:rsidRPr="009B07B6">
        <w:rPr>
          <w:b/>
          <w:sz w:val="24"/>
          <w:szCs w:val="24"/>
        </w:rPr>
        <w:t xml:space="preserve">Item 9: Subparagraphs 12(1)(ea)(i), (ii) and (iii) </w:t>
      </w:r>
    </w:p>
    <w:p w14:paraId="1AFA729B" w14:textId="6C199F03" w:rsidR="003D2E9F" w:rsidRPr="009B07B6" w:rsidRDefault="003D2E9F" w:rsidP="00532925">
      <w:pPr>
        <w:pStyle w:val="Item"/>
        <w:spacing w:line="276" w:lineRule="auto"/>
        <w:ind w:left="0"/>
        <w:rPr>
          <w:sz w:val="24"/>
          <w:szCs w:val="24"/>
        </w:rPr>
      </w:pPr>
      <w:r w:rsidRPr="009B07B6">
        <w:rPr>
          <w:sz w:val="24"/>
          <w:szCs w:val="24"/>
        </w:rPr>
        <w:t>Item 9 omits all references to the ‘</w:t>
      </w:r>
      <w:r w:rsidRPr="009B07B6">
        <w:rPr>
          <w:i/>
          <w:sz w:val="24"/>
          <w:szCs w:val="24"/>
        </w:rPr>
        <w:t>Superannuation (State Public Sector) Deed 1990</w:t>
      </w:r>
      <w:r w:rsidRPr="009B07B6">
        <w:rPr>
          <w:sz w:val="24"/>
          <w:szCs w:val="24"/>
        </w:rPr>
        <w:t xml:space="preserve"> (Qld), as in force at the commencement of the </w:t>
      </w:r>
      <w:r w:rsidRPr="009B07B6">
        <w:rPr>
          <w:i/>
          <w:sz w:val="24"/>
          <w:szCs w:val="24"/>
        </w:rPr>
        <w:t>Family Law Legislation Amendment (Superannuation) Act 2001</w:t>
      </w:r>
      <w:r w:rsidRPr="009B07B6">
        <w:rPr>
          <w:sz w:val="24"/>
          <w:szCs w:val="24"/>
        </w:rPr>
        <w:t xml:space="preserve">’ in subparagraphs 12(1)(ea)(i), (ii) and (iii) and substitutes them with ‘Participation Schedule’. </w:t>
      </w:r>
      <w:r w:rsidR="002D4B69">
        <w:rPr>
          <w:sz w:val="24"/>
          <w:szCs w:val="24"/>
        </w:rPr>
        <w:t xml:space="preserve">‘Participation Schedule’ is defined in Regulation 3, as inserted by Item 1. </w:t>
      </w:r>
      <w:r w:rsidR="00CA7D37" w:rsidRPr="009B07B6">
        <w:rPr>
          <w:sz w:val="24"/>
          <w:szCs w:val="24"/>
        </w:rPr>
        <w:t>Th</w:t>
      </w:r>
      <w:r w:rsidR="00254F99" w:rsidRPr="009B07B6">
        <w:rPr>
          <w:sz w:val="24"/>
          <w:szCs w:val="24"/>
        </w:rPr>
        <w:t>is amendment ensures</w:t>
      </w:r>
      <w:r w:rsidR="00AD780F" w:rsidRPr="009B07B6">
        <w:rPr>
          <w:sz w:val="24"/>
          <w:szCs w:val="24"/>
        </w:rPr>
        <w:t xml:space="preserve"> </w:t>
      </w:r>
      <w:r w:rsidR="00CA7D37" w:rsidRPr="009B07B6">
        <w:rPr>
          <w:sz w:val="24"/>
          <w:szCs w:val="24"/>
        </w:rPr>
        <w:t>that terminology in the FLS Regulations remains accurate and fit for purpose.</w:t>
      </w:r>
    </w:p>
    <w:p w14:paraId="221CDF90" w14:textId="448F2F8A" w:rsidR="008C0635" w:rsidRPr="009B07B6" w:rsidRDefault="003D2E9F" w:rsidP="00532925">
      <w:pPr>
        <w:pStyle w:val="ItemHead"/>
        <w:spacing w:line="276" w:lineRule="auto"/>
        <w:rPr>
          <w:rFonts w:ascii="Times New Roman" w:hAnsi="Times New Roman"/>
          <w:szCs w:val="24"/>
        </w:rPr>
      </w:pPr>
      <w:r w:rsidRPr="009B07B6">
        <w:rPr>
          <w:rFonts w:ascii="Times New Roman" w:hAnsi="Times New Roman"/>
          <w:szCs w:val="24"/>
        </w:rPr>
        <w:t xml:space="preserve">Item </w:t>
      </w:r>
      <w:r w:rsidR="00656ADC" w:rsidRPr="009B07B6">
        <w:rPr>
          <w:rFonts w:ascii="Times New Roman" w:hAnsi="Times New Roman"/>
          <w:szCs w:val="24"/>
        </w:rPr>
        <w:t>10:</w:t>
      </w:r>
      <w:r w:rsidRPr="009B07B6">
        <w:rPr>
          <w:rFonts w:ascii="Times New Roman" w:hAnsi="Times New Roman"/>
          <w:szCs w:val="24"/>
        </w:rPr>
        <w:t xml:space="preserve"> At the end of paragraph 12(1)(ea) </w:t>
      </w:r>
    </w:p>
    <w:p w14:paraId="503CF0B8" w14:textId="4D773C09" w:rsidR="008C0635" w:rsidRPr="009B07B6" w:rsidRDefault="008C0635" w:rsidP="00532925">
      <w:pPr>
        <w:pStyle w:val="ItemHead"/>
        <w:spacing w:line="276" w:lineRule="auto"/>
        <w:ind w:left="0" w:firstLine="0"/>
        <w:rPr>
          <w:rFonts w:ascii="Times New Roman" w:hAnsi="Times New Roman"/>
          <w:szCs w:val="24"/>
        </w:rPr>
      </w:pPr>
      <w:r w:rsidRPr="009B07B6">
        <w:rPr>
          <w:rFonts w:ascii="Times New Roman" w:hAnsi="Times New Roman"/>
          <w:b w:val="0"/>
          <w:szCs w:val="24"/>
        </w:rPr>
        <w:t xml:space="preserve">Item 10 inserts a note at the end of paragraph 12(1)(ea) stating that ‘In 2022, the scheme continued in existence by the </w:t>
      </w:r>
      <w:r w:rsidRPr="009B07B6">
        <w:rPr>
          <w:rFonts w:ascii="Times New Roman" w:hAnsi="Times New Roman"/>
          <w:b w:val="0"/>
          <w:i/>
          <w:szCs w:val="24"/>
        </w:rPr>
        <w:t xml:space="preserve">Superannuation (State Public Sector) Act 1990 </w:t>
      </w:r>
      <w:r w:rsidRPr="009B07B6">
        <w:rPr>
          <w:rFonts w:ascii="Times New Roman" w:hAnsi="Times New Roman"/>
          <w:b w:val="0"/>
          <w:szCs w:val="24"/>
        </w:rPr>
        <w:t xml:space="preserve">(Qld) was known as the Australian Retirement Trust’. </w:t>
      </w:r>
      <w:r w:rsidR="00254F99" w:rsidRPr="009B07B6">
        <w:rPr>
          <w:rFonts w:ascii="Times New Roman" w:hAnsi="Times New Roman"/>
          <w:b w:val="0"/>
          <w:szCs w:val="24"/>
        </w:rPr>
        <w:t>This amendment records</w:t>
      </w:r>
      <w:r w:rsidR="00C81489" w:rsidRPr="009B07B6">
        <w:rPr>
          <w:rFonts w:ascii="Times New Roman" w:hAnsi="Times New Roman"/>
          <w:b w:val="0"/>
          <w:szCs w:val="24"/>
        </w:rPr>
        <w:t xml:space="preserve"> </w:t>
      </w:r>
      <w:r w:rsidRPr="009B07B6">
        <w:rPr>
          <w:rFonts w:ascii="Times New Roman" w:hAnsi="Times New Roman"/>
          <w:b w:val="0"/>
          <w:szCs w:val="24"/>
        </w:rPr>
        <w:t xml:space="preserve">the current name of the Scheme as of 2022. </w:t>
      </w:r>
    </w:p>
    <w:p w14:paraId="46C4F171" w14:textId="77777777" w:rsidR="00C062D0" w:rsidRPr="009B07B6" w:rsidRDefault="00C062D0" w:rsidP="00532925">
      <w:pPr>
        <w:spacing w:after="0"/>
        <w:rPr>
          <w:rFonts w:ascii="Times New Roman" w:hAnsi="Times New Roman" w:cs="Times New Roman"/>
          <w:b/>
          <w:sz w:val="24"/>
          <w:szCs w:val="24"/>
        </w:rPr>
      </w:pPr>
    </w:p>
    <w:p w14:paraId="64E17701" w14:textId="200322FD" w:rsidR="00765B10" w:rsidRPr="009B07B6" w:rsidRDefault="00765B10" w:rsidP="00532925">
      <w:pPr>
        <w:rPr>
          <w:rFonts w:ascii="Times New Roman" w:hAnsi="Times New Roman" w:cs="Times New Roman"/>
          <w:b/>
          <w:sz w:val="24"/>
          <w:szCs w:val="24"/>
        </w:rPr>
      </w:pPr>
      <w:r w:rsidRPr="009B07B6">
        <w:rPr>
          <w:rFonts w:ascii="Times New Roman" w:hAnsi="Times New Roman" w:cs="Times New Roman"/>
          <w:b/>
          <w:sz w:val="24"/>
          <w:szCs w:val="24"/>
        </w:rPr>
        <w:t>Part 2 – Amendments commencing 28 December 2002</w:t>
      </w:r>
    </w:p>
    <w:p w14:paraId="48C5149A" w14:textId="0E381539" w:rsidR="00DE3176" w:rsidRPr="009B07B6" w:rsidRDefault="00DE3176" w:rsidP="00532925">
      <w:pPr>
        <w:rPr>
          <w:rFonts w:ascii="Times New Roman" w:hAnsi="Times New Roman" w:cs="Times New Roman"/>
          <w:b/>
          <w:sz w:val="24"/>
          <w:szCs w:val="24"/>
        </w:rPr>
      </w:pPr>
      <w:r w:rsidRPr="009B07B6">
        <w:rPr>
          <w:rFonts w:ascii="Times New Roman" w:hAnsi="Times New Roman" w:cs="Times New Roman"/>
          <w:b/>
          <w:sz w:val="24"/>
          <w:szCs w:val="24"/>
        </w:rPr>
        <w:t xml:space="preserve">Item </w:t>
      </w:r>
      <w:r w:rsidR="00C36A7D" w:rsidRPr="009B07B6">
        <w:rPr>
          <w:rFonts w:ascii="Times New Roman" w:hAnsi="Times New Roman" w:cs="Times New Roman"/>
          <w:b/>
          <w:sz w:val="24"/>
          <w:szCs w:val="24"/>
        </w:rPr>
        <w:t>11:</w:t>
      </w:r>
      <w:r w:rsidRPr="009B07B6">
        <w:rPr>
          <w:rFonts w:ascii="Times New Roman" w:hAnsi="Times New Roman" w:cs="Times New Roman"/>
          <w:b/>
          <w:sz w:val="24"/>
          <w:szCs w:val="24"/>
        </w:rPr>
        <w:t xml:space="preserve"> </w:t>
      </w:r>
      <w:r w:rsidR="00C36A7D" w:rsidRPr="009B07B6">
        <w:rPr>
          <w:rFonts w:ascii="Times New Roman" w:hAnsi="Times New Roman" w:cs="Times New Roman"/>
          <w:b/>
          <w:sz w:val="24"/>
          <w:szCs w:val="24"/>
        </w:rPr>
        <w:t>Subregulation 64(2)</w:t>
      </w:r>
    </w:p>
    <w:p w14:paraId="4B800AFC" w14:textId="73473447" w:rsidR="009C7F0A" w:rsidRPr="009B07B6" w:rsidRDefault="00B70298" w:rsidP="006916F9">
      <w:pPr>
        <w:rPr>
          <w:rFonts w:ascii="Times New Roman" w:hAnsi="Times New Roman" w:cs="Times New Roman"/>
          <w:sz w:val="24"/>
          <w:szCs w:val="24"/>
        </w:rPr>
      </w:pPr>
      <w:r w:rsidRPr="009B07B6">
        <w:rPr>
          <w:rFonts w:ascii="Times New Roman" w:hAnsi="Times New Roman" w:cs="Times New Roman"/>
          <w:sz w:val="24"/>
          <w:szCs w:val="24"/>
        </w:rPr>
        <w:t xml:space="preserve">Item 11 </w:t>
      </w:r>
      <w:r w:rsidR="009C7F0A" w:rsidRPr="009B07B6">
        <w:rPr>
          <w:rFonts w:ascii="Times New Roman" w:hAnsi="Times New Roman" w:cs="Times New Roman"/>
          <w:sz w:val="24"/>
          <w:szCs w:val="24"/>
        </w:rPr>
        <w:t xml:space="preserve">inserts a </w:t>
      </w:r>
      <w:r w:rsidR="007B0178" w:rsidRPr="009B07B6">
        <w:rPr>
          <w:rFonts w:ascii="Times New Roman" w:hAnsi="Times New Roman" w:cs="Times New Roman"/>
          <w:sz w:val="24"/>
          <w:szCs w:val="24"/>
        </w:rPr>
        <w:t>cross-</w:t>
      </w:r>
      <w:r w:rsidR="009C7F0A" w:rsidRPr="009B07B6">
        <w:rPr>
          <w:rFonts w:ascii="Times New Roman" w:hAnsi="Times New Roman" w:cs="Times New Roman"/>
          <w:sz w:val="24"/>
          <w:szCs w:val="24"/>
        </w:rPr>
        <w:t>reference to subregulation 64(7AA) into subregulation 64(</w:t>
      </w:r>
      <w:r w:rsidR="008F41FE">
        <w:rPr>
          <w:rFonts w:ascii="Times New Roman" w:hAnsi="Times New Roman" w:cs="Times New Roman"/>
          <w:sz w:val="24"/>
          <w:szCs w:val="24"/>
        </w:rPr>
        <w:t>2</w:t>
      </w:r>
      <w:r w:rsidR="009C7F0A" w:rsidRPr="009B07B6">
        <w:rPr>
          <w:rFonts w:ascii="Times New Roman" w:hAnsi="Times New Roman" w:cs="Times New Roman"/>
          <w:sz w:val="24"/>
          <w:szCs w:val="24"/>
        </w:rPr>
        <w:t>). Subregulation 64(7AA) is prescribed in Item 12. This amendment allows subregulation 64(2) to apply to determinations made under subregulation</w:t>
      </w:r>
      <w:r w:rsidR="002D4B69">
        <w:rPr>
          <w:rFonts w:ascii="Times New Roman" w:hAnsi="Times New Roman" w:cs="Times New Roman"/>
          <w:sz w:val="24"/>
          <w:szCs w:val="24"/>
        </w:rPr>
        <w:t> </w:t>
      </w:r>
      <w:r w:rsidR="009C7F0A" w:rsidRPr="009B07B6">
        <w:rPr>
          <w:rFonts w:ascii="Times New Roman" w:hAnsi="Times New Roman" w:cs="Times New Roman"/>
          <w:sz w:val="24"/>
          <w:szCs w:val="24"/>
        </w:rPr>
        <w:t xml:space="preserve">64(7AA). </w:t>
      </w:r>
      <w:r w:rsidR="00254F99" w:rsidRPr="009B07B6">
        <w:rPr>
          <w:rFonts w:ascii="Times New Roman" w:hAnsi="Times New Roman" w:cs="Times New Roman"/>
          <w:sz w:val="24"/>
          <w:szCs w:val="24"/>
        </w:rPr>
        <w:t>This amendment ensures</w:t>
      </w:r>
      <w:r w:rsidR="00C81489" w:rsidRPr="009B07B6">
        <w:rPr>
          <w:rFonts w:ascii="Times New Roman" w:hAnsi="Times New Roman" w:cs="Times New Roman"/>
          <w:sz w:val="24"/>
          <w:szCs w:val="24"/>
        </w:rPr>
        <w:t xml:space="preserve"> that the new subregulation 64A(7AA) is properly incorporated within the FLS Regulations and referred to where necessary.</w:t>
      </w:r>
    </w:p>
    <w:p w14:paraId="3CA05FEB" w14:textId="77777777" w:rsidR="00E71D09" w:rsidRDefault="00DE3176" w:rsidP="00E71D09">
      <w:pPr>
        <w:rPr>
          <w:rFonts w:ascii="Times New Roman" w:hAnsi="Times New Roman" w:cs="Times New Roman"/>
          <w:b/>
          <w:sz w:val="24"/>
          <w:szCs w:val="24"/>
        </w:rPr>
      </w:pPr>
      <w:r w:rsidRPr="00E71D09">
        <w:rPr>
          <w:rFonts w:ascii="Times New Roman" w:hAnsi="Times New Roman" w:cs="Times New Roman"/>
          <w:b/>
          <w:sz w:val="24"/>
          <w:szCs w:val="24"/>
        </w:rPr>
        <w:t xml:space="preserve">Item </w:t>
      </w:r>
      <w:r w:rsidR="00C36A7D" w:rsidRPr="00E71D09">
        <w:rPr>
          <w:rFonts w:ascii="Times New Roman" w:hAnsi="Times New Roman" w:cs="Times New Roman"/>
          <w:b/>
          <w:sz w:val="24"/>
          <w:szCs w:val="24"/>
        </w:rPr>
        <w:t>12: After subregulation 64(7)</w:t>
      </w:r>
      <w:bookmarkStart w:id="2" w:name="_Hlk95913102"/>
    </w:p>
    <w:p w14:paraId="301501DA" w14:textId="558090CC" w:rsidR="008D250D" w:rsidRPr="00E71D09" w:rsidRDefault="008D250D" w:rsidP="00E71D09">
      <w:r w:rsidRPr="00E71D09">
        <w:rPr>
          <w:rFonts w:ascii="Times New Roman" w:hAnsi="Times New Roman" w:cs="Times New Roman"/>
          <w:sz w:val="24"/>
          <w:szCs w:val="24"/>
        </w:rPr>
        <w:t xml:space="preserve">Item 12 inserts a new subregulation 64(7AA) </w:t>
      </w:r>
      <w:r w:rsidR="002D4B69">
        <w:rPr>
          <w:rFonts w:ascii="Times New Roman" w:hAnsi="Times New Roman" w:cs="Times New Roman"/>
          <w:sz w:val="24"/>
          <w:szCs w:val="24"/>
        </w:rPr>
        <w:t xml:space="preserve">to enable </w:t>
      </w:r>
      <w:r w:rsidRPr="00E71D09">
        <w:rPr>
          <w:rFonts w:ascii="Times New Roman" w:hAnsi="Times New Roman" w:cs="Times New Roman"/>
          <w:sz w:val="24"/>
          <w:szCs w:val="24"/>
        </w:rPr>
        <w:t xml:space="preserve">the Minister to make an information determination in respect of a hybrid superannuation fund (that is, a fund which has both defined benefit and accumulation components). </w:t>
      </w:r>
      <w:r w:rsidR="00C81489" w:rsidRPr="00E71D09">
        <w:rPr>
          <w:rFonts w:ascii="Times New Roman" w:hAnsi="Times New Roman" w:cs="Times New Roman"/>
          <w:sz w:val="24"/>
          <w:szCs w:val="24"/>
        </w:rPr>
        <w:t xml:space="preserve">Information determinations set out what information a trustee is required to provide in relation to a superannuation interest. </w:t>
      </w:r>
      <w:r w:rsidRPr="00E71D09">
        <w:rPr>
          <w:rFonts w:ascii="Times New Roman" w:hAnsi="Times New Roman" w:cs="Times New Roman"/>
          <w:sz w:val="24"/>
          <w:szCs w:val="24"/>
        </w:rPr>
        <w:t xml:space="preserve">This brings the treatment of hybrid funds in line with </w:t>
      </w:r>
      <w:r w:rsidR="008F41FE">
        <w:rPr>
          <w:rFonts w:ascii="Times New Roman" w:hAnsi="Times New Roman" w:cs="Times New Roman"/>
          <w:sz w:val="24"/>
          <w:szCs w:val="24"/>
        </w:rPr>
        <w:t xml:space="preserve">the Minister’s </w:t>
      </w:r>
      <w:r w:rsidRPr="00E71D09">
        <w:rPr>
          <w:rFonts w:ascii="Times New Roman" w:hAnsi="Times New Roman" w:cs="Times New Roman"/>
          <w:sz w:val="24"/>
          <w:szCs w:val="24"/>
        </w:rPr>
        <w:t xml:space="preserve">existing powers to make determinations under the FLS Regulations for accumulation funds (regulation 63) and </w:t>
      </w:r>
      <w:r w:rsidRPr="00E71D09">
        <w:rPr>
          <w:rFonts w:ascii="Times New Roman" w:hAnsi="Times New Roman" w:cs="Times New Roman"/>
          <w:sz w:val="24"/>
          <w:szCs w:val="24"/>
        </w:rPr>
        <w:lastRenderedPageBreak/>
        <w:t>defined benefit funds (regulation 64). Subregulation 64(7AA) will operate retrospectively to provide legislative authority for any information determinations for hybrid funds which have already been made.</w:t>
      </w:r>
      <w:bookmarkEnd w:id="2"/>
    </w:p>
    <w:p w14:paraId="728B5619" w14:textId="12069F17" w:rsidR="008672ED" w:rsidRPr="00E71D09" w:rsidRDefault="00EF4B6F" w:rsidP="00FF5A01">
      <w:pPr>
        <w:pStyle w:val="TableText"/>
        <w:keepNext/>
        <w:keepLines/>
        <w:spacing w:before="0" w:after="0" w:line="276" w:lineRule="auto"/>
        <w:rPr>
          <w:rFonts w:ascii="Times New Roman" w:hAnsi="Times New Roman" w:cs="Times New Roman"/>
          <w:sz w:val="24"/>
          <w:szCs w:val="24"/>
        </w:rPr>
      </w:pPr>
      <w:bookmarkStart w:id="3" w:name="_Hlk95913238"/>
      <w:r w:rsidRPr="00E71D09">
        <w:rPr>
          <w:rFonts w:ascii="Times New Roman" w:hAnsi="Times New Roman" w:cs="Times New Roman"/>
          <w:sz w:val="24"/>
          <w:szCs w:val="24"/>
        </w:rPr>
        <w:t xml:space="preserve">While retrospective in its application, subregulation 64(7AA) </w:t>
      </w:r>
      <w:r w:rsidR="00C81489" w:rsidRPr="00E71D09">
        <w:rPr>
          <w:rFonts w:ascii="Times New Roman" w:hAnsi="Times New Roman" w:cs="Times New Roman"/>
          <w:sz w:val="24"/>
          <w:szCs w:val="24"/>
        </w:rPr>
        <w:t>does not engage</w:t>
      </w:r>
      <w:r w:rsidRPr="00E71D09">
        <w:rPr>
          <w:rFonts w:ascii="Times New Roman" w:hAnsi="Times New Roman" w:cs="Times New Roman"/>
          <w:sz w:val="24"/>
          <w:szCs w:val="24"/>
        </w:rPr>
        <w:t xml:space="preserve"> subsection</w:t>
      </w:r>
      <w:r w:rsidR="008F41FE">
        <w:rPr>
          <w:rFonts w:ascii="Times New Roman" w:hAnsi="Times New Roman" w:cs="Times New Roman"/>
          <w:sz w:val="24"/>
          <w:szCs w:val="24"/>
        </w:rPr>
        <w:t> </w:t>
      </w:r>
      <w:r w:rsidRPr="00E71D09">
        <w:rPr>
          <w:rFonts w:ascii="Times New Roman" w:hAnsi="Times New Roman" w:cs="Times New Roman"/>
          <w:sz w:val="24"/>
          <w:szCs w:val="24"/>
        </w:rPr>
        <w:t xml:space="preserve">12(2) of the </w:t>
      </w:r>
      <w:r w:rsidRPr="00E71D09">
        <w:rPr>
          <w:rFonts w:ascii="Times New Roman" w:hAnsi="Times New Roman" w:cs="Times New Roman"/>
          <w:i/>
          <w:sz w:val="24"/>
          <w:szCs w:val="24"/>
        </w:rPr>
        <w:t xml:space="preserve">Legislation Act 2003, </w:t>
      </w:r>
      <w:r w:rsidRPr="00E71D09">
        <w:rPr>
          <w:rFonts w:ascii="Times New Roman" w:hAnsi="Times New Roman" w:cs="Times New Roman"/>
          <w:sz w:val="24"/>
          <w:szCs w:val="24"/>
        </w:rPr>
        <w:t xml:space="preserve">as it </w:t>
      </w:r>
      <w:r w:rsidR="005B25C9" w:rsidRPr="00E71D09">
        <w:rPr>
          <w:rFonts w:ascii="Times New Roman" w:hAnsi="Times New Roman" w:cs="Times New Roman"/>
          <w:sz w:val="24"/>
          <w:szCs w:val="24"/>
        </w:rPr>
        <w:t xml:space="preserve">does </w:t>
      </w:r>
      <w:r w:rsidRPr="00E71D09">
        <w:rPr>
          <w:rFonts w:ascii="Times New Roman" w:hAnsi="Times New Roman" w:cs="Times New Roman"/>
          <w:sz w:val="24"/>
          <w:szCs w:val="24"/>
        </w:rPr>
        <w:t>not affect the rights of a person so as to disadvantage the person nor to impose liabilities on a person prior to the instrument’s registration.</w:t>
      </w:r>
      <w:r w:rsidR="005B25C9" w:rsidRPr="00E71D09">
        <w:rPr>
          <w:rFonts w:ascii="Times New Roman" w:hAnsi="Times New Roman" w:cs="Times New Roman"/>
          <w:sz w:val="24"/>
          <w:szCs w:val="24"/>
        </w:rPr>
        <w:t xml:space="preserve"> </w:t>
      </w:r>
      <w:r w:rsidR="008D250D" w:rsidRPr="00E71D09">
        <w:rPr>
          <w:rFonts w:ascii="Times New Roman" w:hAnsi="Times New Roman" w:cs="Times New Roman"/>
          <w:sz w:val="24"/>
          <w:szCs w:val="24"/>
        </w:rPr>
        <w:t>The subregulation provide</w:t>
      </w:r>
      <w:r w:rsidR="00B305AB" w:rsidRPr="00E71D09">
        <w:rPr>
          <w:rFonts w:ascii="Times New Roman" w:hAnsi="Times New Roman" w:cs="Times New Roman"/>
          <w:sz w:val="24"/>
          <w:szCs w:val="24"/>
        </w:rPr>
        <w:t>s</w:t>
      </w:r>
      <w:r w:rsidR="008D250D" w:rsidRPr="00E71D09">
        <w:rPr>
          <w:rFonts w:ascii="Times New Roman" w:hAnsi="Times New Roman" w:cs="Times New Roman"/>
          <w:sz w:val="24"/>
          <w:szCs w:val="24"/>
        </w:rPr>
        <w:t xml:space="preserve"> a clear legislative basis to support the provision of complete information by superannuation trustees in relation to the valuation of superannuation interests for a hybrid fund,</w:t>
      </w:r>
      <w:r w:rsidR="0042095A">
        <w:rPr>
          <w:rFonts w:ascii="Times New Roman" w:hAnsi="Times New Roman" w:cs="Times New Roman"/>
          <w:sz w:val="24"/>
          <w:szCs w:val="24"/>
        </w:rPr>
        <w:t xml:space="preserve"> where information determinations have been made.</w:t>
      </w:r>
      <w:r w:rsidR="008D250D" w:rsidRPr="00E71D09">
        <w:rPr>
          <w:rFonts w:ascii="Times New Roman" w:hAnsi="Times New Roman" w:cs="Times New Roman"/>
          <w:sz w:val="24"/>
          <w:szCs w:val="24"/>
        </w:rPr>
        <w:t xml:space="preserve"> </w:t>
      </w:r>
      <w:r w:rsidR="0042095A">
        <w:rPr>
          <w:rFonts w:ascii="Times New Roman" w:hAnsi="Times New Roman" w:cs="Times New Roman"/>
          <w:sz w:val="24"/>
          <w:szCs w:val="24"/>
        </w:rPr>
        <w:t xml:space="preserve">It would </w:t>
      </w:r>
      <w:r w:rsidR="008D250D" w:rsidRPr="00E71D09">
        <w:rPr>
          <w:rFonts w:ascii="Times New Roman" w:hAnsi="Times New Roman" w:cs="Times New Roman"/>
          <w:sz w:val="24"/>
          <w:szCs w:val="24"/>
        </w:rPr>
        <w:t xml:space="preserve">also </w:t>
      </w:r>
      <w:r w:rsidR="00A032F3" w:rsidRPr="00E71D09">
        <w:rPr>
          <w:rFonts w:ascii="Times New Roman" w:hAnsi="Times New Roman" w:cs="Times New Roman"/>
          <w:sz w:val="24"/>
          <w:szCs w:val="24"/>
        </w:rPr>
        <w:t>minimis</w:t>
      </w:r>
      <w:r w:rsidR="00A032F3">
        <w:rPr>
          <w:rFonts w:ascii="Times New Roman" w:hAnsi="Times New Roman" w:cs="Times New Roman"/>
          <w:sz w:val="24"/>
          <w:szCs w:val="24"/>
        </w:rPr>
        <w:t>e</w:t>
      </w:r>
      <w:r w:rsidR="00A032F3" w:rsidRPr="00E71D09">
        <w:rPr>
          <w:rFonts w:ascii="Times New Roman" w:hAnsi="Times New Roman" w:cs="Times New Roman"/>
          <w:sz w:val="24"/>
          <w:szCs w:val="24"/>
        </w:rPr>
        <w:t xml:space="preserve"> </w:t>
      </w:r>
      <w:r w:rsidR="008D250D" w:rsidRPr="00E71D09">
        <w:rPr>
          <w:rFonts w:ascii="Times New Roman" w:hAnsi="Times New Roman" w:cs="Times New Roman"/>
          <w:sz w:val="24"/>
          <w:szCs w:val="24"/>
        </w:rPr>
        <w:t xml:space="preserve">the administrative burden in respect of an information determination for a hybrid fund. </w:t>
      </w:r>
      <w:bookmarkEnd w:id="3"/>
    </w:p>
    <w:p w14:paraId="00E507D9" w14:textId="77777777" w:rsidR="00FF5A01" w:rsidRPr="00E71D09" w:rsidRDefault="00FF5A01" w:rsidP="006916F9">
      <w:pPr>
        <w:pStyle w:val="TableText"/>
        <w:keepNext/>
        <w:keepLines/>
        <w:spacing w:before="0" w:after="0"/>
        <w:rPr>
          <w:rFonts w:ascii="Times New Roman" w:hAnsi="Times New Roman" w:cs="Times New Roman"/>
          <w:sz w:val="24"/>
          <w:szCs w:val="24"/>
        </w:rPr>
      </w:pPr>
    </w:p>
    <w:p w14:paraId="2334B6EE" w14:textId="4A23C02A" w:rsidR="00C36A7D" w:rsidRPr="00E71D09" w:rsidRDefault="00C36A7D" w:rsidP="00532925">
      <w:pPr>
        <w:rPr>
          <w:rFonts w:ascii="Times New Roman" w:hAnsi="Times New Roman" w:cs="Times New Roman"/>
          <w:b/>
          <w:sz w:val="24"/>
          <w:szCs w:val="24"/>
        </w:rPr>
      </w:pPr>
      <w:r w:rsidRPr="00E71D09">
        <w:rPr>
          <w:rFonts w:ascii="Times New Roman" w:hAnsi="Times New Roman" w:cs="Times New Roman"/>
          <w:b/>
          <w:sz w:val="24"/>
          <w:szCs w:val="24"/>
        </w:rPr>
        <w:t>Item 13: Subregulation 64(8)</w:t>
      </w:r>
    </w:p>
    <w:p w14:paraId="37901565" w14:textId="4C363581" w:rsidR="009C7F0A" w:rsidRPr="00E71D09" w:rsidRDefault="009C7F0A" w:rsidP="00532925">
      <w:pPr>
        <w:rPr>
          <w:rFonts w:ascii="Times New Roman" w:hAnsi="Times New Roman" w:cs="Times New Roman"/>
          <w:sz w:val="24"/>
          <w:szCs w:val="24"/>
        </w:rPr>
      </w:pPr>
      <w:r w:rsidRPr="00E71D09">
        <w:rPr>
          <w:rFonts w:ascii="Times New Roman" w:hAnsi="Times New Roman" w:cs="Times New Roman"/>
          <w:sz w:val="24"/>
          <w:szCs w:val="24"/>
        </w:rPr>
        <w:t xml:space="preserve">Item 13 inserts a </w:t>
      </w:r>
      <w:r w:rsidR="007B0178" w:rsidRPr="00E71D09">
        <w:rPr>
          <w:rFonts w:ascii="Times New Roman" w:hAnsi="Times New Roman" w:cs="Times New Roman"/>
          <w:sz w:val="24"/>
          <w:szCs w:val="24"/>
        </w:rPr>
        <w:t>cross-</w:t>
      </w:r>
      <w:r w:rsidRPr="00E71D09">
        <w:rPr>
          <w:rFonts w:ascii="Times New Roman" w:hAnsi="Times New Roman" w:cs="Times New Roman"/>
          <w:sz w:val="24"/>
          <w:szCs w:val="24"/>
        </w:rPr>
        <w:t xml:space="preserve">reference to subregulation 64(7AA) into subregulation 64(8). Subregulation 64(7AA) is prescribed in Item 12. This amendment provides that a determination made by the Minister under subregulation 64(7AA) is a legislative instrument. </w:t>
      </w:r>
      <w:r w:rsidR="001F6067" w:rsidRPr="00E71D09">
        <w:rPr>
          <w:rFonts w:ascii="Times New Roman" w:hAnsi="Times New Roman" w:cs="Times New Roman"/>
          <w:sz w:val="24"/>
          <w:szCs w:val="24"/>
        </w:rPr>
        <w:t>This</w:t>
      </w:r>
      <w:r w:rsidR="00C81489" w:rsidRPr="00E71D09">
        <w:rPr>
          <w:rFonts w:ascii="Times New Roman" w:hAnsi="Times New Roman" w:cs="Times New Roman"/>
          <w:sz w:val="24"/>
          <w:szCs w:val="24"/>
        </w:rPr>
        <w:t xml:space="preserve"> amendment ensure</w:t>
      </w:r>
      <w:r w:rsidR="001F6067" w:rsidRPr="00E71D09">
        <w:rPr>
          <w:rFonts w:ascii="Times New Roman" w:hAnsi="Times New Roman" w:cs="Times New Roman"/>
          <w:sz w:val="24"/>
          <w:szCs w:val="24"/>
        </w:rPr>
        <w:t>s</w:t>
      </w:r>
      <w:r w:rsidR="00C81489" w:rsidRPr="00E71D09">
        <w:rPr>
          <w:rFonts w:ascii="Times New Roman" w:hAnsi="Times New Roman" w:cs="Times New Roman"/>
          <w:sz w:val="24"/>
          <w:szCs w:val="24"/>
        </w:rPr>
        <w:t xml:space="preserve"> that the new subregulation 64A(7AA) is properly incorporated within the FLS Regulations and referred to where necessary.</w:t>
      </w:r>
    </w:p>
    <w:p w14:paraId="4A43EB75" w14:textId="227D2B75" w:rsidR="000518D9" w:rsidRPr="00E71D09" w:rsidRDefault="00C36A7D" w:rsidP="00532925">
      <w:pPr>
        <w:rPr>
          <w:rFonts w:ascii="Times New Roman" w:hAnsi="Times New Roman" w:cs="Times New Roman"/>
          <w:b/>
          <w:sz w:val="24"/>
          <w:szCs w:val="24"/>
        </w:rPr>
      </w:pPr>
      <w:r w:rsidRPr="00E71D09">
        <w:rPr>
          <w:rFonts w:ascii="Times New Roman" w:hAnsi="Times New Roman" w:cs="Times New Roman"/>
          <w:b/>
          <w:sz w:val="24"/>
          <w:szCs w:val="24"/>
        </w:rPr>
        <w:t>Item 14: Subparagraph 64A(1)(c)(i)</w:t>
      </w:r>
    </w:p>
    <w:p w14:paraId="4D52A540" w14:textId="479F66D5" w:rsidR="00167EBF" w:rsidRPr="00E71D09" w:rsidRDefault="00167EBF" w:rsidP="00532925">
      <w:pPr>
        <w:rPr>
          <w:rFonts w:ascii="Times New Roman" w:hAnsi="Times New Roman" w:cs="Times New Roman"/>
          <w:sz w:val="24"/>
          <w:szCs w:val="24"/>
        </w:rPr>
      </w:pPr>
      <w:r w:rsidRPr="00E71D09">
        <w:rPr>
          <w:rFonts w:ascii="Times New Roman" w:hAnsi="Times New Roman" w:cs="Times New Roman"/>
          <w:sz w:val="24"/>
          <w:szCs w:val="24"/>
        </w:rPr>
        <w:t xml:space="preserve">Item 14 inserts a </w:t>
      </w:r>
      <w:r w:rsidR="007B0178" w:rsidRPr="00E71D09">
        <w:rPr>
          <w:rFonts w:ascii="Times New Roman" w:hAnsi="Times New Roman" w:cs="Times New Roman"/>
          <w:sz w:val="24"/>
          <w:szCs w:val="24"/>
        </w:rPr>
        <w:t>cross-</w:t>
      </w:r>
      <w:r w:rsidRPr="00E71D09">
        <w:rPr>
          <w:rFonts w:ascii="Times New Roman" w:hAnsi="Times New Roman" w:cs="Times New Roman"/>
          <w:sz w:val="24"/>
          <w:szCs w:val="24"/>
        </w:rPr>
        <w:t xml:space="preserve">reference to subregulation 64(7AA) into subparagraph 64A(1)(c)(i). Subregulation 64(7AA) is prescribed in Item 12. This provides </w:t>
      </w:r>
      <w:r w:rsidR="007F5645" w:rsidRPr="00E71D09">
        <w:rPr>
          <w:rFonts w:ascii="Times New Roman" w:hAnsi="Times New Roman" w:cs="Times New Roman"/>
          <w:sz w:val="24"/>
          <w:szCs w:val="24"/>
        </w:rPr>
        <w:t>that the</w:t>
      </w:r>
      <w:r w:rsidRPr="00E71D09">
        <w:rPr>
          <w:rFonts w:ascii="Times New Roman" w:hAnsi="Times New Roman" w:cs="Times New Roman"/>
          <w:sz w:val="24"/>
          <w:szCs w:val="24"/>
        </w:rPr>
        <w:t xml:space="preserve"> definition of ‘underlying valuation information’ </w:t>
      </w:r>
      <w:r w:rsidR="007F5645" w:rsidRPr="00E71D09">
        <w:rPr>
          <w:rFonts w:ascii="Times New Roman" w:hAnsi="Times New Roman" w:cs="Times New Roman"/>
          <w:sz w:val="24"/>
          <w:szCs w:val="24"/>
        </w:rPr>
        <w:t>applies to</w:t>
      </w:r>
      <w:r w:rsidRPr="00E71D09">
        <w:rPr>
          <w:rFonts w:ascii="Times New Roman" w:hAnsi="Times New Roman" w:cs="Times New Roman"/>
          <w:sz w:val="24"/>
          <w:szCs w:val="24"/>
        </w:rPr>
        <w:t xml:space="preserve"> determinations made under subregulation 64(7AA). </w:t>
      </w:r>
      <w:r w:rsidR="001F6067" w:rsidRPr="00E71D09">
        <w:rPr>
          <w:rFonts w:ascii="Times New Roman" w:hAnsi="Times New Roman" w:cs="Times New Roman"/>
          <w:sz w:val="24"/>
          <w:szCs w:val="24"/>
        </w:rPr>
        <w:t>This amendment ensures</w:t>
      </w:r>
      <w:r w:rsidR="00C81489" w:rsidRPr="00E71D09">
        <w:rPr>
          <w:rFonts w:ascii="Times New Roman" w:hAnsi="Times New Roman" w:cs="Times New Roman"/>
          <w:sz w:val="24"/>
          <w:szCs w:val="24"/>
        </w:rPr>
        <w:t xml:space="preserve"> that the new subregulation</w:t>
      </w:r>
      <w:r w:rsidR="008F41FE">
        <w:rPr>
          <w:rFonts w:ascii="Times New Roman" w:hAnsi="Times New Roman" w:cs="Times New Roman"/>
          <w:sz w:val="24"/>
          <w:szCs w:val="24"/>
        </w:rPr>
        <w:t> </w:t>
      </w:r>
      <w:r w:rsidR="00C81489" w:rsidRPr="00E71D09">
        <w:rPr>
          <w:rFonts w:ascii="Times New Roman" w:hAnsi="Times New Roman" w:cs="Times New Roman"/>
          <w:sz w:val="24"/>
          <w:szCs w:val="24"/>
        </w:rPr>
        <w:t>64A(7AA) is properly incorporated within the FLS Regulations and referred to where necessary.</w:t>
      </w:r>
    </w:p>
    <w:p w14:paraId="6E0302CF" w14:textId="77777777" w:rsidR="00EA17E3" w:rsidRPr="00E71D09" w:rsidRDefault="00EA17E3" w:rsidP="00532925">
      <w:pPr>
        <w:rPr>
          <w:rFonts w:ascii="Times New Roman" w:hAnsi="Times New Roman" w:cs="Times New Roman"/>
          <w:sz w:val="24"/>
          <w:szCs w:val="24"/>
        </w:rPr>
      </w:pPr>
    </w:p>
    <w:p w14:paraId="09BFDCFF" w14:textId="139F6863" w:rsidR="00F33269" w:rsidRPr="00E71D09" w:rsidRDefault="00F33269" w:rsidP="00AD780F">
      <w:pPr>
        <w:rPr>
          <w:rFonts w:ascii="Times New Roman" w:hAnsi="Times New Roman" w:cs="Times New Roman"/>
          <w:b/>
          <w:sz w:val="24"/>
          <w:szCs w:val="24"/>
          <w:u w:val="single"/>
        </w:rPr>
      </w:pPr>
    </w:p>
    <w:sectPr w:rsidR="00F33269" w:rsidRPr="00E71D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A085F" w14:textId="77777777" w:rsidR="000D045D" w:rsidRDefault="000D045D" w:rsidP="0002636A">
      <w:pPr>
        <w:spacing w:after="0" w:line="240" w:lineRule="auto"/>
      </w:pPr>
      <w:r>
        <w:separator/>
      </w:r>
    </w:p>
    <w:p w14:paraId="1A401BCD" w14:textId="77777777" w:rsidR="000D045D" w:rsidRDefault="000D045D"/>
  </w:endnote>
  <w:endnote w:type="continuationSeparator" w:id="0">
    <w:p w14:paraId="021A4293" w14:textId="77777777" w:rsidR="000D045D" w:rsidRDefault="000D045D" w:rsidP="0002636A">
      <w:pPr>
        <w:spacing w:after="0" w:line="240" w:lineRule="auto"/>
      </w:pPr>
      <w:r>
        <w:continuationSeparator/>
      </w:r>
    </w:p>
    <w:p w14:paraId="4478A30C" w14:textId="77777777" w:rsidR="000D045D" w:rsidRDefault="000D0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BE4E64">
          <w:rPr>
            <w:noProof/>
          </w:rPr>
          <w:t>7</w:t>
        </w:r>
        <w:r>
          <w:rPr>
            <w:noProof/>
          </w:rPr>
          <w:fldChar w:fldCharType="end"/>
        </w:r>
      </w:p>
    </w:sdtContent>
  </w:sdt>
  <w:p w14:paraId="09BFDD05" w14:textId="77777777" w:rsidR="0002636A" w:rsidRDefault="0002636A">
    <w:pPr>
      <w:pStyle w:val="Footer"/>
    </w:pPr>
  </w:p>
  <w:p w14:paraId="1B06CFC8" w14:textId="77777777" w:rsidR="009B79A1" w:rsidRDefault="009B79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8343" w14:textId="77777777" w:rsidR="000D045D" w:rsidRDefault="000D045D" w:rsidP="0002636A">
      <w:pPr>
        <w:spacing w:after="0" w:line="240" w:lineRule="auto"/>
      </w:pPr>
      <w:r>
        <w:separator/>
      </w:r>
    </w:p>
    <w:p w14:paraId="57B969A5" w14:textId="77777777" w:rsidR="000D045D" w:rsidRDefault="000D045D"/>
  </w:footnote>
  <w:footnote w:type="continuationSeparator" w:id="0">
    <w:p w14:paraId="275C6F94" w14:textId="77777777" w:rsidR="000D045D" w:rsidRDefault="000D045D" w:rsidP="0002636A">
      <w:pPr>
        <w:spacing w:after="0" w:line="240" w:lineRule="auto"/>
      </w:pPr>
      <w:r>
        <w:continuationSeparator/>
      </w:r>
    </w:p>
    <w:p w14:paraId="20314421" w14:textId="77777777" w:rsidR="000D045D" w:rsidRDefault="000D04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E08ED"/>
    <w:multiLevelType w:val="hybridMultilevel"/>
    <w:tmpl w:val="5BD6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95D68"/>
    <w:multiLevelType w:val="multilevel"/>
    <w:tmpl w:val="6B9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F40FB"/>
    <w:multiLevelType w:val="hybridMultilevel"/>
    <w:tmpl w:val="36D044FC"/>
    <w:lvl w:ilvl="0" w:tplc="8C1E07A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8946B980" w:tentative="1">
      <w:start w:val="1"/>
      <w:numFmt w:val="lowerRoman"/>
      <w:lvlText w:val="%3."/>
      <w:lvlJc w:val="right"/>
      <w:pPr>
        <w:ind w:left="2160" w:hanging="180"/>
      </w:pPr>
    </w:lvl>
    <w:lvl w:ilvl="3" w:tplc="F474BE0A" w:tentative="1">
      <w:start w:val="1"/>
      <w:numFmt w:val="decimal"/>
      <w:lvlText w:val="%4."/>
      <w:lvlJc w:val="left"/>
      <w:pPr>
        <w:ind w:left="2880" w:hanging="360"/>
      </w:pPr>
    </w:lvl>
    <w:lvl w:ilvl="4" w:tplc="19346868" w:tentative="1">
      <w:start w:val="1"/>
      <w:numFmt w:val="lowerLetter"/>
      <w:lvlText w:val="%5."/>
      <w:lvlJc w:val="left"/>
      <w:pPr>
        <w:ind w:left="3600" w:hanging="360"/>
      </w:pPr>
    </w:lvl>
    <w:lvl w:ilvl="5" w:tplc="C9A67B96" w:tentative="1">
      <w:start w:val="1"/>
      <w:numFmt w:val="lowerRoman"/>
      <w:lvlText w:val="%6."/>
      <w:lvlJc w:val="right"/>
      <w:pPr>
        <w:ind w:left="4320" w:hanging="180"/>
      </w:pPr>
    </w:lvl>
    <w:lvl w:ilvl="6" w:tplc="916A09CA" w:tentative="1">
      <w:start w:val="1"/>
      <w:numFmt w:val="decimal"/>
      <w:lvlText w:val="%7."/>
      <w:lvlJc w:val="left"/>
      <w:pPr>
        <w:ind w:left="5040" w:hanging="360"/>
      </w:pPr>
    </w:lvl>
    <w:lvl w:ilvl="7" w:tplc="F2E02BB2" w:tentative="1">
      <w:start w:val="1"/>
      <w:numFmt w:val="lowerLetter"/>
      <w:lvlText w:val="%8."/>
      <w:lvlJc w:val="left"/>
      <w:pPr>
        <w:ind w:left="5760" w:hanging="360"/>
      </w:pPr>
    </w:lvl>
    <w:lvl w:ilvl="8" w:tplc="909EA178" w:tentative="1">
      <w:start w:val="1"/>
      <w:numFmt w:val="lowerRoman"/>
      <w:lvlText w:val="%9."/>
      <w:lvlJc w:val="right"/>
      <w:pPr>
        <w:ind w:left="6480" w:hanging="180"/>
      </w:pPr>
    </w:lvl>
  </w:abstractNum>
  <w:abstractNum w:abstractNumId="5" w15:restartNumberingAfterBreak="0">
    <w:nsid w:val="18327664"/>
    <w:multiLevelType w:val="multilevel"/>
    <w:tmpl w:val="F6D4AF86"/>
    <w:lvl w:ilvl="0">
      <w:start w:val="1"/>
      <w:numFmt w:val="decimal"/>
      <w:pStyle w:val="NumberLevel1"/>
      <w:lvlText w:val="%1."/>
      <w:lvlJc w:val="left"/>
      <w:pPr>
        <w:tabs>
          <w:tab w:val="num" w:pos="709"/>
        </w:tabs>
        <w:ind w:left="0" w:hanging="709"/>
      </w:pPr>
      <w:rPr>
        <w:rFonts w:ascii="Arial" w:hAnsi="Arial" w:cs="Arial"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3869B0"/>
    <w:multiLevelType w:val="hybridMultilevel"/>
    <w:tmpl w:val="AFBC55AE"/>
    <w:lvl w:ilvl="0" w:tplc="B964E7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3F44D5"/>
    <w:multiLevelType w:val="hybridMultilevel"/>
    <w:tmpl w:val="B2AC1E24"/>
    <w:lvl w:ilvl="0" w:tplc="8C1E07A2">
      <w:start w:val="1"/>
      <w:numFmt w:val="decimal"/>
      <w:lvlText w:val="%1."/>
      <w:lvlJc w:val="left"/>
      <w:pPr>
        <w:ind w:left="720" w:hanging="360"/>
      </w:pPr>
      <w:rPr>
        <w:rFonts w:hint="default"/>
      </w:rPr>
    </w:lvl>
    <w:lvl w:ilvl="1" w:tplc="1D4A1A90">
      <w:start w:val="1"/>
      <w:numFmt w:val="lowerLetter"/>
      <w:lvlText w:val="%2."/>
      <w:lvlJc w:val="left"/>
      <w:pPr>
        <w:ind w:left="1440" w:hanging="360"/>
      </w:pPr>
    </w:lvl>
    <w:lvl w:ilvl="2" w:tplc="8946B980" w:tentative="1">
      <w:start w:val="1"/>
      <w:numFmt w:val="lowerRoman"/>
      <w:lvlText w:val="%3."/>
      <w:lvlJc w:val="right"/>
      <w:pPr>
        <w:ind w:left="2160" w:hanging="180"/>
      </w:pPr>
    </w:lvl>
    <w:lvl w:ilvl="3" w:tplc="F474BE0A" w:tentative="1">
      <w:start w:val="1"/>
      <w:numFmt w:val="decimal"/>
      <w:lvlText w:val="%4."/>
      <w:lvlJc w:val="left"/>
      <w:pPr>
        <w:ind w:left="2880" w:hanging="360"/>
      </w:pPr>
    </w:lvl>
    <w:lvl w:ilvl="4" w:tplc="19346868" w:tentative="1">
      <w:start w:val="1"/>
      <w:numFmt w:val="lowerLetter"/>
      <w:lvlText w:val="%5."/>
      <w:lvlJc w:val="left"/>
      <w:pPr>
        <w:ind w:left="3600" w:hanging="360"/>
      </w:pPr>
    </w:lvl>
    <w:lvl w:ilvl="5" w:tplc="C9A67B96" w:tentative="1">
      <w:start w:val="1"/>
      <w:numFmt w:val="lowerRoman"/>
      <w:lvlText w:val="%6."/>
      <w:lvlJc w:val="right"/>
      <w:pPr>
        <w:ind w:left="4320" w:hanging="180"/>
      </w:pPr>
    </w:lvl>
    <w:lvl w:ilvl="6" w:tplc="916A09CA" w:tentative="1">
      <w:start w:val="1"/>
      <w:numFmt w:val="decimal"/>
      <w:lvlText w:val="%7."/>
      <w:lvlJc w:val="left"/>
      <w:pPr>
        <w:ind w:left="5040" w:hanging="360"/>
      </w:pPr>
    </w:lvl>
    <w:lvl w:ilvl="7" w:tplc="F2E02BB2" w:tentative="1">
      <w:start w:val="1"/>
      <w:numFmt w:val="lowerLetter"/>
      <w:lvlText w:val="%8."/>
      <w:lvlJc w:val="left"/>
      <w:pPr>
        <w:ind w:left="5760" w:hanging="360"/>
      </w:pPr>
    </w:lvl>
    <w:lvl w:ilvl="8" w:tplc="909EA178" w:tentative="1">
      <w:start w:val="1"/>
      <w:numFmt w:val="lowerRoman"/>
      <w:lvlText w:val="%9."/>
      <w:lvlJc w:val="right"/>
      <w:pPr>
        <w:ind w:left="6480" w:hanging="180"/>
      </w:pPr>
    </w:lvl>
  </w:abstractNum>
  <w:abstractNum w:abstractNumId="11" w15:restartNumberingAfterBreak="0">
    <w:nsid w:val="563E4C9A"/>
    <w:multiLevelType w:val="hybridMultilevel"/>
    <w:tmpl w:val="A022E3BA"/>
    <w:lvl w:ilvl="0" w:tplc="B810B392">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321559"/>
    <w:multiLevelType w:val="hybridMultilevel"/>
    <w:tmpl w:val="6354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0B3972"/>
    <w:multiLevelType w:val="hybridMultilevel"/>
    <w:tmpl w:val="C814424E"/>
    <w:lvl w:ilvl="0" w:tplc="C76C222C">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2"/>
  </w:num>
  <w:num w:numId="2">
    <w:abstractNumId w:val="3"/>
  </w:num>
  <w:num w:numId="3">
    <w:abstractNumId w:val="14"/>
  </w:num>
  <w:num w:numId="4">
    <w:abstractNumId w:val="19"/>
  </w:num>
  <w:num w:numId="5">
    <w:abstractNumId w:val="6"/>
  </w:num>
  <w:num w:numId="6">
    <w:abstractNumId w:val="20"/>
  </w:num>
  <w:num w:numId="7">
    <w:abstractNumId w:val="0"/>
  </w:num>
  <w:num w:numId="8">
    <w:abstractNumId w:val="13"/>
  </w:num>
  <w:num w:numId="9">
    <w:abstractNumId w:val="7"/>
  </w:num>
  <w:num w:numId="10">
    <w:abstractNumId w:val="17"/>
  </w:num>
  <w:num w:numId="11">
    <w:abstractNumId w:val="16"/>
  </w:num>
  <w:num w:numId="12">
    <w:abstractNumId w:val="15"/>
  </w:num>
  <w:num w:numId="13">
    <w:abstractNumId w:val="8"/>
  </w:num>
  <w:num w:numId="14">
    <w:abstractNumId w:val="10"/>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9"/>
  </w:num>
  <w:num w:numId="20">
    <w:abstractNumId w:val="2"/>
  </w:num>
  <w:num w:numId="21">
    <w:abstractNumId w:val="11"/>
  </w:num>
  <w:num w:numId="22">
    <w:abstractNumId w:val="18"/>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2E2A"/>
    <w:rsid w:val="00005CAB"/>
    <w:rsid w:val="00012AD6"/>
    <w:rsid w:val="0002143D"/>
    <w:rsid w:val="0002636A"/>
    <w:rsid w:val="000415BA"/>
    <w:rsid w:val="00043840"/>
    <w:rsid w:val="0004436D"/>
    <w:rsid w:val="000518D9"/>
    <w:rsid w:val="00051C5C"/>
    <w:rsid w:val="000527EB"/>
    <w:rsid w:val="00054BBE"/>
    <w:rsid w:val="0005618E"/>
    <w:rsid w:val="00076BFD"/>
    <w:rsid w:val="00090C39"/>
    <w:rsid w:val="00092565"/>
    <w:rsid w:val="00093C8F"/>
    <w:rsid w:val="000A1D77"/>
    <w:rsid w:val="000A66BD"/>
    <w:rsid w:val="000C6BA6"/>
    <w:rsid w:val="000D045D"/>
    <w:rsid w:val="000E1EA1"/>
    <w:rsid w:val="000E23BC"/>
    <w:rsid w:val="000E2C80"/>
    <w:rsid w:val="000F0FB1"/>
    <w:rsid w:val="000F19DD"/>
    <w:rsid w:val="000F6B95"/>
    <w:rsid w:val="0010364C"/>
    <w:rsid w:val="00106CBA"/>
    <w:rsid w:val="00111E78"/>
    <w:rsid w:val="00127A7B"/>
    <w:rsid w:val="001315C3"/>
    <w:rsid w:val="00132863"/>
    <w:rsid w:val="00137EAC"/>
    <w:rsid w:val="00145E3A"/>
    <w:rsid w:val="001469C7"/>
    <w:rsid w:val="00146C4D"/>
    <w:rsid w:val="001470C3"/>
    <w:rsid w:val="00147DF7"/>
    <w:rsid w:val="00152584"/>
    <w:rsid w:val="00167EBF"/>
    <w:rsid w:val="0017041F"/>
    <w:rsid w:val="00170488"/>
    <w:rsid w:val="001722CB"/>
    <w:rsid w:val="0017632E"/>
    <w:rsid w:val="00182F63"/>
    <w:rsid w:val="0018318C"/>
    <w:rsid w:val="00186EFA"/>
    <w:rsid w:val="00195A18"/>
    <w:rsid w:val="001965C6"/>
    <w:rsid w:val="001A048D"/>
    <w:rsid w:val="001A0631"/>
    <w:rsid w:val="001A56E6"/>
    <w:rsid w:val="001C4696"/>
    <w:rsid w:val="001C553D"/>
    <w:rsid w:val="001D27B3"/>
    <w:rsid w:val="001D3031"/>
    <w:rsid w:val="001F6067"/>
    <w:rsid w:val="001F764E"/>
    <w:rsid w:val="00201AC1"/>
    <w:rsid w:val="00203D29"/>
    <w:rsid w:val="00204940"/>
    <w:rsid w:val="0020682D"/>
    <w:rsid w:val="002108C4"/>
    <w:rsid w:val="0021561C"/>
    <w:rsid w:val="00220EC5"/>
    <w:rsid w:val="00227446"/>
    <w:rsid w:val="00227CE4"/>
    <w:rsid w:val="0024600D"/>
    <w:rsid w:val="002477AB"/>
    <w:rsid w:val="00254F99"/>
    <w:rsid w:val="002550FC"/>
    <w:rsid w:val="0026109C"/>
    <w:rsid w:val="002616F8"/>
    <w:rsid w:val="00262B9E"/>
    <w:rsid w:val="002650A0"/>
    <w:rsid w:val="002808D8"/>
    <w:rsid w:val="00285D7D"/>
    <w:rsid w:val="00295E62"/>
    <w:rsid w:val="002A189C"/>
    <w:rsid w:val="002A4A75"/>
    <w:rsid w:val="002A62AD"/>
    <w:rsid w:val="002B361E"/>
    <w:rsid w:val="002C23E5"/>
    <w:rsid w:val="002C474E"/>
    <w:rsid w:val="002C5B76"/>
    <w:rsid w:val="002D0F84"/>
    <w:rsid w:val="002D4B69"/>
    <w:rsid w:val="002D68D9"/>
    <w:rsid w:val="002E1A27"/>
    <w:rsid w:val="002E2783"/>
    <w:rsid w:val="002E5785"/>
    <w:rsid w:val="002F029D"/>
    <w:rsid w:val="002F04ED"/>
    <w:rsid w:val="002F6F30"/>
    <w:rsid w:val="00301BAC"/>
    <w:rsid w:val="00306383"/>
    <w:rsid w:val="003069B8"/>
    <w:rsid w:val="00312D68"/>
    <w:rsid w:val="0031428C"/>
    <w:rsid w:val="0031716E"/>
    <w:rsid w:val="00322559"/>
    <w:rsid w:val="00327FB4"/>
    <w:rsid w:val="003304A2"/>
    <w:rsid w:val="003479C9"/>
    <w:rsid w:val="003516FD"/>
    <w:rsid w:val="00366C8F"/>
    <w:rsid w:val="003705FB"/>
    <w:rsid w:val="00381AEC"/>
    <w:rsid w:val="003873E6"/>
    <w:rsid w:val="00393DFF"/>
    <w:rsid w:val="003A2BE2"/>
    <w:rsid w:val="003A39AB"/>
    <w:rsid w:val="003B2C31"/>
    <w:rsid w:val="003B5558"/>
    <w:rsid w:val="003B6050"/>
    <w:rsid w:val="003B6527"/>
    <w:rsid w:val="003B7D30"/>
    <w:rsid w:val="003C05C9"/>
    <w:rsid w:val="003C3090"/>
    <w:rsid w:val="003C3F42"/>
    <w:rsid w:val="003C6789"/>
    <w:rsid w:val="003D2E9F"/>
    <w:rsid w:val="003D51B8"/>
    <w:rsid w:val="003D65D5"/>
    <w:rsid w:val="003E2A05"/>
    <w:rsid w:val="0040047A"/>
    <w:rsid w:val="00400B94"/>
    <w:rsid w:val="00404104"/>
    <w:rsid w:val="00413D2A"/>
    <w:rsid w:val="0042095A"/>
    <w:rsid w:val="00425041"/>
    <w:rsid w:val="00426D9E"/>
    <w:rsid w:val="00431868"/>
    <w:rsid w:val="00447EC2"/>
    <w:rsid w:val="004518A4"/>
    <w:rsid w:val="00455F5B"/>
    <w:rsid w:val="004563AF"/>
    <w:rsid w:val="00460A7D"/>
    <w:rsid w:val="00463740"/>
    <w:rsid w:val="004709FE"/>
    <w:rsid w:val="0049094A"/>
    <w:rsid w:val="0049679A"/>
    <w:rsid w:val="004A0438"/>
    <w:rsid w:val="004A4086"/>
    <w:rsid w:val="004A59CC"/>
    <w:rsid w:val="004A5E9E"/>
    <w:rsid w:val="004B3C03"/>
    <w:rsid w:val="004E4050"/>
    <w:rsid w:val="004F0AA8"/>
    <w:rsid w:val="004F430F"/>
    <w:rsid w:val="0050398F"/>
    <w:rsid w:val="00507F49"/>
    <w:rsid w:val="00514AF5"/>
    <w:rsid w:val="00516568"/>
    <w:rsid w:val="00521029"/>
    <w:rsid w:val="00532925"/>
    <w:rsid w:val="0054070E"/>
    <w:rsid w:val="00547269"/>
    <w:rsid w:val="00564937"/>
    <w:rsid w:val="00566C9B"/>
    <w:rsid w:val="00570AB4"/>
    <w:rsid w:val="00570DE9"/>
    <w:rsid w:val="00573F03"/>
    <w:rsid w:val="00575656"/>
    <w:rsid w:val="005766D9"/>
    <w:rsid w:val="00585283"/>
    <w:rsid w:val="005A09FA"/>
    <w:rsid w:val="005A281A"/>
    <w:rsid w:val="005A59D0"/>
    <w:rsid w:val="005B25C9"/>
    <w:rsid w:val="005B31E6"/>
    <w:rsid w:val="005C3544"/>
    <w:rsid w:val="005D194A"/>
    <w:rsid w:val="005E2C79"/>
    <w:rsid w:val="005E2FDE"/>
    <w:rsid w:val="005E4AAD"/>
    <w:rsid w:val="005E6637"/>
    <w:rsid w:val="006013E9"/>
    <w:rsid w:val="0060145D"/>
    <w:rsid w:val="006226A7"/>
    <w:rsid w:val="0063239B"/>
    <w:rsid w:val="00634AE9"/>
    <w:rsid w:val="00635C6A"/>
    <w:rsid w:val="00636B1C"/>
    <w:rsid w:val="006428A0"/>
    <w:rsid w:val="00644258"/>
    <w:rsid w:val="0065348E"/>
    <w:rsid w:val="00656ADC"/>
    <w:rsid w:val="00670C8D"/>
    <w:rsid w:val="00671212"/>
    <w:rsid w:val="0067158D"/>
    <w:rsid w:val="00673999"/>
    <w:rsid w:val="00674543"/>
    <w:rsid w:val="0067721B"/>
    <w:rsid w:val="006916F9"/>
    <w:rsid w:val="0069633D"/>
    <w:rsid w:val="00697926"/>
    <w:rsid w:val="006A17BE"/>
    <w:rsid w:val="006A5DBF"/>
    <w:rsid w:val="006B10DA"/>
    <w:rsid w:val="006C0559"/>
    <w:rsid w:val="006C0C08"/>
    <w:rsid w:val="006C7A4D"/>
    <w:rsid w:val="006D0D51"/>
    <w:rsid w:val="006E38E0"/>
    <w:rsid w:val="006F7B88"/>
    <w:rsid w:val="00706269"/>
    <w:rsid w:val="0072154A"/>
    <w:rsid w:val="00727D3F"/>
    <w:rsid w:val="007400F6"/>
    <w:rsid w:val="007453C2"/>
    <w:rsid w:val="00745F27"/>
    <w:rsid w:val="00753DA2"/>
    <w:rsid w:val="00756B74"/>
    <w:rsid w:val="00760D91"/>
    <w:rsid w:val="007637F9"/>
    <w:rsid w:val="00765B10"/>
    <w:rsid w:val="00773173"/>
    <w:rsid w:val="007769F3"/>
    <w:rsid w:val="007810F6"/>
    <w:rsid w:val="0078694F"/>
    <w:rsid w:val="007974AF"/>
    <w:rsid w:val="007A0A11"/>
    <w:rsid w:val="007A1DA2"/>
    <w:rsid w:val="007B0178"/>
    <w:rsid w:val="007B7195"/>
    <w:rsid w:val="007C1F35"/>
    <w:rsid w:val="007C51BB"/>
    <w:rsid w:val="007F0526"/>
    <w:rsid w:val="007F1D53"/>
    <w:rsid w:val="007F1FA2"/>
    <w:rsid w:val="007F3317"/>
    <w:rsid w:val="007F5645"/>
    <w:rsid w:val="007F59EE"/>
    <w:rsid w:val="0080296A"/>
    <w:rsid w:val="00804C8B"/>
    <w:rsid w:val="008053C1"/>
    <w:rsid w:val="00806706"/>
    <w:rsid w:val="008124DB"/>
    <w:rsid w:val="0081426B"/>
    <w:rsid w:val="00815D2C"/>
    <w:rsid w:val="0082494A"/>
    <w:rsid w:val="00826261"/>
    <w:rsid w:val="00830B68"/>
    <w:rsid w:val="0085661F"/>
    <w:rsid w:val="00860F94"/>
    <w:rsid w:val="00863443"/>
    <w:rsid w:val="008672ED"/>
    <w:rsid w:val="00867590"/>
    <w:rsid w:val="008721B4"/>
    <w:rsid w:val="00872B27"/>
    <w:rsid w:val="00874EC7"/>
    <w:rsid w:val="00876BC6"/>
    <w:rsid w:val="008773BC"/>
    <w:rsid w:val="00880491"/>
    <w:rsid w:val="00886241"/>
    <w:rsid w:val="008946CE"/>
    <w:rsid w:val="00894D9D"/>
    <w:rsid w:val="008A0071"/>
    <w:rsid w:val="008B0271"/>
    <w:rsid w:val="008B20B0"/>
    <w:rsid w:val="008B2955"/>
    <w:rsid w:val="008B6F07"/>
    <w:rsid w:val="008C0082"/>
    <w:rsid w:val="008C0635"/>
    <w:rsid w:val="008C6429"/>
    <w:rsid w:val="008C70C7"/>
    <w:rsid w:val="008D0749"/>
    <w:rsid w:val="008D1C66"/>
    <w:rsid w:val="008D250D"/>
    <w:rsid w:val="008E21C7"/>
    <w:rsid w:val="008E3DD4"/>
    <w:rsid w:val="008E5104"/>
    <w:rsid w:val="008F2DC7"/>
    <w:rsid w:val="008F3B2C"/>
    <w:rsid w:val="008F41FE"/>
    <w:rsid w:val="008F732C"/>
    <w:rsid w:val="00900564"/>
    <w:rsid w:val="0090161C"/>
    <w:rsid w:val="009019F7"/>
    <w:rsid w:val="00901A8B"/>
    <w:rsid w:val="00902F3D"/>
    <w:rsid w:val="009056B0"/>
    <w:rsid w:val="00906429"/>
    <w:rsid w:val="00906764"/>
    <w:rsid w:val="00911332"/>
    <w:rsid w:val="0091587A"/>
    <w:rsid w:val="00917DF7"/>
    <w:rsid w:val="009227B6"/>
    <w:rsid w:val="009274B0"/>
    <w:rsid w:val="00930D24"/>
    <w:rsid w:val="009334DF"/>
    <w:rsid w:val="0093380C"/>
    <w:rsid w:val="009358AD"/>
    <w:rsid w:val="00942641"/>
    <w:rsid w:val="00957401"/>
    <w:rsid w:val="009601BB"/>
    <w:rsid w:val="009621FB"/>
    <w:rsid w:val="009767D9"/>
    <w:rsid w:val="009825B9"/>
    <w:rsid w:val="0098558D"/>
    <w:rsid w:val="00985634"/>
    <w:rsid w:val="00987A94"/>
    <w:rsid w:val="009A165A"/>
    <w:rsid w:val="009B064C"/>
    <w:rsid w:val="009B07B6"/>
    <w:rsid w:val="009B1F88"/>
    <w:rsid w:val="009B6322"/>
    <w:rsid w:val="009B79A1"/>
    <w:rsid w:val="009C0BE2"/>
    <w:rsid w:val="009C7F0A"/>
    <w:rsid w:val="009D0AC4"/>
    <w:rsid w:val="009D2B82"/>
    <w:rsid w:val="009E386F"/>
    <w:rsid w:val="009F39AA"/>
    <w:rsid w:val="009F4449"/>
    <w:rsid w:val="009F6A80"/>
    <w:rsid w:val="00A032F3"/>
    <w:rsid w:val="00A039C1"/>
    <w:rsid w:val="00A046DA"/>
    <w:rsid w:val="00A059FB"/>
    <w:rsid w:val="00A156CF"/>
    <w:rsid w:val="00A247EB"/>
    <w:rsid w:val="00A27861"/>
    <w:rsid w:val="00A35855"/>
    <w:rsid w:val="00A451B0"/>
    <w:rsid w:val="00A55842"/>
    <w:rsid w:val="00A7305F"/>
    <w:rsid w:val="00A85C16"/>
    <w:rsid w:val="00A929CF"/>
    <w:rsid w:val="00AA3FD1"/>
    <w:rsid w:val="00AA5A0A"/>
    <w:rsid w:val="00AA62D6"/>
    <w:rsid w:val="00AB3F89"/>
    <w:rsid w:val="00AB4FD0"/>
    <w:rsid w:val="00AC00BA"/>
    <w:rsid w:val="00AC0326"/>
    <w:rsid w:val="00AC181E"/>
    <w:rsid w:val="00AC39E5"/>
    <w:rsid w:val="00AC6936"/>
    <w:rsid w:val="00AD243A"/>
    <w:rsid w:val="00AD780F"/>
    <w:rsid w:val="00AE2E94"/>
    <w:rsid w:val="00AE6BD4"/>
    <w:rsid w:val="00AE74CA"/>
    <w:rsid w:val="00AF0C63"/>
    <w:rsid w:val="00AF673F"/>
    <w:rsid w:val="00AF74ED"/>
    <w:rsid w:val="00B00C71"/>
    <w:rsid w:val="00B24DBF"/>
    <w:rsid w:val="00B273E1"/>
    <w:rsid w:val="00B27764"/>
    <w:rsid w:val="00B305AB"/>
    <w:rsid w:val="00B30CB1"/>
    <w:rsid w:val="00B3599A"/>
    <w:rsid w:val="00B427D5"/>
    <w:rsid w:val="00B42A55"/>
    <w:rsid w:val="00B44B38"/>
    <w:rsid w:val="00B57503"/>
    <w:rsid w:val="00B70298"/>
    <w:rsid w:val="00B776CF"/>
    <w:rsid w:val="00B828BC"/>
    <w:rsid w:val="00B82DB0"/>
    <w:rsid w:val="00B83312"/>
    <w:rsid w:val="00B92443"/>
    <w:rsid w:val="00B94B9B"/>
    <w:rsid w:val="00BA17FB"/>
    <w:rsid w:val="00BA2EAB"/>
    <w:rsid w:val="00BA3F3C"/>
    <w:rsid w:val="00BA5A88"/>
    <w:rsid w:val="00BB1D0F"/>
    <w:rsid w:val="00BB4BF1"/>
    <w:rsid w:val="00BC07D6"/>
    <w:rsid w:val="00BD11FC"/>
    <w:rsid w:val="00BD46A1"/>
    <w:rsid w:val="00BE4E64"/>
    <w:rsid w:val="00BF03ED"/>
    <w:rsid w:val="00C045B7"/>
    <w:rsid w:val="00C04706"/>
    <w:rsid w:val="00C05FF1"/>
    <w:rsid w:val="00C062D0"/>
    <w:rsid w:val="00C11163"/>
    <w:rsid w:val="00C12B3F"/>
    <w:rsid w:val="00C16B35"/>
    <w:rsid w:val="00C2055E"/>
    <w:rsid w:val="00C23B30"/>
    <w:rsid w:val="00C24CA1"/>
    <w:rsid w:val="00C30579"/>
    <w:rsid w:val="00C36A7D"/>
    <w:rsid w:val="00C42C55"/>
    <w:rsid w:val="00C437B6"/>
    <w:rsid w:val="00C477A3"/>
    <w:rsid w:val="00C51C34"/>
    <w:rsid w:val="00C81489"/>
    <w:rsid w:val="00C82A13"/>
    <w:rsid w:val="00C858F4"/>
    <w:rsid w:val="00C86CEF"/>
    <w:rsid w:val="00C90A27"/>
    <w:rsid w:val="00C93322"/>
    <w:rsid w:val="00CA46E4"/>
    <w:rsid w:val="00CA7D37"/>
    <w:rsid w:val="00CB1418"/>
    <w:rsid w:val="00CB5195"/>
    <w:rsid w:val="00CB7006"/>
    <w:rsid w:val="00CD0B92"/>
    <w:rsid w:val="00CE1B90"/>
    <w:rsid w:val="00CE6485"/>
    <w:rsid w:val="00CF14E3"/>
    <w:rsid w:val="00CF2A05"/>
    <w:rsid w:val="00CF3763"/>
    <w:rsid w:val="00CF4897"/>
    <w:rsid w:val="00CF4A17"/>
    <w:rsid w:val="00D027E1"/>
    <w:rsid w:val="00D05B38"/>
    <w:rsid w:val="00D0622E"/>
    <w:rsid w:val="00D174D7"/>
    <w:rsid w:val="00D224B0"/>
    <w:rsid w:val="00D23817"/>
    <w:rsid w:val="00D25E72"/>
    <w:rsid w:val="00D3204B"/>
    <w:rsid w:val="00D369AD"/>
    <w:rsid w:val="00D3739A"/>
    <w:rsid w:val="00D426BB"/>
    <w:rsid w:val="00D433A2"/>
    <w:rsid w:val="00D448BC"/>
    <w:rsid w:val="00D46283"/>
    <w:rsid w:val="00D51A2A"/>
    <w:rsid w:val="00D57C92"/>
    <w:rsid w:val="00D63B95"/>
    <w:rsid w:val="00D751E2"/>
    <w:rsid w:val="00D81019"/>
    <w:rsid w:val="00D81B78"/>
    <w:rsid w:val="00D97A91"/>
    <w:rsid w:val="00DB2DA6"/>
    <w:rsid w:val="00DB54AF"/>
    <w:rsid w:val="00DC484A"/>
    <w:rsid w:val="00DE3176"/>
    <w:rsid w:val="00E05485"/>
    <w:rsid w:val="00E07D26"/>
    <w:rsid w:val="00E10B05"/>
    <w:rsid w:val="00E11FB5"/>
    <w:rsid w:val="00E1732F"/>
    <w:rsid w:val="00E204B0"/>
    <w:rsid w:val="00E23B2F"/>
    <w:rsid w:val="00E23E82"/>
    <w:rsid w:val="00E44073"/>
    <w:rsid w:val="00E45608"/>
    <w:rsid w:val="00E47AAD"/>
    <w:rsid w:val="00E50BB2"/>
    <w:rsid w:val="00E51DC1"/>
    <w:rsid w:val="00E52BB3"/>
    <w:rsid w:val="00E564B1"/>
    <w:rsid w:val="00E71D09"/>
    <w:rsid w:val="00E757B2"/>
    <w:rsid w:val="00E81349"/>
    <w:rsid w:val="00E82826"/>
    <w:rsid w:val="00E91EC1"/>
    <w:rsid w:val="00E951BB"/>
    <w:rsid w:val="00E962DF"/>
    <w:rsid w:val="00EA10A7"/>
    <w:rsid w:val="00EA17E3"/>
    <w:rsid w:val="00EA2E0F"/>
    <w:rsid w:val="00EA53D2"/>
    <w:rsid w:val="00EB7E96"/>
    <w:rsid w:val="00EC5CFA"/>
    <w:rsid w:val="00EC7961"/>
    <w:rsid w:val="00ED357E"/>
    <w:rsid w:val="00ED51FD"/>
    <w:rsid w:val="00ED7403"/>
    <w:rsid w:val="00ED7C31"/>
    <w:rsid w:val="00EF4B6F"/>
    <w:rsid w:val="00EF5AFC"/>
    <w:rsid w:val="00F03E5F"/>
    <w:rsid w:val="00F05EB4"/>
    <w:rsid w:val="00F065F8"/>
    <w:rsid w:val="00F10A91"/>
    <w:rsid w:val="00F11561"/>
    <w:rsid w:val="00F139CF"/>
    <w:rsid w:val="00F154C9"/>
    <w:rsid w:val="00F2420E"/>
    <w:rsid w:val="00F26896"/>
    <w:rsid w:val="00F27B5F"/>
    <w:rsid w:val="00F33269"/>
    <w:rsid w:val="00F54317"/>
    <w:rsid w:val="00F60EC0"/>
    <w:rsid w:val="00F73113"/>
    <w:rsid w:val="00F769DC"/>
    <w:rsid w:val="00F939E0"/>
    <w:rsid w:val="00F97D6A"/>
    <w:rsid w:val="00FA6461"/>
    <w:rsid w:val="00FD194A"/>
    <w:rsid w:val="00FD4E35"/>
    <w:rsid w:val="00FE6944"/>
    <w:rsid w:val="00FE7B5A"/>
    <w:rsid w:val="00FF5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E962DF"/>
  </w:style>
  <w:style w:type="paragraph" w:customStyle="1" w:styleId="paragraph0">
    <w:name w:val="paragraph"/>
    <w:basedOn w:val="Normal"/>
    <w:rsid w:val="00EC5C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link w:val="NumberLevel1Char"/>
    <w:qFormat/>
    <w:rsid w:val="003B7D30"/>
    <w:pPr>
      <w:numPr>
        <w:numId w:val="17"/>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qFormat/>
    <w:rsid w:val="003B7D30"/>
    <w:pPr>
      <w:numPr>
        <w:ilvl w:val="1"/>
        <w:numId w:val="17"/>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3B7D30"/>
    <w:pPr>
      <w:numPr>
        <w:ilvl w:val="2"/>
        <w:numId w:val="17"/>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qFormat/>
    <w:rsid w:val="003B7D30"/>
    <w:pPr>
      <w:numPr>
        <w:ilvl w:val="3"/>
        <w:numId w:val="17"/>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semiHidden/>
    <w:rsid w:val="003B7D30"/>
    <w:pPr>
      <w:numPr>
        <w:ilvl w:val="4"/>
        <w:numId w:val="17"/>
      </w:numPr>
      <w:spacing w:after="140" w:line="280" w:lineRule="atLeast"/>
    </w:pPr>
    <w:rPr>
      <w:rFonts w:ascii="Arial" w:eastAsia="Times New Roman" w:hAnsi="Arial" w:cs="Arial"/>
      <w:lang w:eastAsia="en-AU"/>
    </w:rPr>
  </w:style>
  <w:style w:type="paragraph" w:customStyle="1" w:styleId="NumberLevel6">
    <w:name w:val="Number Level 6"/>
    <w:basedOn w:val="NumberLevel5"/>
    <w:semiHidden/>
    <w:rsid w:val="003B7D30"/>
    <w:pPr>
      <w:numPr>
        <w:ilvl w:val="5"/>
      </w:numPr>
    </w:pPr>
  </w:style>
  <w:style w:type="paragraph" w:customStyle="1" w:styleId="NumberLevel7">
    <w:name w:val="Number Level 7"/>
    <w:basedOn w:val="NumberLevel6"/>
    <w:semiHidden/>
    <w:rsid w:val="003B7D30"/>
    <w:pPr>
      <w:numPr>
        <w:ilvl w:val="6"/>
      </w:numPr>
    </w:pPr>
  </w:style>
  <w:style w:type="paragraph" w:customStyle="1" w:styleId="NumberLevel8">
    <w:name w:val="Number Level 8"/>
    <w:basedOn w:val="NumberLevel7"/>
    <w:semiHidden/>
    <w:rsid w:val="003B7D30"/>
    <w:pPr>
      <w:numPr>
        <w:ilvl w:val="7"/>
      </w:numPr>
    </w:pPr>
  </w:style>
  <w:style w:type="paragraph" w:customStyle="1" w:styleId="NumberLevel9">
    <w:name w:val="Number Level 9"/>
    <w:basedOn w:val="NumberLevel8"/>
    <w:semiHidden/>
    <w:rsid w:val="003B7D30"/>
    <w:pPr>
      <w:numPr>
        <w:ilvl w:val="8"/>
      </w:numPr>
    </w:pPr>
  </w:style>
  <w:style w:type="character" w:customStyle="1" w:styleId="NumberLevel1Char">
    <w:name w:val="Number Level 1 Char"/>
    <w:link w:val="NumberLevel1"/>
    <w:locked/>
    <w:rsid w:val="003B7D30"/>
    <w:rPr>
      <w:rFonts w:ascii="Arial" w:eastAsia="Times New Roman" w:hAnsi="Arial" w:cs="Arial"/>
      <w:lang w:eastAsia="en-AU"/>
    </w:rPr>
  </w:style>
  <w:style w:type="paragraph" w:styleId="NormalWeb">
    <w:name w:val="Normal (Web)"/>
    <w:basedOn w:val="Normal"/>
    <w:uiPriority w:val="99"/>
    <w:semiHidden/>
    <w:unhideWhenUsed/>
    <w:rsid w:val="009621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
    <w:basedOn w:val="Normal"/>
    <w:rsid w:val="00090C39"/>
    <w:pPr>
      <w:spacing w:before="180" w:after="0" w:line="240" w:lineRule="auto"/>
      <w:ind w:left="1134"/>
    </w:pPr>
    <w:rPr>
      <w:rFonts w:ascii="Times New Roman" w:eastAsia="Times New Roman" w:hAnsi="Times New Roman" w:cs="Times New Roman"/>
      <w:szCs w:val="20"/>
      <w:lang w:eastAsia="en-AU"/>
    </w:rPr>
  </w:style>
  <w:style w:type="paragraph" w:customStyle="1" w:styleId="TableText">
    <w:name w:val="TableText"/>
    <w:basedOn w:val="Normal"/>
    <w:qFormat/>
    <w:rsid w:val="00090C39"/>
    <w:pPr>
      <w:spacing w:before="120" w:after="120" w:line="240" w:lineRule="auto"/>
    </w:pPr>
    <w:rPr>
      <w:rFonts w:ascii="Century Gothic" w:eastAsiaTheme="majorEastAsia" w:hAnsi="Century Gothic" w:cs="Arial"/>
      <w:bCs/>
      <w:sz w:val="20"/>
      <w:szCs w:val="20"/>
    </w:rPr>
  </w:style>
  <w:style w:type="paragraph" w:customStyle="1" w:styleId="ItemHead">
    <w:name w:val="ItemHead"/>
    <w:aliases w:val="ih"/>
    <w:basedOn w:val="Normal"/>
    <w:next w:val="Normal"/>
    <w:rsid w:val="002C23E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2C23E5"/>
    <w:pPr>
      <w:keepLines/>
      <w:spacing w:before="80" w:after="0" w:line="240" w:lineRule="auto"/>
      <w:ind w:left="709"/>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3D2E9F"/>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3D2E9F"/>
    <w:pPr>
      <w:spacing w:before="122" w:after="0" w:line="240" w:lineRule="auto"/>
      <w:ind w:left="1985" w:hanging="851"/>
    </w:pPr>
    <w:rPr>
      <w:rFonts w:ascii="Times New Roman" w:eastAsia="Times New Roman" w:hAnsi="Times New Roman" w:cs="Times New Roman"/>
      <w:sz w:val="18"/>
      <w:lang w:eastAsia="en-AU"/>
    </w:rPr>
  </w:style>
  <w:style w:type="character" w:customStyle="1" w:styleId="UnresolvedMention1">
    <w:name w:val="Unresolved Mention1"/>
    <w:basedOn w:val="DefaultParagraphFont"/>
    <w:uiPriority w:val="99"/>
    <w:semiHidden/>
    <w:unhideWhenUsed/>
    <w:rsid w:val="006B10DA"/>
    <w:rPr>
      <w:color w:val="605E5C"/>
      <w:shd w:val="clear" w:color="auto" w:fill="E1DFDD"/>
    </w:rPr>
  </w:style>
  <w:style w:type="character" w:customStyle="1" w:styleId="UnresolvedMention2">
    <w:name w:val="Unresolved Mention2"/>
    <w:basedOn w:val="DefaultParagraphFont"/>
    <w:uiPriority w:val="99"/>
    <w:semiHidden/>
    <w:unhideWhenUsed/>
    <w:rsid w:val="001D27B3"/>
    <w:rPr>
      <w:color w:val="605E5C"/>
      <w:shd w:val="clear" w:color="auto" w:fill="E1DFDD"/>
    </w:rPr>
  </w:style>
  <w:style w:type="paragraph" w:styleId="Revision">
    <w:name w:val="Revision"/>
    <w:hidden/>
    <w:uiPriority w:val="99"/>
    <w:semiHidden/>
    <w:rsid w:val="00F06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551">
      <w:bodyDiv w:val="1"/>
      <w:marLeft w:val="0"/>
      <w:marRight w:val="0"/>
      <w:marTop w:val="0"/>
      <w:marBottom w:val="0"/>
      <w:divBdr>
        <w:top w:val="none" w:sz="0" w:space="0" w:color="auto"/>
        <w:left w:val="none" w:sz="0" w:space="0" w:color="auto"/>
        <w:bottom w:val="none" w:sz="0" w:space="0" w:color="auto"/>
        <w:right w:val="none" w:sz="0" w:space="0" w:color="auto"/>
      </w:divBdr>
    </w:div>
    <w:div w:id="115367221">
      <w:bodyDiv w:val="1"/>
      <w:marLeft w:val="0"/>
      <w:marRight w:val="0"/>
      <w:marTop w:val="0"/>
      <w:marBottom w:val="0"/>
      <w:divBdr>
        <w:top w:val="none" w:sz="0" w:space="0" w:color="auto"/>
        <w:left w:val="none" w:sz="0" w:space="0" w:color="auto"/>
        <w:bottom w:val="none" w:sz="0" w:space="0" w:color="auto"/>
        <w:right w:val="none" w:sz="0" w:space="0" w:color="auto"/>
      </w:divBdr>
    </w:div>
    <w:div w:id="348415553">
      <w:bodyDiv w:val="1"/>
      <w:marLeft w:val="0"/>
      <w:marRight w:val="0"/>
      <w:marTop w:val="0"/>
      <w:marBottom w:val="0"/>
      <w:divBdr>
        <w:top w:val="none" w:sz="0" w:space="0" w:color="auto"/>
        <w:left w:val="none" w:sz="0" w:space="0" w:color="auto"/>
        <w:bottom w:val="none" w:sz="0" w:space="0" w:color="auto"/>
        <w:right w:val="none" w:sz="0" w:space="0" w:color="auto"/>
      </w:divBdr>
    </w:div>
    <w:div w:id="431900481">
      <w:bodyDiv w:val="1"/>
      <w:marLeft w:val="0"/>
      <w:marRight w:val="0"/>
      <w:marTop w:val="0"/>
      <w:marBottom w:val="0"/>
      <w:divBdr>
        <w:top w:val="none" w:sz="0" w:space="0" w:color="auto"/>
        <w:left w:val="none" w:sz="0" w:space="0" w:color="auto"/>
        <w:bottom w:val="none" w:sz="0" w:space="0" w:color="auto"/>
        <w:right w:val="none" w:sz="0" w:space="0" w:color="auto"/>
      </w:divBdr>
    </w:div>
    <w:div w:id="525950166">
      <w:bodyDiv w:val="1"/>
      <w:marLeft w:val="0"/>
      <w:marRight w:val="0"/>
      <w:marTop w:val="0"/>
      <w:marBottom w:val="0"/>
      <w:divBdr>
        <w:top w:val="none" w:sz="0" w:space="0" w:color="auto"/>
        <w:left w:val="none" w:sz="0" w:space="0" w:color="auto"/>
        <w:bottom w:val="none" w:sz="0" w:space="0" w:color="auto"/>
        <w:right w:val="none" w:sz="0" w:space="0" w:color="auto"/>
      </w:divBdr>
    </w:div>
    <w:div w:id="594942306">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56080981">
      <w:bodyDiv w:val="1"/>
      <w:marLeft w:val="0"/>
      <w:marRight w:val="0"/>
      <w:marTop w:val="0"/>
      <w:marBottom w:val="0"/>
      <w:divBdr>
        <w:top w:val="none" w:sz="0" w:space="0" w:color="auto"/>
        <w:left w:val="none" w:sz="0" w:space="0" w:color="auto"/>
        <w:bottom w:val="none" w:sz="0" w:space="0" w:color="auto"/>
        <w:right w:val="none" w:sz="0" w:space="0" w:color="auto"/>
      </w:divBdr>
    </w:div>
    <w:div w:id="686518615">
      <w:bodyDiv w:val="1"/>
      <w:marLeft w:val="0"/>
      <w:marRight w:val="0"/>
      <w:marTop w:val="0"/>
      <w:marBottom w:val="0"/>
      <w:divBdr>
        <w:top w:val="none" w:sz="0" w:space="0" w:color="auto"/>
        <w:left w:val="none" w:sz="0" w:space="0" w:color="auto"/>
        <w:bottom w:val="none" w:sz="0" w:space="0" w:color="auto"/>
        <w:right w:val="none" w:sz="0" w:space="0" w:color="auto"/>
      </w:divBdr>
    </w:div>
    <w:div w:id="690499831">
      <w:bodyDiv w:val="1"/>
      <w:marLeft w:val="0"/>
      <w:marRight w:val="0"/>
      <w:marTop w:val="0"/>
      <w:marBottom w:val="0"/>
      <w:divBdr>
        <w:top w:val="none" w:sz="0" w:space="0" w:color="auto"/>
        <w:left w:val="none" w:sz="0" w:space="0" w:color="auto"/>
        <w:bottom w:val="none" w:sz="0" w:space="0" w:color="auto"/>
        <w:right w:val="none" w:sz="0" w:space="0" w:color="auto"/>
      </w:divBdr>
    </w:div>
    <w:div w:id="889339424">
      <w:bodyDiv w:val="1"/>
      <w:marLeft w:val="0"/>
      <w:marRight w:val="0"/>
      <w:marTop w:val="0"/>
      <w:marBottom w:val="0"/>
      <w:divBdr>
        <w:top w:val="none" w:sz="0" w:space="0" w:color="auto"/>
        <w:left w:val="none" w:sz="0" w:space="0" w:color="auto"/>
        <w:bottom w:val="none" w:sz="0" w:space="0" w:color="auto"/>
        <w:right w:val="none" w:sz="0" w:space="0" w:color="auto"/>
      </w:divBdr>
    </w:div>
    <w:div w:id="1071463587">
      <w:bodyDiv w:val="1"/>
      <w:marLeft w:val="0"/>
      <w:marRight w:val="0"/>
      <w:marTop w:val="0"/>
      <w:marBottom w:val="0"/>
      <w:divBdr>
        <w:top w:val="none" w:sz="0" w:space="0" w:color="auto"/>
        <w:left w:val="none" w:sz="0" w:space="0" w:color="auto"/>
        <w:bottom w:val="none" w:sz="0" w:space="0" w:color="auto"/>
        <w:right w:val="none" w:sz="0" w:space="0" w:color="auto"/>
      </w:divBdr>
    </w:div>
    <w:div w:id="1105883749">
      <w:bodyDiv w:val="1"/>
      <w:marLeft w:val="0"/>
      <w:marRight w:val="0"/>
      <w:marTop w:val="0"/>
      <w:marBottom w:val="0"/>
      <w:divBdr>
        <w:top w:val="none" w:sz="0" w:space="0" w:color="auto"/>
        <w:left w:val="none" w:sz="0" w:space="0" w:color="auto"/>
        <w:bottom w:val="none" w:sz="0" w:space="0" w:color="auto"/>
        <w:right w:val="none" w:sz="0" w:space="0" w:color="auto"/>
      </w:divBdr>
    </w:div>
    <w:div w:id="1160581278">
      <w:bodyDiv w:val="1"/>
      <w:marLeft w:val="0"/>
      <w:marRight w:val="0"/>
      <w:marTop w:val="0"/>
      <w:marBottom w:val="0"/>
      <w:divBdr>
        <w:top w:val="none" w:sz="0" w:space="0" w:color="auto"/>
        <w:left w:val="none" w:sz="0" w:space="0" w:color="auto"/>
        <w:bottom w:val="none" w:sz="0" w:space="0" w:color="auto"/>
        <w:right w:val="none" w:sz="0" w:space="0" w:color="auto"/>
      </w:divBdr>
    </w:div>
    <w:div w:id="1344472737">
      <w:bodyDiv w:val="1"/>
      <w:marLeft w:val="0"/>
      <w:marRight w:val="0"/>
      <w:marTop w:val="0"/>
      <w:marBottom w:val="0"/>
      <w:divBdr>
        <w:top w:val="none" w:sz="0" w:space="0" w:color="auto"/>
        <w:left w:val="none" w:sz="0" w:space="0" w:color="auto"/>
        <w:bottom w:val="none" w:sz="0" w:space="0" w:color="auto"/>
        <w:right w:val="none" w:sz="0" w:space="0" w:color="auto"/>
      </w:divBdr>
    </w:div>
    <w:div w:id="1508129845">
      <w:bodyDiv w:val="1"/>
      <w:marLeft w:val="0"/>
      <w:marRight w:val="0"/>
      <w:marTop w:val="0"/>
      <w:marBottom w:val="0"/>
      <w:divBdr>
        <w:top w:val="none" w:sz="0" w:space="0" w:color="auto"/>
        <w:left w:val="none" w:sz="0" w:space="0" w:color="auto"/>
        <w:bottom w:val="none" w:sz="0" w:space="0" w:color="auto"/>
        <w:right w:val="none" w:sz="0" w:space="0" w:color="auto"/>
      </w:divBdr>
    </w:div>
    <w:div w:id="1508708504">
      <w:bodyDiv w:val="1"/>
      <w:marLeft w:val="0"/>
      <w:marRight w:val="0"/>
      <w:marTop w:val="0"/>
      <w:marBottom w:val="0"/>
      <w:divBdr>
        <w:top w:val="none" w:sz="0" w:space="0" w:color="auto"/>
        <w:left w:val="none" w:sz="0" w:space="0" w:color="auto"/>
        <w:bottom w:val="none" w:sz="0" w:space="0" w:color="auto"/>
        <w:right w:val="none" w:sz="0" w:space="0" w:color="auto"/>
      </w:divBdr>
    </w:div>
    <w:div w:id="1790902666">
      <w:bodyDiv w:val="1"/>
      <w:marLeft w:val="0"/>
      <w:marRight w:val="0"/>
      <w:marTop w:val="0"/>
      <w:marBottom w:val="0"/>
      <w:divBdr>
        <w:top w:val="none" w:sz="0" w:space="0" w:color="auto"/>
        <w:left w:val="none" w:sz="0" w:space="0" w:color="auto"/>
        <w:bottom w:val="none" w:sz="0" w:space="0" w:color="auto"/>
        <w:right w:val="none" w:sz="0" w:space="0" w:color="auto"/>
      </w:divBdr>
    </w:div>
    <w:div w:id="1838035757">
      <w:bodyDiv w:val="1"/>
      <w:marLeft w:val="0"/>
      <w:marRight w:val="0"/>
      <w:marTop w:val="0"/>
      <w:marBottom w:val="0"/>
      <w:divBdr>
        <w:top w:val="none" w:sz="0" w:space="0" w:color="auto"/>
        <w:left w:val="none" w:sz="0" w:space="0" w:color="auto"/>
        <w:bottom w:val="none" w:sz="0" w:space="0" w:color="auto"/>
        <w:right w:val="none" w:sz="0" w:space="0" w:color="auto"/>
      </w:divBdr>
    </w:div>
    <w:div w:id="19601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ralianretirementtrust.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86A3E302A4CB4CB9F2B3A516031220" ma:contentTypeVersion="" ma:contentTypeDescription="PDMS Document Site Content Type" ma:contentTypeScope="" ma:versionID="9d3145ff246c6b34bc120ea924e3615f">
  <xsd:schema xmlns:xsd="http://www.w3.org/2001/XMLSchema" xmlns:xs="http://www.w3.org/2001/XMLSchema" xmlns:p="http://schemas.microsoft.com/office/2006/metadata/properties" xmlns:ns2="EDBD08B2-FD2B-41C4-9842-FFEC18370A3B" targetNamespace="http://schemas.microsoft.com/office/2006/metadata/properties" ma:root="true" ma:fieldsID="e1f486ec5794632c13477e585737069d" ns2:_="">
    <xsd:import namespace="EDBD08B2-FD2B-41C4-9842-FFEC18370A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D08B2-FD2B-41C4-9842-FFEC18370A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DBD08B2-FD2B-41C4-9842-FFEC18370A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592231F7-D31F-4098-81C9-D21B8E2D2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D08B2-FD2B-41C4-9842-FFEC1837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EDBD08B2-FD2B-41C4-9842-FFEC18370A3B"/>
  </ds:schemaRefs>
</ds:datastoreItem>
</file>

<file path=customXml/itemProps4.xml><?xml version="1.0" encoding="utf-8"?>
<ds:datastoreItem xmlns:ds="http://schemas.openxmlformats.org/officeDocument/2006/customXml" ds:itemID="{F04D2C3A-8364-46C8-BB09-5FDB3240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Paniagua, Jonathan</cp:lastModifiedBy>
  <cp:revision>2</cp:revision>
  <cp:lastPrinted>2022-02-16T00:23:00Z</cp:lastPrinted>
  <dcterms:created xsi:type="dcterms:W3CDTF">2022-03-11T04:50:00Z</dcterms:created>
  <dcterms:modified xsi:type="dcterms:W3CDTF">2022-03-11T04:50:00Z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0x010100266966F133664895A6EE3632470D45F500BD86A3E302A4CB4CB9F2B3A516031220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