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71843" w14:textId="77777777" w:rsidR="007C0E4F" w:rsidRPr="00AB2E17" w:rsidRDefault="00247766" w:rsidP="001825C2">
      <w:pPr>
        <w:spacing w:after="16" w:line="259" w:lineRule="auto"/>
        <w:ind w:left="-16" w:firstLine="0"/>
        <w:rPr>
          <w:color w:val="auto"/>
        </w:rPr>
      </w:pPr>
      <w:r w:rsidRPr="00AB2E17">
        <w:rPr>
          <w:rFonts w:ascii="Calibri" w:eastAsia="Calibri" w:hAnsi="Calibri" w:cs="Calibri"/>
          <w:noProof/>
          <w:color w:val="auto"/>
        </w:rPr>
        <mc:AlternateContent>
          <mc:Choice Requires="wpg">
            <w:drawing>
              <wp:inline distT="0" distB="0" distL="0" distR="0" wp14:anchorId="7BDD3469" wp14:editId="70308898">
                <wp:extent cx="6236335" cy="30480"/>
                <wp:effectExtent l="0" t="0" r="0" b="0"/>
                <wp:docPr id="8947" name="Group 8947"/>
                <wp:cNvGraphicFramePr/>
                <a:graphic xmlns:a="http://schemas.openxmlformats.org/drawingml/2006/main">
                  <a:graphicData uri="http://schemas.microsoft.com/office/word/2010/wordprocessingGroup">
                    <wpg:wgp>
                      <wpg:cNvGrpSpPr/>
                      <wpg:grpSpPr>
                        <a:xfrm>
                          <a:off x="0" y="0"/>
                          <a:ext cx="6236335" cy="30480"/>
                          <a:chOff x="0" y="0"/>
                          <a:chExt cx="6236335" cy="30480"/>
                        </a:xfrm>
                      </wpg:grpSpPr>
                      <wps:wsp>
                        <wps:cNvPr id="10196" name="Shape 10196"/>
                        <wps:cNvSpPr/>
                        <wps:spPr>
                          <a:xfrm>
                            <a:off x="0" y="0"/>
                            <a:ext cx="6236335" cy="10160"/>
                          </a:xfrm>
                          <a:custGeom>
                            <a:avLst/>
                            <a:gdLst/>
                            <a:ahLst/>
                            <a:cxnLst/>
                            <a:rect l="0" t="0" r="0" b="0"/>
                            <a:pathLst>
                              <a:path w="6236335" h="10160">
                                <a:moveTo>
                                  <a:pt x="0" y="0"/>
                                </a:moveTo>
                                <a:lnTo>
                                  <a:pt x="6236335" y="0"/>
                                </a:lnTo>
                                <a:lnTo>
                                  <a:pt x="6236335"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97" name="Shape 10197"/>
                        <wps:cNvSpPr/>
                        <wps:spPr>
                          <a:xfrm>
                            <a:off x="0" y="20320"/>
                            <a:ext cx="6236335" cy="10160"/>
                          </a:xfrm>
                          <a:custGeom>
                            <a:avLst/>
                            <a:gdLst/>
                            <a:ahLst/>
                            <a:cxnLst/>
                            <a:rect l="0" t="0" r="0" b="0"/>
                            <a:pathLst>
                              <a:path w="6236335" h="10160">
                                <a:moveTo>
                                  <a:pt x="0" y="0"/>
                                </a:moveTo>
                                <a:lnTo>
                                  <a:pt x="6236335" y="0"/>
                                </a:lnTo>
                                <a:lnTo>
                                  <a:pt x="6236335"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9D95BE" id="Group 8947" o:spid="_x0000_s1026" style="width:491.05pt;height:2.4pt;mso-position-horizontal-relative:char;mso-position-vertical-relative:line" coordsize="62363,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">
                <v:shape id="Shape 10196" o:spid="_x0000_s1027" style="position:absolute;width:62363;height:101;visibility:visible;mso-wrap-style:square;v-text-anchor:top" coordsize="623633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" path="m,l6236335,r,10160l,10160,,e" fillcolor="black" stroked="f" strokeweight="0">
                  <v:stroke miterlimit="83231f" joinstyle="miter"/>
                  <v:path arrowok="t" textboxrect="0,0,6236335,10160"/>
                </v:shape>
                <v:shape id="Shape 10197" o:spid="_x0000_s1028" style="position:absolute;top:203;width:62363;height:101;visibility:visible;mso-wrap-style:square;v-text-anchor:top" coordsize="623633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" path="m,l6236335,r,10160l,10160,,e" fillcolor="black" stroked="f" strokeweight="0">
                  <v:stroke miterlimit="83231f" joinstyle="miter"/>
                  <v:path arrowok="t" textboxrect="0,0,6236335,10160"/>
                </v:shape>
                <w10:anchorlock/>
              </v:group>
            </w:pict>
          </mc:Fallback>
        </mc:AlternateContent>
      </w:r>
    </w:p>
    <w:p w14:paraId="1945FB01" w14:textId="77777777" w:rsidR="00E86E52" w:rsidRDefault="00247766" w:rsidP="00303081">
      <w:pPr>
        <w:spacing w:after="480" w:line="240" w:lineRule="auto"/>
        <w:ind w:left="0" w:firstLine="0"/>
        <w:jc w:val="center"/>
        <w:rPr>
          <w:color w:val="auto"/>
          <w:sz w:val="34"/>
        </w:rPr>
      </w:pPr>
      <w:r w:rsidRPr="00AB2E17">
        <w:rPr>
          <w:color w:val="auto"/>
          <w:sz w:val="34"/>
        </w:rPr>
        <w:t>Explanatory Statement</w:t>
      </w:r>
    </w:p>
    <w:p w14:paraId="623118AD" w14:textId="544A8D3C" w:rsidR="007C0E4F" w:rsidRPr="00F16361" w:rsidRDefault="00DD2078" w:rsidP="00303081">
      <w:pPr>
        <w:spacing w:after="7" w:line="240" w:lineRule="auto"/>
        <w:ind w:left="0" w:firstLine="0"/>
        <w:jc w:val="center"/>
        <w:rPr>
          <w:color w:val="auto"/>
          <w:sz w:val="24"/>
        </w:rPr>
      </w:pPr>
      <w:bookmarkStart w:id="0" w:name="_Hlk98757760"/>
      <w:r w:rsidRPr="00AB2E17">
        <w:rPr>
          <w:rFonts w:eastAsia="Times New Roman"/>
          <w:color w:val="auto"/>
          <w:sz w:val="34"/>
          <w:szCs w:val="34"/>
        </w:rPr>
        <w:t>Director Identification Number Laws (Other Government Bodies) Disclosure Framework 202</w:t>
      </w:r>
      <w:r w:rsidR="00A605D3">
        <w:rPr>
          <w:rFonts w:eastAsia="Times New Roman"/>
          <w:color w:val="auto"/>
          <w:sz w:val="34"/>
          <w:szCs w:val="34"/>
        </w:rPr>
        <w:t>2</w:t>
      </w:r>
      <w:bookmarkEnd w:id="0"/>
      <w:r w:rsidR="00247766" w:rsidRPr="00F16361">
        <w:rPr>
          <w:noProof/>
          <w:color w:val="auto"/>
          <w:sz w:val="24"/>
        </w:rPr>
        <mc:AlternateContent>
          <mc:Choice Requires="wpg">
            <w:drawing>
              <wp:inline distT="0" distB="0" distL="0" distR="0" wp14:anchorId="10F51127" wp14:editId="249FC83B">
                <wp:extent cx="6236335" cy="30480"/>
                <wp:effectExtent l="0" t="0" r="0" b="0"/>
                <wp:docPr id="8949" name="Group 8949"/>
                <wp:cNvGraphicFramePr/>
                <a:graphic xmlns:a="http://schemas.openxmlformats.org/drawingml/2006/main">
                  <a:graphicData uri="http://schemas.microsoft.com/office/word/2010/wordprocessingGroup">
                    <wpg:wgp>
                      <wpg:cNvGrpSpPr/>
                      <wpg:grpSpPr>
                        <a:xfrm>
                          <a:off x="0" y="0"/>
                          <a:ext cx="6236335" cy="30480"/>
                          <a:chOff x="0" y="0"/>
                          <a:chExt cx="6236335" cy="30480"/>
                        </a:xfrm>
                      </wpg:grpSpPr>
                      <wps:wsp>
                        <wps:cNvPr id="10200" name="Shape 10200"/>
                        <wps:cNvSpPr/>
                        <wps:spPr>
                          <a:xfrm>
                            <a:off x="0" y="20320"/>
                            <a:ext cx="6236335" cy="10160"/>
                          </a:xfrm>
                          <a:custGeom>
                            <a:avLst/>
                            <a:gdLst/>
                            <a:ahLst/>
                            <a:cxnLst/>
                            <a:rect l="0" t="0" r="0" b="0"/>
                            <a:pathLst>
                              <a:path w="6236335" h="10160">
                                <a:moveTo>
                                  <a:pt x="0" y="0"/>
                                </a:moveTo>
                                <a:lnTo>
                                  <a:pt x="6236335" y="0"/>
                                </a:lnTo>
                                <a:lnTo>
                                  <a:pt x="6236335"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01" name="Shape 10201"/>
                        <wps:cNvSpPr/>
                        <wps:spPr>
                          <a:xfrm>
                            <a:off x="0" y="0"/>
                            <a:ext cx="6236335" cy="10160"/>
                          </a:xfrm>
                          <a:custGeom>
                            <a:avLst/>
                            <a:gdLst/>
                            <a:ahLst/>
                            <a:cxnLst/>
                            <a:rect l="0" t="0" r="0" b="0"/>
                            <a:pathLst>
                              <a:path w="6236335" h="10160">
                                <a:moveTo>
                                  <a:pt x="0" y="0"/>
                                </a:moveTo>
                                <a:lnTo>
                                  <a:pt x="6236335" y="0"/>
                                </a:lnTo>
                                <a:lnTo>
                                  <a:pt x="6236335" y="10160"/>
                                </a:lnTo>
                                <a:lnTo>
                                  <a:pt x="0" y="101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F2D90C0" id="Group 8949" o:spid="_x0000_s1026" style="width:491.05pt;height:2.4pt;mso-position-horizontal-relative:char;mso-position-vertical-relative:line" coordsize="62363,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">
                <v:shape id="Shape 10200" o:spid="_x0000_s1027" style="position:absolute;top:203;width:62363;height:101;visibility:visible;mso-wrap-style:square;v-text-anchor:top" coordsize="623633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" path="m,l6236335,r,10160l,10160,,e" fillcolor="black" stroked="f" strokeweight="0">
                  <v:stroke miterlimit="83231f" joinstyle="miter"/>
                  <v:path arrowok="t" textboxrect="0,0,6236335,10160"/>
                </v:shape>
                <v:shape id="Shape 10201" o:spid="_x0000_s1028" style="position:absolute;width:62363;height:101;visibility:visible;mso-wrap-style:square;v-text-anchor:top" coordsize="623633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" path="m,l6236335,r,10160l,10160,,e" fillcolor="black" stroked="f" strokeweight="0">
                  <v:stroke miterlimit="83231f" joinstyle="miter"/>
                  <v:path arrowok="t" textboxrect="0,0,6236335,10160"/>
                </v:shape>
                <w10:anchorlock/>
              </v:group>
            </w:pict>
          </mc:Fallback>
        </mc:AlternateContent>
      </w:r>
    </w:p>
    <w:p w14:paraId="2CBB223E" w14:textId="77777777" w:rsidR="00E86E52" w:rsidRDefault="00E86E52" w:rsidP="001825C2">
      <w:pPr>
        <w:spacing w:after="0" w:line="259" w:lineRule="auto"/>
        <w:ind w:left="51" w:firstLine="0"/>
        <w:jc w:val="center"/>
        <w:rPr>
          <w:color w:val="auto"/>
          <w:sz w:val="24"/>
        </w:rPr>
      </w:pPr>
    </w:p>
    <w:p w14:paraId="221D65F0" w14:textId="77777777" w:rsidR="00E86E52" w:rsidRDefault="00E86E52" w:rsidP="001825C2">
      <w:pPr>
        <w:spacing w:after="0" w:line="259" w:lineRule="auto"/>
        <w:ind w:left="51" w:firstLine="0"/>
        <w:jc w:val="center"/>
        <w:rPr>
          <w:color w:val="auto"/>
          <w:sz w:val="24"/>
        </w:rPr>
      </w:pPr>
    </w:p>
    <w:p w14:paraId="0FFF948A" w14:textId="77777777" w:rsidR="00E86E52" w:rsidRDefault="00247766" w:rsidP="001825C2">
      <w:pPr>
        <w:pStyle w:val="Heading2"/>
        <w:spacing w:before="0" w:after="120" w:line="240" w:lineRule="auto"/>
        <w:ind w:left="0" w:firstLine="0"/>
        <w:rPr>
          <w:rFonts w:ascii="Arial" w:hAnsi="Arial" w:cs="Arial"/>
          <w:b/>
          <w:bCs/>
          <w:color w:val="auto"/>
          <w:sz w:val="22"/>
          <w:szCs w:val="22"/>
          <w:lang w:eastAsia="en-US"/>
        </w:rPr>
      </w:pPr>
      <w:r w:rsidRPr="00AB2E17">
        <w:rPr>
          <w:rFonts w:ascii="Arial" w:hAnsi="Arial" w:cs="Arial"/>
          <w:b/>
          <w:bCs/>
          <w:color w:val="auto"/>
          <w:sz w:val="22"/>
          <w:szCs w:val="22"/>
          <w:lang w:eastAsia="en-US"/>
        </w:rPr>
        <w:t xml:space="preserve">General </w:t>
      </w:r>
      <w:r w:rsidR="00AB2E17" w:rsidRPr="00AB2E17">
        <w:rPr>
          <w:rFonts w:ascii="Arial" w:hAnsi="Arial" w:cs="Arial"/>
          <w:b/>
          <w:bCs/>
          <w:color w:val="auto"/>
          <w:sz w:val="22"/>
          <w:szCs w:val="22"/>
          <w:lang w:eastAsia="en-US"/>
        </w:rPr>
        <w:t>o</w:t>
      </w:r>
      <w:r w:rsidRPr="00AB2E17">
        <w:rPr>
          <w:rFonts w:ascii="Arial" w:hAnsi="Arial" w:cs="Arial"/>
          <w:b/>
          <w:bCs/>
          <w:color w:val="auto"/>
          <w:sz w:val="22"/>
          <w:szCs w:val="22"/>
          <w:lang w:eastAsia="en-US"/>
        </w:rPr>
        <w:t xml:space="preserve">utline of </w:t>
      </w:r>
      <w:r w:rsidR="00AB2E17" w:rsidRPr="00AB2E17">
        <w:rPr>
          <w:rFonts w:ascii="Arial" w:hAnsi="Arial" w:cs="Arial"/>
          <w:b/>
          <w:bCs/>
          <w:color w:val="auto"/>
          <w:sz w:val="22"/>
          <w:szCs w:val="22"/>
          <w:lang w:eastAsia="en-US"/>
        </w:rPr>
        <w:t>i</w:t>
      </w:r>
      <w:r w:rsidRPr="00AB2E17">
        <w:rPr>
          <w:rFonts w:ascii="Arial" w:hAnsi="Arial" w:cs="Arial"/>
          <w:b/>
          <w:bCs/>
          <w:color w:val="auto"/>
          <w:sz w:val="22"/>
          <w:szCs w:val="22"/>
          <w:lang w:eastAsia="en-US"/>
        </w:rPr>
        <w:t>nstrument</w:t>
      </w:r>
    </w:p>
    <w:p w14:paraId="68AAEA43" w14:textId="5CDC719E" w:rsidR="00A75EF6" w:rsidRPr="00AB2E17" w:rsidRDefault="00247766" w:rsidP="001825C2">
      <w:pPr>
        <w:numPr>
          <w:ilvl w:val="0"/>
          <w:numId w:val="1"/>
        </w:numPr>
        <w:spacing w:after="120" w:line="240" w:lineRule="auto"/>
        <w:ind w:left="567" w:hanging="567"/>
        <w:rPr>
          <w:color w:val="auto"/>
        </w:rPr>
      </w:pPr>
      <w:r w:rsidRPr="00AB2E17">
        <w:rPr>
          <w:color w:val="auto"/>
        </w:rPr>
        <w:t>This instrument is made under</w:t>
      </w:r>
      <w:r w:rsidR="00A75EF6" w:rsidRPr="00AB2E17">
        <w:rPr>
          <w:color w:val="auto"/>
        </w:rPr>
        <w:t>:</w:t>
      </w:r>
    </w:p>
    <w:p w14:paraId="198DA155" w14:textId="18C75C74" w:rsidR="00E86E52" w:rsidRPr="000A61A2" w:rsidRDefault="00247766" w:rsidP="001825C2">
      <w:pPr>
        <w:numPr>
          <w:ilvl w:val="0"/>
          <w:numId w:val="7"/>
        </w:numPr>
        <w:spacing w:after="120" w:line="240" w:lineRule="auto"/>
        <w:ind w:left="1134" w:hanging="567"/>
        <w:rPr>
          <w:color w:val="auto"/>
        </w:rPr>
      </w:pPr>
      <w:r w:rsidRPr="000A61A2">
        <w:rPr>
          <w:color w:val="auto"/>
        </w:rPr>
        <w:t xml:space="preserve">section 1270K of the </w:t>
      </w:r>
      <w:r w:rsidRPr="000A61A2">
        <w:rPr>
          <w:i/>
          <w:color w:val="auto"/>
        </w:rPr>
        <w:t xml:space="preserve">Corporations Act 2001 </w:t>
      </w:r>
      <w:r w:rsidRPr="000A61A2">
        <w:rPr>
          <w:color w:val="auto"/>
        </w:rPr>
        <w:t>(Corporations Act)</w:t>
      </w:r>
      <w:r w:rsidR="00A75EF6" w:rsidRPr="000A61A2">
        <w:rPr>
          <w:color w:val="auto"/>
        </w:rPr>
        <w:t xml:space="preserve"> for the purposes of Part</w:t>
      </w:r>
      <w:r w:rsidR="005B4EC0">
        <w:rPr>
          <w:color w:val="auto"/>
        </w:rPr>
        <w:t> </w:t>
      </w:r>
      <w:r w:rsidR="00A75EF6" w:rsidRPr="000A61A2">
        <w:rPr>
          <w:color w:val="auto"/>
        </w:rPr>
        <w:t>9.1A of the Corporations Act</w:t>
      </w:r>
      <w:r w:rsidR="00A75EF6" w:rsidRPr="000A61A2">
        <w:rPr>
          <w:i/>
          <w:iCs/>
          <w:color w:val="auto"/>
        </w:rPr>
        <w:t>;</w:t>
      </w:r>
      <w:r w:rsidR="00145DB4" w:rsidRPr="000A61A2">
        <w:rPr>
          <w:color w:val="auto"/>
        </w:rPr>
        <w:t xml:space="preserve"> and</w:t>
      </w:r>
    </w:p>
    <w:p w14:paraId="4440D9DE" w14:textId="5AF23950" w:rsidR="00AB2E17" w:rsidRPr="000A61A2" w:rsidRDefault="00145DB4" w:rsidP="001825C2">
      <w:pPr>
        <w:numPr>
          <w:ilvl w:val="0"/>
          <w:numId w:val="7"/>
        </w:numPr>
        <w:spacing w:after="120" w:line="240" w:lineRule="auto"/>
        <w:ind w:left="1134" w:hanging="567"/>
        <w:rPr>
          <w:color w:val="auto"/>
        </w:rPr>
      </w:pPr>
      <w:r w:rsidRPr="000A61A2">
        <w:rPr>
          <w:color w:val="auto"/>
        </w:rPr>
        <w:t>section</w:t>
      </w:r>
      <w:r w:rsidR="00886CA4" w:rsidRPr="000A61A2">
        <w:rPr>
          <w:color w:val="auto"/>
        </w:rPr>
        <w:t xml:space="preserve"> </w:t>
      </w:r>
      <w:r w:rsidRPr="000A61A2">
        <w:rPr>
          <w:color w:val="auto"/>
        </w:rPr>
        <w:t xml:space="preserve">16 of the </w:t>
      </w:r>
      <w:r w:rsidR="00CE221C" w:rsidRPr="000A61A2">
        <w:rPr>
          <w:i/>
          <w:iCs/>
          <w:color w:val="auto"/>
        </w:rPr>
        <w:t xml:space="preserve">Commonwealth </w:t>
      </w:r>
      <w:r w:rsidR="00CE221C" w:rsidRPr="000A61A2">
        <w:rPr>
          <w:i/>
          <w:color w:val="auto"/>
        </w:rPr>
        <w:t>Registers Act</w:t>
      </w:r>
      <w:r w:rsidRPr="000A61A2">
        <w:rPr>
          <w:i/>
          <w:color w:val="auto"/>
        </w:rPr>
        <w:t xml:space="preserve"> 2020</w:t>
      </w:r>
      <w:r w:rsidR="008276EC" w:rsidRPr="000A61A2">
        <w:rPr>
          <w:color w:val="auto"/>
        </w:rPr>
        <w:t xml:space="preserve"> (Registers Act</w:t>
      </w:r>
      <w:r w:rsidR="008276EC" w:rsidRPr="000A61A2">
        <w:rPr>
          <w:rFonts w:eastAsia="Times New Roman"/>
          <w:color w:val="auto"/>
        </w:rPr>
        <w:t>)</w:t>
      </w:r>
      <w:r w:rsidR="00A75EF6" w:rsidRPr="000A61A2">
        <w:rPr>
          <w:color w:val="auto"/>
        </w:rPr>
        <w:t xml:space="preserve"> for the purposes of Part 6-7A of </w:t>
      </w:r>
      <w:bookmarkStart w:id="1" w:name="_Hlk61179816"/>
      <w:r w:rsidR="00A75EF6" w:rsidRPr="000A61A2">
        <w:rPr>
          <w:i/>
          <w:color w:val="auto"/>
        </w:rPr>
        <w:t xml:space="preserve">Corporations </w:t>
      </w:r>
      <w:r w:rsidR="00A75EF6" w:rsidRPr="000A61A2">
        <w:rPr>
          <w:i/>
          <w:iCs/>
          <w:color w:val="auto"/>
        </w:rPr>
        <w:t xml:space="preserve">(Aboriginal and Torres Strait Islander) </w:t>
      </w:r>
      <w:r w:rsidR="00A75EF6" w:rsidRPr="000A61A2">
        <w:rPr>
          <w:i/>
          <w:color w:val="auto"/>
        </w:rPr>
        <w:t>Act</w:t>
      </w:r>
      <w:bookmarkEnd w:id="1"/>
      <w:r w:rsidR="00A75EF6" w:rsidRPr="000A61A2">
        <w:rPr>
          <w:i/>
          <w:iCs/>
          <w:color w:val="auto"/>
        </w:rPr>
        <w:t xml:space="preserve"> 2006</w:t>
      </w:r>
      <w:r w:rsidR="003558F4" w:rsidRPr="000A61A2">
        <w:rPr>
          <w:color w:val="auto"/>
        </w:rPr>
        <w:t xml:space="preserve"> (CATSI Act)</w:t>
      </w:r>
      <w:r w:rsidRPr="000A61A2">
        <w:rPr>
          <w:color w:val="auto"/>
        </w:rPr>
        <w:t>.</w:t>
      </w:r>
    </w:p>
    <w:p w14:paraId="7D443CF9" w14:textId="77777777" w:rsidR="00E86E52" w:rsidRPr="000A61A2" w:rsidRDefault="00247766" w:rsidP="001825C2">
      <w:pPr>
        <w:numPr>
          <w:ilvl w:val="0"/>
          <w:numId w:val="1"/>
        </w:numPr>
        <w:spacing w:after="120" w:line="240" w:lineRule="auto"/>
        <w:ind w:left="567" w:hanging="567"/>
        <w:rPr>
          <w:color w:val="auto"/>
        </w:rPr>
      </w:pPr>
      <w:r w:rsidRPr="000A61A2">
        <w:rPr>
          <w:color w:val="auto"/>
        </w:rPr>
        <w:t xml:space="preserve">The instrument is a legislative instrument for the purposes of the </w:t>
      </w:r>
      <w:r w:rsidRPr="000A61A2">
        <w:rPr>
          <w:i/>
          <w:color w:val="auto"/>
        </w:rPr>
        <w:t>Legislation Act 2003</w:t>
      </w:r>
      <w:r w:rsidR="007D34EF" w:rsidRPr="000A61A2">
        <w:rPr>
          <w:i/>
          <w:color w:val="auto"/>
        </w:rPr>
        <w:t xml:space="preserve"> </w:t>
      </w:r>
      <w:r w:rsidR="007D34EF" w:rsidRPr="000A61A2">
        <w:rPr>
          <w:iCs/>
          <w:color w:val="auto"/>
        </w:rPr>
        <w:t>(Legislation Act)</w:t>
      </w:r>
      <w:r w:rsidRPr="000A61A2">
        <w:rPr>
          <w:color w:val="auto"/>
        </w:rPr>
        <w:t>.</w:t>
      </w:r>
    </w:p>
    <w:p w14:paraId="51265EB0" w14:textId="6973099A" w:rsidR="007B7019" w:rsidRPr="000A61A2" w:rsidRDefault="007B7019" w:rsidP="001825C2">
      <w:pPr>
        <w:numPr>
          <w:ilvl w:val="0"/>
          <w:numId w:val="1"/>
        </w:numPr>
        <w:spacing w:after="120" w:line="240" w:lineRule="auto"/>
        <w:ind w:left="567" w:hanging="567"/>
        <w:rPr>
          <w:color w:val="auto"/>
        </w:rPr>
      </w:pPr>
      <w:r w:rsidRPr="000A61A2">
        <w:rPr>
          <w:color w:val="auto"/>
        </w:rPr>
        <w:t xml:space="preserve">Under subsection 33(3) of the </w:t>
      </w:r>
      <w:r w:rsidRPr="000A61A2">
        <w:rPr>
          <w:i/>
          <w:iCs/>
          <w:color w:val="auto"/>
        </w:rPr>
        <w:t xml:space="preserve">Acts Interpretation Act </w:t>
      </w:r>
      <w:r w:rsidRPr="000A61A2">
        <w:rPr>
          <w:i/>
          <w:color w:val="auto"/>
        </w:rPr>
        <w:t>1901</w:t>
      </w:r>
      <w:r w:rsidR="00BE0DB8" w:rsidRPr="000A61A2">
        <w:rPr>
          <w:i/>
          <w:color w:val="auto"/>
        </w:rPr>
        <w:t xml:space="preserve"> </w:t>
      </w:r>
      <w:r w:rsidR="00BE0DB8" w:rsidRPr="000A61A2">
        <w:rPr>
          <w:iCs/>
          <w:color w:val="auto"/>
        </w:rPr>
        <w:t>(Acts Interpretation Act)</w:t>
      </w:r>
      <w:r w:rsidRPr="000A61A2">
        <w:rPr>
          <w:iCs/>
          <w:color w:val="auto"/>
        </w:rPr>
        <w:t>,</w:t>
      </w:r>
      <w:r w:rsidRPr="000A61A2">
        <w:rPr>
          <w:color w:val="auto"/>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703E12F8" w14:textId="77777777" w:rsidR="00E86E52" w:rsidRDefault="00A86F61" w:rsidP="001825C2">
      <w:pPr>
        <w:numPr>
          <w:ilvl w:val="0"/>
          <w:numId w:val="1"/>
        </w:numPr>
        <w:spacing w:after="120" w:line="240" w:lineRule="auto"/>
        <w:ind w:left="567" w:hanging="567"/>
        <w:rPr>
          <w:color w:val="auto"/>
        </w:rPr>
      </w:pPr>
      <w:r w:rsidRPr="00AB2E17">
        <w:rPr>
          <w:color w:val="auto"/>
        </w:rPr>
        <w:t xml:space="preserve">In accordance with section 5C of the Corporations Act, the relevant version of the </w:t>
      </w:r>
      <w:r w:rsidR="00182CF8" w:rsidRPr="00AB2E17">
        <w:rPr>
          <w:iCs/>
          <w:color w:val="auto"/>
        </w:rPr>
        <w:t>Acts Interpretation Act</w:t>
      </w:r>
      <w:r w:rsidR="00182CF8" w:rsidRPr="00AB2E17">
        <w:rPr>
          <w:color w:val="auto"/>
        </w:rPr>
        <w:t xml:space="preserve"> </w:t>
      </w:r>
      <w:r w:rsidRPr="00AB2E17">
        <w:rPr>
          <w:color w:val="auto"/>
        </w:rPr>
        <w:t xml:space="preserve">that applies to the Corporations Act is the version as at 1 </w:t>
      </w:r>
      <w:r w:rsidR="007B7019" w:rsidRPr="00AB2E17">
        <w:rPr>
          <w:color w:val="auto"/>
        </w:rPr>
        <w:t xml:space="preserve">January </w:t>
      </w:r>
      <w:r w:rsidRPr="00AB2E17">
        <w:rPr>
          <w:color w:val="auto"/>
        </w:rPr>
        <w:t>2005.</w:t>
      </w:r>
    </w:p>
    <w:p w14:paraId="5076B4CF" w14:textId="3DE4091B" w:rsidR="003833ED" w:rsidRPr="00AB2E17" w:rsidRDefault="003833ED" w:rsidP="001825C2">
      <w:pPr>
        <w:spacing w:after="120" w:line="240" w:lineRule="auto"/>
        <w:ind w:left="0" w:firstLine="0"/>
        <w:rPr>
          <w:color w:val="auto"/>
        </w:rPr>
      </w:pPr>
    </w:p>
    <w:p w14:paraId="4D0FE1E9" w14:textId="77777777" w:rsidR="00E86E52" w:rsidRDefault="00247766" w:rsidP="001825C2">
      <w:pPr>
        <w:pStyle w:val="Heading2"/>
        <w:spacing w:before="0" w:after="120" w:line="240" w:lineRule="auto"/>
        <w:ind w:left="0" w:firstLine="0"/>
        <w:rPr>
          <w:rFonts w:ascii="Arial" w:hAnsi="Arial" w:cs="Arial"/>
          <w:b/>
          <w:bCs/>
          <w:color w:val="auto"/>
          <w:sz w:val="22"/>
          <w:szCs w:val="22"/>
          <w:lang w:eastAsia="en-US"/>
        </w:rPr>
      </w:pPr>
      <w:r w:rsidRPr="00AB2E17">
        <w:rPr>
          <w:rFonts w:ascii="Arial" w:hAnsi="Arial" w:cs="Arial"/>
          <w:b/>
          <w:bCs/>
          <w:color w:val="auto"/>
          <w:sz w:val="22"/>
          <w:szCs w:val="22"/>
          <w:lang w:eastAsia="en-US"/>
        </w:rPr>
        <w:t>Date of effect</w:t>
      </w:r>
    </w:p>
    <w:p w14:paraId="2C00E567" w14:textId="77777777" w:rsidR="00E86E52" w:rsidRDefault="00247766" w:rsidP="001825C2">
      <w:pPr>
        <w:numPr>
          <w:ilvl w:val="0"/>
          <w:numId w:val="1"/>
        </w:numPr>
        <w:spacing w:after="120" w:line="240" w:lineRule="auto"/>
        <w:ind w:left="567" w:hanging="567"/>
        <w:rPr>
          <w:color w:val="auto"/>
        </w:rPr>
      </w:pPr>
      <w:r w:rsidRPr="00AB2E17">
        <w:rPr>
          <w:color w:val="auto"/>
        </w:rPr>
        <w:t>This instrument commences on the day after it is registered on the Federal Register of Legislation</w:t>
      </w:r>
      <w:r w:rsidR="00972FFE" w:rsidRPr="00AB2E17">
        <w:rPr>
          <w:color w:val="auto"/>
        </w:rPr>
        <w:t>.</w:t>
      </w:r>
    </w:p>
    <w:p w14:paraId="1AB97697" w14:textId="755A8082" w:rsidR="003833ED" w:rsidRPr="00AB2E17" w:rsidRDefault="003833ED" w:rsidP="001825C2">
      <w:pPr>
        <w:spacing w:after="120" w:line="240" w:lineRule="auto"/>
        <w:ind w:left="0" w:firstLine="0"/>
        <w:rPr>
          <w:color w:val="auto"/>
        </w:rPr>
      </w:pPr>
    </w:p>
    <w:p w14:paraId="34717042" w14:textId="77777777" w:rsidR="00E86E52" w:rsidRDefault="00247766" w:rsidP="001825C2">
      <w:pPr>
        <w:pStyle w:val="Heading2"/>
        <w:spacing w:before="0" w:after="120" w:line="240" w:lineRule="auto"/>
        <w:ind w:left="0" w:firstLine="0"/>
        <w:rPr>
          <w:rFonts w:ascii="Arial" w:hAnsi="Arial" w:cs="Arial"/>
          <w:b/>
          <w:bCs/>
          <w:color w:val="auto"/>
          <w:sz w:val="22"/>
          <w:szCs w:val="22"/>
          <w:lang w:eastAsia="en-US"/>
        </w:rPr>
      </w:pPr>
      <w:r w:rsidRPr="00AB2E17">
        <w:rPr>
          <w:rFonts w:ascii="Arial" w:hAnsi="Arial" w:cs="Arial"/>
          <w:b/>
          <w:bCs/>
          <w:color w:val="auto"/>
          <w:sz w:val="22"/>
          <w:szCs w:val="22"/>
          <w:lang w:eastAsia="en-US"/>
        </w:rPr>
        <w:t>What is the effect of this instrument</w:t>
      </w:r>
    </w:p>
    <w:p w14:paraId="31D58FB0" w14:textId="396D62BB" w:rsidR="00AB2E17" w:rsidRPr="00AB2E17" w:rsidRDefault="00247766" w:rsidP="001825C2">
      <w:pPr>
        <w:numPr>
          <w:ilvl w:val="0"/>
          <w:numId w:val="1"/>
        </w:numPr>
        <w:spacing w:after="120" w:line="240" w:lineRule="auto"/>
        <w:ind w:left="567" w:hanging="567"/>
        <w:rPr>
          <w:color w:val="auto"/>
        </w:rPr>
      </w:pPr>
      <w:r w:rsidRPr="00AB2E17">
        <w:rPr>
          <w:color w:val="auto"/>
        </w:rPr>
        <w:t>Th</w:t>
      </w:r>
      <w:r w:rsidR="007F0299" w:rsidRPr="00AB2E17">
        <w:rPr>
          <w:color w:val="auto"/>
        </w:rPr>
        <w:t xml:space="preserve">e effect of this </w:t>
      </w:r>
      <w:r w:rsidRPr="00AB2E17">
        <w:rPr>
          <w:color w:val="auto"/>
        </w:rPr>
        <w:t>instrument</w:t>
      </w:r>
      <w:r w:rsidR="007F0299" w:rsidRPr="00AB2E17">
        <w:rPr>
          <w:color w:val="auto"/>
        </w:rPr>
        <w:t xml:space="preserve"> is to </w:t>
      </w:r>
      <w:r w:rsidRPr="00AB2E17">
        <w:rPr>
          <w:color w:val="auto"/>
        </w:rPr>
        <w:t>authorise the disclosure of director ID information to</w:t>
      </w:r>
      <w:r w:rsidR="007F0299" w:rsidRPr="00AB2E17">
        <w:rPr>
          <w:color w:val="auto"/>
        </w:rPr>
        <w:t xml:space="preserve"> these</w:t>
      </w:r>
      <w:r w:rsidRPr="00AB2E17">
        <w:rPr>
          <w:color w:val="auto"/>
        </w:rPr>
        <w:t xml:space="preserve"> </w:t>
      </w:r>
      <w:r w:rsidR="00A75EF6" w:rsidRPr="00AB2E17">
        <w:rPr>
          <w:color w:val="auto"/>
        </w:rPr>
        <w:t>other government bodies</w:t>
      </w:r>
      <w:r w:rsidR="00A75EF6" w:rsidRPr="00AB2E17" w:rsidDel="00A75EF6">
        <w:rPr>
          <w:color w:val="auto"/>
        </w:rPr>
        <w:t xml:space="preserve"> </w:t>
      </w:r>
      <w:r w:rsidR="007F0299" w:rsidRPr="00AB2E17">
        <w:rPr>
          <w:color w:val="auto"/>
        </w:rPr>
        <w:t>in the same way as government entities authorised in the Corporations Act or Registers Act</w:t>
      </w:r>
      <w:r w:rsidRPr="00AB2E17">
        <w:rPr>
          <w:color w:val="auto"/>
        </w:rPr>
        <w:t>.</w:t>
      </w:r>
    </w:p>
    <w:p w14:paraId="28B52672" w14:textId="06F2F60A" w:rsidR="003833ED" w:rsidRPr="00AB2E17" w:rsidRDefault="003833ED" w:rsidP="001825C2">
      <w:pPr>
        <w:spacing w:after="120" w:line="240" w:lineRule="auto"/>
        <w:ind w:left="0" w:firstLine="0"/>
        <w:rPr>
          <w:color w:val="auto"/>
        </w:rPr>
      </w:pPr>
    </w:p>
    <w:p w14:paraId="434F4BF0" w14:textId="3E25293B" w:rsidR="00AB2E17" w:rsidRPr="00AB2E17" w:rsidRDefault="00864FCD" w:rsidP="001825C2">
      <w:pPr>
        <w:pStyle w:val="Heading2"/>
        <w:spacing w:before="0" w:after="120" w:line="240" w:lineRule="auto"/>
        <w:ind w:left="0" w:firstLine="0"/>
        <w:rPr>
          <w:rFonts w:ascii="Arial" w:hAnsi="Arial" w:cs="Arial"/>
          <w:b/>
          <w:bCs/>
          <w:color w:val="auto"/>
          <w:sz w:val="22"/>
          <w:szCs w:val="22"/>
          <w:lang w:eastAsia="en-US"/>
        </w:rPr>
      </w:pPr>
      <w:r w:rsidRPr="00AB2E17">
        <w:rPr>
          <w:rFonts w:ascii="Arial" w:hAnsi="Arial" w:cs="Arial"/>
          <w:b/>
          <w:bCs/>
          <w:color w:val="auto"/>
          <w:sz w:val="22"/>
          <w:szCs w:val="22"/>
          <w:lang w:eastAsia="en-US"/>
        </w:rPr>
        <w:t xml:space="preserve">Compliance cost </w:t>
      </w:r>
      <w:r w:rsidR="002B0EEC">
        <w:rPr>
          <w:rFonts w:ascii="Arial" w:hAnsi="Arial" w:cs="Arial"/>
          <w:b/>
          <w:bCs/>
          <w:color w:val="auto"/>
          <w:sz w:val="22"/>
          <w:szCs w:val="22"/>
          <w:lang w:eastAsia="en-US"/>
        </w:rPr>
        <w:t>impact</w:t>
      </w:r>
    </w:p>
    <w:p w14:paraId="4D9FCF38" w14:textId="32AB832B" w:rsidR="00E86E52" w:rsidRDefault="002B0EEC" w:rsidP="001825C2">
      <w:pPr>
        <w:numPr>
          <w:ilvl w:val="0"/>
          <w:numId w:val="1"/>
        </w:numPr>
        <w:spacing w:after="120" w:line="240" w:lineRule="auto"/>
        <w:ind w:left="567" w:hanging="567"/>
        <w:rPr>
          <w:color w:val="auto"/>
        </w:rPr>
      </w:pPr>
      <w:r>
        <w:t>Minor – there will be no additional regulatory impacts as the instrument is minor and machinery in nature.</w:t>
      </w:r>
    </w:p>
    <w:p w14:paraId="736E7BA5" w14:textId="7EEC6306" w:rsidR="003833ED" w:rsidRPr="00AB2E17" w:rsidRDefault="003833ED" w:rsidP="001825C2">
      <w:pPr>
        <w:spacing w:after="120" w:line="240" w:lineRule="auto"/>
        <w:ind w:left="0" w:firstLine="0"/>
        <w:rPr>
          <w:color w:val="auto"/>
        </w:rPr>
      </w:pPr>
    </w:p>
    <w:p w14:paraId="4B57261C" w14:textId="528F3EB3" w:rsidR="00864FCD" w:rsidRPr="00AB2E17" w:rsidRDefault="00DB1DBB" w:rsidP="001825C2">
      <w:pPr>
        <w:pStyle w:val="Heading2"/>
        <w:spacing w:before="0" w:after="120" w:line="240" w:lineRule="auto"/>
        <w:ind w:left="0" w:firstLine="0"/>
        <w:rPr>
          <w:rFonts w:ascii="Arial" w:hAnsi="Arial" w:cs="Arial"/>
          <w:b/>
          <w:bCs/>
          <w:color w:val="auto"/>
          <w:sz w:val="22"/>
          <w:szCs w:val="22"/>
          <w:lang w:eastAsia="en-US"/>
        </w:rPr>
      </w:pPr>
      <w:r w:rsidRPr="00AB2E17">
        <w:rPr>
          <w:rFonts w:ascii="Arial" w:hAnsi="Arial" w:cs="Arial"/>
          <w:b/>
          <w:bCs/>
          <w:color w:val="auto"/>
          <w:sz w:val="22"/>
          <w:szCs w:val="22"/>
          <w:lang w:eastAsia="en-US"/>
        </w:rPr>
        <w:t>Disclosure framework – b</w:t>
      </w:r>
      <w:r w:rsidR="00864FCD" w:rsidRPr="00AB2E17">
        <w:rPr>
          <w:rFonts w:ascii="Arial" w:hAnsi="Arial" w:cs="Arial"/>
          <w:b/>
          <w:bCs/>
          <w:color w:val="auto"/>
          <w:sz w:val="22"/>
          <w:szCs w:val="22"/>
          <w:lang w:eastAsia="en-US"/>
        </w:rPr>
        <w:t>ackground</w:t>
      </w:r>
    </w:p>
    <w:p w14:paraId="7AF24B39" w14:textId="77777777" w:rsidR="00E86E52" w:rsidRDefault="00DB1DBB" w:rsidP="001825C2">
      <w:pPr>
        <w:numPr>
          <w:ilvl w:val="0"/>
          <w:numId w:val="1"/>
        </w:numPr>
        <w:spacing w:after="120" w:line="240" w:lineRule="auto"/>
        <w:ind w:left="567" w:hanging="567"/>
        <w:rPr>
          <w:color w:val="auto"/>
        </w:rPr>
      </w:pPr>
      <w:r w:rsidRPr="00AB2E17">
        <w:rPr>
          <w:color w:val="auto"/>
        </w:rPr>
        <w:t xml:space="preserve">The Corporations Act and the Registers Act authorise disclosure of protected information (director </w:t>
      </w:r>
      <w:r w:rsidR="00297DCD" w:rsidRPr="00AB2E17">
        <w:rPr>
          <w:color w:val="auto"/>
        </w:rPr>
        <w:t>ID</w:t>
      </w:r>
      <w:r w:rsidR="00DD174E" w:rsidRPr="00AB2E17">
        <w:rPr>
          <w:color w:val="auto"/>
        </w:rPr>
        <w:t xml:space="preserve"> </w:t>
      </w:r>
      <w:r w:rsidRPr="00AB2E17">
        <w:rPr>
          <w:color w:val="auto"/>
        </w:rPr>
        <w:t xml:space="preserve">information) to certain government entities in relation to the performance or </w:t>
      </w:r>
      <w:r w:rsidRPr="00AB2E17">
        <w:rPr>
          <w:color w:val="auto"/>
        </w:rPr>
        <w:lastRenderedPageBreak/>
        <w:t>exercise of their functions and powers. For example, the Office of the Registrar of Indigenous Corporations (</w:t>
      </w:r>
      <w:r w:rsidRPr="001825C2">
        <w:rPr>
          <w:color w:val="auto"/>
        </w:rPr>
        <w:t>ORIC)</w:t>
      </w:r>
      <w:r w:rsidRPr="00AB2E17">
        <w:rPr>
          <w:color w:val="auto"/>
        </w:rPr>
        <w:t xml:space="preserve"> and the Australian Taxation Office (</w:t>
      </w:r>
      <w:r w:rsidRPr="001825C2">
        <w:rPr>
          <w:color w:val="auto"/>
        </w:rPr>
        <w:t>ATO</w:t>
      </w:r>
      <w:r w:rsidRPr="00AB2E17">
        <w:rPr>
          <w:color w:val="auto"/>
        </w:rPr>
        <w:t>) are government entities.</w:t>
      </w:r>
    </w:p>
    <w:p w14:paraId="15E4B216" w14:textId="06DD82DF" w:rsidR="00BE0DB8" w:rsidRPr="00AB2E17" w:rsidRDefault="00DB1DBB" w:rsidP="001825C2">
      <w:pPr>
        <w:numPr>
          <w:ilvl w:val="0"/>
          <w:numId w:val="1"/>
        </w:numPr>
        <w:spacing w:after="120" w:line="240" w:lineRule="auto"/>
        <w:ind w:left="567" w:hanging="567"/>
        <w:rPr>
          <w:color w:val="auto"/>
        </w:rPr>
      </w:pPr>
      <w:r w:rsidRPr="00AB2E17">
        <w:rPr>
          <w:color w:val="auto"/>
        </w:rPr>
        <w:t>There are other government bodies, such as PGPA bodies, courts and tribunals, State or Territory government entities (including local government) and multi-agency taskforces (</w:t>
      </w:r>
      <w:r w:rsidRPr="001825C2">
        <w:rPr>
          <w:color w:val="auto"/>
        </w:rPr>
        <w:t>other government bodies</w:t>
      </w:r>
      <w:r w:rsidRPr="00AB2E17">
        <w:rPr>
          <w:color w:val="auto"/>
        </w:rPr>
        <w:t>) who are a part of the workings of government but are not authorised under the primary law to receive director identification number (</w:t>
      </w:r>
      <w:r w:rsidRPr="001825C2">
        <w:rPr>
          <w:color w:val="auto"/>
        </w:rPr>
        <w:t>director ID</w:t>
      </w:r>
      <w:r w:rsidRPr="00AB2E17">
        <w:rPr>
          <w:color w:val="auto"/>
        </w:rPr>
        <w:t>) information.</w:t>
      </w:r>
    </w:p>
    <w:p w14:paraId="0F022B1C" w14:textId="77777777" w:rsidR="00F00D6B" w:rsidRPr="00AB2E17" w:rsidRDefault="00F00D6B" w:rsidP="001825C2">
      <w:pPr>
        <w:spacing w:after="120" w:line="240" w:lineRule="auto"/>
        <w:ind w:left="0" w:firstLine="0"/>
        <w:rPr>
          <w:color w:val="auto"/>
        </w:rPr>
      </w:pPr>
    </w:p>
    <w:p w14:paraId="6745A0D5" w14:textId="2BEF4988" w:rsidR="00DB1DBB" w:rsidRPr="00AB2E17" w:rsidRDefault="00DB1DBB" w:rsidP="001825C2">
      <w:pPr>
        <w:pStyle w:val="Heading2"/>
        <w:spacing w:before="0" w:after="120" w:line="240" w:lineRule="auto"/>
        <w:ind w:left="0" w:firstLine="0"/>
        <w:rPr>
          <w:rFonts w:ascii="Arial" w:hAnsi="Arial" w:cs="Arial"/>
          <w:b/>
          <w:bCs/>
          <w:color w:val="auto"/>
          <w:sz w:val="22"/>
          <w:szCs w:val="22"/>
          <w:lang w:eastAsia="en-US"/>
        </w:rPr>
      </w:pPr>
      <w:r w:rsidRPr="00AB2E17">
        <w:rPr>
          <w:rFonts w:ascii="Arial" w:hAnsi="Arial" w:cs="Arial"/>
          <w:b/>
          <w:bCs/>
          <w:color w:val="auto"/>
          <w:sz w:val="22"/>
          <w:szCs w:val="22"/>
          <w:lang w:eastAsia="en-US"/>
        </w:rPr>
        <w:t>Director ID – background</w:t>
      </w:r>
    </w:p>
    <w:p w14:paraId="01041973" w14:textId="77777777" w:rsidR="00E86E52" w:rsidRDefault="00864FCD" w:rsidP="001825C2">
      <w:pPr>
        <w:numPr>
          <w:ilvl w:val="0"/>
          <w:numId w:val="1"/>
        </w:numPr>
        <w:spacing w:after="120" w:line="240" w:lineRule="auto"/>
        <w:ind w:left="567" w:hanging="567"/>
        <w:rPr>
          <w:color w:val="auto"/>
        </w:rPr>
      </w:pPr>
      <w:r w:rsidRPr="00AB2E17">
        <w:rPr>
          <w:color w:val="auto"/>
        </w:rPr>
        <w:t>The Australian Government has committed to simplifying its interactions with business to support growth, innovation and employment. As part of this initiative, the Government is developing a modern approach to managing Commonwealth registers to provide more flexible, user-friendly and streamlined registry services.</w:t>
      </w:r>
    </w:p>
    <w:p w14:paraId="60FA5954" w14:textId="77777777" w:rsidR="00E86E52" w:rsidRDefault="00864FCD" w:rsidP="001825C2">
      <w:pPr>
        <w:numPr>
          <w:ilvl w:val="0"/>
          <w:numId w:val="1"/>
        </w:numPr>
        <w:spacing w:after="120" w:line="240" w:lineRule="auto"/>
        <w:ind w:left="567" w:hanging="567"/>
        <w:rPr>
          <w:color w:val="auto"/>
        </w:rPr>
      </w:pPr>
      <w:r w:rsidRPr="00AB2E17">
        <w:rPr>
          <w:i/>
          <w:color w:val="auto"/>
        </w:rPr>
        <w:t xml:space="preserve">The Treasury Laws Amendment (Registries Modernisation and Other Measures) Act 2020 </w:t>
      </w:r>
      <w:r w:rsidRPr="00AB2E17">
        <w:rPr>
          <w:color w:val="auto"/>
        </w:rPr>
        <w:t xml:space="preserve">inserts disclosure provisions into the Corporations Act which largely mirror those provisions included within the Registers Act and includes provisions designed to replace existing registry law secrecy provisions, serving to protect information held by the </w:t>
      </w:r>
      <w:r w:rsidR="003558F4" w:rsidRPr="00AB2E17">
        <w:rPr>
          <w:color w:val="auto"/>
        </w:rPr>
        <w:t>R</w:t>
      </w:r>
      <w:r w:rsidRPr="00AB2E17">
        <w:rPr>
          <w:color w:val="auto"/>
        </w:rPr>
        <w:t>egistrar. Broadly, the new law provides that a recording or disclosure is authorised in the following circumstances:</w:t>
      </w:r>
    </w:p>
    <w:p w14:paraId="19557499" w14:textId="77777777" w:rsidR="00E86E52" w:rsidRDefault="00864FCD" w:rsidP="001825C2">
      <w:pPr>
        <w:numPr>
          <w:ilvl w:val="1"/>
          <w:numId w:val="4"/>
        </w:numPr>
        <w:spacing w:after="120" w:line="240" w:lineRule="auto"/>
        <w:ind w:left="1134" w:hanging="567"/>
        <w:rPr>
          <w:color w:val="auto"/>
        </w:rPr>
      </w:pPr>
      <w:r w:rsidRPr="00AB2E17">
        <w:rPr>
          <w:color w:val="auto"/>
        </w:rPr>
        <w:t xml:space="preserve">the recording or disclosure is for the purposes of the new regime or happens in the course of the performance of the duties of a person’s official </w:t>
      </w:r>
      <w:proofErr w:type="gramStart"/>
      <w:r w:rsidRPr="00AB2E17">
        <w:rPr>
          <w:color w:val="auto"/>
        </w:rPr>
        <w:t>employment;</w:t>
      </w:r>
      <w:proofErr w:type="gramEnd"/>
    </w:p>
    <w:p w14:paraId="478BA328" w14:textId="77777777" w:rsidR="00E86E52" w:rsidRDefault="00864FCD" w:rsidP="001825C2">
      <w:pPr>
        <w:numPr>
          <w:ilvl w:val="1"/>
          <w:numId w:val="4"/>
        </w:numPr>
        <w:spacing w:after="120" w:line="240" w:lineRule="auto"/>
        <w:ind w:left="1134" w:hanging="567"/>
        <w:rPr>
          <w:color w:val="auto"/>
        </w:rPr>
      </w:pPr>
      <w:r w:rsidRPr="00AB2E17">
        <w:rPr>
          <w:color w:val="auto"/>
        </w:rPr>
        <w:t xml:space="preserve">the disclosure is to another person for use, in the course of the performance of the duties of the other person’s official employment, in relation to the performance of the functions of a government </w:t>
      </w:r>
      <w:proofErr w:type="gramStart"/>
      <w:r w:rsidRPr="00AB2E17">
        <w:rPr>
          <w:color w:val="auto"/>
        </w:rPr>
        <w:t>entity;</w:t>
      </w:r>
      <w:proofErr w:type="gramEnd"/>
    </w:p>
    <w:p w14:paraId="10A20E8D" w14:textId="7E66C474" w:rsidR="00AB2E17" w:rsidRPr="00AB2E17" w:rsidRDefault="00864FCD" w:rsidP="001825C2">
      <w:pPr>
        <w:numPr>
          <w:ilvl w:val="1"/>
          <w:numId w:val="4"/>
        </w:numPr>
        <w:spacing w:after="120" w:line="240" w:lineRule="auto"/>
        <w:ind w:left="1134" w:hanging="567"/>
        <w:rPr>
          <w:color w:val="auto"/>
        </w:rPr>
      </w:pPr>
      <w:r w:rsidRPr="00AB2E17">
        <w:rPr>
          <w:color w:val="auto"/>
        </w:rPr>
        <w:t xml:space="preserve">the disclosure is to a State or Territory official for use in the course of their duties of employment in relation to the performance or exercise of functions or powers of a government entity, under an intergovernmental agreement with the </w:t>
      </w:r>
      <w:proofErr w:type="gramStart"/>
      <w:r w:rsidRPr="00AB2E17">
        <w:rPr>
          <w:color w:val="auto"/>
        </w:rPr>
        <w:t>Commonwealth;</w:t>
      </w:r>
      <w:proofErr w:type="gramEnd"/>
    </w:p>
    <w:p w14:paraId="1D230B04" w14:textId="33980020" w:rsidR="00E86E52" w:rsidRDefault="00864FCD" w:rsidP="001825C2">
      <w:pPr>
        <w:numPr>
          <w:ilvl w:val="1"/>
          <w:numId w:val="4"/>
        </w:numPr>
        <w:spacing w:after="120" w:line="240" w:lineRule="auto"/>
        <w:ind w:left="1134" w:hanging="567"/>
        <w:rPr>
          <w:color w:val="auto"/>
        </w:rPr>
      </w:pPr>
      <w:r w:rsidRPr="00AB2E17">
        <w:rPr>
          <w:color w:val="auto"/>
        </w:rPr>
        <w:t>each person to whom the information relates consents to the disclosure; or</w:t>
      </w:r>
    </w:p>
    <w:p w14:paraId="69499E7E" w14:textId="5EBE1280" w:rsidR="00BD38A8" w:rsidRDefault="00BD38A8" w:rsidP="001825C2">
      <w:pPr>
        <w:numPr>
          <w:ilvl w:val="1"/>
          <w:numId w:val="4"/>
        </w:numPr>
        <w:spacing w:after="120" w:line="240" w:lineRule="auto"/>
        <w:ind w:left="1134" w:hanging="567"/>
        <w:rPr>
          <w:color w:val="auto"/>
        </w:rPr>
      </w:pPr>
      <w:r w:rsidRPr="00AB2E17">
        <w:rPr>
          <w:color w:val="auto"/>
        </w:rPr>
        <w:t>the disclosure is in accordance with the disclosure framework made by the Registrar.</w:t>
      </w:r>
    </w:p>
    <w:p w14:paraId="3A0A4C69" w14:textId="5E75B5E4" w:rsidR="00864FCD" w:rsidRPr="000A61A2" w:rsidRDefault="00864FCD" w:rsidP="001825C2">
      <w:pPr>
        <w:spacing w:after="120" w:line="240" w:lineRule="auto"/>
        <w:ind w:left="567" w:firstLine="0"/>
        <w:rPr>
          <w:color w:val="auto"/>
          <w:sz w:val="20"/>
          <w:szCs w:val="20"/>
        </w:rPr>
      </w:pPr>
      <w:r w:rsidRPr="000A61A2">
        <w:rPr>
          <w:b/>
          <w:bCs/>
          <w:color w:val="auto"/>
          <w:sz w:val="20"/>
          <w:szCs w:val="20"/>
        </w:rPr>
        <w:t>Note:</w:t>
      </w:r>
      <w:r w:rsidRPr="000A61A2">
        <w:rPr>
          <w:color w:val="auto"/>
          <w:sz w:val="20"/>
          <w:szCs w:val="20"/>
        </w:rPr>
        <w:t xml:space="preserve"> The Registers Act does not include (c) above, that paragraph is exclusive to the Corporations Act only.</w:t>
      </w:r>
    </w:p>
    <w:p w14:paraId="4137AF07" w14:textId="0DC52DFE" w:rsidR="00864FCD" w:rsidRPr="00AB2E17" w:rsidRDefault="00864FCD" w:rsidP="001825C2">
      <w:pPr>
        <w:numPr>
          <w:ilvl w:val="0"/>
          <w:numId w:val="1"/>
        </w:numPr>
        <w:spacing w:after="120" w:line="240" w:lineRule="auto"/>
        <w:ind w:left="567" w:hanging="567"/>
        <w:rPr>
          <w:color w:val="auto"/>
        </w:rPr>
      </w:pPr>
      <w:r w:rsidRPr="00AB2E17">
        <w:rPr>
          <w:color w:val="auto"/>
        </w:rPr>
        <w:t xml:space="preserve">Government entity is defined at </w:t>
      </w:r>
      <w:r w:rsidR="00ED3EDE" w:rsidRPr="00AB2E17">
        <w:rPr>
          <w:color w:val="auto"/>
        </w:rPr>
        <w:t>s</w:t>
      </w:r>
      <w:r w:rsidRPr="00AB2E17">
        <w:rPr>
          <w:color w:val="auto"/>
        </w:rPr>
        <w:t xml:space="preserve">ection 9 of the Corporations Act and section 5 of the Registers Act as having the meaning given by section 41 of the </w:t>
      </w:r>
      <w:r w:rsidRPr="00AB2E17">
        <w:rPr>
          <w:i/>
          <w:color w:val="auto"/>
        </w:rPr>
        <w:t>A New Tax System (Australian Business Number) Act 1999</w:t>
      </w:r>
      <w:r w:rsidRPr="00AB2E17">
        <w:rPr>
          <w:color w:val="auto"/>
        </w:rPr>
        <w:t xml:space="preserve">. That section defines government entity as including: a department of </w:t>
      </w:r>
      <w:r w:rsidR="00ED3EDE" w:rsidRPr="00AB2E17">
        <w:rPr>
          <w:color w:val="auto"/>
        </w:rPr>
        <w:t>S</w:t>
      </w:r>
      <w:r w:rsidRPr="00AB2E17">
        <w:rPr>
          <w:color w:val="auto"/>
        </w:rPr>
        <w:t xml:space="preserve">tate of the Commonwealth, a </w:t>
      </w:r>
      <w:r w:rsidR="00ED3EDE" w:rsidRPr="00AB2E17">
        <w:rPr>
          <w:color w:val="auto"/>
        </w:rPr>
        <w:t>S</w:t>
      </w:r>
      <w:r w:rsidRPr="00AB2E17">
        <w:rPr>
          <w:color w:val="auto"/>
        </w:rPr>
        <w:t xml:space="preserve">tate or a </w:t>
      </w:r>
      <w:r w:rsidR="00ED3EDE" w:rsidRPr="00AB2E17">
        <w:rPr>
          <w:color w:val="auto"/>
        </w:rPr>
        <w:t>T</w:t>
      </w:r>
      <w:r w:rsidRPr="00AB2E17">
        <w:rPr>
          <w:color w:val="auto"/>
        </w:rPr>
        <w:t xml:space="preserve">erritory; a department of the Parliament established under the </w:t>
      </w:r>
      <w:r w:rsidRPr="00AB2E17">
        <w:rPr>
          <w:i/>
          <w:color w:val="auto"/>
        </w:rPr>
        <w:t>Parliamentary Services Act 1999</w:t>
      </w:r>
      <w:r w:rsidRPr="00AB2E17">
        <w:rPr>
          <w:color w:val="auto"/>
        </w:rPr>
        <w:t xml:space="preserve">; an Executive Agency, or Statutory Agency, within the meaning of the </w:t>
      </w:r>
      <w:r w:rsidRPr="00AB2E17">
        <w:rPr>
          <w:i/>
          <w:color w:val="auto"/>
        </w:rPr>
        <w:t>Public Service Act 1999</w:t>
      </w:r>
      <w:r w:rsidRPr="00AB2E17">
        <w:rPr>
          <w:color w:val="auto"/>
        </w:rPr>
        <w:t>; and certain organisations established by the Commonwealth, a state or a territory to carry on an enterprise or established for a public purpose by an Australian law.</w:t>
      </w:r>
    </w:p>
    <w:p w14:paraId="1042744A" w14:textId="77777777" w:rsidR="00864FCD" w:rsidRPr="00AB2E17" w:rsidRDefault="00864FCD" w:rsidP="001825C2">
      <w:pPr>
        <w:numPr>
          <w:ilvl w:val="0"/>
          <w:numId w:val="1"/>
        </w:numPr>
        <w:spacing w:after="120" w:line="240" w:lineRule="auto"/>
        <w:ind w:left="567" w:hanging="567"/>
        <w:rPr>
          <w:color w:val="auto"/>
        </w:rPr>
      </w:pPr>
      <w:r w:rsidRPr="00AB2E17">
        <w:rPr>
          <w:color w:val="auto"/>
        </w:rPr>
        <w:t>Explicit authorisations to disclose protected information in accordance with intergovernmental agreements to State or Territory officials for the performance of their official duties are contained in section 1270L of the Corporations Act.</w:t>
      </w:r>
    </w:p>
    <w:p w14:paraId="5DCFF10B" w14:textId="77777777" w:rsidR="00E86E52" w:rsidRDefault="00864FCD" w:rsidP="001825C2">
      <w:pPr>
        <w:numPr>
          <w:ilvl w:val="0"/>
          <w:numId w:val="1"/>
        </w:numPr>
        <w:spacing w:after="120" w:line="240" w:lineRule="auto"/>
        <w:ind w:left="567" w:hanging="567"/>
        <w:rPr>
          <w:color w:val="auto"/>
        </w:rPr>
      </w:pPr>
      <w:r w:rsidRPr="00AB2E17">
        <w:rPr>
          <w:color w:val="auto"/>
        </w:rPr>
        <w:t xml:space="preserve">There are a number of bodies that do not fall within the definition of government entity or </w:t>
      </w:r>
      <w:r w:rsidR="003558F4" w:rsidRPr="00AB2E17">
        <w:rPr>
          <w:color w:val="auto"/>
        </w:rPr>
        <w:t xml:space="preserve">within </w:t>
      </w:r>
      <w:r w:rsidRPr="00AB2E17">
        <w:rPr>
          <w:color w:val="auto"/>
        </w:rPr>
        <w:t>the</w:t>
      </w:r>
      <w:r w:rsidR="003558F4" w:rsidRPr="00AB2E17">
        <w:rPr>
          <w:color w:val="auto"/>
        </w:rPr>
        <w:t xml:space="preserve"> </w:t>
      </w:r>
      <w:r w:rsidRPr="00AB2E17">
        <w:rPr>
          <w:color w:val="auto"/>
        </w:rPr>
        <w:t xml:space="preserve">disclosure </w:t>
      </w:r>
      <w:r w:rsidR="003558F4" w:rsidRPr="00AB2E17">
        <w:rPr>
          <w:color w:val="auto"/>
        </w:rPr>
        <w:t>provisions of the</w:t>
      </w:r>
      <w:r w:rsidRPr="00AB2E17">
        <w:rPr>
          <w:color w:val="auto"/>
        </w:rPr>
        <w:t xml:space="preserve"> primary law. While disclosures to these other government bodies are not authorised by the primary law, </w:t>
      </w:r>
      <w:r w:rsidR="003558F4" w:rsidRPr="00AB2E17">
        <w:rPr>
          <w:color w:val="auto"/>
        </w:rPr>
        <w:t>this</w:t>
      </w:r>
      <w:r w:rsidRPr="00AB2E17">
        <w:rPr>
          <w:color w:val="auto"/>
        </w:rPr>
        <w:t xml:space="preserve"> would appear to be an unintended consequence.</w:t>
      </w:r>
    </w:p>
    <w:p w14:paraId="4228D90E" w14:textId="646A51C5" w:rsidR="007C0E4F" w:rsidRPr="00AB2E17" w:rsidRDefault="00247766" w:rsidP="001825C2">
      <w:pPr>
        <w:numPr>
          <w:ilvl w:val="0"/>
          <w:numId w:val="1"/>
        </w:numPr>
        <w:spacing w:after="120" w:line="240" w:lineRule="auto"/>
        <w:ind w:left="567" w:hanging="567"/>
        <w:rPr>
          <w:color w:val="auto"/>
        </w:rPr>
      </w:pPr>
      <w:r w:rsidRPr="00AB2E17">
        <w:rPr>
          <w:color w:val="auto"/>
        </w:rPr>
        <w:lastRenderedPageBreak/>
        <w:t xml:space="preserve">This instrument uses terms defined in section </w:t>
      </w:r>
      <w:r w:rsidR="0083395F" w:rsidRPr="00AB2E17">
        <w:rPr>
          <w:color w:val="auto"/>
        </w:rPr>
        <w:t>4</w:t>
      </w:r>
      <w:r w:rsidRPr="00AB2E17">
        <w:rPr>
          <w:color w:val="auto"/>
        </w:rPr>
        <w:t xml:space="preserve"> of this instrument. </w:t>
      </w:r>
      <w:bookmarkStart w:id="2" w:name="_Hlk84487891"/>
      <w:r w:rsidR="00534597" w:rsidRPr="00AB2E17">
        <w:rPr>
          <w:color w:val="auto"/>
        </w:rPr>
        <w:t>Subp</w:t>
      </w:r>
      <w:r w:rsidR="0083395F" w:rsidRPr="00AB2E17">
        <w:rPr>
          <w:color w:val="auto"/>
        </w:rPr>
        <w:t xml:space="preserve">aragraph 13(1)(b) of the </w:t>
      </w:r>
      <w:r w:rsidR="0083395F" w:rsidRPr="00AB2E17">
        <w:rPr>
          <w:iCs/>
          <w:color w:val="auto"/>
        </w:rPr>
        <w:t xml:space="preserve">Legislation Act </w:t>
      </w:r>
      <w:r w:rsidR="0083395F" w:rsidRPr="00AB2E17">
        <w:rPr>
          <w:color w:val="auto"/>
        </w:rPr>
        <w:t xml:space="preserve">has the effect that expressions have the same meaning in this instrument as in the Registers Act, Corporations Act </w:t>
      </w:r>
      <w:r w:rsidR="00546375" w:rsidRPr="00AB2E17">
        <w:rPr>
          <w:color w:val="auto"/>
        </w:rPr>
        <w:t xml:space="preserve">and the </w:t>
      </w:r>
      <w:r w:rsidR="0027219D" w:rsidRPr="00AB2E17">
        <w:rPr>
          <w:color w:val="auto"/>
        </w:rPr>
        <w:t>CATSI Act</w:t>
      </w:r>
      <w:r w:rsidR="00546375" w:rsidRPr="00AB2E17">
        <w:rPr>
          <w:color w:val="auto"/>
        </w:rPr>
        <w:t xml:space="preserve"> </w:t>
      </w:r>
      <w:r w:rsidR="0083395F" w:rsidRPr="00AB2E17">
        <w:rPr>
          <w:color w:val="auto"/>
        </w:rPr>
        <w:t>as in force from time to time</w:t>
      </w:r>
      <w:bookmarkEnd w:id="2"/>
      <w:r w:rsidR="0083395F" w:rsidRPr="00AB2E17">
        <w:rPr>
          <w:color w:val="auto"/>
        </w:rPr>
        <w:t>.</w:t>
      </w:r>
    </w:p>
    <w:p w14:paraId="6DB34F7B" w14:textId="77777777" w:rsidR="000A61A2" w:rsidRPr="000A61A2" w:rsidRDefault="000A61A2" w:rsidP="001825C2">
      <w:pPr>
        <w:spacing w:after="120" w:line="240" w:lineRule="auto"/>
        <w:ind w:left="0" w:firstLine="0"/>
        <w:rPr>
          <w:color w:val="auto"/>
        </w:rPr>
      </w:pPr>
    </w:p>
    <w:p w14:paraId="761A0CAC" w14:textId="3D472716" w:rsidR="00864FCD" w:rsidRPr="00AB2E17" w:rsidRDefault="00864FCD" w:rsidP="001825C2">
      <w:pPr>
        <w:pStyle w:val="Heading2"/>
        <w:spacing w:before="0" w:after="120" w:line="240" w:lineRule="auto"/>
        <w:ind w:left="0" w:firstLine="0"/>
        <w:rPr>
          <w:rFonts w:ascii="Arial" w:hAnsi="Arial" w:cs="Arial"/>
          <w:b/>
          <w:bCs/>
          <w:color w:val="auto"/>
          <w:sz w:val="22"/>
          <w:szCs w:val="22"/>
          <w:lang w:eastAsia="en-US"/>
        </w:rPr>
      </w:pPr>
      <w:r w:rsidRPr="00AB2E17">
        <w:rPr>
          <w:rFonts w:ascii="Arial" w:hAnsi="Arial" w:cs="Arial"/>
          <w:b/>
          <w:bCs/>
          <w:color w:val="auto"/>
          <w:sz w:val="22"/>
          <w:szCs w:val="22"/>
          <w:lang w:eastAsia="en-US"/>
        </w:rPr>
        <w:t>Director ID (other government bodies) disclosure framework</w:t>
      </w:r>
    </w:p>
    <w:p w14:paraId="15FD1711" w14:textId="77777777" w:rsidR="00E86E52" w:rsidRDefault="00247766" w:rsidP="001825C2">
      <w:pPr>
        <w:numPr>
          <w:ilvl w:val="0"/>
          <w:numId w:val="1"/>
        </w:numPr>
        <w:spacing w:after="120" w:line="240" w:lineRule="auto"/>
        <w:ind w:left="567" w:hanging="567"/>
        <w:rPr>
          <w:color w:val="auto"/>
        </w:rPr>
      </w:pPr>
      <w:r w:rsidRPr="00AB2E17">
        <w:rPr>
          <w:color w:val="auto"/>
        </w:rPr>
        <w:t>The Registrar may make a disclosure framework that provides, among other things, for the disclosure of protected information under the Corporations Act</w:t>
      </w:r>
      <w:r w:rsidR="00972FFE" w:rsidRPr="00AB2E17">
        <w:rPr>
          <w:color w:val="auto"/>
        </w:rPr>
        <w:t xml:space="preserve"> and the Registers Act</w:t>
      </w:r>
      <w:r w:rsidRPr="00AB2E17">
        <w:rPr>
          <w:color w:val="auto"/>
        </w:rPr>
        <w:t xml:space="preserve">, in this case </w:t>
      </w:r>
      <w:r w:rsidR="008F3C0E" w:rsidRPr="00AB2E17">
        <w:rPr>
          <w:color w:val="auto"/>
        </w:rPr>
        <w:t xml:space="preserve">for </w:t>
      </w:r>
      <w:r w:rsidRPr="00AB2E17">
        <w:rPr>
          <w:color w:val="auto"/>
        </w:rPr>
        <w:t>director ID information</w:t>
      </w:r>
      <w:r w:rsidR="00292086" w:rsidRPr="00AB2E17">
        <w:rPr>
          <w:color w:val="auto"/>
        </w:rPr>
        <w:t>, where the Registrar is satisfied that the benefits of disclosure would outweigh the risks of disclosure (taking into account any mitigation of risks)</w:t>
      </w:r>
      <w:r w:rsidRPr="00AB2E17">
        <w:rPr>
          <w:color w:val="auto"/>
        </w:rPr>
        <w:t>. The disclosure of director ID information under paragraph</w:t>
      </w:r>
      <w:r w:rsidR="00976AEC" w:rsidRPr="00AB2E17">
        <w:rPr>
          <w:color w:val="auto"/>
        </w:rPr>
        <w:t xml:space="preserve"> </w:t>
      </w:r>
      <w:r w:rsidRPr="00AB2E17">
        <w:rPr>
          <w:color w:val="auto"/>
        </w:rPr>
        <w:t>1270L(3)(f)</w:t>
      </w:r>
      <w:r w:rsidR="00976AEC" w:rsidRPr="00AB2E17">
        <w:rPr>
          <w:color w:val="auto"/>
        </w:rPr>
        <w:t>)</w:t>
      </w:r>
      <w:r w:rsidRPr="00AB2E17">
        <w:rPr>
          <w:color w:val="auto"/>
        </w:rPr>
        <w:t xml:space="preserve"> of the Corporations Act </w:t>
      </w:r>
      <w:r w:rsidR="00976AEC" w:rsidRPr="00AB2E17">
        <w:rPr>
          <w:color w:val="auto"/>
        </w:rPr>
        <w:t>and paragraph 17(3)</w:t>
      </w:r>
      <w:r w:rsidR="00CC286D" w:rsidRPr="00AB2E17">
        <w:rPr>
          <w:color w:val="auto"/>
        </w:rPr>
        <w:t>(e)</w:t>
      </w:r>
      <w:r w:rsidR="00976AEC" w:rsidRPr="00AB2E17">
        <w:rPr>
          <w:color w:val="auto"/>
        </w:rPr>
        <w:t xml:space="preserve"> of the Registers Act </w:t>
      </w:r>
      <w:r w:rsidRPr="00AB2E17">
        <w:rPr>
          <w:color w:val="auto"/>
        </w:rPr>
        <w:t xml:space="preserve">must meet </w:t>
      </w:r>
      <w:r w:rsidR="00447A3C" w:rsidRPr="00AB2E17">
        <w:rPr>
          <w:color w:val="auto"/>
        </w:rPr>
        <w:t xml:space="preserve">the </w:t>
      </w:r>
      <w:r w:rsidRPr="00AB2E17">
        <w:rPr>
          <w:color w:val="auto"/>
        </w:rPr>
        <w:t>requirements of this instrument.</w:t>
      </w:r>
    </w:p>
    <w:p w14:paraId="7C736B0A" w14:textId="77777777" w:rsidR="00E86E52" w:rsidRDefault="00247766" w:rsidP="001825C2">
      <w:pPr>
        <w:numPr>
          <w:ilvl w:val="0"/>
          <w:numId w:val="1"/>
        </w:numPr>
        <w:spacing w:after="120" w:line="240" w:lineRule="auto"/>
        <w:ind w:left="567" w:hanging="567"/>
        <w:rPr>
          <w:color w:val="auto"/>
        </w:rPr>
      </w:pPr>
      <w:r w:rsidRPr="00AB2E17">
        <w:rPr>
          <w:color w:val="auto"/>
        </w:rPr>
        <w:t xml:space="preserve">A person, who is or has been in official employment is prohibited from disclosing protected information if the protected information was obtained by the person in the course of their official employment unless one of the exceptions in subsection 1270L(3) of the Corporations Act </w:t>
      </w:r>
      <w:r w:rsidR="00976AEC" w:rsidRPr="00AB2E17">
        <w:rPr>
          <w:color w:val="auto"/>
        </w:rPr>
        <w:t>or s</w:t>
      </w:r>
      <w:r w:rsidR="00292086" w:rsidRPr="00AB2E17">
        <w:rPr>
          <w:color w:val="auto"/>
        </w:rPr>
        <w:t>ubs</w:t>
      </w:r>
      <w:r w:rsidR="00976AEC" w:rsidRPr="00AB2E17">
        <w:rPr>
          <w:color w:val="auto"/>
        </w:rPr>
        <w:t>ection 17</w:t>
      </w:r>
      <w:r w:rsidR="009C1746" w:rsidRPr="00AB2E17">
        <w:rPr>
          <w:color w:val="auto"/>
        </w:rPr>
        <w:t>(3)</w:t>
      </w:r>
      <w:r w:rsidR="00976AEC" w:rsidRPr="00AB2E17">
        <w:rPr>
          <w:color w:val="auto"/>
        </w:rPr>
        <w:t xml:space="preserve"> of the Registers Act </w:t>
      </w:r>
      <w:r w:rsidRPr="00AB2E17">
        <w:rPr>
          <w:color w:val="auto"/>
        </w:rPr>
        <w:t>applies.</w:t>
      </w:r>
    </w:p>
    <w:p w14:paraId="57DD8A01" w14:textId="77777777" w:rsidR="00E86E52" w:rsidRDefault="00247766" w:rsidP="001825C2">
      <w:pPr>
        <w:numPr>
          <w:ilvl w:val="0"/>
          <w:numId w:val="1"/>
        </w:numPr>
        <w:spacing w:after="120" w:line="240" w:lineRule="auto"/>
        <w:ind w:left="567" w:hanging="567"/>
        <w:rPr>
          <w:color w:val="auto"/>
        </w:rPr>
      </w:pPr>
      <w:r w:rsidRPr="00AB2E17">
        <w:rPr>
          <w:color w:val="auto"/>
        </w:rPr>
        <w:t xml:space="preserve">Subsection 1270L(3) of the Corporations Act </w:t>
      </w:r>
      <w:r w:rsidR="00976AEC" w:rsidRPr="00AB2E17">
        <w:rPr>
          <w:color w:val="auto"/>
        </w:rPr>
        <w:t xml:space="preserve">and subsection 17(3) of the </w:t>
      </w:r>
      <w:r w:rsidR="00CE221C" w:rsidRPr="00AB2E17">
        <w:rPr>
          <w:color w:val="auto"/>
        </w:rPr>
        <w:t xml:space="preserve">Registers </w:t>
      </w:r>
      <w:r w:rsidR="00C27F19" w:rsidRPr="00AB2E17">
        <w:rPr>
          <w:color w:val="auto"/>
        </w:rPr>
        <w:t>A</w:t>
      </w:r>
      <w:r w:rsidR="00CE221C" w:rsidRPr="00AB2E17">
        <w:rPr>
          <w:color w:val="auto"/>
        </w:rPr>
        <w:t>ct</w:t>
      </w:r>
      <w:r w:rsidR="00976AEC" w:rsidRPr="00AB2E17">
        <w:rPr>
          <w:color w:val="auto"/>
        </w:rPr>
        <w:t xml:space="preserve"> </w:t>
      </w:r>
      <w:r w:rsidRPr="00AB2E17">
        <w:rPr>
          <w:color w:val="auto"/>
        </w:rPr>
        <w:t>authorise disclosure of protected information to a</w:t>
      </w:r>
      <w:r w:rsidR="00447A3C" w:rsidRPr="00AB2E17">
        <w:rPr>
          <w:color w:val="auto"/>
        </w:rPr>
        <w:t xml:space="preserve"> person in official employment with a</w:t>
      </w:r>
      <w:r w:rsidRPr="00AB2E17">
        <w:rPr>
          <w:color w:val="auto"/>
        </w:rPr>
        <w:t xml:space="preserve"> government entity in relation to the performance or exercise of its functions or powers. However, there are bodies, being Commonwealth entities and Commonwealth companies within the meaning of the </w:t>
      </w:r>
      <w:r w:rsidRPr="00AB2E17">
        <w:rPr>
          <w:i/>
          <w:color w:val="auto"/>
        </w:rPr>
        <w:t>Public Governance, Performance and Accountability Act 2013</w:t>
      </w:r>
      <w:r w:rsidRPr="00AB2E17">
        <w:rPr>
          <w:color w:val="auto"/>
        </w:rPr>
        <w:t xml:space="preserve"> (PGPA Act), which do not fall within the meaning of government entity within section 9 of the Corporations Act.</w:t>
      </w:r>
    </w:p>
    <w:p w14:paraId="62164EBA" w14:textId="6102474D" w:rsidR="00E86E52" w:rsidRDefault="00247766" w:rsidP="001825C2">
      <w:pPr>
        <w:numPr>
          <w:ilvl w:val="0"/>
          <w:numId w:val="1"/>
        </w:numPr>
        <w:spacing w:after="120" w:line="240" w:lineRule="auto"/>
        <w:ind w:left="567" w:hanging="567"/>
        <w:rPr>
          <w:color w:val="auto"/>
        </w:rPr>
      </w:pPr>
      <w:r w:rsidRPr="00AB2E17">
        <w:rPr>
          <w:color w:val="auto"/>
        </w:rPr>
        <w:t xml:space="preserve">PGPA bodies include, but are not limited to, non-corporate Commonwealth entities, </w:t>
      </w:r>
      <w:r w:rsidR="00712DC6" w:rsidRPr="00AB2E17">
        <w:rPr>
          <w:color w:val="auto"/>
        </w:rPr>
        <w:t>c</w:t>
      </w:r>
      <w:r w:rsidRPr="00AB2E17">
        <w:rPr>
          <w:color w:val="auto"/>
        </w:rPr>
        <w:t>orporate Commonwealth entities and Commonwealth companies</w:t>
      </w:r>
      <w:r w:rsidR="00BC72F0">
        <w:rPr>
          <w:color w:val="auto"/>
        </w:rPr>
        <w:t xml:space="preserve">. </w:t>
      </w:r>
      <w:r w:rsidR="00731A2C" w:rsidRPr="00AB2E17">
        <w:rPr>
          <w:color w:val="auto"/>
        </w:rPr>
        <w:t>PGPA bodies may include, but are not limited to:</w:t>
      </w:r>
    </w:p>
    <w:p w14:paraId="36A70512" w14:textId="77777777" w:rsidR="00E86E52" w:rsidRDefault="00864FCD" w:rsidP="00F16361">
      <w:pPr>
        <w:numPr>
          <w:ilvl w:val="2"/>
          <w:numId w:val="5"/>
        </w:numPr>
        <w:spacing w:after="120" w:line="240" w:lineRule="auto"/>
        <w:ind w:left="1134" w:hanging="567"/>
        <w:rPr>
          <w:color w:val="auto"/>
        </w:rPr>
      </w:pPr>
      <w:r w:rsidRPr="00AB2E17">
        <w:rPr>
          <w:color w:val="auto"/>
        </w:rPr>
        <w:t>Australian Securities and Investment Commission (ASIC</w:t>
      </w:r>
      <w:proofErr w:type="gramStart"/>
      <w:r w:rsidRPr="00AB2E17">
        <w:rPr>
          <w:color w:val="auto"/>
        </w:rPr>
        <w:t>);</w:t>
      </w:r>
      <w:proofErr w:type="gramEnd"/>
    </w:p>
    <w:p w14:paraId="2DAE4E55" w14:textId="77777777" w:rsidR="00E86E52" w:rsidRDefault="00864FCD" w:rsidP="00F16361">
      <w:pPr>
        <w:numPr>
          <w:ilvl w:val="2"/>
          <w:numId w:val="5"/>
        </w:numPr>
        <w:spacing w:after="120" w:line="240" w:lineRule="auto"/>
        <w:ind w:left="1134" w:hanging="567"/>
        <w:rPr>
          <w:color w:val="auto"/>
        </w:rPr>
      </w:pPr>
      <w:r w:rsidRPr="00AB2E17">
        <w:rPr>
          <w:color w:val="auto"/>
        </w:rPr>
        <w:t>Australian Prudential Regulation Authority (APRA</w:t>
      </w:r>
      <w:proofErr w:type="gramStart"/>
      <w:r w:rsidRPr="00AB2E17">
        <w:rPr>
          <w:color w:val="auto"/>
        </w:rPr>
        <w:t>);</w:t>
      </w:r>
      <w:proofErr w:type="gramEnd"/>
    </w:p>
    <w:p w14:paraId="7AB113FC" w14:textId="77777777" w:rsidR="00E86E52" w:rsidRDefault="00864FCD" w:rsidP="00F16361">
      <w:pPr>
        <w:numPr>
          <w:ilvl w:val="2"/>
          <w:numId w:val="5"/>
        </w:numPr>
        <w:spacing w:after="120" w:line="240" w:lineRule="auto"/>
        <w:ind w:left="1134" w:hanging="567"/>
        <w:rPr>
          <w:color w:val="auto"/>
        </w:rPr>
      </w:pPr>
      <w:r w:rsidRPr="00AB2E17">
        <w:rPr>
          <w:color w:val="auto"/>
        </w:rPr>
        <w:t xml:space="preserve">Reserve Bank of </w:t>
      </w:r>
      <w:proofErr w:type="gramStart"/>
      <w:r w:rsidRPr="00AB2E17">
        <w:rPr>
          <w:color w:val="auto"/>
        </w:rPr>
        <w:t>Australia;</w:t>
      </w:r>
      <w:proofErr w:type="gramEnd"/>
    </w:p>
    <w:p w14:paraId="411FEA91" w14:textId="77777777" w:rsidR="00E86E52" w:rsidRDefault="00864FCD" w:rsidP="00F16361">
      <w:pPr>
        <w:numPr>
          <w:ilvl w:val="2"/>
          <w:numId w:val="5"/>
        </w:numPr>
        <w:spacing w:after="120" w:line="240" w:lineRule="auto"/>
        <w:ind w:left="1134" w:hanging="567"/>
        <w:rPr>
          <w:color w:val="auto"/>
        </w:rPr>
      </w:pPr>
      <w:r w:rsidRPr="00AB2E17">
        <w:rPr>
          <w:color w:val="auto"/>
        </w:rPr>
        <w:t>Commonwealth Scientific and Industrial Research Organisation (CSIRO</w:t>
      </w:r>
      <w:proofErr w:type="gramStart"/>
      <w:r w:rsidRPr="00AB2E17">
        <w:rPr>
          <w:color w:val="auto"/>
        </w:rPr>
        <w:t>);</w:t>
      </w:r>
      <w:proofErr w:type="gramEnd"/>
    </w:p>
    <w:p w14:paraId="627E8058" w14:textId="77777777" w:rsidR="00E86E52" w:rsidRDefault="00864FCD" w:rsidP="00F16361">
      <w:pPr>
        <w:numPr>
          <w:ilvl w:val="2"/>
          <w:numId w:val="5"/>
        </w:numPr>
        <w:spacing w:after="120" w:line="240" w:lineRule="auto"/>
        <w:ind w:left="1134" w:hanging="567"/>
        <w:rPr>
          <w:color w:val="auto"/>
        </w:rPr>
      </w:pPr>
      <w:r w:rsidRPr="00AB2E17">
        <w:rPr>
          <w:color w:val="auto"/>
        </w:rPr>
        <w:t>Australian Institute of Health and Welfare (AIHW)</w:t>
      </w:r>
    </w:p>
    <w:p w14:paraId="0E89BC25" w14:textId="77777777" w:rsidR="00E86E52" w:rsidRDefault="00864FCD" w:rsidP="00F16361">
      <w:pPr>
        <w:numPr>
          <w:ilvl w:val="2"/>
          <w:numId w:val="5"/>
        </w:numPr>
        <w:spacing w:after="120" w:line="240" w:lineRule="auto"/>
        <w:ind w:left="1134" w:hanging="567"/>
        <w:rPr>
          <w:color w:val="auto"/>
        </w:rPr>
      </w:pPr>
      <w:r w:rsidRPr="00AB2E17">
        <w:rPr>
          <w:color w:val="auto"/>
        </w:rPr>
        <w:t xml:space="preserve">Australian Postal </w:t>
      </w:r>
      <w:proofErr w:type="gramStart"/>
      <w:r w:rsidRPr="00AB2E17">
        <w:rPr>
          <w:color w:val="auto"/>
        </w:rPr>
        <w:t>Corporation;</w:t>
      </w:r>
      <w:proofErr w:type="gramEnd"/>
    </w:p>
    <w:p w14:paraId="036291A4" w14:textId="5F16DDC8" w:rsidR="00E86E52" w:rsidRDefault="00864FCD" w:rsidP="00F16361">
      <w:pPr>
        <w:numPr>
          <w:ilvl w:val="2"/>
          <w:numId w:val="5"/>
        </w:numPr>
        <w:spacing w:after="120" w:line="240" w:lineRule="auto"/>
        <w:ind w:left="1134" w:hanging="567"/>
        <w:rPr>
          <w:color w:val="auto"/>
        </w:rPr>
      </w:pPr>
      <w:r w:rsidRPr="00AB2E17">
        <w:rPr>
          <w:color w:val="auto"/>
        </w:rPr>
        <w:t>Defence Housing Australia.</w:t>
      </w:r>
    </w:p>
    <w:p w14:paraId="2096B10C" w14:textId="77777777" w:rsidR="00AB2E17" w:rsidRPr="00AB2E17" w:rsidRDefault="00247766" w:rsidP="001825C2">
      <w:pPr>
        <w:numPr>
          <w:ilvl w:val="0"/>
          <w:numId w:val="1"/>
        </w:numPr>
        <w:spacing w:after="120" w:line="240" w:lineRule="auto"/>
        <w:ind w:left="567" w:hanging="567"/>
        <w:rPr>
          <w:color w:val="auto"/>
        </w:rPr>
      </w:pPr>
      <w:r w:rsidRPr="00AB2E17">
        <w:rPr>
          <w:color w:val="auto"/>
        </w:rPr>
        <w:t xml:space="preserve">It is appropriate to ensure that director ID information may be disclosed to PGPA bodies to enable those bodies to exercise their functions or powers. This instrument provides the ability to disclose director ID information to PGPA bodies. The disclosure of director ID information is authorised by this instrument and under paragraph 1270L(3)(f) of the Corporations Act </w:t>
      </w:r>
      <w:r w:rsidR="00976AEC" w:rsidRPr="00AB2E17">
        <w:rPr>
          <w:color w:val="auto"/>
        </w:rPr>
        <w:t xml:space="preserve">and paragraph 17(3)(e) of the </w:t>
      </w:r>
      <w:r w:rsidR="00CE221C" w:rsidRPr="00AB2E17">
        <w:rPr>
          <w:color w:val="auto"/>
        </w:rPr>
        <w:t xml:space="preserve">Registers </w:t>
      </w:r>
      <w:r w:rsidR="00AD192C" w:rsidRPr="00AB2E17">
        <w:rPr>
          <w:color w:val="auto"/>
        </w:rPr>
        <w:t>A</w:t>
      </w:r>
      <w:r w:rsidR="00CE221C" w:rsidRPr="00AB2E17">
        <w:rPr>
          <w:color w:val="auto"/>
        </w:rPr>
        <w:t>ct</w:t>
      </w:r>
      <w:r w:rsidR="00976AEC" w:rsidRPr="00AB2E17">
        <w:rPr>
          <w:color w:val="auto"/>
        </w:rPr>
        <w:t xml:space="preserve"> </w:t>
      </w:r>
      <w:r w:rsidRPr="00AB2E17">
        <w:rPr>
          <w:color w:val="auto"/>
        </w:rPr>
        <w:t>if the disclosure is:</w:t>
      </w:r>
    </w:p>
    <w:p w14:paraId="1F438FDA" w14:textId="77777777" w:rsidR="00E86E52" w:rsidRDefault="00247766" w:rsidP="001825C2">
      <w:pPr>
        <w:numPr>
          <w:ilvl w:val="0"/>
          <w:numId w:val="9"/>
        </w:numPr>
        <w:spacing w:after="120" w:line="240" w:lineRule="auto"/>
        <w:ind w:left="1134" w:hanging="567"/>
        <w:rPr>
          <w:color w:val="auto"/>
        </w:rPr>
      </w:pPr>
      <w:r w:rsidRPr="00AB2E17">
        <w:rPr>
          <w:color w:val="auto"/>
        </w:rPr>
        <w:t xml:space="preserve">made to a person </w:t>
      </w:r>
      <w:r w:rsidR="00170195" w:rsidRPr="00AB2E17">
        <w:rPr>
          <w:color w:val="auto"/>
        </w:rPr>
        <w:t>in the course of the performance of duties of the person’s official employment by</w:t>
      </w:r>
      <w:r w:rsidRPr="00AB2E17">
        <w:rPr>
          <w:color w:val="auto"/>
        </w:rPr>
        <w:t xml:space="preserve"> a PGPA body</w:t>
      </w:r>
      <w:r w:rsidR="00170195" w:rsidRPr="00AB2E17">
        <w:rPr>
          <w:color w:val="auto"/>
        </w:rPr>
        <w:t xml:space="preserve">; </w:t>
      </w:r>
      <w:r w:rsidRPr="00AB2E17">
        <w:rPr>
          <w:color w:val="auto"/>
        </w:rPr>
        <w:t>and</w:t>
      </w:r>
    </w:p>
    <w:p w14:paraId="5605B034" w14:textId="77777777" w:rsidR="00E86E52" w:rsidRDefault="00247766" w:rsidP="001825C2">
      <w:pPr>
        <w:numPr>
          <w:ilvl w:val="0"/>
          <w:numId w:val="9"/>
        </w:numPr>
        <w:spacing w:after="120" w:line="240" w:lineRule="auto"/>
        <w:ind w:left="1134" w:hanging="567"/>
        <w:rPr>
          <w:color w:val="auto"/>
        </w:rPr>
      </w:pPr>
      <w:r w:rsidRPr="00AB2E17">
        <w:rPr>
          <w:color w:val="auto"/>
        </w:rPr>
        <w:t xml:space="preserve">in relation to </w:t>
      </w:r>
      <w:r w:rsidR="000E184B" w:rsidRPr="00AB2E17">
        <w:rPr>
          <w:color w:val="auto"/>
        </w:rPr>
        <w:t xml:space="preserve">the performance or exercise of the </w:t>
      </w:r>
      <w:r w:rsidRPr="00AB2E17">
        <w:rPr>
          <w:color w:val="auto"/>
        </w:rPr>
        <w:t>functions and powers of that PGPA body.</w:t>
      </w:r>
    </w:p>
    <w:p w14:paraId="7FA198DF" w14:textId="7DF25DCE" w:rsidR="00AB2E17" w:rsidRPr="00AB2E17" w:rsidRDefault="00247766" w:rsidP="001825C2">
      <w:pPr>
        <w:numPr>
          <w:ilvl w:val="0"/>
          <w:numId w:val="1"/>
        </w:numPr>
        <w:spacing w:after="120" w:line="240" w:lineRule="auto"/>
        <w:ind w:left="567" w:hanging="567"/>
        <w:rPr>
          <w:color w:val="auto"/>
        </w:rPr>
      </w:pPr>
      <w:r w:rsidRPr="00AB2E17">
        <w:rPr>
          <w:color w:val="auto"/>
        </w:rPr>
        <w:t xml:space="preserve">The PGPA Act is a framework covering governance, accountability, performance and the use of resources across Commonwealth bodies. Commonwealth entities and companies are government bodies that are subject to the PGPA Act. As at 1 July 2020 the Department of </w:t>
      </w:r>
      <w:r w:rsidRPr="00AB2E17">
        <w:rPr>
          <w:color w:val="auto"/>
        </w:rPr>
        <w:lastRenderedPageBreak/>
        <w:t>Finance identified a list of 187 Commonwealth entities and companies whose financial governance was found under the PGPA Act. This list forms the starting point for identifying Commonwealth entities and companies for the purpose of providing director ID information collected under the Corporations Act.</w:t>
      </w:r>
    </w:p>
    <w:p w14:paraId="51B6FAC9" w14:textId="5012E32A" w:rsidR="007C0E4F" w:rsidRPr="00AB2E17" w:rsidRDefault="00247766" w:rsidP="001825C2">
      <w:pPr>
        <w:numPr>
          <w:ilvl w:val="0"/>
          <w:numId w:val="1"/>
        </w:numPr>
        <w:spacing w:after="120" w:line="240" w:lineRule="auto"/>
        <w:ind w:left="567" w:hanging="567"/>
        <w:rPr>
          <w:color w:val="auto"/>
        </w:rPr>
      </w:pPr>
      <w:r w:rsidRPr="00AB2E17">
        <w:rPr>
          <w:color w:val="auto"/>
        </w:rPr>
        <w:t>Subject to section 1270Q of the Corporations Act</w:t>
      </w:r>
      <w:r w:rsidR="00A7159B" w:rsidRPr="00AB2E17">
        <w:rPr>
          <w:color w:val="auto"/>
        </w:rPr>
        <w:t xml:space="preserve"> and section 21 of the </w:t>
      </w:r>
      <w:r w:rsidR="00CE221C" w:rsidRPr="00AB2E17">
        <w:rPr>
          <w:color w:val="auto"/>
        </w:rPr>
        <w:t xml:space="preserve">Registers </w:t>
      </w:r>
      <w:r w:rsidR="00AD192C" w:rsidRPr="00AB2E17">
        <w:rPr>
          <w:color w:val="auto"/>
        </w:rPr>
        <w:t>A</w:t>
      </w:r>
      <w:r w:rsidR="00CE221C" w:rsidRPr="00AB2E17">
        <w:rPr>
          <w:color w:val="auto"/>
        </w:rPr>
        <w:t>ct</w:t>
      </w:r>
      <w:r w:rsidRPr="00AB2E17">
        <w:rPr>
          <w:color w:val="auto"/>
        </w:rPr>
        <w:t xml:space="preserve">, the disclosure of director ID information to a court or tribunal is authorised by this instrument. Section 1270Q of the Corporations Act </w:t>
      </w:r>
      <w:r w:rsidR="00A7159B" w:rsidRPr="00AB2E17">
        <w:rPr>
          <w:color w:val="auto"/>
        </w:rPr>
        <w:t xml:space="preserve">and section 21 of the </w:t>
      </w:r>
      <w:r w:rsidR="00CE221C" w:rsidRPr="00AB2E17">
        <w:rPr>
          <w:color w:val="auto"/>
        </w:rPr>
        <w:t xml:space="preserve">Registers </w:t>
      </w:r>
      <w:r w:rsidR="00AD192C" w:rsidRPr="00AB2E17">
        <w:rPr>
          <w:color w:val="auto"/>
        </w:rPr>
        <w:t>A</w:t>
      </w:r>
      <w:r w:rsidR="00CE221C" w:rsidRPr="00AB2E17">
        <w:rPr>
          <w:color w:val="auto"/>
        </w:rPr>
        <w:t>ct</w:t>
      </w:r>
      <w:r w:rsidR="00A7159B" w:rsidRPr="00AB2E17">
        <w:rPr>
          <w:color w:val="auto"/>
        </w:rPr>
        <w:t xml:space="preserve"> </w:t>
      </w:r>
      <w:r w:rsidRPr="00AB2E17">
        <w:rPr>
          <w:color w:val="auto"/>
        </w:rPr>
        <w:t xml:space="preserve">exempts </w:t>
      </w:r>
      <w:r w:rsidR="00A7159B" w:rsidRPr="00AB2E17">
        <w:rPr>
          <w:color w:val="auto"/>
        </w:rPr>
        <w:t>a person from being required to provide protected information to a court or tribunal except where the disclosure is necessary for giving effect to a taxation law or an Australian business law.</w:t>
      </w:r>
    </w:p>
    <w:p w14:paraId="61906D29" w14:textId="7C956C66" w:rsidR="0027219D" w:rsidRPr="00AB2E17" w:rsidRDefault="0027219D" w:rsidP="001825C2">
      <w:pPr>
        <w:numPr>
          <w:ilvl w:val="0"/>
          <w:numId w:val="1"/>
        </w:numPr>
        <w:spacing w:after="120" w:line="240" w:lineRule="auto"/>
        <w:ind w:left="567" w:hanging="567"/>
        <w:rPr>
          <w:color w:val="auto"/>
        </w:rPr>
      </w:pPr>
      <w:r w:rsidRPr="00AB2E17">
        <w:rPr>
          <w:color w:val="auto"/>
        </w:rPr>
        <w:t xml:space="preserve">Subsection 1270L(3) of the Corporations Act authorises disclosure of protected information to a person who is an employee of a State or Territory or an authority of a State or Territory in relation to the performance or exercise of their functions or powers and the disclosure is in accordance with a corporate regulation agreement with the Commonwealth. </w:t>
      </w:r>
      <w:r w:rsidR="002C65DA" w:rsidRPr="00AB2E17">
        <w:rPr>
          <w:color w:val="auto"/>
        </w:rPr>
        <w:t>However, this does not include director ID information as there is no corporate regulation agreement between the States and Territories and the Commonwealth in respect of director ID</w:t>
      </w:r>
      <w:r w:rsidRPr="00AB2E17">
        <w:rPr>
          <w:color w:val="auto"/>
        </w:rPr>
        <w:t xml:space="preserve">. In addition, the </w:t>
      </w:r>
      <w:r w:rsidR="00CE221C" w:rsidRPr="00AB2E17">
        <w:rPr>
          <w:color w:val="auto"/>
        </w:rPr>
        <w:t xml:space="preserve">Registers </w:t>
      </w:r>
      <w:r w:rsidR="00AD192C" w:rsidRPr="00AB2E17">
        <w:rPr>
          <w:color w:val="auto"/>
        </w:rPr>
        <w:t>A</w:t>
      </w:r>
      <w:r w:rsidR="00CE221C" w:rsidRPr="00AB2E17">
        <w:rPr>
          <w:color w:val="auto"/>
        </w:rPr>
        <w:t>ct</w:t>
      </w:r>
      <w:r w:rsidRPr="00AB2E17">
        <w:rPr>
          <w:color w:val="auto"/>
        </w:rPr>
        <w:t xml:space="preserve"> does not authorise disclosure to a person who is an employee of a State or Territory or authorities of States or Territories.</w:t>
      </w:r>
    </w:p>
    <w:p w14:paraId="2440B5F0" w14:textId="33284394" w:rsidR="0027219D" w:rsidRPr="00AB2E17" w:rsidRDefault="0027219D" w:rsidP="001825C2">
      <w:pPr>
        <w:numPr>
          <w:ilvl w:val="0"/>
          <w:numId w:val="1"/>
        </w:numPr>
        <w:spacing w:after="120" w:line="240" w:lineRule="auto"/>
        <w:ind w:left="567" w:hanging="567"/>
        <w:rPr>
          <w:color w:val="auto"/>
        </w:rPr>
      </w:pPr>
      <w:r w:rsidRPr="00AB2E17">
        <w:rPr>
          <w:color w:val="auto"/>
        </w:rPr>
        <w:t xml:space="preserve">It is appropriate that director ID information collected under the Corporations Act and the CATSI Act </w:t>
      </w:r>
      <w:r w:rsidR="00886311" w:rsidRPr="00AB2E17">
        <w:rPr>
          <w:color w:val="auto"/>
        </w:rPr>
        <w:t>can</w:t>
      </w:r>
      <w:r w:rsidRPr="00AB2E17">
        <w:rPr>
          <w:color w:val="auto"/>
        </w:rPr>
        <w:t xml:space="preserve"> be disclosed to</w:t>
      </w:r>
      <w:r w:rsidR="00886311" w:rsidRPr="00AB2E17">
        <w:rPr>
          <w:color w:val="auto"/>
        </w:rPr>
        <w:t xml:space="preserve"> an</w:t>
      </w:r>
      <w:r w:rsidRPr="00AB2E17">
        <w:rPr>
          <w:color w:val="auto"/>
        </w:rPr>
        <w:t xml:space="preserve"> </w:t>
      </w:r>
      <w:r w:rsidR="000D7BDA" w:rsidRPr="00AB2E17">
        <w:rPr>
          <w:color w:val="auto"/>
        </w:rPr>
        <w:t xml:space="preserve">employee of a </w:t>
      </w:r>
      <w:r w:rsidRPr="00AB2E17">
        <w:rPr>
          <w:color w:val="auto"/>
        </w:rPr>
        <w:t>State</w:t>
      </w:r>
      <w:r w:rsidR="000D7BDA" w:rsidRPr="00AB2E17">
        <w:rPr>
          <w:color w:val="auto"/>
        </w:rPr>
        <w:t xml:space="preserve"> or</w:t>
      </w:r>
      <w:r w:rsidRPr="00AB2E17">
        <w:rPr>
          <w:color w:val="auto"/>
        </w:rPr>
        <w:t xml:space="preserve"> </w:t>
      </w:r>
      <w:r w:rsidR="000D7BDA" w:rsidRPr="00AB2E17">
        <w:rPr>
          <w:color w:val="auto"/>
        </w:rPr>
        <w:t xml:space="preserve">Territory (including a local </w:t>
      </w:r>
      <w:r w:rsidR="00295315" w:rsidRPr="00AB2E17">
        <w:rPr>
          <w:color w:val="auto"/>
        </w:rPr>
        <w:t>government</w:t>
      </w:r>
      <w:r w:rsidR="000D7BDA" w:rsidRPr="00AB2E17">
        <w:rPr>
          <w:color w:val="auto"/>
        </w:rPr>
        <w:t xml:space="preserve"> body)</w:t>
      </w:r>
      <w:r w:rsidRPr="00AB2E17">
        <w:rPr>
          <w:color w:val="auto"/>
        </w:rPr>
        <w:t xml:space="preserve"> to enable those bodies to exercise their functions and powers. This instrument provides the ability to disclose director ID information to </w:t>
      </w:r>
      <w:r w:rsidR="00886311" w:rsidRPr="00AB2E17">
        <w:rPr>
          <w:color w:val="auto"/>
        </w:rPr>
        <w:t xml:space="preserve">an employee of a </w:t>
      </w:r>
      <w:r w:rsidRPr="00AB2E17">
        <w:rPr>
          <w:color w:val="auto"/>
        </w:rPr>
        <w:t>State</w:t>
      </w:r>
      <w:r w:rsidR="00886311" w:rsidRPr="00AB2E17">
        <w:rPr>
          <w:color w:val="auto"/>
        </w:rPr>
        <w:t xml:space="preserve"> or</w:t>
      </w:r>
      <w:r w:rsidRPr="00AB2E17">
        <w:rPr>
          <w:color w:val="auto"/>
        </w:rPr>
        <w:t xml:space="preserve"> Territory </w:t>
      </w:r>
      <w:r w:rsidR="00886311" w:rsidRPr="00AB2E17">
        <w:rPr>
          <w:color w:val="auto"/>
        </w:rPr>
        <w:t xml:space="preserve">(including a local </w:t>
      </w:r>
      <w:r w:rsidR="00295315" w:rsidRPr="00AB2E17">
        <w:rPr>
          <w:color w:val="auto"/>
        </w:rPr>
        <w:t>government</w:t>
      </w:r>
      <w:r w:rsidR="00886311" w:rsidRPr="00AB2E17">
        <w:rPr>
          <w:color w:val="auto"/>
        </w:rPr>
        <w:t xml:space="preserve"> body)</w:t>
      </w:r>
      <w:r w:rsidR="00447A3C" w:rsidRPr="00AB2E17">
        <w:rPr>
          <w:color w:val="auto"/>
        </w:rPr>
        <w:t xml:space="preserve"> for the performance or exercise of the functions or powers in relation to a State or Territory government entity (including a local government body)</w:t>
      </w:r>
      <w:r w:rsidR="00886311" w:rsidRPr="00AB2E17">
        <w:rPr>
          <w:color w:val="auto"/>
        </w:rPr>
        <w:t>.</w:t>
      </w:r>
    </w:p>
    <w:p w14:paraId="12C5F4D0" w14:textId="77777777" w:rsidR="00E86E52" w:rsidRDefault="00883A77" w:rsidP="001825C2">
      <w:pPr>
        <w:numPr>
          <w:ilvl w:val="0"/>
          <w:numId w:val="1"/>
        </w:numPr>
        <w:spacing w:after="120" w:line="240" w:lineRule="auto"/>
        <w:ind w:left="567" w:hanging="567"/>
        <w:rPr>
          <w:color w:val="auto"/>
        </w:rPr>
      </w:pPr>
      <w:r w:rsidRPr="00AB2E17">
        <w:rPr>
          <w:color w:val="auto"/>
        </w:rPr>
        <w:t>Disclosure of director ID information to</w:t>
      </w:r>
      <w:r w:rsidR="00FB2FCD" w:rsidRPr="00AB2E17">
        <w:rPr>
          <w:color w:val="auto"/>
        </w:rPr>
        <w:t xml:space="preserve"> a taskforce officer of</w:t>
      </w:r>
      <w:r w:rsidRPr="00AB2E17">
        <w:rPr>
          <w:color w:val="auto"/>
        </w:rPr>
        <w:t xml:space="preserve"> </w:t>
      </w:r>
      <w:r w:rsidR="00FB2FCD" w:rsidRPr="00AB2E17">
        <w:rPr>
          <w:color w:val="auto"/>
        </w:rPr>
        <w:t xml:space="preserve">a </w:t>
      </w:r>
      <w:r w:rsidR="006209E0" w:rsidRPr="00AB2E17">
        <w:rPr>
          <w:color w:val="auto"/>
        </w:rPr>
        <w:t xml:space="preserve">multi-agency </w:t>
      </w:r>
      <w:r w:rsidRPr="00AB2E17">
        <w:rPr>
          <w:color w:val="auto"/>
        </w:rPr>
        <w:t xml:space="preserve">taskforce which </w:t>
      </w:r>
      <w:r w:rsidR="00920C9E" w:rsidRPr="00AB2E17">
        <w:rPr>
          <w:color w:val="auto"/>
        </w:rPr>
        <w:t xml:space="preserve">are not otherwise </w:t>
      </w:r>
      <w:r w:rsidRPr="00AB2E17">
        <w:rPr>
          <w:color w:val="auto"/>
        </w:rPr>
        <w:t>authorised</w:t>
      </w:r>
      <w:r w:rsidR="00920C9E" w:rsidRPr="00AB2E17">
        <w:rPr>
          <w:color w:val="auto"/>
        </w:rPr>
        <w:t xml:space="preserve"> will be authorised</w:t>
      </w:r>
      <w:r w:rsidRPr="00AB2E17">
        <w:rPr>
          <w:color w:val="auto"/>
        </w:rPr>
        <w:t xml:space="preserve"> by this instrument. In particular, director ID information can be disclosed to a </w:t>
      </w:r>
      <w:r w:rsidR="006209E0" w:rsidRPr="00AB2E17">
        <w:rPr>
          <w:color w:val="auto"/>
        </w:rPr>
        <w:t xml:space="preserve">multi-agency </w:t>
      </w:r>
      <w:r w:rsidRPr="00AB2E17">
        <w:rPr>
          <w:color w:val="auto"/>
        </w:rPr>
        <w:t xml:space="preserve">taskforce if the record or disclosure is for or in connection with a purpose of the </w:t>
      </w:r>
      <w:r w:rsidR="006209E0" w:rsidRPr="00AB2E17">
        <w:rPr>
          <w:color w:val="auto"/>
        </w:rPr>
        <w:t xml:space="preserve">multi-agency </w:t>
      </w:r>
      <w:r w:rsidRPr="00AB2E17">
        <w:rPr>
          <w:color w:val="auto"/>
        </w:rPr>
        <w:t>taskforce</w:t>
      </w:r>
      <w:r w:rsidR="001C44EE" w:rsidRPr="00AB2E17">
        <w:rPr>
          <w:color w:val="auto"/>
        </w:rPr>
        <w:t xml:space="preserve"> for law enforcement and related purposes</w:t>
      </w:r>
      <w:r w:rsidRPr="00AB2E17">
        <w:rPr>
          <w:color w:val="auto"/>
        </w:rPr>
        <w:t xml:space="preserve">. The </w:t>
      </w:r>
      <w:r w:rsidRPr="00AB2E17">
        <w:rPr>
          <w:i/>
          <w:iCs/>
          <w:color w:val="auto"/>
        </w:rPr>
        <w:t xml:space="preserve">Taxation Administration Regulations </w:t>
      </w:r>
      <w:r w:rsidR="00295315" w:rsidRPr="00AB2E17">
        <w:rPr>
          <w:i/>
          <w:iCs/>
          <w:color w:val="auto"/>
        </w:rPr>
        <w:t>2017</w:t>
      </w:r>
      <w:r w:rsidRPr="00AB2E17">
        <w:rPr>
          <w:i/>
          <w:iCs/>
          <w:color w:val="auto"/>
        </w:rPr>
        <w:t xml:space="preserve"> </w:t>
      </w:r>
      <w:r w:rsidRPr="00AB2E17">
        <w:rPr>
          <w:color w:val="auto"/>
        </w:rPr>
        <w:t xml:space="preserve">prescribe taskforces for the purposes of this </w:t>
      </w:r>
      <w:r w:rsidR="00FB2FCD" w:rsidRPr="00AB2E17">
        <w:rPr>
          <w:color w:val="auto"/>
        </w:rPr>
        <w:t>disclosure</w:t>
      </w:r>
      <w:r w:rsidR="00CB6B7A" w:rsidRPr="00AB2E17">
        <w:rPr>
          <w:color w:val="auto"/>
        </w:rPr>
        <w:t>.</w:t>
      </w:r>
    </w:p>
    <w:p w14:paraId="6A4A3815" w14:textId="77777777" w:rsidR="00E86E52" w:rsidRDefault="00CB6B7A" w:rsidP="001825C2">
      <w:pPr>
        <w:numPr>
          <w:ilvl w:val="0"/>
          <w:numId w:val="1"/>
        </w:numPr>
        <w:spacing w:after="120" w:line="240" w:lineRule="auto"/>
        <w:ind w:left="567" w:hanging="567"/>
        <w:rPr>
          <w:color w:val="auto"/>
        </w:rPr>
      </w:pPr>
      <w:r w:rsidRPr="00AB2E17">
        <w:rPr>
          <w:color w:val="auto"/>
        </w:rPr>
        <w:t>The</w:t>
      </w:r>
      <w:r w:rsidR="00247766" w:rsidRPr="00AB2E17">
        <w:rPr>
          <w:color w:val="auto"/>
        </w:rPr>
        <w:t xml:space="preserve"> disclosure of director ID information to </w:t>
      </w:r>
      <w:r w:rsidR="00FB2FCD" w:rsidRPr="00AB2E17">
        <w:rPr>
          <w:color w:val="auto"/>
        </w:rPr>
        <w:t>other government bodies</w:t>
      </w:r>
      <w:r w:rsidR="00247766" w:rsidRPr="00AB2E17">
        <w:rPr>
          <w:color w:val="auto"/>
        </w:rPr>
        <w:t xml:space="preserve"> will not require payment of a fee and will generally be provided electronically.</w:t>
      </w:r>
    </w:p>
    <w:p w14:paraId="57F0620F" w14:textId="77777777" w:rsidR="00E86E52" w:rsidRDefault="00247766" w:rsidP="001825C2">
      <w:pPr>
        <w:numPr>
          <w:ilvl w:val="0"/>
          <w:numId w:val="1"/>
        </w:numPr>
        <w:spacing w:after="120" w:line="240" w:lineRule="auto"/>
        <w:ind w:left="567" w:hanging="567"/>
        <w:rPr>
          <w:color w:val="auto"/>
        </w:rPr>
      </w:pPr>
      <w:r w:rsidRPr="00AB2E17">
        <w:rPr>
          <w:color w:val="auto"/>
        </w:rPr>
        <w:t xml:space="preserve">While this instrument permits and authorises the disclosure of director ID information to </w:t>
      </w:r>
      <w:r w:rsidR="00FB2FCD" w:rsidRPr="00AB2E17">
        <w:rPr>
          <w:color w:val="auto"/>
        </w:rPr>
        <w:t>other government bodies</w:t>
      </w:r>
      <w:r w:rsidR="00A7159B" w:rsidRPr="00AB2E17">
        <w:rPr>
          <w:color w:val="auto"/>
        </w:rPr>
        <w:t>,</w:t>
      </w:r>
      <w:r w:rsidRPr="00AB2E17">
        <w:rPr>
          <w:color w:val="auto"/>
        </w:rPr>
        <w:t xml:space="preserve"> nothing in the instrument requires or compels such a disclosure.</w:t>
      </w:r>
    </w:p>
    <w:p w14:paraId="10DAE3C0" w14:textId="3C565B11" w:rsidR="003558F4" w:rsidRPr="00AB2E17" w:rsidRDefault="003558F4" w:rsidP="001825C2">
      <w:pPr>
        <w:spacing w:after="120" w:line="240" w:lineRule="auto"/>
        <w:ind w:left="0" w:firstLine="0"/>
        <w:rPr>
          <w:color w:val="auto"/>
        </w:rPr>
      </w:pPr>
    </w:p>
    <w:p w14:paraId="00101848" w14:textId="029E00F7" w:rsidR="003558F4" w:rsidRPr="00AB2E17" w:rsidRDefault="003558F4" w:rsidP="001825C2">
      <w:pPr>
        <w:pStyle w:val="Heading2"/>
        <w:spacing w:before="0" w:after="120" w:line="240" w:lineRule="auto"/>
        <w:ind w:left="0" w:firstLine="0"/>
        <w:rPr>
          <w:rFonts w:ascii="Arial" w:hAnsi="Arial" w:cs="Arial"/>
          <w:b/>
          <w:bCs/>
          <w:color w:val="auto"/>
          <w:sz w:val="22"/>
          <w:szCs w:val="22"/>
          <w:lang w:eastAsia="en-US"/>
        </w:rPr>
      </w:pPr>
      <w:r w:rsidRPr="00AB2E17">
        <w:rPr>
          <w:rFonts w:ascii="Arial" w:hAnsi="Arial" w:cs="Arial"/>
          <w:b/>
          <w:bCs/>
          <w:color w:val="auto"/>
          <w:sz w:val="22"/>
          <w:szCs w:val="22"/>
          <w:lang w:eastAsia="en-US"/>
        </w:rPr>
        <w:t>Other matters</w:t>
      </w:r>
    </w:p>
    <w:p w14:paraId="614F524D" w14:textId="05EAE45A" w:rsidR="00864FCD" w:rsidRPr="00AB2E17" w:rsidRDefault="00BC4CDA" w:rsidP="001825C2">
      <w:pPr>
        <w:numPr>
          <w:ilvl w:val="0"/>
          <w:numId w:val="1"/>
        </w:numPr>
        <w:spacing w:after="120" w:line="240" w:lineRule="auto"/>
        <w:ind w:left="567" w:hanging="567"/>
        <w:rPr>
          <w:color w:val="auto"/>
        </w:rPr>
      </w:pPr>
      <w:r w:rsidRPr="00AB2E17">
        <w:rPr>
          <w:color w:val="auto"/>
        </w:rPr>
        <w:t xml:space="preserve">Subsection 1270N(1) of the Corporations Act and subsection 19(1) of the </w:t>
      </w:r>
      <w:r w:rsidR="00CE221C" w:rsidRPr="00AB2E17">
        <w:rPr>
          <w:color w:val="auto"/>
        </w:rPr>
        <w:t xml:space="preserve">Registers </w:t>
      </w:r>
      <w:r w:rsidR="00AD192C" w:rsidRPr="00AB2E17">
        <w:rPr>
          <w:color w:val="auto"/>
        </w:rPr>
        <w:t>A</w:t>
      </w:r>
      <w:r w:rsidR="00CE221C" w:rsidRPr="00AB2E17">
        <w:rPr>
          <w:color w:val="auto"/>
        </w:rPr>
        <w:t>ct</w:t>
      </w:r>
      <w:r w:rsidRPr="00AB2E17">
        <w:rPr>
          <w:color w:val="auto"/>
        </w:rPr>
        <w:t xml:space="preserve"> provides that an individual may request their director ID information is not disclosed under the disclosure framework.</w:t>
      </w:r>
    </w:p>
    <w:p w14:paraId="49C9C847" w14:textId="77777777" w:rsidR="00AB2E17" w:rsidRPr="00AB2E17" w:rsidRDefault="00BC4CDA" w:rsidP="001825C2">
      <w:pPr>
        <w:numPr>
          <w:ilvl w:val="0"/>
          <w:numId w:val="1"/>
        </w:numPr>
        <w:spacing w:after="120" w:line="240" w:lineRule="auto"/>
        <w:ind w:left="567" w:hanging="567"/>
        <w:rPr>
          <w:color w:val="auto"/>
        </w:rPr>
      </w:pPr>
      <w:r w:rsidRPr="00AB2E17">
        <w:rPr>
          <w:color w:val="auto"/>
        </w:rPr>
        <w:t xml:space="preserve">This instrument provides that individuals making such a request must </w:t>
      </w:r>
      <w:r w:rsidR="00D9159E" w:rsidRPr="00AB2E17">
        <w:rPr>
          <w:color w:val="auto"/>
        </w:rPr>
        <w:t xml:space="preserve">provide information to </w:t>
      </w:r>
      <w:r w:rsidRPr="00AB2E17">
        <w:rPr>
          <w:color w:val="auto"/>
        </w:rPr>
        <w:t xml:space="preserve">demonstrate how the detrimental consequence to the individual of disclosure outweighs the benefit of the disclosure to </w:t>
      </w:r>
      <w:r w:rsidR="00FB2FCD" w:rsidRPr="00AB2E17">
        <w:rPr>
          <w:color w:val="auto"/>
        </w:rPr>
        <w:t xml:space="preserve">other government bodies </w:t>
      </w:r>
      <w:r w:rsidRPr="00AB2E17">
        <w:rPr>
          <w:color w:val="auto"/>
        </w:rPr>
        <w:t>for performing their functions. Requiring individuals to establish this is necessary as it is generally not appropriate to sup</w:t>
      </w:r>
      <w:r w:rsidR="004105A3" w:rsidRPr="00AB2E17">
        <w:rPr>
          <w:color w:val="auto"/>
        </w:rPr>
        <w:t>p</w:t>
      </w:r>
      <w:r w:rsidRPr="00AB2E17">
        <w:rPr>
          <w:color w:val="auto"/>
        </w:rPr>
        <w:t xml:space="preserve">ress </w:t>
      </w:r>
      <w:r w:rsidR="004105A3" w:rsidRPr="00AB2E17">
        <w:rPr>
          <w:color w:val="auto"/>
        </w:rPr>
        <w:t xml:space="preserve">any </w:t>
      </w:r>
      <w:r w:rsidRPr="00AB2E17">
        <w:rPr>
          <w:color w:val="auto"/>
        </w:rPr>
        <w:t xml:space="preserve">director ID information from </w:t>
      </w:r>
      <w:r w:rsidR="00FB2FCD" w:rsidRPr="00AB2E17">
        <w:rPr>
          <w:color w:val="auto"/>
        </w:rPr>
        <w:t>other government bodies</w:t>
      </w:r>
      <w:r w:rsidRPr="00AB2E17">
        <w:rPr>
          <w:color w:val="auto"/>
        </w:rPr>
        <w:t xml:space="preserve"> given the importance of these bodies to the function of government and to the Australian community.</w:t>
      </w:r>
    </w:p>
    <w:p w14:paraId="543A44CB" w14:textId="7572A250" w:rsidR="00A25D8D" w:rsidRPr="00AB2E17" w:rsidRDefault="00A25D8D" w:rsidP="001825C2">
      <w:pPr>
        <w:spacing w:after="120" w:line="240" w:lineRule="auto"/>
        <w:ind w:left="0" w:firstLine="0"/>
        <w:rPr>
          <w:color w:val="auto"/>
        </w:rPr>
      </w:pPr>
    </w:p>
    <w:p w14:paraId="4E69BAAD" w14:textId="77777777" w:rsidR="00E86E52" w:rsidRDefault="00247766" w:rsidP="001825C2">
      <w:pPr>
        <w:pStyle w:val="Heading2"/>
        <w:spacing w:before="0" w:after="120" w:line="240" w:lineRule="auto"/>
        <w:ind w:left="0" w:firstLine="0"/>
        <w:rPr>
          <w:rFonts w:ascii="Arial" w:hAnsi="Arial" w:cs="Arial"/>
          <w:b/>
          <w:bCs/>
          <w:color w:val="auto"/>
          <w:sz w:val="22"/>
          <w:szCs w:val="22"/>
          <w:lang w:eastAsia="en-US"/>
        </w:rPr>
      </w:pPr>
      <w:r w:rsidRPr="00AB2E17">
        <w:rPr>
          <w:rFonts w:ascii="Arial" w:hAnsi="Arial" w:cs="Arial"/>
          <w:b/>
          <w:bCs/>
          <w:color w:val="auto"/>
          <w:sz w:val="22"/>
          <w:szCs w:val="22"/>
          <w:lang w:eastAsia="en-US"/>
        </w:rPr>
        <w:lastRenderedPageBreak/>
        <w:t>Risks and benefits</w:t>
      </w:r>
    </w:p>
    <w:p w14:paraId="20439A9C" w14:textId="77777777" w:rsidR="00E86E52" w:rsidRDefault="00247766" w:rsidP="001825C2">
      <w:pPr>
        <w:numPr>
          <w:ilvl w:val="0"/>
          <w:numId w:val="1"/>
        </w:numPr>
        <w:spacing w:after="120" w:line="240" w:lineRule="auto"/>
        <w:ind w:left="567" w:hanging="567"/>
        <w:rPr>
          <w:color w:val="auto"/>
        </w:rPr>
      </w:pPr>
      <w:r w:rsidRPr="00AB2E17">
        <w:rPr>
          <w:color w:val="auto"/>
        </w:rPr>
        <w:t xml:space="preserve">Subsection 1270K(5) of the Corporations Act </w:t>
      </w:r>
      <w:r w:rsidR="001C30A4" w:rsidRPr="00AB2E17">
        <w:rPr>
          <w:color w:val="auto"/>
        </w:rPr>
        <w:t xml:space="preserve">and subsection 16(5) of the </w:t>
      </w:r>
      <w:r w:rsidR="00CE221C" w:rsidRPr="00AB2E17">
        <w:rPr>
          <w:color w:val="auto"/>
        </w:rPr>
        <w:t xml:space="preserve">Registers </w:t>
      </w:r>
      <w:r w:rsidR="00AD192C" w:rsidRPr="00AB2E17">
        <w:rPr>
          <w:color w:val="auto"/>
        </w:rPr>
        <w:t>A</w:t>
      </w:r>
      <w:r w:rsidR="00CE221C" w:rsidRPr="00AB2E17">
        <w:rPr>
          <w:color w:val="auto"/>
        </w:rPr>
        <w:t>ct</w:t>
      </w:r>
      <w:r w:rsidR="001C30A4" w:rsidRPr="00AB2E17">
        <w:rPr>
          <w:color w:val="auto"/>
        </w:rPr>
        <w:t xml:space="preserve"> </w:t>
      </w:r>
      <w:r w:rsidRPr="00AB2E17">
        <w:rPr>
          <w:color w:val="auto"/>
        </w:rPr>
        <w:t>provides that the disclosure framework must only provide for the disclosure of protected information if the Registrar is satisfied that the benefits of the disclosure would outweigh the risks of the disclosure (taking into account any mitigation of those risks in accordance with the disclosure framework).</w:t>
      </w:r>
    </w:p>
    <w:p w14:paraId="78F3CE8E" w14:textId="77777777" w:rsidR="00E86E52" w:rsidRDefault="00247766" w:rsidP="001825C2">
      <w:pPr>
        <w:numPr>
          <w:ilvl w:val="0"/>
          <w:numId w:val="1"/>
        </w:numPr>
        <w:spacing w:after="120" w:line="240" w:lineRule="auto"/>
        <w:ind w:left="567" w:hanging="567"/>
        <w:rPr>
          <w:color w:val="auto"/>
        </w:rPr>
      </w:pPr>
      <w:r w:rsidRPr="00AB2E17">
        <w:rPr>
          <w:color w:val="auto"/>
        </w:rPr>
        <w:t xml:space="preserve">The introduction of a director ID requirement is one of the Commonwealth Government initiatives to promote good corporate conduct, and to deter and penalise illegal phoenix </w:t>
      </w:r>
      <w:r w:rsidR="009879F0" w:rsidRPr="00AB2E17">
        <w:rPr>
          <w:color w:val="auto"/>
        </w:rPr>
        <w:t xml:space="preserve">activity </w:t>
      </w:r>
      <w:r w:rsidRPr="00AB2E17">
        <w:rPr>
          <w:color w:val="auto"/>
        </w:rPr>
        <w:t>in order to protect those who are negatively affected by such fraudulent behaviour.</w:t>
      </w:r>
    </w:p>
    <w:p w14:paraId="3594A12A" w14:textId="77777777" w:rsidR="00E86E52" w:rsidRDefault="00247766" w:rsidP="001825C2">
      <w:pPr>
        <w:numPr>
          <w:ilvl w:val="0"/>
          <w:numId w:val="1"/>
        </w:numPr>
        <w:spacing w:after="120" w:line="240" w:lineRule="auto"/>
        <w:ind w:left="567" w:hanging="567"/>
        <w:rPr>
          <w:color w:val="auto"/>
        </w:rPr>
      </w:pPr>
      <w:r w:rsidRPr="00AB2E17">
        <w:rPr>
          <w:color w:val="auto"/>
        </w:rPr>
        <w:t>The director ID regime will also offer benefits beyond combating illegal phoenix</w:t>
      </w:r>
      <w:r w:rsidR="009879F0" w:rsidRPr="00AB2E17">
        <w:rPr>
          <w:color w:val="auto"/>
        </w:rPr>
        <w:t xml:space="preserve"> activity</w:t>
      </w:r>
      <w:r w:rsidRPr="00AB2E17">
        <w:rPr>
          <w:color w:val="auto"/>
        </w:rPr>
        <w:t>. For instance, simpler more effective tracking of directors and their corporate history will reduce time and cost for administrators and liquidators, thereby improving the efficiency of the insolvency process. In addition, the new regime will improve data integrity and security.</w:t>
      </w:r>
    </w:p>
    <w:p w14:paraId="343D88D1" w14:textId="77777777" w:rsidR="00E86E52" w:rsidRDefault="00247766" w:rsidP="001825C2">
      <w:pPr>
        <w:numPr>
          <w:ilvl w:val="0"/>
          <w:numId w:val="1"/>
        </w:numPr>
        <w:spacing w:after="120" w:line="240" w:lineRule="auto"/>
        <w:ind w:left="567" w:hanging="567"/>
        <w:rPr>
          <w:color w:val="auto"/>
        </w:rPr>
      </w:pPr>
      <w:r w:rsidRPr="00AB2E17">
        <w:rPr>
          <w:color w:val="auto"/>
        </w:rPr>
        <w:t xml:space="preserve">This instrument authorises the disclosure of director ID information to </w:t>
      </w:r>
      <w:r w:rsidR="00F21471" w:rsidRPr="00AB2E17">
        <w:rPr>
          <w:color w:val="auto"/>
        </w:rPr>
        <w:t>other government bodies</w:t>
      </w:r>
      <w:r w:rsidRPr="00AB2E17">
        <w:rPr>
          <w:color w:val="auto"/>
        </w:rPr>
        <w:t>,</w:t>
      </w:r>
      <w:r w:rsidR="003D26DC" w:rsidRPr="00AB2E17">
        <w:rPr>
          <w:color w:val="auto"/>
        </w:rPr>
        <w:t xml:space="preserve"> </w:t>
      </w:r>
      <w:r w:rsidRPr="00AB2E17">
        <w:rPr>
          <w:color w:val="auto"/>
        </w:rPr>
        <w:t xml:space="preserve">to allow these bodies to continue to undertake their functions and powers. Each body will have their own mechanisms for the prevention of misuse of this information which addresses any risk of the misuse of director ID information by these bodies or individuals </w:t>
      </w:r>
      <w:r w:rsidR="00606CB7" w:rsidRPr="00AB2E17">
        <w:rPr>
          <w:color w:val="auto"/>
        </w:rPr>
        <w:t>they</w:t>
      </w:r>
      <w:r w:rsidRPr="00AB2E17">
        <w:rPr>
          <w:color w:val="auto"/>
        </w:rPr>
        <w:t xml:space="preserve"> employ.</w:t>
      </w:r>
    </w:p>
    <w:p w14:paraId="53DD779E" w14:textId="21F7A339" w:rsidR="00AB2E17" w:rsidRPr="00AB2E17" w:rsidRDefault="00247766" w:rsidP="001825C2">
      <w:pPr>
        <w:numPr>
          <w:ilvl w:val="0"/>
          <w:numId w:val="1"/>
        </w:numPr>
        <w:spacing w:after="120" w:line="240" w:lineRule="auto"/>
        <w:ind w:left="567" w:hanging="567"/>
        <w:rPr>
          <w:color w:val="auto"/>
        </w:rPr>
      </w:pPr>
      <w:r w:rsidRPr="00AB2E17">
        <w:rPr>
          <w:color w:val="auto"/>
        </w:rPr>
        <w:t xml:space="preserve">Broader public benefits include reduced operating costs because each individual body will not be required to determine if they are a government entity or </w:t>
      </w:r>
      <w:r w:rsidR="00F21471" w:rsidRPr="00AB2E17">
        <w:rPr>
          <w:color w:val="auto"/>
        </w:rPr>
        <w:t>other government body</w:t>
      </w:r>
      <w:r w:rsidRPr="00AB2E17">
        <w:rPr>
          <w:color w:val="auto"/>
        </w:rPr>
        <w:t xml:space="preserve">. This will provide for greater efficiency of </w:t>
      </w:r>
      <w:r w:rsidR="00F21471" w:rsidRPr="00AB2E17">
        <w:rPr>
          <w:color w:val="auto"/>
        </w:rPr>
        <w:t>other government bodies</w:t>
      </w:r>
      <w:r w:rsidRPr="00AB2E17">
        <w:rPr>
          <w:color w:val="auto"/>
        </w:rPr>
        <w:t xml:space="preserve"> and enhancements to regulation and community support activities which includes the detection of fraud and business misconduct which will result in a level playing field for individuals and businesses.</w:t>
      </w:r>
    </w:p>
    <w:p w14:paraId="05F471E8" w14:textId="77777777" w:rsidR="00AB2E17" w:rsidRPr="00AB2E17" w:rsidRDefault="00247766" w:rsidP="001825C2">
      <w:pPr>
        <w:numPr>
          <w:ilvl w:val="0"/>
          <w:numId w:val="1"/>
        </w:numPr>
        <w:spacing w:after="120" w:line="240" w:lineRule="auto"/>
        <w:ind w:left="567" w:hanging="567"/>
        <w:rPr>
          <w:color w:val="auto"/>
        </w:rPr>
      </w:pPr>
      <w:r w:rsidRPr="00AB2E17">
        <w:rPr>
          <w:color w:val="auto"/>
        </w:rPr>
        <w:t>On balance</w:t>
      </w:r>
      <w:r w:rsidR="00B41B82" w:rsidRPr="00AB2E17">
        <w:rPr>
          <w:color w:val="auto"/>
        </w:rPr>
        <w:t>,</w:t>
      </w:r>
      <w:r w:rsidRPr="00AB2E17">
        <w:rPr>
          <w:color w:val="auto"/>
        </w:rPr>
        <w:t xml:space="preserve"> the benefits of the disclosure of Director ID information to enable </w:t>
      </w:r>
      <w:r w:rsidR="00F21471" w:rsidRPr="00AB2E17">
        <w:rPr>
          <w:color w:val="auto"/>
        </w:rPr>
        <w:t>other government bodies</w:t>
      </w:r>
      <w:r w:rsidRPr="00AB2E17">
        <w:rPr>
          <w:color w:val="auto"/>
        </w:rPr>
        <w:t xml:space="preserve"> to undertake their functions and powers are significant and outweigh potential risks of the misuse of director ID information.</w:t>
      </w:r>
    </w:p>
    <w:p w14:paraId="55FC68D2" w14:textId="7242C109" w:rsidR="003558F4" w:rsidRPr="00AB2E17" w:rsidRDefault="003558F4" w:rsidP="001825C2">
      <w:pPr>
        <w:spacing w:after="120" w:line="240" w:lineRule="auto"/>
        <w:ind w:left="0" w:firstLine="0"/>
        <w:rPr>
          <w:color w:val="auto"/>
        </w:rPr>
      </w:pPr>
    </w:p>
    <w:p w14:paraId="6EBAA121" w14:textId="13A2181E" w:rsidR="00E86E52" w:rsidRDefault="00864FCD" w:rsidP="001825C2">
      <w:pPr>
        <w:pStyle w:val="Heading2"/>
        <w:spacing w:before="0" w:after="120" w:line="240" w:lineRule="auto"/>
        <w:ind w:left="0" w:firstLine="0"/>
        <w:rPr>
          <w:rFonts w:ascii="Arial" w:hAnsi="Arial" w:cs="Arial"/>
          <w:b/>
          <w:bCs/>
          <w:color w:val="auto"/>
          <w:sz w:val="22"/>
          <w:szCs w:val="22"/>
          <w:lang w:eastAsia="en-US"/>
        </w:rPr>
      </w:pPr>
      <w:r w:rsidRPr="00AB2E17">
        <w:rPr>
          <w:rFonts w:ascii="Arial" w:hAnsi="Arial" w:cs="Arial"/>
          <w:b/>
          <w:bCs/>
          <w:color w:val="auto"/>
          <w:sz w:val="22"/>
          <w:szCs w:val="22"/>
          <w:lang w:eastAsia="en-US"/>
        </w:rPr>
        <w:t xml:space="preserve">Repeal of </w:t>
      </w:r>
      <w:r w:rsidRPr="000A61A2">
        <w:rPr>
          <w:rFonts w:ascii="Arial" w:hAnsi="Arial" w:cs="Arial"/>
          <w:b/>
          <w:bCs/>
          <w:i/>
          <w:iCs/>
          <w:color w:val="auto"/>
          <w:sz w:val="22"/>
          <w:szCs w:val="22"/>
          <w:lang w:eastAsia="en-US"/>
        </w:rPr>
        <w:t>Corporations (Director Identification Number) Disclosure Framework (PGPA</w:t>
      </w:r>
      <w:r w:rsidR="001825C2">
        <w:rPr>
          <w:rFonts w:ascii="Arial" w:hAnsi="Arial" w:cs="Arial"/>
          <w:b/>
          <w:bCs/>
          <w:i/>
          <w:iCs/>
          <w:color w:val="auto"/>
          <w:sz w:val="22"/>
          <w:szCs w:val="22"/>
          <w:lang w:eastAsia="en-US"/>
        </w:rPr>
        <w:t> </w:t>
      </w:r>
      <w:r w:rsidRPr="000A61A2">
        <w:rPr>
          <w:rFonts w:ascii="Arial" w:hAnsi="Arial" w:cs="Arial"/>
          <w:b/>
          <w:bCs/>
          <w:i/>
          <w:iCs/>
          <w:color w:val="auto"/>
          <w:sz w:val="22"/>
          <w:szCs w:val="22"/>
          <w:lang w:eastAsia="en-US"/>
        </w:rPr>
        <w:t>Bodies, Courts and Tribunals) 2021</w:t>
      </w:r>
    </w:p>
    <w:p w14:paraId="1C7CD698" w14:textId="64CC3F65" w:rsidR="00864FCD" w:rsidRPr="00AB2E17" w:rsidRDefault="00864FCD" w:rsidP="001825C2">
      <w:pPr>
        <w:numPr>
          <w:ilvl w:val="0"/>
          <w:numId w:val="1"/>
        </w:numPr>
        <w:spacing w:after="120" w:line="240" w:lineRule="auto"/>
        <w:ind w:left="567" w:hanging="567"/>
        <w:rPr>
          <w:color w:val="auto"/>
        </w:rPr>
      </w:pPr>
      <w:r w:rsidRPr="00AB2E17">
        <w:rPr>
          <w:rFonts w:eastAsia="Times New Roman"/>
          <w:color w:val="auto"/>
        </w:rPr>
        <w:t xml:space="preserve">This instrument repeals the </w:t>
      </w:r>
      <w:r w:rsidRPr="00AB2E17">
        <w:rPr>
          <w:rFonts w:eastAsia="Times New Roman"/>
          <w:i/>
          <w:iCs/>
          <w:color w:val="auto"/>
        </w:rPr>
        <w:t>Corporations (Director Identification Number) Disclosure Framework (PGPA Bodies, Courts and Tribunals) 2021</w:t>
      </w:r>
      <w:r w:rsidRPr="00AB2E17">
        <w:rPr>
          <w:rFonts w:eastAsia="Times New Roman"/>
          <w:color w:val="auto"/>
        </w:rPr>
        <w:t xml:space="preserve"> </w:t>
      </w:r>
      <w:r w:rsidR="00D316A0">
        <w:rPr>
          <w:rFonts w:eastAsia="Times New Roman"/>
          <w:color w:val="auto"/>
        </w:rPr>
        <w:t>(</w:t>
      </w:r>
      <w:r w:rsidR="00D316A0" w:rsidRPr="00D316A0">
        <w:rPr>
          <w:rFonts w:eastAsia="Times New Roman"/>
          <w:color w:val="auto"/>
        </w:rPr>
        <w:t>F2021L00455</w:t>
      </w:r>
      <w:r w:rsidR="00D316A0">
        <w:rPr>
          <w:rFonts w:eastAsia="Times New Roman"/>
          <w:color w:val="auto"/>
        </w:rPr>
        <w:t xml:space="preserve">) </w:t>
      </w:r>
      <w:r w:rsidRPr="00AB2E17">
        <w:rPr>
          <w:rFonts w:eastAsia="Times New Roman"/>
          <w:color w:val="auto"/>
        </w:rPr>
        <w:t>registered on 16 April 2021. This instrument expands on the government bodies the Registrar can disclose protected information to and has been written to include director ID information collected under the CATSI Act in addition to the Corporations Act.</w:t>
      </w:r>
    </w:p>
    <w:p w14:paraId="7C4154AD" w14:textId="77777777" w:rsidR="00864FCD" w:rsidRPr="00AB2E17" w:rsidRDefault="00864FCD" w:rsidP="001825C2">
      <w:pPr>
        <w:numPr>
          <w:ilvl w:val="0"/>
          <w:numId w:val="1"/>
        </w:numPr>
        <w:spacing w:after="120" w:line="240" w:lineRule="auto"/>
        <w:ind w:left="567" w:hanging="567"/>
        <w:rPr>
          <w:color w:val="auto"/>
        </w:rPr>
      </w:pPr>
      <w:r w:rsidRPr="00AB2E17">
        <w:rPr>
          <w:color w:val="auto"/>
        </w:rPr>
        <w:t xml:space="preserve">Therefore, </w:t>
      </w:r>
      <w:bookmarkStart w:id="3" w:name="_Hlk85530060"/>
      <w:r w:rsidRPr="00AB2E17">
        <w:rPr>
          <w:rFonts w:eastAsia="Times New Roman"/>
          <w:i/>
          <w:iCs/>
          <w:color w:val="auto"/>
        </w:rPr>
        <w:t>Corporations (Director Identification Number) Disclosure Framework (PGPA Bodies, Courts and Tribunals) 2021</w:t>
      </w:r>
      <w:r w:rsidRPr="00AB2E17">
        <w:rPr>
          <w:rFonts w:eastAsia="Times New Roman"/>
          <w:color w:val="auto"/>
        </w:rPr>
        <w:t xml:space="preserve"> </w:t>
      </w:r>
      <w:bookmarkEnd w:id="3"/>
      <w:r w:rsidRPr="00AB2E17">
        <w:rPr>
          <w:color w:val="auto"/>
        </w:rPr>
        <w:t>is not necessary.</w:t>
      </w:r>
    </w:p>
    <w:p w14:paraId="472D74DF" w14:textId="169EF87D" w:rsidR="007C0E4F" w:rsidRPr="00AB2E17" w:rsidRDefault="007C0E4F" w:rsidP="001825C2">
      <w:pPr>
        <w:spacing w:after="120" w:line="240" w:lineRule="auto"/>
        <w:ind w:left="0" w:firstLine="0"/>
        <w:rPr>
          <w:color w:val="auto"/>
        </w:rPr>
      </w:pPr>
    </w:p>
    <w:p w14:paraId="6EA34DE5" w14:textId="77777777" w:rsidR="00E86E52" w:rsidRDefault="00247766" w:rsidP="001825C2">
      <w:pPr>
        <w:pStyle w:val="Heading2"/>
        <w:spacing w:before="0" w:after="120" w:line="240" w:lineRule="auto"/>
        <w:ind w:left="0" w:firstLine="0"/>
        <w:rPr>
          <w:rFonts w:ascii="Arial" w:hAnsi="Arial" w:cs="Arial"/>
          <w:b/>
          <w:bCs/>
          <w:color w:val="auto"/>
          <w:sz w:val="22"/>
          <w:szCs w:val="22"/>
          <w:lang w:eastAsia="en-US"/>
        </w:rPr>
      </w:pPr>
      <w:r w:rsidRPr="00AB2E17">
        <w:rPr>
          <w:rFonts w:ascii="Arial" w:hAnsi="Arial" w:cs="Arial"/>
          <w:b/>
          <w:bCs/>
          <w:color w:val="auto"/>
          <w:sz w:val="22"/>
          <w:szCs w:val="22"/>
          <w:lang w:eastAsia="en-US"/>
        </w:rPr>
        <w:t>Consultation</w:t>
      </w:r>
    </w:p>
    <w:p w14:paraId="6AC9D088" w14:textId="3BF5D5C2" w:rsidR="00E86E52" w:rsidRDefault="00247766" w:rsidP="001825C2">
      <w:pPr>
        <w:keepNext/>
        <w:numPr>
          <w:ilvl w:val="0"/>
          <w:numId w:val="1"/>
        </w:numPr>
        <w:spacing w:after="120" w:line="240" w:lineRule="auto"/>
        <w:ind w:left="567" w:hanging="567"/>
        <w:rPr>
          <w:color w:val="auto"/>
        </w:rPr>
      </w:pPr>
      <w:r w:rsidRPr="00AB2E17">
        <w:rPr>
          <w:color w:val="auto"/>
        </w:rPr>
        <w:t xml:space="preserve">Subsection 17(1) of the Legislation Act requires, before the making of a </w:t>
      </w:r>
      <w:r w:rsidR="00845401" w:rsidRPr="00AB2E17">
        <w:rPr>
          <w:color w:val="auto"/>
        </w:rPr>
        <w:t>legislative instrument</w:t>
      </w:r>
      <w:r w:rsidRPr="00AB2E17">
        <w:rPr>
          <w:color w:val="auto"/>
        </w:rPr>
        <w:t xml:space="preserve">, that the </w:t>
      </w:r>
      <w:r w:rsidR="00FE2466" w:rsidRPr="00AB2E17">
        <w:rPr>
          <w:color w:val="auto"/>
        </w:rPr>
        <w:t>Registrar</w:t>
      </w:r>
      <w:r w:rsidRPr="00AB2E17">
        <w:rPr>
          <w:color w:val="auto"/>
        </w:rPr>
        <w:t xml:space="preserve"> is satisfied that appropriate and reasonably practicable consultation has been undertaken.</w:t>
      </w:r>
    </w:p>
    <w:p w14:paraId="12A249CE" w14:textId="77777777" w:rsidR="00E53A4D" w:rsidRDefault="00E53A4D" w:rsidP="00AE6C64">
      <w:pPr>
        <w:numPr>
          <w:ilvl w:val="0"/>
          <w:numId w:val="1"/>
        </w:numPr>
        <w:spacing w:after="120" w:line="240" w:lineRule="auto"/>
        <w:ind w:left="567" w:hanging="558"/>
      </w:pPr>
      <w:r>
        <w:t>For this instrument, broad consultation was undertaken for a period of 30 days, commencing on 9 November 2021. The draft instrument and draft explanatory statement were published on the Australian Taxation Office (ATO) website.</w:t>
      </w:r>
    </w:p>
    <w:p w14:paraId="3EAA73E2" w14:textId="77777777" w:rsidR="002617FB" w:rsidRPr="002617FB" w:rsidRDefault="002617FB" w:rsidP="002617FB">
      <w:pPr>
        <w:keepNext/>
        <w:numPr>
          <w:ilvl w:val="0"/>
          <w:numId w:val="1"/>
        </w:numPr>
        <w:spacing w:after="120" w:line="240" w:lineRule="auto"/>
        <w:ind w:left="567" w:hanging="567"/>
        <w:rPr>
          <w:color w:val="auto"/>
        </w:rPr>
      </w:pPr>
      <w:r w:rsidRPr="002617FB">
        <w:rPr>
          <w:color w:val="auto"/>
        </w:rPr>
        <w:lastRenderedPageBreak/>
        <w:t>Four written submissions were received from:</w:t>
      </w:r>
    </w:p>
    <w:p w14:paraId="7E34F648" w14:textId="77777777" w:rsidR="00E53A4D" w:rsidRPr="00E90AAA" w:rsidRDefault="00E53A4D" w:rsidP="00F16361">
      <w:pPr>
        <w:numPr>
          <w:ilvl w:val="1"/>
          <w:numId w:val="1"/>
        </w:numPr>
        <w:spacing w:after="120" w:line="240" w:lineRule="auto"/>
        <w:ind w:left="1134" w:hanging="567"/>
        <w:rPr>
          <w:color w:val="auto"/>
        </w:rPr>
      </w:pPr>
      <w:r>
        <w:rPr>
          <w:shd w:val="clear" w:color="auto" w:fill="FFFFFF"/>
        </w:rPr>
        <w:t>Australian Charities and Not-for-profits Commission</w:t>
      </w:r>
    </w:p>
    <w:p w14:paraId="50D92E94" w14:textId="77777777" w:rsidR="00E53A4D" w:rsidRPr="00E90AAA" w:rsidRDefault="00E53A4D" w:rsidP="00F16361">
      <w:pPr>
        <w:numPr>
          <w:ilvl w:val="1"/>
          <w:numId w:val="1"/>
        </w:numPr>
        <w:spacing w:after="120" w:line="240" w:lineRule="auto"/>
        <w:ind w:left="1134" w:hanging="567"/>
        <w:rPr>
          <w:color w:val="auto"/>
        </w:rPr>
      </w:pPr>
      <w:r>
        <w:t>Chartered Accountants Australia and New Zealand</w:t>
      </w:r>
    </w:p>
    <w:p w14:paraId="36DCB883" w14:textId="77777777" w:rsidR="00E53A4D" w:rsidRPr="00E90AAA" w:rsidRDefault="00E53A4D" w:rsidP="00F16361">
      <w:pPr>
        <w:numPr>
          <w:ilvl w:val="1"/>
          <w:numId w:val="1"/>
        </w:numPr>
        <w:spacing w:after="120" w:line="240" w:lineRule="auto"/>
        <w:ind w:left="1134" w:hanging="567"/>
        <w:rPr>
          <w:color w:val="auto"/>
        </w:rPr>
      </w:pPr>
      <w:r>
        <w:t>CPA Australia</w:t>
      </w:r>
    </w:p>
    <w:p w14:paraId="4C9F3DC6" w14:textId="77777777" w:rsidR="00E53A4D" w:rsidRPr="00E90AAA" w:rsidRDefault="00E53A4D" w:rsidP="00F16361">
      <w:pPr>
        <w:numPr>
          <w:ilvl w:val="1"/>
          <w:numId w:val="1"/>
        </w:numPr>
        <w:spacing w:after="120" w:line="240" w:lineRule="auto"/>
        <w:ind w:left="1134" w:hanging="567"/>
        <w:rPr>
          <w:color w:val="auto"/>
        </w:rPr>
      </w:pPr>
      <w:r>
        <w:rPr>
          <w:shd w:val="clear" w:color="auto" w:fill="FFFFFF"/>
        </w:rPr>
        <w:t>Equifax</w:t>
      </w:r>
    </w:p>
    <w:p w14:paraId="611651E2" w14:textId="5C7D8F84" w:rsidR="00E53A4D" w:rsidRDefault="00E53A4D" w:rsidP="00AE6C64">
      <w:pPr>
        <w:keepNext/>
        <w:numPr>
          <w:ilvl w:val="0"/>
          <w:numId w:val="1"/>
        </w:numPr>
        <w:spacing w:after="120" w:line="240" w:lineRule="auto"/>
        <w:ind w:left="567" w:hanging="558"/>
        <w:rPr>
          <w:color w:val="auto"/>
        </w:rPr>
      </w:pPr>
      <w:r w:rsidRPr="00652759">
        <w:t>Comments were</w:t>
      </w:r>
      <w:r w:rsidRPr="00E90AAA">
        <w:t xml:space="preserve"> generally supportive of the instrument, with suggestions for minor edits to provide further clarity for registered charities and authorised agents. Submissions also discussed matters that have been raised in prior submissions and other relate</w:t>
      </w:r>
      <w:r w:rsidR="00BD38A8">
        <w:t>d</w:t>
      </w:r>
      <w:r w:rsidRPr="00E90AAA">
        <w:t xml:space="preserve"> matters that were out of scope for this instrument.</w:t>
      </w:r>
    </w:p>
    <w:p w14:paraId="3003342B" w14:textId="05F516BD" w:rsidR="001825C2" w:rsidRDefault="001825C2" w:rsidP="001825C2">
      <w:pPr>
        <w:spacing w:after="120" w:line="240" w:lineRule="auto"/>
        <w:ind w:left="0" w:firstLine="0"/>
        <w:rPr>
          <w:color w:val="auto"/>
        </w:rPr>
      </w:pPr>
    </w:p>
    <w:p w14:paraId="26760C9B" w14:textId="77777777" w:rsidR="001825C2" w:rsidRDefault="001825C2" w:rsidP="001825C2">
      <w:pPr>
        <w:spacing w:after="120" w:line="240" w:lineRule="auto"/>
        <w:ind w:left="0" w:firstLine="0"/>
        <w:rPr>
          <w:color w:val="auto"/>
        </w:rPr>
      </w:pPr>
    </w:p>
    <w:p w14:paraId="7D49A421" w14:textId="77777777" w:rsidR="00E86E52" w:rsidRPr="00045226" w:rsidRDefault="00247766" w:rsidP="001825C2">
      <w:pPr>
        <w:spacing w:after="60" w:line="240" w:lineRule="auto"/>
        <w:ind w:left="0" w:firstLine="0"/>
        <w:rPr>
          <w:b/>
          <w:i/>
          <w:color w:val="auto"/>
          <w:sz w:val="20"/>
          <w:szCs w:val="20"/>
        </w:rPr>
      </w:pPr>
      <w:r w:rsidRPr="00045226">
        <w:rPr>
          <w:b/>
          <w:i/>
          <w:color w:val="auto"/>
          <w:sz w:val="20"/>
          <w:szCs w:val="20"/>
        </w:rPr>
        <w:t>Legislative references</w:t>
      </w:r>
    </w:p>
    <w:p w14:paraId="15286148" w14:textId="77777777" w:rsidR="00E86E52" w:rsidRPr="00045226" w:rsidRDefault="00247766" w:rsidP="001825C2">
      <w:pPr>
        <w:spacing w:after="0" w:line="240" w:lineRule="auto"/>
        <w:ind w:left="-6" w:hanging="11"/>
        <w:rPr>
          <w:i/>
          <w:color w:val="auto"/>
          <w:sz w:val="20"/>
          <w:szCs w:val="20"/>
        </w:rPr>
      </w:pPr>
      <w:r w:rsidRPr="00045226">
        <w:rPr>
          <w:i/>
          <w:color w:val="auto"/>
          <w:sz w:val="20"/>
          <w:szCs w:val="20"/>
        </w:rPr>
        <w:t>A New Tax System (Australian Business Number) Act 1999</w:t>
      </w:r>
    </w:p>
    <w:p w14:paraId="3C5E5593" w14:textId="77777777" w:rsidR="00E86E52" w:rsidRPr="00045226" w:rsidRDefault="00247766" w:rsidP="001825C2">
      <w:pPr>
        <w:spacing w:after="0" w:line="240" w:lineRule="auto"/>
        <w:ind w:left="-6" w:hanging="11"/>
        <w:rPr>
          <w:i/>
          <w:color w:val="auto"/>
          <w:sz w:val="20"/>
          <w:szCs w:val="20"/>
        </w:rPr>
      </w:pPr>
      <w:r w:rsidRPr="00045226">
        <w:rPr>
          <w:i/>
          <w:color w:val="auto"/>
          <w:sz w:val="20"/>
          <w:szCs w:val="20"/>
        </w:rPr>
        <w:t>Acts Interpretation Act 1901</w:t>
      </w:r>
    </w:p>
    <w:p w14:paraId="1798319D" w14:textId="77777777" w:rsidR="00E86E52" w:rsidRPr="00045226" w:rsidRDefault="00247766" w:rsidP="001825C2">
      <w:pPr>
        <w:spacing w:after="0" w:line="240" w:lineRule="auto"/>
        <w:ind w:left="-6" w:hanging="11"/>
        <w:rPr>
          <w:i/>
          <w:color w:val="auto"/>
          <w:sz w:val="20"/>
          <w:szCs w:val="20"/>
        </w:rPr>
      </w:pPr>
      <w:r w:rsidRPr="00045226">
        <w:rPr>
          <w:i/>
          <w:color w:val="auto"/>
          <w:sz w:val="20"/>
          <w:szCs w:val="20"/>
        </w:rPr>
        <w:t>Business Names Registration Act 2011</w:t>
      </w:r>
    </w:p>
    <w:p w14:paraId="4DF20BD3" w14:textId="5107BF4C" w:rsidR="00E86E52" w:rsidRPr="00045226" w:rsidRDefault="001825C2" w:rsidP="001825C2">
      <w:pPr>
        <w:spacing w:after="0" w:line="240" w:lineRule="auto"/>
        <w:ind w:left="-6" w:hanging="11"/>
        <w:rPr>
          <w:i/>
          <w:color w:val="auto"/>
          <w:sz w:val="20"/>
          <w:szCs w:val="20"/>
        </w:rPr>
      </w:pPr>
      <w:r>
        <w:rPr>
          <w:i/>
          <w:color w:val="auto"/>
          <w:sz w:val="20"/>
          <w:szCs w:val="20"/>
        </w:rPr>
        <w:t>Commonwealth</w:t>
      </w:r>
      <w:r w:rsidR="009D7879">
        <w:rPr>
          <w:i/>
          <w:color w:val="auto"/>
          <w:sz w:val="20"/>
          <w:szCs w:val="20"/>
        </w:rPr>
        <w:t xml:space="preserve"> </w:t>
      </w:r>
      <w:r w:rsidR="00CE221C" w:rsidRPr="00045226">
        <w:rPr>
          <w:i/>
          <w:color w:val="auto"/>
          <w:sz w:val="20"/>
          <w:szCs w:val="20"/>
        </w:rPr>
        <w:t xml:space="preserve">Registers </w:t>
      </w:r>
      <w:r w:rsidR="00AD192C" w:rsidRPr="00045226">
        <w:rPr>
          <w:i/>
          <w:color w:val="auto"/>
          <w:sz w:val="20"/>
          <w:szCs w:val="20"/>
        </w:rPr>
        <w:t>A</w:t>
      </w:r>
      <w:r w:rsidR="00CE221C" w:rsidRPr="00045226">
        <w:rPr>
          <w:i/>
          <w:color w:val="auto"/>
          <w:sz w:val="20"/>
          <w:szCs w:val="20"/>
        </w:rPr>
        <w:t>ct</w:t>
      </w:r>
      <w:r w:rsidR="00247766" w:rsidRPr="00045226">
        <w:rPr>
          <w:i/>
          <w:color w:val="auto"/>
          <w:sz w:val="20"/>
          <w:szCs w:val="20"/>
        </w:rPr>
        <w:t xml:space="preserve"> 2020</w:t>
      </w:r>
    </w:p>
    <w:p w14:paraId="27304F92" w14:textId="44B424BC" w:rsidR="006F2A9A" w:rsidRPr="00045226" w:rsidRDefault="006F2A9A" w:rsidP="001825C2">
      <w:pPr>
        <w:spacing w:after="0" w:line="240" w:lineRule="auto"/>
        <w:ind w:left="-6" w:hanging="11"/>
        <w:rPr>
          <w:i/>
          <w:color w:val="auto"/>
          <w:sz w:val="20"/>
          <w:szCs w:val="20"/>
        </w:rPr>
      </w:pPr>
      <w:r w:rsidRPr="00045226">
        <w:rPr>
          <w:i/>
          <w:color w:val="auto"/>
          <w:sz w:val="20"/>
          <w:szCs w:val="20"/>
        </w:rPr>
        <w:t>Corporations (Aboriginal and Torres Strait Islander) Act 2006</w:t>
      </w:r>
    </w:p>
    <w:p w14:paraId="2ECAE83D" w14:textId="77777777" w:rsidR="00E86E52" w:rsidRPr="00045226" w:rsidRDefault="00247766" w:rsidP="001825C2">
      <w:pPr>
        <w:spacing w:after="0" w:line="240" w:lineRule="auto"/>
        <w:ind w:left="-6" w:hanging="11"/>
        <w:rPr>
          <w:i/>
          <w:color w:val="auto"/>
          <w:sz w:val="20"/>
          <w:szCs w:val="20"/>
        </w:rPr>
      </w:pPr>
      <w:r w:rsidRPr="00045226">
        <w:rPr>
          <w:i/>
          <w:color w:val="auto"/>
          <w:sz w:val="20"/>
          <w:szCs w:val="20"/>
        </w:rPr>
        <w:t>Corporations Act 2001 Human Rights (Parliamentary Scrutiny) Act 2011</w:t>
      </w:r>
    </w:p>
    <w:p w14:paraId="575F0ACB" w14:textId="77777777" w:rsidR="00E86E52" w:rsidRPr="00045226" w:rsidRDefault="00247766" w:rsidP="001825C2">
      <w:pPr>
        <w:spacing w:after="0" w:line="240" w:lineRule="auto"/>
        <w:ind w:left="-6" w:hanging="11"/>
        <w:rPr>
          <w:i/>
          <w:color w:val="auto"/>
          <w:sz w:val="20"/>
          <w:szCs w:val="20"/>
        </w:rPr>
      </w:pPr>
      <w:r w:rsidRPr="00045226">
        <w:rPr>
          <w:i/>
          <w:color w:val="auto"/>
          <w:sz w:val="20"/>
          <w:szCs w:val="20"/>
        </w:rPr>
        <w:t>Legislation Act 2003</w:t>
      </w:r>
    </w:p>
    <w:p w14:paraId="2167A82A" w14:textId="77777777" w:rsidR="00E86E52" w:rsidRPr="00045226" w:rsidRDefault="00247766" w:rsidP="001825C2">
      <w:pPr>
        <w:spacing w:after="0" w:line="240" w:lineRule="auto"/>
        <w:ind w:left="-6" w:hanging="11"/>
        <w:rPr>
          <w:color w:val="auto"/>
          <w:sz w:val="20"/>
          <w:szCs w:val="20"/>
        </w:rPr>
      </w:pPr>
      <w:r w:rsidRPr="00045226">
        <w:rPr>
          <w:i/>
          <w:color w:val="auto"/>
          <w:sz w:val="20"/>
          <w:szCs w:val="20"/>
        </w:rPr>
        <w:t>National Consumer Credit Protection Act 2009</w:t>
      </w:r>
    </w:p>
    <w:p w14:paraId="5F3C08CA" w14:textId="77777777" w:rsidR="00E86E52" w:rsidRPr="00045226" w:rsidRDefault="00247766" w:rsidP="001825C2">
      <w:pPr>
        <w:spacing w:after="0" w:line="240" w:lineRule="auto"/>
        <w:ind w:left="-6" w:hanging="11"/>
        <w:rPr>
          <w:color w:val="auto"/>
          <w:sz w:val="20"/>
          <w:szCs w:val="20"/>
        </w:rPr>
      </w:pPr>
      <w:r w:rsidRPr="00045226">
        <w:rPr>
          <w:i/>
          <w:color w:val="auto"/>
          <w:sz w:val="20"/>
          <w:szCs w:val="20"/>
        </w:rPr>
        <w:t>Parliamentary Services Act 1999</w:t>
      </w:r>
    </w:p>
    <w:p w14:paraId="74D0746C" w14:textId="77777777" w:rsidR="00E86E52" w:rsidRPr="00045226" w:rsidRDefault="00247766" w:rsidP="001825C2">
      <w:pPr>
        <w:spacing w:after="0" w:line="240" w:lineRule="auto"/>
        <w:ind w:left="-6" w:hanging="11"/>
        <w:rPr>
          <w:i/>
          <w:color w:val="auto"/>
          <w:sz w:val="20"/>
          <w:szCs w:val="20"/>
        </w:rPr>
      </w:pPr>
      <w:r w:rsidRPr="00045226">
        <w:rPr>
          <w:i/>
          <w:color w:val="auto"/>
          <w:sz w:val="20"/>
          <w:szCs w:val="20"/>
        </w:rPr>
        <w:t>Public Governance, Performance and Accountability Act 2013</w:t>
      </w:r>
    </w:p>
    <w:p w14:paraId="711257AD" w14:textId="77777777" w:rsidR="00E86E52" w:rsidRPr="00045226" w:rsidRDefault="00247766" w:rsidP="001825C2">
      <w:pPr>
        <w:spacing w:after="0" w:line="240" w:lineRule="auto"/>
        <w:ind w:left="-6" w:hanging="11"/>
        <w:rPr>
          <w:i/>
          <w:color w:val="auto"/>
          <w:sz w:val="20"/>
          <w:szCs w:val="20"/>
        </w:rPr>
      </w:pPr>
      <w:r w:rsidRPr="00045226">
        <w:rPr>
          <w:i/>
          <w:color w:val="auto"/>
          <w:sz w:val="20"/>
          <w:szCs w:val="20"/>
        </w:rPr>
        <w:t>Public Service Act 1999</w:t>
      </w:r>
    </w:p>
    <w:p w14:paraId="6DD7148B" w14:textId="77777777" w:rsidR="00ED1E11" w:rsidRDefault="00247766" w:rsidP="001825C2">
      <w:pPr>
        <w:spacing w:after="0" w:line="240" w:lineRule="auto"/>
        <w:ind w:left="-6" w:hanging="11"/>
        <w:rPr>
          <w:color w:val="auto"/>
          <w:sz w:val="20"/>
          <w:szCs w:val="20"/>
        </w:rPr>
      </w:pPr>
      <w:r w:rsidRPr="00045226">
        <w:rPr>
          <w:i/>
          <w:color w:val="auto"/>
          <w:sz w:val="20"/>
          <w:szCs w:val="20"/>
        </w:rPr>
        <w:t>Treasury Laws Amendment (Registries Modernisation and Other Measures) Act 2020</w:t>
      </w:r>
    </w:p>
    <w:p w14:paraId="5DB7346D" w14:textId="6B4915D2" w:rsidR="007C0E4F" w:rsidRPr="00045226" w:rsidRDefault="00247766" w:rsidP="001825C2">
      <w:pPr>
        <w:spacing w:after="0" w:line="240" w:lineRule="auto"/>
        <w:ind w:left="-6" w:hanging="11"/>
        <w:rPr>
          <w:color w:val="auto"/>
          <w:sz w:val="20"/>
          <w:szCs w:val="20"/>
        </w:rPr>
      </w:pPr>
      <w:r w:rsidRPr="00045226">
        <w:rPr>
          <w:color w:val="auto"/>
          <w:sz w:val="20"/>
          <w:szCs w:val="20"/>
        </w:rPr>
        <w:br w:type="page"/>
      </w:r>
    </w:p>
    <w:p w14:paraId="77FCC3BF" w14:textId="77777777" w:rsidR="00E86E52" w:rsidRDefault="00247766" w:rsidP="001825C2">
      <w:pPr>
        <w:spacing w:after="120" w:line="240" w:lineRule="auto"/>
        <w:ind w:left="2" w:firstLine="0"/>
        <w:jc w:val="center"/>
        <w:rPr>
          <w:b/>
          <w:color w:val="auto"/>
        </w:rPr>
      </w:pPr>
      <w:r w:rsidRPr="00AB2E17">
        <w:rPr>
          <w:b/>
          <w:color w:val="auto"/>
        </w:rPr>
        <w:lastRenderedPageBreak/>
        <w:t>Statement of compatibility with Human Rights</w:t>
      </w:r>
    </w:p>
    <w:p w14:paraId="72711165" w14:textId="6F3C110E" w:rsidR="00E86E52" w:rsidRPr="00ED1E11" w:rsidRDefault="00247766" w:rsidP="001825C2">
      <w:pPr>
        <w:spacing w:after="120" w:line="240" w:lineRule="auto"/>
        <w:ind w:left="-5"/>
        <w:rPr>
          <w:iCs/>
          <w:color w:val="auto"/>
        </w:rPr>
      </w:pPr>
      <w:r w:rsidRPr="00AB2E17">
        <w:rPr>
          <w:color w:val="auto"/>
        </w:rPr>
        <w:t xml:space="preserve">Prepared in accordance with Part 3 of the </w:t>
      </w:r>
      <w:r w:rsidRPr="00AB2E17">
        <w:rPr>
          <w:i/>
          <w:color w:val="auto"/>
        </w:rPr>
        <w:t>Human Rights (Parliamentary Scrutiny) Act 2011</w:t>
      </w:r>
      <w:r w:rsidR="00ED1E11" w:rsidRPr="00ED1E11">
        <w:rPr>
          <w:iCs/>
          <w:color w:val="auto"/>
        </w:rPr>
        <w:t>.</w:t>
      </w:r>
    </w:p>
    <w:p w14:paraId="76B53DD5" w14:textId="77777777" w:rsidR="00E86E52" w:rsidRDefault="00E86E52" w:rsidP="001825C2">
      <w:pPr>
        <w:spacing w:after="120" w:line="240" w:lineRule="auto"/>
        <w:ind w:left="0" w:firstLine="0"/>
        <w:rPr>
          <w:color w:val="auto"/>
        </w:rPr>
      </w:pPr>
    </w:p>
    <w:p w14:paraId="7520E309" w14:textId="7D3260D8" w:rsidR="005F218D" w:rsidRPr="00F87D2A" w:rsidRDefault="005F218D" w:rsidP="00F87D2A">
      <w:pPr>
        <w:spacing w:after="120" w:line="240" w:lineRule="auto"/>
        <w:ind w:left="2" w:firstLine="0"/>
        <w:jc w:val="center"/>
        <w:rPr>
          <w:b/>
          <w:color w:val="auto"/>
        </w:rPr>
      </w:pPr>
      <w:r w:rsidRPr="00F87D2A">
        <w:rPr>
          <w:b/>
          <w:color w:val="auto"/>
        </w:rPr>
        <w:t>Director Identification Number Laws (Other Government Bodies)</w:t>
      </w:r>
      <w:r w:rsidR="00FF3D52" w:rsidRPr="00F87D2A">
        <w:rPr>
          <w:b/>
          <w:color w:val="auto"/>
        </w:rPr>
        <w:br/>
      </w:r>
      <w:r w:rsidRPr="00F87D2A">
        <w:rPr>
          <w:b/>
          <w:color w:val="auto"/>
        </w:rPr>
        <w:t xml:space="preserve"> Disclosure Framework 2022</w:t>
      </w:r>
    </w:p>
    <w:p w14:paraId="2AC368D8" w14:textId="06C1C785" w:rsidR="00E86E52" w:rsidRDefault="00247766" w:rsidP="001825C2">
      <w:pPr>
        <w:spacing w:after="120" w:line="240" w:lineRule="auto"/>
        <w:ind w:left="-5"/>
        <w:rPr>
          <w:color w:val="auto"/>
        </w:rPr>
      </w:pPr>
      <w:r w:rsidRPr="00AB2E17">
        <w:rPr>
          <w:color w:val="auto"/>
        </w:rPr>
        <w:t xml:space="preserve">This Legislative Instrument is compatible with the human rights and freedoms recognised or declared in the international instruments listed in section 3 of the </w:t>
      </w:r>
      <w:r w:rsidRPr="00AB2E17">
        <w:rPr>
          <w:i/>
          <w:color w:val="auto"/>
        </w:rPr>
        <w:t>Human Rights (Parliamentary Scrutiny) Act</w:t>
      </w:r>
      <w:r w:rsidR="00ED1E11">
        <w:rPr>
          <w:i/>
          <w:color w:val="auto"/>
        </w:rPr>
        <w:t> </w:t>
      </w:r>
      <w:r w:rsidRPr="00AB2E17">
        <w:rPr>
          <w:i/>
          <w:color w:val="auto"/>
        </w:rPr>
        <w:t>2011.</w:t>
      </w:r>
    </w:p>
    <w:p w14:paraId="2599E5DC" w14:textId="77777777" w:rsidR="00E86E52" w:rsidRDefault="00E86E52" w:rsidP="001825C2">
      <w:pPr>
        <w:spacing w:after="120" w:line="240" w:lineRule="auto"/>
        <w:ind w:left="0" w:firstLine="0"/>
        <w:rPr>
          <w:color w:val="auto"/>
        </w:rPr>
      </w:pPr>
    </w:p>
    <w:p w14:paraId="44D21A7F" w14:textId="77777777" w:rsidR="00E86E52" w:rsidRDefault="00247766" w:rsidP="001825C2">
      <w:pPr>
        <w:pStyle w:val="Heading2"/>
        <w:spacing w:before="0" w:after="120" w:line="240" w:lineRule="auto"/>
        <w:ind w:left="0" w:firstLine="0"/>
        <w:rPr>
          <w:rFonts w:ascii="Arial" w:hAnsi="Arial" w:cs="Arial"/>
          <w:b/>
          <w:bCs/>
          <w:color w:val="auto"/>
          <w:sz w:val="22"/>
          <w:szCs w:val="22"/>
          <w:lang w:eastAsia="en-US"/>
        </w:rPr>
      </w:pPr>
      <w:r w:rsidRPr="00AB2E17">
        <w:rPr>
          <w:rFonts w:ascii="Arial" w:hAnsi="Arial" w:cs="Arial"/>
          <w:b/>
          <w:bCs/>
          <w:color w:val="auto"/>
          <w:sz w:val="22"/>
          <w:szCs w:val="22"/>
          <w:lang w:eastAsia="en-US"/>
        </w:rPr>
        <w:t>Overview of the Legislative Instrument</w:t>
      </w:r>
    </w:p>
    <w:p w14:paraId="34D8002B" w14:textId="77777777" w:rsidR="00E86E52" w:rsidRDefault="00247766" w:rsidP="001825C2">
      <w:pPr>
        <w:spacing w:after="120" w:line="240" w:lineRule="auto"/>
        <w:ind w:left="-5"/>
        <w:rPr>
          <w:color w:val="auto"/>
        </w:rPr>
      </w:pPr>
      <w:r w:rsidRPr="00AB2E17">
        <w:rPr>
          <w:color w:val="auto"/>
        </w:rPr>
        <w:t>The introduction of a director ID requirement is a Commonwealth Government initiative to promote good corporate conduct, and to deter and penalise illegal phoenix</w:t>
      </w:r>
      <w:r w:rsidR="00084800" w:rsidRPr="00AB2E17">
        <w:rPr>
          <w:color w:val="auto"/>
        </w:rPr>
        <w:t xml:space="preserve"> activity </w:t>
      </w:r>
      <w:r w:rsidRPr="00AB2E17">
        <w:rPr>
          <w:color w:val="auto"/>
        </w:rPr>
        <w:t>in order to protect those who are negatively affected by such fraudulent behaviour. The director ID will require all directors to confirm their identity</w:t>
      </w:r>
      <w:r w:rsidR="009F5B34" w:rsidRPr="00AB2E17">
        <w:rPr>
          <w:color w:val="auto"/>
        </w:rPr>
        <w:t xml:space="preserve">, and </w:t>
      </w:r>
      <w:r w:rsidRPr="00AB2E17">
        <w:rPr>
          <w:color w:val="auto"/>
        </w:rPr>
        <w:t>a unique identifier</w:t>
      </w:r>
      <w:r w:rsidR="009F5B34" w:rsidRPr="00AB2E17">
        <w:rPr>
          <w:color w:val="auto"/>
        </w:rPr>
        <w:t xml:space="preserve"> will be assigned</w:t>
      </w:r>
      <w:r w:rsidRPr="00AB2E17">
        <w:rPr>
          <w:color w:val="auto"/>
        </w:rPr>
        <w:t xml:space="preserve"> for each individual who consents to being appointed a director.</w:t>
      </w:r>
    </w:p>
    <w:p w14:paraId="438D2308" w14:textId="77777777" w:rsidR="00E86E52" w:rsidRDefault="00051F29" w:rsidP="001825C2">
      <w:pPr>
        <w:spacing w:after="120" w:line="240" w:lineRule="auto"/>
        <w:rPr>
          <w:color w:val="auto"/>
        </w:rPr>
      </w:pPr>
      <w:r w:rsidRPr="00AB2E17">
        <w:rPr>
          <w:color w:val="auto"/>
        </w:rPr>
        <w:t xml:space="preserve">The </w:t>
      </w:r>
      <w:r w:rsidR="00144D31" w:rsidRPr="00AB2E17">
        <w:rPr>
          <w:i/>
          <w:color w:val="auto"/>
        </w:rPr>
        <w:t xml:space="preserve">Corporations Act 2001 </w:t>
      </w:r>
      <w:r w:rsidR="00144D31" w:rsidRPr="00AB2E17">
        <w:rPr>
          <w:iCs/>
          <w:color w:val="auto"/>
        </w:rPr>
        <w:t>(Corporations Act) and</w:t>
      </w:r>
      <w:r w:rsidR="00144D31" w:rsidRPr="00AB2E17">
        <w:rPr>
          <w:i/>
          <w:color w:val="auto"/>
        </w:rPr>
        <w:t xml:space="preserve"> </w:t>
      </w:r>
      <w:r w:rsidR="00144D31" w:rsidRPr="00AB2E17">
        <w:rPr>
          <w:i/>
          <w:iCs/>
          <w:color w:val="auto"/>
        </w:rPr>
        <w:t xml:space="preserve">Commonwealth </w:t>
      </w:r>
      <w:r w:rsidR="00144D31" w:rsidRPr="00AB2E17">
        <w:rPr>
          <w:i/>
          <w:color w:val="auto"/>
        </w:rPr>
        <w:t>Registers Act 2020</w:t>
      </w:r>
      <w:r w:rsidR="00144D31" w:rsidRPr="00AB2E17">
        <w:rPr>
          <w:iCs/>
          <w:color w:val="auto"/>
        </w:rPr>
        <w:t xml:space="preserve"> (Registers Act)</w:t>
      </w:r>
      <w:r w:rsidR="00144D31" w:rsidRPr="00AB2E17">
        <w:rPr>
          <w:i/>
          <w:color w:val="auto"/>
        </w:rPr>
        <w:t xml:space="preserve"> </w:t>
      </w:r>
      <w:r w:rsidRPr="00AB2E17">
        <w:rPr>
          <w:color w:val="auto"/>
        </w:rPr>
        <w:t>authorise disclosure of protected information (</w:t>
      </w:r>
      <w:r w:rsidR="00B657F4" w:rsidRPr="00AB2E17">
        <w:rPr>
          <w:color w:val="auto"/>
        </w:rPr>
        <w:t>d</w:t>
      </w:r>
      <w:r w:rsidR="00247766" w:rsidRPr="00AB2E17">
        <w:rPr>
          <w:color w:val="auto"/>
        </w:rPr>
        <w:t>irector ID</w:t>
      </w:r>
      <w:r w:rsidRPr="00AB2E17">
        <w:rPr>
          <w:color w:val="auto"/>
        </w:rPr>
        <w:t xml:space="preserve"> information) to government </w:t>
      </w:r>
      <w:r w:rsidR="003558F4" w:rsidRPr="00AB2E17">
        <w:rPr>
          <w:color w:val="auto"/>
        </w:rPr>
        <w:t>entities</w:t>
      </w:r>
      <w:r w:rsidRPr="00AB2E17">
        <w:rPr>
          <w:color w:val="auto"/>
        </w:rPr>
        <w:t xml:space="preserve"> in relation to the performance or exercise of their functions and powers.</w:t>
      </w:r>
    </w:p>
    <w:p w14:paraId="5E0F6F6E" w14:textId="5BF69B52" w:rsidR="00E86E52" w:rsidRDefault="00051F29" w:rsidP="001825C2">
      <w:pPr>
        <w:spacing w:after="120" w:line="240" w:lineRule="auto"/>
        <w:ind w:left="0" w:firstLine="0"/>
        <w:rPr>
          <w:color w:val="auto"/>
        </w:rPr>
      </w:pPr>
      <w:r w:rsidRPr="00AB2E17">
        <w:rPr>
          <w:color w:val="auto"/>
        </w:rPr>
        <w:t xml:space="preserve">There are </w:t>
      </w:r>
      <w:r w:rsidR="003558F4" w:rsidRPr="00AB2E17">
        <w:rPr>
          <w:color w:val="auto"/>
        </w:rPr>
        <w:t>other government bodies, such as</w:t>
      </w:r>
      <w:r w:rsidRPr="00AB2E17">
        <w:rPr>
          <w:color w:val="auto"/>
        </w:rPr>
        <w:t xml:space="preserve"> PGPA bodies, courts and tribunals, employees of State or Territory </w:t>
      </w:r>
      <w:r w:rsidR="003558F4" w:rsidRPr="00AB2E17">
        <w:rPr>
          <w:color w:val="auto"/>
        </w:rPr>
        <w:t xml:space="preserve">government entities (including local government) </w:t>
      </w:r>
      <w:r w:rsidRPr="00AB2E17">
        <w:rPr>
          <w:color w:val="auto"/>
        </w:rPr>
        <w:t xml:space="preserve">and </w:t>
      </w:r>
      <w:r w:rsidR="003558F4" w:rsidRPr="00AB2E17">
        <w:rPr>
          <w:color w:val="auto"/>
        </w:rPr>
        <w:t xml:space="preserve">multi-agency taskforces </w:t>
      </w:r>
      <w:r w:rsidR="000B4CCF" w:rsidRPr="00AB2E17">
        <w:rPr>
          <w:color w:val="auto"/>
        </w:rPr>
        <w:t>(other government bodies) who are a part of the workings of government</w:t>
      </w:r>
      <w:r w:rsidR="009F5B34" w:rsidRPr="00AB2E17">
        <w:rPr>
          <w:color w:val="auto"/>
        </w:rPr>
        <w:t xml:space="preserve"> </w:t>
      </w:r>
      <w:r w:rsidR="000B4CCF" w:rsidRPr="00AB2E17">
        <w:rPr>
          <w:color w:val="auto"/>
        </w:rPr>
        <w:t>but are not authorised under the primary law to receive director identification number (director ID) information</w:t>
      </w:r>
      <w:r w:rsidR="008A160B">
        <w:rPr>
          <w:color w:val="auto"/>
        </w:rPr>
        <w:t>.</w:t>
      </w:r>
    </w:p>
    <w:p w14:paraId="442FC5AE" w14:textId="1885BF7A" w:rsidR="00051F29" w:rsidRPr="00AB2E17" w:rsidRDefault="00051F29" w:rsidP="001825C2">
      <w:pPr>
        <w:spacing w:after="120" w:line="240" w:lineRule="auto"/>
        <w:ind w:left="0" w:firstLine="0"/>
        <w:rPr>
          <w:color w:val="auto"/>
        </w:rPr>
      </w:pPr>
      <w:r w:rsidRPr="00AB2E17">
        <w:rPr>
          <w:color w:val="auto"/>
        </w:rPr>
        <w:t>This instrument provides</w:t>
      </w:r>
      <w:r w:rsidR="009F5B34" w:rsidRPr="00AB2E17">
        <w:rPr>
          <w:color w:val="auto"/>
        </w:rPr>
        <w:t xml:space="preserve"> the Registrar with the discretion</w:t>
      </w:r>
      <w:r w:rsidRPr="00AB2E17">
        <w:rPr>
          <w:color w:val="auto"/>
        </w:rPr>
        <w:t xml:space="preserve"> </w:t>
      </w:r>
      <w:r w:rsidR="009F5B34" w:rsidRPr="00AB2E17">
        <w:rPr>
          <w:color w:val="auto"/>
        </w:rPr>
        <w:t>to</w:t>
      </w:r>
      <w:r w:rsidRPr="00AB2E17">
        <w:rPr>
          <w:color w:val="auto"/>
        </w:rPr>
        <w:t xml:space="preserve"> disclose director identification number (</w:t>
      </w:r>
      <w:r w:rsidRPr="00B345CE">
        <w:rPr>
          <w:color w:val="auto"/>
        </w:rPr>
        <w:t>director ID</w:t>
      </w:r>
      <w:r w:rsidRPr="00AB2E17">
        <w:rPr>
          <w:color w:val="auto"/>
        </w:rPr>
        <w:t xml:space="preserve">) information to these </w:t>
      </w:r>
      <w:r w:rsidR="000B4CCF" w:rsidRPr="00AB2E17">
        <w:rPr>
          <w:color w:val="auto"/>
        </w:rPr>
        <w:t xml:space="preserve">other government </w:t>
      </w:r>
      <w:r w:rsidRPr="00AB2E17">
        <w:rPr>
          <w:color w:val="auto"/>
        </w:rPr>
        <w:t xml:space="preserve">bodies in the same way as government </w:t>
      </w:r>
      <w:r w:rsidR="000B4CCF" w:rsidRPr="00AB2E17">
        <w:rPr>
          <w:color w:val="auto"/>
        </w:rPr>
        <w:t>entities</w:t>
      </w:r>
      <w:r w:rsidRPr="00AB2E17">
        <w:rPr>
          <w:color w:val="auto"/>
        </w:rPr>
        <w:t xml:space="preserve"> authorised in the Corporations Act or </w:t>
      </w:r>
      <w:r w:rsidR="00CE221C" w:rsidRPr="00AB2E17">
        <w:rPr>
          <w:color w:val="auto"/>
        </w:rPr>
        <w:t xml:space="preserve">Registers </w:t>
      </w:r>
      <w:r w:rsidR="00AD192C" w:rsidRPr="00AB2E17">
        <w:rPr>
          <w:color w:val="auto"/>
        </w:rPr>
        <w:t>A</w:t>
      </w:r>
      <w:r w:rsidR="00CE221C" w:rsidRPr="00AB2E17">
        <w:rPr>
          <w:color w:val="auto"/>
        </w:rPr>
        <w:t>ct</w:t>
      </w:r>
      <w:r w:rsidRPr="00AB2E17">
        <w:rPr>
          <w:color w:val="auto"/>
        </w:rPr>
        <w:t>.</w:t>
      </w:r>
    </w:p>
    <w:p w14:paraId="3CDB0299" w14:textId="77777777" w:rsidR="00E86E52" w:rsidRDefault="00247766" w:rsidP="001825C2">
      <w:pPr>
        <w:spacing w:after="120" w:line="240" w:lineRule="auto"/>
        <w:ind w:left="-5"/>
        <w:rPr>
          <w:color w:val="auto"/>
        </w:rPr>
      </w:pPr>
      <w:r w:rsidRPr="00AB2E17">
        <w:rPr>
          <w:color w:val="auto"/>
        </w:rPr>
        <w:t xml:space="preserve">It is appropriate to ensure that </w:t>
      </w:r>
      <w:r w:rsidR="00051F29" w:rsidRPr="00AB2E17">
        <w:rPr>
          <w:color w:val="auto"/>
        </w:rPr>
        <w:t>relevant</w:t>
      </w:r>
      <w:r w:rsidR="000B4CCF" w:rsidRPr="00AB2E17">
        <w:rPr>
          <w:color w:val="auto"/>
        </w:rPr>
        <w:t xml:space="preserve"> government </w:t>
      </w:r>
      <w:r w:rsidR="00051F29" w:rsidRPr="00AB2E17">
        <w:rPr>
          <w:color w:val="auto"/>
        </w:rPr>
        <w:t>bodies</w:t>
      </w:r>
      <w:r w:rsidR="004F1A81" w:rsidRPr="00AB2E17">
        <w:rPr>
          <w:color w:val="auto"/>
        </w:rPr>
        <w:t xml:space="preserve"> </w:t>
      </w:r>
      <w:r w:rsidRPr="00AB2E17">
        <w:rPr>
          <w:color w:val="auto"/>
        </w:rPr>
        <w:t>have access to the director ID information they require to exercise their functions or powers.</w:t>
      </w:r>
    </w:p>
    <w:p w14:paraId="38FF8B2A" w14:textId="77777777" w:rsidR="00E86E52" w:rsidRDefault="00E86E52" w:rsidP="001825C2">
      <w:pPr>
        <w:spacing w:after="120" w:line="240" w:lineRule="auto"/>
        <w:ind w:left="0" w:firstLine="0"/>
        <w:rPr>
          <w:color w:val="auto"/>
        </w:rPr>
      </w:pPr>
    </w:p>
    <w:p w14:paraId="78C26B49" w14:textId="77777777" w:rsidR="00AB2E17" w:rsidRPr="00AB2E17" w:rsidRDefault="00247766" w:rsidP="001825C2">
      <w:pPr>
        <w:pStyle w:val="Heading2"/>
        <w:spacing w:before="0" w:after="120" w:line="240" w:lineRule="auto"/>
        <w:ind w:left="0" w:firstLine="0"/>
        <w:rPr>
          <w:rFonts w:ascii="Arial" w:hAnsi="Arial" w:cs="Arial"/>
          <w:b/>
          <w:bCs/>
          <w:color w:val="auto"/>
          <w:sz w:val="22"/>
          <w:szCs w:val="22"/>
          <w:lang w:eastAsia="en-US"/>
        </w:rPr>
      </w:pPr>
      <w:r w:rsidRPr="00AB2E17">
        <w:rPr>
          <w:rFonts w:ascii="Arial" w:hAnsi="Arial" w:cs="Arial"/>
          <w:b/>
          <w:bCs/>
          <w:color w:val="auto"/>
          <w:sz w:val="22"/>
          <w:szCs w:val="22"/>
          <w:lang w:eastAsia="en-US"/>
        </w:rPr>
        <w:t>Human rights implications</w:t>
      </w:r>
    </w:p>
    <w:p w14:paraId="6453AC74" w14:textId="77777777" w:rsidR="00E86E52" w:rsidRPr="00B345CE" w:rsidRDefault="00247766" w:rsidP="001825C2">
      <w:pPr>
        <w:pStyle w:val="Heading3"/>
        <w:spacing w:before="0" w:after="120" w:line="240" w:lineRule="auto"/>
        <w:ind w:left="0" w:firstLine="0"/>
        <w:rPr>
          <w:rFonts w:ascii="Arial" w:hAnsi="Arial" w:cs="Arial"/>
          <w:b/>
          <w:bCs/>
          <w:i/>
          <w:iCs/>
          <w:color w:val="auto"/>
          <w:sz w:val="22"/>
          <w:szCs w:val="22"/>
        </w:rPr>
      </w:pPr>
      <w:r w:rsidRPr="00B345CE">
        <w:rPr>
          <w:rFonts w:ascii="Arial" w:hAnsi="Arial" w:cs="Arial"/>
          <w:b/>
          <w:bCs/>
          <w:i/>
          <w:iCs/>
          <w:color w:val="auto"/>
          <w:sz w:val="22"/>
          <w:szCs w:val="22"/>
        </w:rPr>
        <w:t>Engagement of the right to privacy</w:t>
      </w:r>
    </w:p>
    <w:p w14:paraId="572CC9D7" w14:textId="77777777" w:rsidR="00E86E52" w:rsidRDefault="00247766" w:rsidP="001825C2">
      <w:pPr>
        <w:spacing w:after="120" w:line="240" w:lineRule="auto"/>
        <w:ind w:left="-5"/>
        <w:rPr>
          <w:color w:val="auto"/>
        </w:rPr>
      </w:pPr>
      <w:r w:rsidRPr="00AB2E17">
        <w:rPr>
          <w:color w:val="auto"/>
        </w:rPr>
        <w:t>Article 17 of the International Covenant on Civil and Political Rights provides that no one shall be subjected to arbitrary or unlawful interference with their privacy, family, home or correspondence, nor to unlawful attacks on their honour and reputation. The right to privacy is not an absolute right. In some circumstances, it must be weighed against the equally justified right of others and against matters that benefit society as whole.</w:t>
      </w:r>
    </w:p>
    <w:p w14:paraId="2396DFBF" w14:textId="77777777" w:rsidR="00E86E52" w:rsidRDefault="00247766" w:rsidP="001825C2">
      <w:pPr>
        <w:spacing w:after="120" w:line="240" w:lineRule="auto"/>
        <w:ind w:left="-5"/>
        <w:rPr>
          <w:color w:val="auto"/>
        </w:rPr>
      </w:pPr>
      <w:r w:rsidRPr="00AB2E17">
        <w:rPr>
          <w:color w:val="auto"/>
        </w:rPr>
        <w:t xml:space="preserve">The introduction of a director ID requirement is one of the Commonwealth Government initiatives to promote good corporate conduct, and to deter and penalise illegal phoenix activity to protect those who are negatively affected by such fraudulent behaviour. The director ID regime will </w:t>
      </w:r>
      <w:r w:rsidR="00146B81" w:rsidRPr="00AB2E17">
        <w:rPr>
          <w:color w:val="auto"/>
        </w:rPr>
        <w:t>allow</w:t>
      </w:r>
      <w:r w:rsidRPr="00AB2E17">
        <w:rPr>
          <w:color w:val="auto"/>
        </w:rPr>
        <w:t xml:space="preserve"> simpler more effective tracking of individuals and their corporate history</w:t>
      </w:r>
      <w:r w:rsidR="00146B81" w:rsidRPr="00AB2E17">
        <w:rPr>
          <w:color w:val="auto"/>
        </w:rPr>
        <w:t>. It will also</w:t>
      </w:r>
      <w:r w:rsidRPr="00AB2E17">
        <w:rPr>
          <w:color w:val="auto"/>
        </w:rPr>
        <w:t xml:space="preserve"> reduce time and cost for administrators and liquidators, thereby improving the efficiency of the insolvency process. In addition, the regime will improve data integrity and security. For example, it would be possible to allow individuals to be identified by a number rather than by other more personally identifiable information.</w:t>
      </w:r>
    </w:p>
    <w:p w14:paraId="2E790575" w14:textId="6C480FE6" w:rsidR="00AB2E17" w:rsidRPr="00AB2E17" w:rsidRDefault="00247766" w:rsidP="001825C2">
      <w:pPr>
        <w:spacing w:after="120" w:line="240" w:lineRule="auto"/>
        <w:ind w:left="-5"/>
        <w:rPr>
          <w:color w:val="auto"/>
        </w:rPr>
      </w:pPr>
      <w:r w:rsidRPr="00AB2E17">
        <w:rPr>
          <w:color w:val="auto"/>
        </w:rPr>
        <w:lastRenderedPageBreak/>
        <w:t xml:space="preserve">The disclosure of director ID information as authorised by this instrument will engage the right to privacy because it provides for the disclosure of information including personal information within the meaning of the </w:t>
      </w:r>
      <w:r w:rsidRPr="00AB2E17">
        <w:rPr>
          <w:i/>
          <w:color w:val="auto"/>
        </w:rPr>
        <w:t>Privacy Act 1988</w:t>
      </w:r>
      <w:r w:rsidRPr="00AB2E17">
        <w:rPr>
          <w:color w:val="auto"/>
        </w:rPr>
        <w:t>.</w:t>
      </w:r>
    </w:p>
    <w:p w14:paraId="04F31059" w14:textId="77777777" w:rsidR="00AB2E17" w:rsidRPr="00AB2E17" w:rsidRDefault="00247766" w:rsidP="001825C2">
      <w:pPr>
        <w:spacing w:after="120" w:line="240" w:lineRule="auto"/>
        <w:ind w:left="-5"/>
        <w:rPr>
          <w:color w:val="auto"/>
        </w:rPr>
      </w:pPr>
      <w:r w:rsidRPr="00AB2E17">
        <w:rPr>
          <w:color w:val="auto"/>
        </w:rPr>
        <w:t>To any extent to which the disclosure of this information constitutes a limitation on the individual’s right to be protected from interference with their privacy, the limitation is justified because the disclosure of information is in pursuit of the legitimate objective identified and is rationally connected and proportionate to the objective sought, being the administration of the director ID regime and the functioning of government.</w:t>
      </w:r>
    </w:p>
    <w:p w14:paraId="1670ADF1" w14:textId="77777777" w:rsidR="00AB2E17" w:rsidRPr="00AB2E17" w:rsidRDefault="00247766" w:rsidP="001825C2">
      <w:pPr>
        <w:spacing w:after="120" w:line="240" w:lineRule="auto"/>
        <w:ind w:left="-5"/>
        <w:rPr>
          <w:color w:val="auto"/>
        </w:rPr>
      </w:pPr>
      <w:r w:rsidRPr="00AB2E17">
        <w:rPr>
          <w:color w:val="auto"/>
        </w:rPr>
        <w:t xml:space="preserve">The instrument itself will be a disallowable instrument and therefore subject to proper Parliamentary oversight and the consultation requirements contained in the </w:t>
      </w:r>
      <w:r w:rsidRPr="00AB2E17">
        <w:rPr>
          <w:i/>
          <w:color w:val="auto"/>
        </w:rPr>
        <w:t>Legislation Act 2003</w:t>
      </w:r>
      <w:r w:rsidRPr="00AB2E17">
        <w:rPr>
          <w:color w:val="auto"/>
        </w:rPr>
        <w:t>.</w:t>
      </w:r>
    </w:p>
    <w:p w14:paraId="50F34B44" w14:textId="77777777" w:rsidR="00E86E52" w:rsidRDefault="00247766" w:rsidP="001825C2">
      <w:pPr>
        <w:spacing w:after="120" w:line="240" w:lineRule="auto"/>
        <w:ind w:left="-5"/>
        <w:rPr>
          <w:color w:val="auto"/>
        </w:rPr>
      </w:pPr>
      <w:r w:rsidRPr="00AB2E17">
        <w:rPr>
          <w:color w:val="auto"/>
        </w:rPr>
        <w:t>For these reasons, this instrument authorising the disclosure of director ID information</w:t>
      </w:r>
      <w:r w:rsidR="00883258" w:rsidRPr="00AB2E17">
        <w:rPr>
          <w:color w:val="auto"/>
        </w:rPr>
        <w:t xml:space="preserve"> to other government bodies</w:t>
      </w:r>
      <w:r w:rsidRPr="00AB2E17">
        <w:rPr>
          <w:color w:val="auto"/>
        </w:rPr>
        <w:t xml:space="preserve"> does not unnecessarily and unreasonably restrict an individual’s right to privacy. Information is only disclosed to the extent required to achieve the legitimate objective of administering the director ID requirement or the functioning of government, with the limitation reasonable, necessary and proportionate.</w:t>
      </w:r>
    </w:p>
    <w:p w14:paraId="209B53BC" w14:textId="77777777" w:rsidR="00E86E52" w:rsidRDefault="00E86E52" w:rsidP="001825C2">
      <w:pPr>
        <w:spacing w:after="120" w:line="240" w:lineRule="auto"/>
        <w:ind w:left="0" w:firstLine="0"/>
        <w:rPr>
          <w:color w:val="auto"/>
        </w:rPr>
      </w:pPr>
    </w:p>
    <w:p w14:paraId="402A2B24" w14:textId="77777777" w:rsidR="00E86E52" w:rsidRDefault="00247766" w:rsidP="001825C2">
      <w:pPr>
        <w:pStyle w:val="Heading2"/>
        <w:spacing w:before="0" w:after="120" w:line="240" w:lineRule="auto"/>
        <w:ind w:left="0" w:firstLine="0"/>
        <w:rPr>
          <w:rFonts w:ascii="Arial" w:hAnsi="Arial" w:cs="Arial"/>
          <w:b/>
          <w:bCs/>
          <w:color w:val="auto"/>
          <w:sz w:val="22"/>
          <w:szCs w:val="22"/>
          <w:lang w:eastAsia="en-US"/>
        </w:rPr>
      </w:pPr>
      <w:r w:rsidRPr="00AB2E17">
        <w:rPr>
          <w:rFonts w:ascii="Arial" w:hAnsi="Arial" w:cs="Arial"/>
          <w:b/>
          <w:bCs/>
          <w:color w:val="auto"/>
          <w:sz w:val="22"/>
          <w:szCs w:val="22"/>
          <w:lang w:eastAsia="en-US"/>
        </w:rPr>
        <w:t>Conclusion</w:t>
      </w:r>
    </w:p>
    <w:p w14:paraId="2016F124" w14:textId="7523AD39" w:rsidR="00AB2E17" w:rsidRPr="00AB2E17" w:rsidRDefault="00247766" w:rsidP="001825C2">
      <w:pPr>
        <w:spacing w:after="120" w:line="240" w:lineRule="auto"/>
        <w:ind w:left="-5"/>
        <w:rPr>
          <w:color w:val="auto"/>
        </w:rPr>
      </w:pPr>
      <w:r w:rsidRPr="00AB2E17">
        <w:rPr>
          <w:color w:val="auto"/>
        </w:rPr>
        <w:t xml:space="preserve">This Legislative Instrument is compatible with human rights and freedoms recognised or declared in the international instruments listed in section 3 of the </w:t>
      </w:r>
      <w:r w:rsidRPr="00AB2E17">
        <w:rPr>
          <w:i/>
          <w:color w:val="auto"/>
        </w:rPr>
        <w:t>Human Rights (Parliamentary Scrutiny) Act</w:t>
      </w:r>
      <w:r w:rsidR="00ED1E11">
        <w:rPr>
          <w:i/>
          <w:color w:val="auto"/>
        </w:rPr>
        <w:t> </w:t>
      </w:r>
      <w:r w:rsidRPr="00AB2E17">
        <w:rPr>
          <w:i/>
          <w:color w:val="auto"/>
        </w:rPr>
        <w:t>2011</w:t>
      </w:r>
      <w:r w:rsidRPr="00AB2E17">
        <w:rPr>
          <w:color w:val="auto"/>
        </w:rPr>
        <w:t>.</w:t>
      </w:r>
    </w:p>
    <w:p w14:paraId="3E04C75D" w14:textId="77777777" w:rsidR="00E86E52" w:rsidRDefault="00247766" w:rsidP="001825C2">
      <w:pPr>
        <w:spacing w:after="120" w:line="240" w:lineRule="auto"/>
        <w:ind w:left="-5"/>
        <w:rPr>
          <w:color w:val="auto"/>
        </w:rPr>
      </w:pPr>
      <w:r w:rsidRPr="00AB2E17">
        <w:rPr>
          <w:color w:val="auto"/>
        </w:rPr>
        <w:t xml:space="preserve">Accordingly, while the right to privacy </w:t>
      </w:r>
      <w:r w:rsidR="00805688" w:rsidRPr="00AB2E17">
        <w:rPr>
          <w:color w:val="auto"/>
        </w:rPr>
        <w:t xml:space="preserve">is </w:t>
      </w:r>
      <w:r w:rsidRPr="00AB2E17">
        <w:rPr>
          <w:color w:val="auto"/>
        </w:rPr>
        <w:t>engaged, the limitations are:</w:t>
      </w:r>
    </w:p>
    <w:p w14:paraId="216C3843" w14:textId="77777777" w:rsidR="00E86E52" w:rsidRDefault="00247766" w:rsidP="00F16361">
      <w:pPr>
        <w:numPr>
          <w:ilvl w:val="0"/>
          <w:numId w:val="18"/>
        </w:numPr>
        <w:spacing w:after="120" w:line="240" w:lineRule="auto"/>
        <w:ind w:left="1134" w:hanging="567"/>
        <w:rPr>
          <w:color w:val="auto"/>
        </w:rPr>
      </w:pPr>
      <w:r w:rsidRPr="00AB2E17">
        <w:rPr>
          <w:color w:val="auto"/>
        </w:rPr>
        <w:t xml:space="preserve">aimed at achieving a legitimate </w:t>
      </w:r>
      <w:proofErr w:type="gramStart"/>
      <w:r w:rsidRPr="00AB2E17">
        <w:rPr>
          <w:color w:val="auto"/>
        </w:rPr>
        <w:t>objective;</w:t>
      </w:r>
      <w:proofErr w:type="gramEnd"/>
    </w:p>
    <w:p w14:paraId="4050A7A1" w14:textId="77777777" w:rsidR="00E86E52" w:rsidRDefault="00247766" w:rsidP="00F16361">
      <w:pPr>
        <w:numPr>
          <w:ilvl w:val="0"/>
          <w:numId w:val="18"/>
        </w:numPr>
        <w:spacing w:after="120" w:line="240" w:lineRule="auto"/>
        <w:ind w:left="1134" w:hanging="567"/>
        <w:rPr>
          <w:color w:val="auto"/>
        </w:rPr>
      </w:pPr>
      <w:r w:rsidRPr="00AB2E17">
        <w:rPr>
          <w:color w:val="auto"/>
        </w:rPr>
        <w:t>rationally connected with the objective; and</w:t>
      </w:r>
    </w:p>
    <w:p w14:paraId="17D51E1B" w14:textId="77777777" w:rsidR="00E86E52" w:rsidRDefault="00247766" w:rsidP="00F16361">
      <w:pPr>
        <w:numPr>
          <w:ilvl w:val="0"/>
          <w:numId w:val="18"/>
        </w:numPr>
        <w:spacing w:after="120" w:line="240" w:lineRule="auto"/>
        <w:ind w:left="1134" w:hanging="567"/>
        <w:rPr>
          <w:color w:val="auto"/>
        </w:rPr>
      </w:pPr>
      <w:r w:rsidRPr="00AB2E17">
        <w:rPr>
          <w:color w:val="auto"/>
        </w:rPr>
        <w:t>reasonable, necessary and proportionate.</w:t>
      </w:r>
    </w:p>
    <w:p w14:paraId="1653CF4A" w14:textId="713BA27A" w:rsidR="00AB2E17" w:rsidRPr="00AB2E17" w:rsidRDefault="00247766" w:rsidP="001825C2">
      <w:pPr>
        <w:spacing w:after="120" w:line="240" w:lineRule="auto"/>
        <w:ind w:left="-5"/>
        <w:rPr>
          <w:color w:val="auto"/>
        </w:rPr>
      </w:pPr>
      <w:r w:rsidRPr="00AB2E17">
        <w:rPr>
          <w:color w:val="auto"/>
        </w:rPr>
        <w:t>The objective of introducing a director ID requirement is to promote good corporate conduct, and to deter and penalise illegal phoenix</w:t>
      </w:r>
      <w:r w:rsidR="00084800" w:rsidRPr="00AB2E17">
        <w:rPr>
          <w:color w:val="auto"/>
        </w:rPr>
        <w:t xml:space="preserve"> activity</w:t>
      </w:r>
      <w:r w:rsidRPr="00AB2E17">
        <w:rPr>
          <w:color w:val="auto"/>
        </w:rPr>
        <w:t xml:space="preserve">. Therefore, the disclosure of director ID information to </w:t>
      </w:r>
      <w:r w:rsidR="000B4CCF" w:rsidRPr="00AB2E17">
        <w:rPr>
          <w:color w:val="auto"/>
        </w:rPr>
        <w:t>other government bodies</w:t>
      </w:r>
      <w:r w:rsidRPr="00AB2E17">
        <w:rPr>
          <w:color w:val="auto"/>
        </w:rPr>
        <w:t xml:space="preserve"> represents a lawful interference with an individual’s human rights that is rationally connected with the objective. This interference is justified from the viewpoint of being reasonable, necessary and proportionate to provide the assurance for administering the director ID regime and the functioning of government.</w:t>
      </w:r>
    </w:p>
    <w:sectPr w:rsidR="00AB2E17" w:rsidRPr="00AB2E17">
      <w:headerReference w:type="even" r:id="rId9"/>
      <w:footerReference w:type="even" r:id="rId10"/>
      <w:headerReference w:type="first" r:id="rId11"/>
      <w:pgSz w:w="11904" w:h="16832"/>
      <w:pgMar w:top="2167" w:right="1121" w:bottom="1362" w:left="994" w:header="720" w:footer="7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5C889" w14:textId="77777777" w:rsidR="00650C92" w:rsidRDefault="00650C92">
      <w:pPr>
        <w:spacing w:after="0" w:line="240" w:lineRule="auto"/>
      </w:pPr>
      <w:r>
        <w:separator/>
      </w:r>
    </w:p>
  </w:endnote>
  <w:endnote w:type="continuationSeparator" w:id="0">
    <w:p w14:paraId="5DAE5A34" w14:textId="77777777" w:rsidR="00650C92" w:rsidRDefault="00650C92">
      <w:pPr>
        <w:spacing w:after="0" w:line="240" w:lineRule="auto"/>
      </w:pPr>
      <w:r>
        <w:continuationSeparator/>
      </w:r>
    </w:p>
  </w:endnote>
  <w:endnote w:type="continuationNotice" w:id="1">
    <w:p w14:paraId="715C52D0" w14:textId="77777777" w:rsidR="00650C92" w:rsidRDefault="00650C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5F042" w14:textId="77777777" w:rsidR="00E86E52" w:rsidRDefault="00247766">
    <w:pPr>
      <w:tabs>
        <w:tab w:val="center" w:pos="4902"/>
        <w:tab w:val="right" w:pos="9789"/>
      </w:tabs>
      <w:spacing w:after="0" w:line="259" w:lineRule="auto"/>
      <w:ind w:left="0" w:right="-6" w:firstLine="0"/>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b/>
        <w:sz w:val="32"/>
      </w:rPr>
      <w:t>EXPOSURE DRAFT</w:t>
    </w:r>
  </w:p>
  <w:p w14:paraId="409FC649" w14:textId="4BA9FE84" w:rsidR="007C0E4F" w:rsidRDefault="007C0E4F">
    <w:pPr>
      <w:tabs>
        <w:tab w:val="center" w:pos="4902"/>
        <w:tab w:val="right" w:pos="9789"/>
      </w:tabs>
      <w:spacing w:after="0" w:line="259" w:lineRule="auto"/>
      <w:ind w:left="0" w:right="-6"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4CBE3" w14:textId="77777777" w:rsidR="00650C92" w:rsidRDefault="00650C92">
      <w:pPr>
        <w:spacing w:after="0" w:line="240" w:lineRule="auto"/>
      </w:pPr>
      <w:r>
        <w:separator/>
      </w:r>
    </w:p>
  </w:footnote>
  <w:footnote w:type="continuationSeparator" w:id="0">
    <w:p w14:paraId="2DFEE150" w14:textId="77777777" w:rsidR="00650C92" w:rsidRDefault="00650C92">
      <w:pPr>
        <w:spacing w:after="0" w:line="240" w:lineRule="auto"/>
      </w:pPr>
      <w:r>
        <w:continuationSeparator/>
      </w:r>
    </w:p>
  </w:footnote>
  <w:footnote w:type="continuationNotice" w:id="1">
    <w:p w14:paraId="4B48F5AF" w14:textId="77777777" w:rsidR="00650C92" w:rsidRDefault="00650C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92E89" w14:textId="3E5218E7" w:rsidR="00E86E52" w:rsidRDefault="00247766">
    <w:pPr>
      <w:tabs>
        <w:tab w:val="center" w:pos="4902"/>
        <w:tab w:val="right" w:pos="9789"/>
      </w:tabs>
      <w:spacing w:after="0" w:line="259" w:lineRule="auto"/>
      <w:ind w:left="0" w:right="-6" w:firstLine="0"/>
      <w:rPr>
        <w:rFonts w:ascii="Times New Roman" w:eastAsia="Times New Roman" w:hAnsi="Times New Roman" w:cs="Times New Roman"/>
        <w:sz w:val="24"/>
      </w:rPr>
    </w:pPr>
    <w:r>
      <w:rPr>
        <w:noProof/>
      </w:rPr>
      <w:drawing>
        <wp:anchor distT="0" distB="0" distL="114300" distR="114300" simplePos="0" relativeHeight="251658240" behindDoc="0" locked="0" layoutInCell="1" allowOverlap="0" wp14:anchorId="36A7440E" wp14:editId="49EA9444">
          <wp:simplePos x="0" y="0"/>
          <wp:positionH relativeFrom="page">
            <wp:posOffset>630555</wp:posOffset>
          </wp:positionH>
          <wp:positionV relativeFrom="page">
            <wp:posOffset>457200</wp:posOffset>
          </wp:positionV>
          <wp:extent cx="2413635" cy="701675"/>
          <wp:effectExtent l="0" t="0" r="0" b="0"/>
          <wp:wrapSquare wrapText="bothSides"/>
          <wp:docPr id="303" name="Picture 303"/>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1"/>
                  <a:stretch>
                    <a:fillRect/>
                  </a:stretch>
                </pic:blipFill>
                <pic:spPr>
                  <a:xfrm>
                    <a:off x="0" y="0"/>
                    <a:ext cx="2413635" cy="701675"/>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b/>
        <w:sz w:val="32"/>
      </w:rPr>
      <w:t>EXPOSURE DRAFT</w:t>
    </w:r>
  </w:p>
  <w:p w14:paraId="4A2B1C41" w14:textId="77777777" w:rsidR="00E86E52" w:rsidRDefault="00E86E52">
    <w:pPr>
      <w:spacing w:after="0" w:line="259" w:lineRule="auto"/>
      <w:ind w:left="0" w:firstLine="0"/>
      <w:rPr>
        <w:rFonts w:ascii="Times New Roman" w:eastAsia="Times New Roman" w:hAnsi="Times New Roman" w:cs="Times New Roman"/>
        <w:sz w:val="24"/>
      </w:rPr>
    </w:pPr>
  </w:p>
  <w:p w14:paraId="4089E794" w14:textId="77777777" w:rsidR="00E86E52" w:rsidRDefault="00E86E52">
    <w:pPr>
      <w:spacing w:after="0" w:line="259" w:lineRule="auto"/>
      <w:ind w:left="304" w:firstLine="0"/>
    </w:pPr>
  </w:p>
  <w:p w14:paraId="3CDB948C" w14:textId="72E7C553" w:rsidR="007C0E4F" w:rsidRDefault="007C0E4F">
    <w:pPr>
      <w:spacing w:after="0" w:line="259" w:lineRule="auto"/>
      <w:ind w:left="304"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F47E5" w14:textId="1A71B347" w:rsidR="00634A4C" w:rsidRPr="00767CE8" w:rsidRDefault="00634A4C" w:rsidP="00634A4C">
    <w:pPr>
      <w:framePr w:w="3469" w:h="541" w:hSpace="180" w:wrap="around" w:vAnchor="page" w:hAnchor="page" w:x="7441" w:y="1129"/>
      <w:pBdr>
        <w:top w:val="single" w:sz="12" w:space="1" w:color="auto"/>
        <w:left w:val="single" w:sz="12" w:space="1" w:color="auto"/>
        <w:bottom w:val="single" w:sz="12" w:space="1" w:color="auto"/>
        <w:right w:val="single" w:sz="12" w:space="1" w:color="auto"/>
      </w:pBdr>
    </w:pPr>
    <w:r w:rsidRPr="00767CE8">
      <w:rPr>
        <w:b/>
      </w:rPr>
      <w:t xml:space="preserve">Instrument ID: </w:t>
    </w:r>
    <w:r>
      <w:rPr>
        <w:b/>
      </w:rPr>
      <w:t>2021/ABRS/0019</w:t>
    </w:r>
  </w:p>
  <w:p w14:paraId="6735DD74" w14:textId="02B3946F" w:rsidR="00634A4C" w:rsidRDefault="00634A4C" w:rsidP="00634A4C">
    <w:pPr>
      <w:pStyle w:val="Header"/>
      <w:rPr>
        <w:sz w:val="20"/>
      </w:rPr>
    </w:pPr>
    <w:r>
      <w:rPr>
        <w:noProof/>
      </w:rPr>
      <w:drawing>
        <wp:inline distT="0" distB="0" distL="0" distR="0" wp14:anchorId="2396F505" wp14:editId="7142873F">
          <wp:extent cx="2413635" cy="701675"/>
          <wp:effectExtent l="0" t="0" r="5715" b="3175"/>
          <wp:docPr id="4" name="Picture 4"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90A10"/>
    <w:multiLevelType w:val="hybridMultilevel"/>
    <w:tmpl w:val="E0B88EA2"/>
    <w:lvl w:ilvl="0" w:tplc="B84CCCBE">
      <w:start w:val="1"/>
      <w:numFmt w:val="decimal"/>
      <w:lvlText w:val="%1."/>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9C7C2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F8CD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CA1EF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CECCD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82650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284B5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7ADC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86D3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222018"/>
    <w:multiLevelType w:val="hybridMultilevel"/>
    <w:tmpl w:val="C82CE5F4"/>
    <w:lvl w:ilvl="0" w:tplc="0C09000F">
      <w:start w:val="1"/>
      <w:numFmt w:val="decimal"/>
      <w:lvlText w:val="%1."/>
      <w:lvlJc w:val="left"/>
      <w:pPr>
        <w:ind w:left="710" w:hanging="360"/>
      </w:pPr>
    </w:lvl>
    <w:lvl w:ilvl="1" w:tplc="0C090019" w:tentative="1">
      <w:start w:val="1"/>
      <w:numFmt w:val="lowerLetter"/>
      <w:lvlText w:val="%2."/>
      <w:lvlJc w:val="left"/>
      <w:pPr>
        <w:ind w:left="1430" w:hanging="360"/>
      </w:pPr>
    </w:lvl>
    <w:lvl w:ilvl="2" w:tplc="0C09001B" w:tentative="1">
      <w:start w:val="1"/>
      <w:numFmt w:val="lowerRoman"/>
      <w:lvlText w:val="%3."/>
      <w:lvlJc w:val="right"/>
      <w:pPr>
        <w:ind w:left="2150" w:hanging="180"/>
      </w:pPr>
    </w:lvl>
    <w:lvl w:ilvl="3" w:tplc="0C09000F" w:tentative="1">
      <w:start w:val="1"/>
      <w:numFmt w:val="decimal"/>
      <w:lvlText w:val="%4."/>
      <w:lvlJc w:val="left"/>
      <w:pPr>
        <w:ind w:left="2870" w:hanging="360"/>
      </w:pPr>
    </w:lvl>
    <w:lvl w:ilvl="4" w:tplc="0C090019" w:tentative="1">
      <w:start w:val="1"/>
      <w:numFmt w:val="lowerLetter"/>
      <w:lvlText w:val="%5."/>
      <w:lvlJc w:val="left"/>
      <w:pPr>
        <w:ind w:left="3590" w:hanging="360"/>
      </w:pPr>
    </w:lvl>
    <w:lvl w:ilvl="5" w:tplc="0C09001B" w:tentative="1">
      <w:start w:val="1"/>
      <w:numFmt w:val="lowerRoman"/>
      <w:lvlText w:val="%6."/>
      <w:lvlJc w:val="right"/>
      <w:pPr>
        <w:ind w:left="4310" w:hanging="180"/>
      </w:pPr>
    </w:lvl>
    <w:lvl w:ilvl="6" w:tplc="0C09000F" w:tentative="1">
      <w:start w:val="1"/>
      <w:numFmt w:val="decimal"/>
      <w:lvlText w:val="%7."/>
      <w:lvlJc w:val="left"/>
      <w:pPr>
        <w:ind w:left="5030" w:hanging="360"/>
      </w:pPr>
    </w:lvl>
    <w:lvl w:ilvl="7" w:tplc="0C090019" w:tentative="1">
      <w:start w:val="1"/>
      <w:numFmt w:val="lowerLetter"/>
      <w:lvlText w:val="%8."/>
      <w:lvlJc w:val="left"/>
      <w:pPr>
        <w:ind w:left="5750" w:hanging="360"/>
      </w:pPr>
    </w:lvl>
    <w:lvl w:ilvl="8" w:tplc="0C09001B" w:tentative="1">
      <w:start w:val="1"/>
      <w:numFmt w:val="lowerRoman"/>
      <w:lvlText w:val="%9."/>
      <w:lvlJc w:val="right"/>
      <w:pPr>
        <w:ind w:left="6470" w:hanging="180"/>
      </w:pPr>
    </w:lvl>
  </w:abstractNum>
  <w:abstractNum w:abstractNumId="2" w15:restartNumberingAfterBreak="0">
    <w:nsid w:val="08357B24"/>
    <w:multiLevelType w:val="hybridMultilevel"/>
    <w:tmpl w:val="E1F04330"/>
    <w:lvl w:ilvl="0" w:tplc="EB9C4260">
      <w:start w:val="2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BE64F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2A57E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D22A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66330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AABA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4077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8418E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98224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EE6209"/>
    <w:multiLevelType w:val="hybridMultilevel"/>
    <w:tmpl w:val="2F76178A"/>
    <w:lvl w:ilvl="0" w:tplc="B84CCCBE">
      <w:start w:val="1"/>
      <w:numFmt w:val="decimal"/>
      <w:lvlText w:val="%1."/>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8C0D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F8CD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CA1EF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CECCD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82650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284B5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7ADC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86D3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060C15"/>
    <w:multiLevelType w:val="hybridMultilevel"/>
    <w:tmpl w:val="764E17A4"/>
    <w:lvl w:ilvl="0" w:tplc="D7162428">
      <w:start w:val="1"/>
      <w:numFmt w:val="lowerLetter"/>
      <w:lvlText w:val="(%1)"/>
      <w:lvlJc w:val="left"/>
      <w:pPr>
        <w:ind w:left="1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8C0D8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F8CD8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CA1EF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CECCD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82650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284B5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7ADCD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86D34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B343EAB"/>
    <w:multiLevelType w:val="hybridMultilevel"/>
    <w:tmpl w:val="2F76178A"/>
    <w:lvl w:ilvl="0" w:tplc="B84CCCBE">
      <w:start w:val="1"/>
      <w:numFmt w:val="decimal"/>
      <w:lvlText w:val="%1."/>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8C0D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F8CD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CA1EF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CECCD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82650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284B5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7ADC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86D3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C907795"/>
    <w:multiLevelType w:val="hybridMultilevel"/>
    <w:tmpl w:val="E370E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E95A80"/>
    <w:multiLevelType w:val="hybridMultilevel"/>
    <w:tmpl w:val="59F6A34C"/>
    <w:lvl w:ilvl="0" w:tplc="0DAE1ED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B6129C">
      <w:start w:val="1"/>
      <w:numFmt w:val="lowerLetter"/>
      <w:lvlText w:val="%2"/>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5AC4B2">
      <w:start w:val="1"/>
      <w:numFmt w:val="lowerLetter"/>
      <w:lvlRestart w:val="0"/>
      <w:lvlText w:val="(%3)"/>
      <w:lvlJc w:val="left"/>
      <w:pPr>
        <w:ind w:left="6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46C27A">
      <w:start w:val="1"/>
      <w:numFmt w:val="decimal"/>
      <w:lvlText w:val="%4"/>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34A186">
      <w:start w:val="1"/>
      <w:numFmt w:val="lowerLetter"/>
      <w:lvlText w:val="%5"/>
      <w:lvlJc w:val="left"/>
      <w:pPr>
        <w:ind w:left="2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9401D8">
      <w:start w:val="1"/>
      <w:numFmt w:val="lowerRoman"/>
      <w:lvlText w:val="%6"/>
      <w:lvlJc w:val="left"/>
      <w:pPr>
        <w:ind w:left="3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8E9584">
      <w:start w:val="1"/>
      <w:numFmt w:val="decimal"/>
      <w:lvlText w:val="%7"/>
      <w:lvlJc w:val="left"/>
      <w:pPr>
        <w:ind w:left="3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A07604">
      <w:start w:val="1"/>
      <w:numFmt w:val="lowerLetter"/>
      <w:lvlText w:val="%8"/>
      <w:lvlJc w:val="left"/>
      <w:pPr>
        <w:ind w:left="4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BC95AE">
      <w:start w:val="1"/>
      <w:numFmt w:val="lowerRoman"/>
      <w:lvlText w:val="%9"/>
      <w:lvlJc w:val="left"/>
      <w:pPr>
        <w:ind w:left="5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513B04"/>
    <w:multiLevelType w:val="hybridMultilevel"/>
    <w:tmpl w:val="9F2241C4"/>
    <w:lvl w:ilvl="0" w:tplc="8C5ADDF8">
      <w:start w:val="6"/>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9C7C2C">
      <w:start w:val="1"/>
      <w:numFmt w:val="lowerLetter"/>
      <w:lvlText w:val="(%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4C800C">
      <w:start w:val="1"/>
      <w:numFmt w:val="lowerRoman"/>
      <w:lvlText w:val="%3"/>
      <w:lvlJc w:val="left"/>
      <w:pPr>
        <w:ind w:left="1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C2272C">
      <w:start w:val="1"/>
      <w:numFmt w:val="decimal"/>
      <w:lvlText w:val="%4"/>
      <w:lvlJc w:val="left"/>
      <w:pPr>
        <w:ind w:left="21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D8AAFE">
      <w:start w:val="1"/>
      <w:numFmt w:val="lowerLetter"/>
      <w:lvlText w:val="%5"/>
      <w:lvlJc w:val="left"/>
      <w:pPr>
        <w:ind w:left="2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0E6D6C">
      <w:start w:val="1"/>
      <w:numFmt w:val="lowerRoman"/>
      <w:lvlText w:val="%6"/>
      <w:lvlJc w:val="left"/>
      <w:pPr>
        <w:ind w:left="3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D6F666">
      <w:start w:val="1"/>
      <w:numFmt w:val="decimal"/>
      <w:lvlText w:val="%7"/>
      <w:lvlJc w:val="left"/>
      <w:pPr>
        <w:ind w:left="43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662C82">
      <w:start w:val="1"/>
      <w:numFmt w:val="lowerLetter"/>
      <w:lvlText w:val="%8"/>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42F560">
      <w:start w:val="1"/>
      <w:numFmt w:val="lowerRoman"/>
      <w:lvlText w:val="%9"/>
      <w:lvlJc w:val="left"/>
      <w:pPr>
        <w:ind w:left="5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FCC3903"/>
    <w:multiLevelType w:val="multilevel"/>
    <w:tmpl w:val="E54293B6"/>
    <w:lvl w:ilvl="0">
      <w:start w:val="1"/>
      <w:numFmt w:val="decimal"/>
      <w:lvlText w:val="%1."/>
      <w:lvlJc w:val="left"/>
      <w:pPr>
        <w:tabs>
          <w:tab w:val="num" w:pos="787"/>
        </w:tabs>
        <w:ind w:left="787" w:hanging="360"/>
      </w:pPr>
      <w:rPr>
        <w:rFonts w:hint="default"/>
        <w:color w:val="auto"/>
        <w:sz w:val="22"/>
        <w:szCs w:val="22"/>
      </w:rPr>
    </w:lvl>
    <w:lvl w:ilvl="1">
      <w:start w:val="1"/>
      <w:numFmt w:val="lowerLetter"/>
      <w:lvlText w:val="%2."/>
      <w:lvlJc w:val="left"/>
      <w:pPr>
        <w:tabs>
          <w:tab w:val="num" w:pos="1507"/>
        </w:tabs>
        <w:ind w:left="1507" w:hanging="360"/>
      </w:pPr>
      <w:rPr>
        <w:rFonts w:hint="default"/>
        <w:b w:val="0"/>
        <w:bCs w:val="0"/>
        <w:i w:val="0"/>
        <w:iCs/>
        <w:color w:val="auto"/>
      </w:rPr>
    </w:lvl>
    <w:lvl w:ilvl="2">
      <w:start w:val="1"/>
      <w:numFmt w:val="lowerRoman"/>
      <w:lvlText w:val="%3."/>
      <w:lvlJc w:val="right"/>
      <w:pPr>
        <w:tabs>
          <w:tab w:val="num" w:pos="2227"/>
        </w:tabs>
        <w:ind w:left="2227" w:hanging="180"/>
      </w:pPr>
      <w:rPr>
        <w:rFonts w:hint="default"/>
      </w:r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11" w15:restartNumberingAfterBreak="0">
    <w:nsid w:val="4CDD7256"/>
    <w:multiLevelType w:val="hybridMultilevel"/>
    <w:tmpl w:val="1BA02FFC"/>
    <w:lvl w:ilvl="0" w:tplc="2FAC53B8">
      <w:start w:val="1"/>
      <w:numFmt w:val="low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E206B2">
      <w:start w:val="1"/>
      <w:numFmt w:val="lowerLetter"/>
      <w:lvlText w:val="%2"/>
      <w:lvlJc w:val="left"/>
      <w:pPr>
        <w:ind w:left="1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1CCE46">
      <w:start w:val="1"/>
      <w:numFmt w:val="lowerRoman"/>
      <w:lvlText w:val="%3"/>
      <w:lvlJc w:val="left"/>
      <w:pPr>
        <w:ind w:left="21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7869FE">
      <w:start w:val="1"/>
      <w:numFmt w:val="decimal"/>
      <w:lvlText w:val="%4"/>
      <w:lvlJc w:val="left"/>
      <w:pPr>
        <w:ind w:left="2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E6A778">
      <w:start w:val="1"/>
      <w:numFmt w:val="lowerLetter"/>
      <w:lvlText w:val="%5"/>
      <w:lvlJc w:val="left"/>
      <w:pPr>
        <w:ind w:left="3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86AD52">
      <w:start w:val="1"/>
      <w:numFmt w:val="lowerRoman"/>
      <w:lvlText w:val="%6"/>
      <w:lvlJc w:val="left"/>
      <w:pPr>
        <w:ind w:left="43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A6F47E">
      <w:start w:val="1"/>
      <w:numFmt w:val="decimal"/>
      <w:lvlText w:val="%7"/>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94E26A">
      <w:start w:val="1"/>
      <w:numFmt w:val="lowerLetter"/>
      <w:lvlText w:val="%8"/>
      <w:lvlJc w:val="left"/>
      <w:pPr>
        <w:ind w:left="5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B69B3E">
      <w:start w:val="1"/>
      <w:numFmt w:val="lowerRoman"/>
      <w:lvlText w:val="%9"/>
      <w:lvlJc w:val="left"/>
      <w:pPr>
        <w:ind w:left="6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B727E24"/>
    <w:multiLevelType w:val="hybridMultilevel"/>
    <w:tmpl w:val="F1FAB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FA3296"/>
    <w:multiLevelType w:val="hybridMultilevel"/>
    <w:tmpl w:val="A614FE4A"/>
    <w:lvl w:ilvl="0" w:tplc="2520A3D2">
      <w:start w:val="37"/>
      <w:numFmt w:val="decimal"/>
      <w:lvlText w:val="%1."/>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600C46">
      <w:start w:val="1"/>
      <w:numFmt w:val="decimal"/>
      <w:lvlText w:val="(%2)"/>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220504">
      <w:start w:val="1"/>
      <w:numFmt w:val="lowerRoman"/>
      <w:lvlText w:val="%3"/>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FED84E">
      <w:start w:val="1"/>
      <w:numFmt w:val="decimal"/>
      <w:lvlText w:val="%4"/>
      <w:lvlJc w:val="left"/>
      <w:pPr>
        <w:ind w:left="2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880816">
      <w:start w:val="1"/>
      <w:numFmt w:val="lowerLetter"/>
      <w:lvlText w:val="%5"/>
      <w:lvlJc w:val="left"/>
      <w:pPr>
        <w:ind w:left="3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42961E">
      <w:start w:val="1"/>
      <w:numFmt w:val="lowerRoman"/>
      <w:lvlText w:val="%6"/>
      <w:lvlJc w:val="left"/>
      <w:pPr>
        <w:ind w:left="3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704244">
      <w:start w:val="1"/>
      <w:numFmt w:val="decimal"/>
      <w:lvlText w:val="%7"/>
      <w:lvlJc w:val="left"/>
      <w:pPr>
        <w:ind w:left="4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906E42">
      <w:start w:val="1"/>
      <w:numFmt w:val="lowerLetter"/>
      <w:lvlText w:val="%8"/>
      <w:lvlJc w:val="left"/>
      <w:pPr>
        <w:ind w:left="5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8483CC">
      <w:start w:val="1"/>
      <w:numFmt w:val="lowerRoman"/>
      <w:lvlText w:val="%9"/>
      <w:lvlJc w:val="left"/>
      <w:pPr>
        <w:ind w:left="6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159366E"/>
    <w:multiLevelType w:val="hybridMultilevel"/>
    <w:tmpl w:val="1F381CCA"/>
    <w:lvl w:ilvl="0" w:tplc="B84CCCBE">
      <w:start w:val="1"/>
      <w:numFmt w:val="decimal"/>
      <w:lvlText w:val="%1."/>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8C0D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F8CD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CA1EF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CECCD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82650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284B5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7ADC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86D3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15F1A0F"/>
    <w:multiLevelType w:val="hybridMultilevel"/>
    <w:tmpl w:val="C420AE9C"/>
    <w:lvl w:ilvl="0" w:tplc="0CD47B46">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D5B5A8A"/>
    <w:multiLevelType w:val="hybridMultilevel"/>
    <w:tmpl w:val="5AA4CA90"/>
    <w:lvl w:ilvl="0" w:tplc="ADF04F20">
      <w:start w:val="28"/>
      <w:numFmt w:val="decimal"/>
      <w:lvlText w:val="%1."/>
      <w:lvlJc w:val="left"/>
      <w:pPr>
        <w:ind w:left="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162428">
      <w:start w:val="1"/>
      <w:numFmt w:val="lowerLetter"/>
      <w:lvlText w:val="(%2)"/>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ECDF74">
      <w:start w:val="1"/>
      <w:numFmt w:val="lowerRoman"/>
      <w:lvlText w:val="%3"/>
      <w:lvlJc w:val="left"/>
      <w:pPr>
        <w:ind w:left="1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A43486">
      <w:start w:val="1"/>
      <w:numFmt w:val="decimal"/>
      <w:lvlText w:val="%4"/>
      <w:lvlJc w:val="left"/>
      <w:pPr>
        <w:ind w:left="21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5A43A0">
      <w:start w:val="1"/>
      <w:numFmt w:val="lowerLetter"/>
      <w:lvlText w:val="%5"/>
      <w:lvlJc w:val="left"/>
      <w:pPr>
        <w:ind w:left="2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A666A4">
      <w:start w:val="1"/>
      <w:numFmt w:val="lowerRoman"/>
      <w:lvlText w:val="%6"/>
      <w:lvlJc w:val="left"/>
      <w:pPr>
        <w:ind w:left="3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6624F8">
      <w:start w:val="1"/>
      <w:numFmt w:val="decimal"/>
      <w:lvlText w:val="%7"/>
      <w:lvlJc w:val="left"/>
      <w:pPr>
        <w:ind w:left="43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DC0EA2">
      <w:start w:val="1"/>
      <w:numFmt w:val="lowerLetter"/>
      <w:lvlText w:val="%8"/>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962C8A">
      <w:start w:val="1"/>
      <w:numFmt w:val="lowerRoman"/>
      <w:lvlText w:val="%9"/>
      <w:lvlJc w:val="left"/>
      <w:pPr>
        <w:ind w:left="5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FE95107"/>
    <w:multiLevelType w:val="hybridMultilevel"/>
    <w:tmpl w:val="1BA02FFC"/>
    <w:lvl w:ilvl="0" w:tplc="2FAC53B8">
      <w:start w:val="1"/>
      <w:numFmt w:val="lowerLetter"/>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E206B2">
      <w:start w:val="1"/>
      <w:numFmt w:val="lowerLetter"/>
      <w:lvlText w:val="%2"/>
      <w:lvlJc w:val="left"/>
      <w:pPr>
        <w:ind w:left="1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1CCE46">
      <w:start w:val="1"/>
      <w:numFmt w:val="lowerRoman"/>
      <w:lvlText w:val="%3"/>
      <w:lvlJc w:val="left"/>
      <w:pPr>
        <w:ind w:left="21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7869FE">
      <w:start w:val="1"/>
      <w:numFmt w:val="decimal"/>
      <w:lvlText w:val="%4"/>
      <w:lvlJc w:val="left"/>
      <w:pPr>
        <w:ind w:left="2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E6A778">
      <w:start w:val="1"/>
      <w:numFmt w:val="lowerLetter"/>
      <w:lvlText w:val="%5"/>
      <w:lvlJc w:val="left"/>
      <w:pPr>
        <w:ind w:left="3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86AD52">
      <w:start w:val="1"/>
      <w:numFmt w:val="lowerRoman"/>
      <w:lvlText w:val="%6"/>
      <w:lvlJc w:val="left"/>
      <w:pPr>
        <w:ind w:left="43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A6F47E">
      <w:start w:val="1"/>
      <w:numFmt w:val="decimal"/>
      <w:lvlText w:val="%7"/>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94E26A">
      <w:start w:val="1"/>
      <w:numFmt w:val="lowerLetter"/>
      <w:lvlText w:val="%8"/>
      <w:lvlJc w:val="left"/>
      <w:pPr>
        <w:ind w:left="5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B69B3E">
      <w:start w:val="1"/>
      <w:numFmt w:val="lowerRoman"/>
      <w:lvlText w:val="%9"/>
      <w:lvlJc w:val="left"/>
      <w:pPr>
        <w:ind w:left="6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9"/>
  </w:num>
  <w:num w:numId="3">
    <w:abstractNumId w:val="2"/>
  </w:num>
  <w:num w:numId="4">
    <w:abstractNumId w:val="16"/>
  </w:num>
  <w:num w:numId="5">
    <w:abstractNumId w:val="8"/>
  </w:num>
  <w:num w:numId="6">
    <w:abstractNumId w:val="13"/>
  </w:num>
  <w:num w:numId="7">
    <w:abstractNumId w:val="11"/>
  </w:num>
  <w:num w:numId="8">
    <w:abstractNumId w:val="1"/>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 w:numId="13">
    <w:abstractNumId w:val="3"/>
  </w:num>
  <w:num w:numId="14">
    <w:abstractNumId w:val="14"/>
  </w:num>
  <w:num w:numId="15">
    <w:abstractNumId w:val="7"/>
  </w:num>
  <w:num w:numId="16">
    <w:abstractNumId w:val="15"/>
  </w:num>
  <w:num w:numId="17">
    <w:abstractNumId w:val="12"/>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E4F"/>
    <w:rsid w:val="00005E1D"/>
    <w:rsid w:val="00026C6B"/>
    <w:rsid w:val="00030322"/>
    <w:rsid w:val="000359C2"/>
    <w:rsid w:val="00035BAF"/>
    <w:rsid w:val="00045226"/>
    <w:rsid w:val="00051F29"/>
    <w:rsid w:val="00084800"/>
    <w:rsid w:val="00085D7B"/>
    <w:rsid w:val="00094414"/>
    <w:rsid w:val="000A190D"/>
    <w:rsid w:val="000A3B93"/>
    <w:rsid w:val="000A61A2"/>
    <w:rsid w:val="000B4CCF"/>
    <w:rsid w:val="000C66ED"/>
    <w:rsid w:val="000D198A"/>
    <w:rsid w:val="000D7BDA"/>
    <w:rsid w:val="000E184B"/>
    <w:rsid w:val="000E7F47"/>
    <w:rsid w:val="000F4689"/>
    <w:rsid w:val="00113900"/>
    <w:rsid w:val="001226F0"/>
    <w:rsid w:val="00126471"/>
    <w:rsid w:val="001347B6"/>
    <w:rsid w:val="00137DFA"/>
    <w:rsid w:val="001413BB"/>
    <w:rsid w:val="001415FB"/>
    <w:rsid w:val="00144D31"/>
    <w:rsid w:val="00145DB4"/>
    <w:rsid w:val="00146B81"/>
    <w:rsid w:val="00170195"/>
    <w:rsid w:val="001825C2"/>
    <w:rsid w:val="00182CF8"/>
    <w:rsid w:val="0018325C"/>
    <w:rsid w:val="00187FEA"/>
    <w:rsid w:val="00190E91"/>
    <w:rsid w:val="00196FA1"/>
    <w:rsid w:val="001A1CF6"/>
    <w:rsid w:val="001A38D1"/>
    <w:rsid w:val="001C30A4"/>
    <w:rsid w:val="001C44EE"/>
    <w:rsid w:val="001D2D7B"/>
    <w:rsid w:val="0023464B"/>
    <w:rsid w:val="00247766"/>
    <w:rsid w:val="00251954"/>
    <w:rsid w:val="002617FB"/>
    <w:rsid w:val="00271C74"/>
    <w:rsid w:val="0027219D"/>
    <w:rsid w:val="00272547"/>
    <w:rsid w:val="0027568D"/>
    <w:rsid w:val="00281EF5"/>
    <w:rsid w:val="00284594"/>
    <w:rsid w:val="00292086"/>
    <w:rsid w:val="002931A5"/>
    <w:rsid w:val="00295315"/>
    <w:rsid w:val="00297DCD"/>
    <w:rsid w:val="002A6DA0"/>
    <w:rsid w:val="002B0EEC"/>
    <w:rsid w:val="002B768E"/>
    <w:rsid w:val="002C0C9C"/>
    <w:rsid w:val="002C65DA"/>
    <w:rsid w:val="002E13B5"/>
    <w:rsid w:val="002E50E0"/>
    <w:rsid w:val="002E734C"/>
    <w:rsid w:val="002F46F7"/>
    <w:rsid w:val="00303081"/>
    <w:rsid w:val="00306CE1"/>
    <w:rsid w:val="003265D9"/>
    <w:rsid w:val="0034704D"/>
    <w:rsid w:val="003558F4"/>
    <w:rsid w:val="003833ED"/>
    <w:rsid w:val="0039530F"/>
    <w:rsid w:val="003A03AE"/>
    <w:rsid w:val="003A2B86"/>
    <w:rsid w:val="003B0129"/>
    <w:rsid w:val="003C311A"/>
    <w:rsid w:val="003C547B"/>
    <w:rsid w:val="003D26DC"/>
    <w:rsid w:val="004105A3"/>
    <w:rsid w:val="004172E1"/>
    <w:rsid w:val="004174D3"/>
    <w:rsid w:val="004314D3"/>
    <w:rsid w:val="00432DDC"/>
    <w:rsid w:val="0044214F"/>
    <w:rsid w:val="00447A3C"/>
    <w:rsid w:val="004636F8"/>
    <w:rsid w:val="00463899"/>
    <w:rsid w:val="004801DB"/>
    <w:rsid w:val="0048167F"/>
    <w:rsid w:val="00491E53"/>
    <w:rsid w:val="0049770D"/>
    <w:rsid w:val="004A352A"/>
    <w:rsid w:val="004C3627"/>
    <w:rsid w:val="004D63EC"/>
    <w:rsid w:val="004E39C3"/>
    <w:rsid w:val="004E40DD"/>
    <w:rsid w:val="004F027C"/>
    <w:rsid w:val="004F1A81"/>
    <w:rsid w:val="00511DE4"/>
    <w:rsid w:val="00534597"/>
    <w:rsid w:val="005376A5"/>
    <w:rsid w:val="00537B57"/>
    <w:rsid w:val="00546375"/>
    <w:rsid w:val="00560449"/>
    <w:rsid w:val="00560F9F"/>
    <w:rsid w:val="00591081"/>
    <w:rsid w:val="0059114B"/>
    <w:rsid w:val="00595DA2"/>
    <w:rsid w:val="005B4EC0"/>
    <w:rsid w:val="005C0DA2"/>
    <w:rsid w:val="005D424F"/>
    <w:rsid w:val="005D50F8"/>
    <w:rsid w:val="005F1192"/>
    <w:rsid w:val="005F196B"/>
    <w:rsid w:val="005F218D"/>
    <w:rsid w:val="006032B0"/>
    <w:rsid w:val="006032DD"/>
    <w:rsid w:val="00606CB7"/>
    <w:rsid w:val="006209E0"/>
    <w:rsid w:val="00634A4C"/>
    <w:rsid w:val="00644522"/>
    <w:rsid w:val="0064676F"/>
    <w:rsid w:val="00650C92"/>
    <w:rsid w:val="00655077"/>
    <w:rsid w:val="006561EE"/>
    <w:rsid w:val="0066285F"/>
    <w:rsid w:val="00664010"/>
    <w:rsid w:val="006709D3"/>
    <w:rsid w:val="00676D2F"/>
    <w:rsid w:val="00687B5E"/>
    <w:rsid w:val="006912EB"/>
    <w:rsid w:val="00691657"/>
    <w:rsid w:val="00692D8E"/>
    <w:rsid w:val="006D43D9"/>
    <w:rsid w:val="006F177D"/>
    <w:rsid w:val="006F2A9A"/>
    <w:rsid w:val="00700C19"/>
    <w:rsid w:val="00712C58"/>
    <w:rsid w:val="00712DC6"/>
    <w:rsid w:val="00713167"/>
    <w:rsid w:val="00724E6F"/>
    <w:rsid w:val="00731A2C"/>
    <w:rsid w:val="00762505"/>
    <w:rsid w:val="00771E4C"/>
    <w:rsid w:val="00777859"/>
    <w:rsid w:val="007B1931"/>
    <w:rsid w:val="007B57F3"/>
    <w:rsid w:val="007B7019"/>
    <w:rsid w:val="007C0E4F"/>
    <w:rsid w:val="007C739E"/>
    <w:rsid w:val="007D34EF"/>
    <w:rsid w:val="007F0299"/>
    <w:rsid w:val="007F1AB5"/>
    <w:rsid w:val="007F6501"/>
    <w:rsid w:val="00801EDC"/>
    <w:rsid w:val="00805688"/>
    <w:rsid w:val="008276EC"/>
    <w:rsid w:val="0083395F"/>
    <w:rsid w:val="00840296"/>
    <w:rsid w:val="00845401"/>
    <w:rsid w:val="00855DB2"/>
    <w:rsid w:val="0085742E"/>
    <w:rsid w:val="00864D77"/>
    <w:rsid w:val="00864FCD"/>
    <w:rsid w:val="008759D3"/>
    <w:rsid w:val="008760D0"/>
    <w:rsid w:val="00883258"/>
    <w:rsid w:val="00883A77"/>
    <w:rsid w:val="00886311"/>
    <w:rsid w:val="00886CA4"/>
    <w:rsid w:val="0088738A"/>
    <w:rsid w:val="008A160B"/>
    <w:rsid w:val="008C0C27"/>
    <w:rsid w:val="008C6E6F"/>
    <w:rsid w:val="008D0B91"/>
    <w:rsid w:val="008D3590"/>
    <w:rsid w:val="008E2C01"/>
    <w:rsid w:val="008F20A3"/>
    <w:rsid w:val="008F2C79"/>
    <w:rsid w:val="008F3C0E"/>
    <w:rsid w:val="0091461E"/>
    <w:rsid w:val="00917E68"/>
    <w:rsid w:val="00920C9E"/>
    <w:rsid w:val="00930F65"/>
    <w:rsid w:val="00952636"/>
    <w:rsid w:val="00972FFE"/>
    <w:rsid w:val="00976AEC"/>
    <w:rsid w:val="009879F0"/>
    <w:rsid w:val="009934D1"/>
    <w:rsid w:val="009C1746"/>
    <w:rsid w:val="009C6188"/>
    <w:rsid w:val="009D7879"/>
    <w:rsid w:val="009F2ABD"/>
    <w:rsid w:val="009F5B34"/>
    <w:rsid w:val="00A13E00"/>
    <w:rsid w:val="00A25D8D"/>
    <w:rsid w:val="00A33C85"/>
    <w:rsid w:val="00A33DA3"/>
    <w:rsid w:val="00A605D3"/>
    <w:rsid w:val="00A60816"/>
    <w:rsid w:val="00A61E52"/>
    <w:rsid w:val="00A7159B"/>
    <w:rsid w:val="00A74994"/>
    <w:rsid w:val="00A75EF6"/>
    <w:rsid w:val="00A842F5"/>
    <w:rsid w:val="00A86F61"/>
    <w:rsid w:val="00A87B5A"/>
    <w:rsid w:val="00A91A9E"/>
    <w:rsid w:val="00AA6985"/>
    <w:rsid w:val="00AB084C"/>
    <w:rsid w:val="00AB0872"/>
    <w:rsid w:val="00AB2E17"/>
    <w:rsid w:val="00AD192C"/>
    <w:rsid w:val="00AD7B47"/>
    <w:rsid w:val="00AE2EAC"/>
    <w:rsid w:val="00AE6C64"/>
    <w:rsid w:val="00AE72D0"/>
    <w:rsid w:val="00AF27F6"/>
    <w:rsid w:val="00B0727E"/>
    <w:rsid w:val="00B345CE"/>
    <w:rsid w:val="00B41B82"/>
    <w:rsid w:val="00B64117"/>
    <w:rsid w:val="00B657F4"/>
    <w:rsid w:val="00B81EB7"/>
    <w:rsid w:val="00B8506B"/>
    <w:rsid w:val="00BA209C"/>
    <w:rsid w:val="00BA248A"/>
    <w:rsid w:val="00BB26B7"/>
    <w:rsid w:val="00BC4CDA"/>
    <w:rsid w:val="00BC72F0"/>
    <w:rsid w:val="00BD38A8"/>
    <w:rsid w:val="00BE0DB8"/>
    <w:rsid w:val="00BE16C1"/>
    <w:rsid w:val="00BF4685"/>
    <w:rsid w:val="00C00595"/>
    <w:rsid w:val="00C01EF0"/>
    <w:rsid w:val="00C06460"/>
    <w:rsid w:val="00C1552D"/>
    <w:rsid w:val="00C2361D"/>
    <w:rsid w:val="00C27F19"/>
    <w:rsid w:val="00C3513E"/>
    <w:rsid w:val="00C3663F"/>
    <w:rsid w:val="00C36824"/>
    <w:rsid w:val="00C45FEC"/>
    <w:rsid w:val="00C74390"/>
    <w:rsid w:val="00C9397E"/>
    <w:rsid w:val="00CA1965"/>
    <w:rsid w:val="00CB6B7A"/>
    <w:rsid w:val="00CC286D"/>
    <w:rsid w:val="00CD2B6B"/>
    <w:rsid w:val="00CE221C"/>
    <w:rsid w:val="00D02DD4"/>
    <w:rsid w:val="00D0664A"/>
    <w:rsid w:val="00D15983"/>
    <w:rsid w:val="00D316A0"/>
    <w:rsid w:val="00D35F0A"/>
    <w:rsid w:val="00D424E1"/>
    <w:rsid w:val="00D5326D"/>
    <w:rsid w:val="00D60D01"/>
    <w:rsid w:val="00D70CF9"/>
    <w:rsid w:val="00D839E8"/>
    <w:rsid w:val="00D9159E"/>
    <w:rsid w:val="00DA2FFF"/>
    <w:rsid w:val="00DB1DBB"/>
    <w:rsid w:val="00DB6BD6"/>
    <w:rsid w:val="00DD174E"/>
    <w:rsid w:val="00DD2078"/>
    <w:rsid w:val="00DD4588"/>
    <w:rsid w:val="00DD6D66"/>
    <w:rsid w:val="00DE5317"/>
    <w:rsid w:val="00DE628F"/>
    <w:rsid w:val="00E00EF9"/>
    <w:rsid w:val="00E24C54"/>
    <w:rsid w:val="00E35380"/>
    <w:rsid w:val="00E42FD2"/>
    <w:rsid w:val="00E464B0"/>
    <w:rsid w:val="00E53A4D"/>
    <w:rsid w:val="00E55C69"/>
    <w:rsid w:val="00E566A4"/>
    <w:rsid w:val="00E63FB1"/>
    <w:rsid w:val="00E74D41"/>
    <w:rsid w:val="00E81E5D"/>
    <w:rsid w:val="00E82A4F"/>
    <w:rsid w:val="00E86E52"/>
    <w:rsid w:val="00E92EE9"/>
    <w:rsid w:val="00EA37AE"/>
    <w:rsid w:val="00EB5FF4"/>
    <w:rsid w:val="00EB62EF"/>
    <w:rsid w:val="00EC0D75"/>
    <w:rsid w:val="00ED1E11"/>
    <w:rsid w:val="00ED3EDE"/>
    <w:rsid w:val="00EF4F36"/>
    <w:rsid w:val="00EF5746"/>
    <w:rsid w:val="00F00669"/>
    <w:rsid w:val="00F00D6B"/>
    <w:rsid w:val="00F12E89"/>
    <w:rsid w:val="00F16361"/>
    <w:rsid w:val="00F21471"/>
    <w:rsid w:val="00F37434"/>
    <w:rsid w:val="00F450F1"/>
    <w:rsid w:val="00F53F76"/>
    <w:rsid w:val="00F555D2"/>
    <w:rsid w:val="00F66AF5"/>
    <w:rsid w:val="00F726FF"/>
    <w:rsid w:val="00F763BF"/>
    <w:rsid w:val="00F80637"/>
    <w:rsid w:val="00F8403D"/>
    <w:rsid w:val="00F87D2A"/>
    <w:rsid w:val="00F936C1"/>
    <w:rsid w:val="00F96ED5"/>
    <w:rsid w:val="00FA266C"/>
    <w:rsid w:val="00FA4F69"/>
    <w:rsid w:val="00FB2FCD"/>
    <w:rsid w:val="00FC2990"/>
    <w:rsid w:val="00FD479D"/>
    <w:rsid w:val="00FD59D0"/>
    <w:rsid w:val="00FE2466"/>
    <w:rsid w:val="00FF13E6"/>
    <w:rsid w:val="00FF3D52"/>
    <w:rsid w:val="00FF5F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FF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3" w:line="233"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132" w:line="249" w:lineRule="auto"/>
      <w:ind w:left="10" w:hanging="10"/>
      <w:outlineLvl w:val="0"/>
    </w:pPr>
    <w:rPr>
      <w:rFonts w:ascii="Arial" w:eastAsia="Arial" w:hAnsi="Arial" w:cs="Arial"/>
      <w:b/>
      <w:color w:val="000000"/>
    </w:rPr>
  </w:style>
  <w:style w:type="paragraph" w:styleId="Heading2">
    <w:name w:val="heading 2"/>
    <w:basedOn w:val="Normal"/>
    <w:next w:val="Normal"/>
    <w:link w:val="Heading2Char"/>
    <w:unhideWhenUsed/>
    <w:qFormat/>
    <w:rsid w:val="002C65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345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A69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985"/>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3C547B"/>
    <w:rPr>
      <w:sz w:val="16"/>
      <w:szCs w:val="16"/>
    </w:rPr>
  </w:style>
  <w:style w:type="paragraph" w:styleId="CommentText">
    <w:name w:val="annotation text"/>
    <w:basedOn w:val="Normal"/>
    <w:link w:val="CommentTextChar"/>
    <w:uiPriority w:val="99"/>
    <w:unhideWhenUsed/>
    <w:rsid w:val="003C547B"/>
    <w:pPr>
      <w:spacing w:line="240" w:lineRule="auto"/>
    </w:pPr>
    <w:rPr>
      <w:sz w:val="20"/>
      <w:szCs w:val="20"/>
    </w:rPr>
  </w:style>
  <w:style w:type="character" w:customStyle="1" w:styleId="CommentTextChar">
    <w:name w:val="Comment Text Char"/>
    <w:basedOn w:val="DefaultParagraphFont"/>
    <w:link w:val="CommentText"/>
    <w:uiPriority w:val="99"/>
    <w:rsid w:val="003C547B"/>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C547B"/>
    <w:rPr>
      <w:b/>
      <w:bCs/>
    </w:rPr>
  </w:style>
  <w:style w:type="character" w:customStyle="1" w:styleId="CommentSubjectChar">
    <w:name w:val="Comment Subject Char"/>
    <w:basedOn w:val="CommentTextChar"/>
    <w:link w:val="CommentSubject"/>
    <w:uiPriority w:val="99"/>
    <w:semiHidden/>
    <w:rsid w:val="003C547B"/>
    <w:rPr>
      <w:rFonts w:ascii="Arial" w:eastAsia="Arial" w:hAnsi="Arial" w:cs="Arial"/>
      <w:b/>
      <w:bCs/>
      <w:color w:val="000000"/>
      <w:sz w:val="20"/>
      <w:szCs w:val="20"/>
    </w:rPr>
  </w:style>
  <w:style w:type="paragraph" w:customStyle="1" w:styleId="definition">
    <w:name w:val="definition"/>
    <w:basedOn w:val="Normal"/>
    <w:rsid w:val="003C547B"/>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paragraph">
    <w:name w:val="paragraph"/>
    <w:basedOn w:val="Normal"/>
    <w:rsid w:val="003C547B"/>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1415FB"/>
    <w:pPr>
      <w:ind w:left="720"/>
      <w:contextualSpacing/>
    </w:pPr>
  </w:style>
  <w:style w:type="paragraph" w:styleId="Revision">
    <w:name w:val="Revision"/>
    <w:hidden/>
    <w:uiPriority w:val="99"/>
    <w:semiHidden/>
    <w:rsid w:val="001415FB"/>
    <w:pPr>
      <w:spacing w:after="0" w:line="240" w:lineRule="auto"/>
    </w:pPr>
    <w:rPr>
      <w:rFonts w:ascii="Arial" w:eastAsia="Arial" w:hAnsi="Arial" w:cs="Arial"/>
      <w:color w:val="000000"/>
    </w:rPr>
  </w:style>
  <w:style w:type="character" w:customStyle="1" w:styleId="Heading2Char">
    <w:name w:val="Heading 2 Char"/>
    <w:basedOn w:val="DefaultParagraphFont"/>
    <w:link w:val="Heading2"/>
    <w:rsid w:val="002C65D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rsid w:val="003558F4"/>
    <w:rPr>
      <w:color w:val="0000FF"/>
      <w:u w:val="single"/>
    </w:rPr>
  </w:style>
  <w:style w:type="paragraph" w:styleId="Header">
    <w:name w:val="header"/>
    <w:basedOn w:val="Normal"/>
    <w:link w:val="HeaderChar"/>
    <w:unhideWhenUsed/>
    <w:rsid w:val="00C45FEC"/>
    <w:pPr>
      <w:tabs>
        <w:tab w:val="center" w:pos="4513"/>
        <w:tab w:val="right" w:pos="9026"/>
      </w:tabs>
      <w:spacing w:after="0" w:line="240" w:lineRule="auto"/>
    </w:pPr>
  </w:style>
  <w:style w:type="character" w:customStyle="1" w:styleId="HeaderChar">
    <w:name w:val="Header Char"/>
    <w:basedOn w:val="DefaultParagraphFont"/>
    <w:link w:val="Header"/>
    <w:rsid w:val="00C45FEC"/>
    <w:rPr>
      <w:rFonts w:ascii="Arial" w:eastAsia="Arial" w:hAnsi="Arial" w:cs="Arial"/>
      <w:color w:val="000000"/>
    </w:rPr>
  </w:style>
  <w:style w:type="paragraph" w:styleId="Footer">
    <w:name w:val="footer"/>
    <w:basedOn w:val="Normal"/>
    <w:link w:val="FooterChar"/>
    <w:uiPriority w:val="99"/>
    <w:unhideWhenUsed/>
    <w:rsid w:val="00C45F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FEC"/>
    <w:rPr>
      <w:rFonts w:ascii="Arial" w:eastAsia="Arial" w:hAnsi="Arial" w:cs="Arial"/>
      <w:color w:val="000000"/>
    </w:rPr>
  </w:style>
  <w:style w:type="character" w:styleId="UnresolvedMention">
    <w:name w:val="Unresolved Mention"/>
    <w:basedOn w:val="DefaultParagraphFont"/>
    <w:uiPriority w:val="99"/>
    <w:semiHidden/>
    <w:unhideWhenUsed/>
    <w:rsid w:val="008C0C27"/>
    <w:rPr>
      <w:color w:val="605E5C"/>
      <w:shd w:val="clear" w:color="auto" w:fill="E1DFDD"/>
    </w:rPr>
  </w:style>
  <w:style w:type="character" w:customStyle="1" w:styleId="Heading3Char">
    <w:name w:val="Heading 3 Char"/>
    <w:basedOn w:val="DefaultParagraphFont"/>
    <w:link w:val="Heading3"/>
    <w:uiPriority w:val="9"/>
    <w:rsid w:val="00B345C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179049">
      <w:bodyDiv w:val="1"/>
      <w:marLeft w:val="0"/>
      <w:marRight w:val="0"/>
      <w:marTop w:val="0"/>
      <w:marBottom w:val="0"/>
      <w:divBdr>
        <w:top w:val="none" w:sz="0" w:space="0" w:color="auto"/>
        <w:left w:val="none" w:sz="0" w:space="0" w:color="auto"/>
        <w:bottom w:val="none" w:sz="0" w:space="0" w:color="auto"/>
        <w:right w:val="none" w:sz="0" w:space="0" w:color="auto"/>
      </w:divBdr>
    </w:div>
    <w:div w:id="1843353728">
      <w:bodyDiv w:val="1"/>
      <w:marLeft w:val="0"/>
      <w:marRight w:val="0"/>
      <w:marTop w:val="0"/>
      <w:marBottom w:val="0"/>
      <w:divBdr>
        <w:top w:val="none" w:sz="0" w:space="0" w:color="auto"/>
        <w:left w:val="none" w:sz="0" w:space="0" w:color="auto"/>
        <w:bottom w:val="none" w:sz="0" w:space="0" w:color="auto"/>
        <w:right w:val="none" w:sz="0" w:space="0" w:color="auto"/>
      </w:divBdr>
    </w:div>
    <w:div w:id="19893631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Props1.xml><?xml version="1.0" encoding="utf-8"?>
<ds:datastoreItem xmlns:ds="http://schemas.openxmlformats.org/officeDocument/2006/customXml" ds:itemID="{1189B459-C0C7-4778-B2A3-AFC50CF5F233}">
  <ds:schemaRefs>
    <ds:schemaRef ds:uri="http://schemas.openxmlformats.org/officeDocument/2006/bibliography"/>
  </ds:schemaRefs>
</ds:datastoreItem>
</file>

<file path=customXml/itemProps2.xml><?xml version="1.0" encoding="utf-8"?>
<ds:datastoreItem xmlns:ds="http://schemas.openxmlformats.org/officeDocument/2006/customXml" ds:itemID="{FE8AE9C4-6EDF-43DC-89AC-F400B52402B8}">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3244</Words>
  <Characters>18496</Characters>
  <Application>Microsoft Office Word</Application>
  <DocSecurity>0</DocSecurity>
  <Lines>154</Lines>
  <Paragraphs>43</Paragraphs>
  <ScaleCrop>false</ScaleCrop>
  <Company/>
  <LinksUpToDate>false</LinksUpToDate>
  <CharactersWithSpaces>21697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2022-03-21T02:26:00Z</dcterms:created>
  <dcterms:modified xsi:type="dcterms:W3CDTF">2022-03-21T03:12:00Z</dcterms:modified>
</cp:coreProperties>
</file>