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9F33D" w14:textId="77777777" w:rsidR="001F2A16" w:rsidRPr="009C43FB" w:rsidRDefault="001F2A16" w:rsidP="001E286B">
      <w:pPr>
        <w:pStyle w:val="Header"/>
        <w:pBdr>
          <w:top w:val="double" w:sz="4" w:space="1" w:color="auto"/>
          <w:bottom w:val="double" w:sz="4" w:space="1" w:color="auto"/>
        </w:pBdr>
        <w:tabs>
          <w:tab w:val="clear" w:pos="4153"/>
          <w:tab w:val="clear" w:pos="8306"/>
        </w:tabs>
        <w:spacing w:after="360"/>
        <w:jc w:val="center"/>
        <w:rPr>
          <w:rFonts w:ascii="Arial" w:hAnsi="Arial" w:cs="Arial"/>
          <w:sz w:val="36"/>
          <w:szCs w:val="36"/>
        </w:rPr>
      </w:pPr>
      <w:r w:rsidRPr="009C43FB">
        <w:rPr>
          <w:rFonts w:ascii="Arial" w:hAnsi="Arial" w:cs="Arial"/>
          <w:sz w:val="36"/>
          <w:szCs w:val="36"/>
        </w:rPr>
        <w:t>Explanatory Statement</w:t>
      </w:r>
    </w:p>
    <w:p w14:paraId="4CB554A9" w14:textId="77777777" w:rsidR="001F2A16" w:rsidRPr="009C43FB" w:rsidRDefault="001E286B" w:rsidP="008B23F7">
      <w:pPr>
        <w:pStyle w:val="Header"/>
        <w:pBdr>
          <w:top w:val="double" w:sz="4" w:space="1" w:color="auto"/>
          <w:bottom w:val="double" w:sz="4" w:space="1" w:color="auto"/>
        </w:pBdr>
        <w:tabs>
          <w:tab w:val="clear" w:pos="4153"/>
          <w:tab w:val="clear" w:pos="8306"/>
        </w:tabs>
        <w:jc w:val="center"/>
        <w:rPr>
          <w:rFonts w:ascii="Arial" w:hAnsi="Arial" w:cs="Arial"/>
          <w:sz w:val="36"/>
          <w:szCs w:val="36"/>
        </w:rPr>
      </w:pPr>
      <w:r w:rsidRPr="009C43FB">
        <w:rPr>
          <w:rFonts w:ascii="Arial" w:hAnsi="Arial" w:cs="Arial"/>
          <w:sz w:val="36"/>
          <w:szCs w:val="36"/>
        </w:rPr>
        <w:t xml:space="preserve">Taxation Administration – </w:t>
      </w:r>
      <w:r w:rsidR="008B23F7">
        <w:rPr>
          <w:rFonts w:ascii="Arial" w:hAnsi="Arial" w:cs="Arial"/>
          <w:sz w:val="36"/>
          <w:szCs w:val="36"/>
        </w:rPr>
        <w:t>Payment Summary Deferral:</w:t>
      </w:r>
      <w:r w:rsidR="008B23F7" w:rsidRPr="003D6A25">
        <w:rPr>
          <w:rFonts w:ascii="Arial" w:hAnsi="Arial" w:cs="Arial"/>
          <w:sz w:val="36"/>
          <w:szCs w:val="36"/>
        </w:rPr>
        <w:t xml:space="preserve"> Employment Termination</w:t>
      </w:r>
      <w:r w:rsidR="008B23F7">
        <w:rPr>
          <w:rFonts w:ascii="Arial" w:hAnsi="Arial" w:cs="Arial"/>
          <w:sz w:val="36"/>
          <w:szCs w:val="36"/>
        </w:rPr>
        <w:t xml:space="preserve"> </w:t>
      </w:r>
      <w:r w:rsidR="008B23F7" w:rsidRPr="003D6A25">
        <w:rPr>
          <w:rFonts w:ascii="Arial" w:hAnsi="Arial" w:cs="Arial"/>
          <w:sz w:val="36"/>
          <w:szCs w:val="36"/>
        </w:rPr>
        <w:t>and Departing Australia</w:t>
      </w:r>
      <w:r w:rsidR="008B23F7">
        <w:rPr>
          <w:rFonts w:ascii="Arial" w:hAnsi="Arial" w:cs="Arial"/>
          <w:sz w:val="36"/>
          <w:szCs w:val="36"/>
        </w:rPr>
        <w:t xml:space="preserve"> </w:t>
      </w:r>
      <w:r w:rsidR="008B23F7" w:rsidRPr="003D6A25">
        <w:rPr>
          <w:rFonts w:ascii="Arial" w:hAnsi="Arial" w:cs="Arial"/>
          <w:sz w:val="36"/>
          <w:szCs w:val="36"/>
        </w:rPr>
        <w:t xml:space="preserve">Superannuation </w:t>
      </w:r>
      <w:r w:rsidR="008B23F7">
        <w:rPr>
          <w:rFonts w:ascii="Arial" w:hAnsi="Arial" w:cs="Arial"/>
          <w:sz w:val="36"/>
          <w:szCs w:val="36"/>
        </w:rPr>
        <w:t xml:space="preserve">Payments </w:t>
      </w:r>
      <w:r w:rsidR="008B23F7" w:rsidRPr="003D6A25">
        <w:rPr>
          <w:rFonts w:ascii="Arial" w:hAnsi="Arial" w:cs="Arial"/>
          <w:sz w:val="36"/>
          <w:szCs w:val="36"/>
        </w:rPr>
        <w:t>Deferral</w:t>
      </w:r>
      <w:r w:rsidR="008B23F7">
        <w:rPr>
          <w:rFonts w:ascii="Arial" w:hAnsi="Arial" w:cs="Arial"/>
          <w:sz w:val="36"/>
          <w:szCs w:val="36"/>
        </w:rPr>
        <w:t xml:space="preserve"> 2022</w:t>
      </w:r>
    </w:p>
    <w:p w14:paraId="637DA7A4" w14:textId="77777777" w:rsidR="001F2A16" w:rsidRPr="009C43FB" w:rsidRDefault="001F2A16" w:rsidP="0021496E">
      <w:pPr>
        <w:pStyle w:val="Header"/>
        <w:tabs>
          <w:tab w:val="clear" w:pos="4153"/>
          <w:tab w:val="clear" w:pos="8306"/>
        </w:tabs>
        <w:jc w:val="center"/>
        <w:rPr>
          <w:rFonts w:ascii="Arial" w:hAnsi="Arial" w:cs="Arial"/>
          <w:szCs w:val="24"/>
        </w:rPr>
      </w:pPr>
    </w:p>
    <w:p w14:paraId="66952D05" w14:textId="77777777" w:rsidR="00486653" w:rsidRPr="009C43FB" w:rsidRDefault="00486653" w:rsidP="00910595">
      <w:pPr>
        <w:pStyle w:val="Heading2"/>
      </w:pPr>
      <w:r w:rsidRPr="009C43FB">
        <w:t xml:space="preserve">General </w:t>
      </w:r>
      <w:r w:rsidR="00232CBD">
        <w:t>o</w:t>
      </w:r>
      <w:r w:rsidRPr="009C43FB">
        <w:t xml:space="preserve">utline of </w:t>
      </w:r>
      <w:r w:rsidR="00232CBD">
        <w:t>i</w:t>
      </w:r>
      <w:r w:rsidRPr="009C43FB">
        <w:t>nstrument</w:t>
      </w:r>
    </w:p>
    <w:p w14:paraId="03ED0EFB" w14:textId="77777777" w:rsidR="001E286B" w:rsidRPr="00B27F81" w:rsidRDefault="008C55DF" w:rsidP="00B27F81">
      <w:pPr>
        <w:numPr>
          <w:ilvl w:val="0"/>
          <w:numId w:val="47"/>
        </w:numPr>
        <w:spacing w:after="120"/>
        <w:ind w:left="567" w:hanging="567"/>
        <w:rPr>
          <w:rFonts w:ascii="Arial" w:hAnsi="Arial" w:cs="Arial"/>
          <w:sz w:val="22"/>
          <w:szCs w:val="22"/>
        </w:rPr>
      </w:pPr>
      <w:r w:rsidRPr="00B27F81">
        <w:rPr>
          <w:rFonts w:ascii="Arial" w:hAnsi="Arial" w:cs="Arial"/>
          <w:sz w:val="22"/>
          <w:szCs w:val="22"/>
        </w:rPr>
        <w:t xml:space="preserve">This </w:t>
      </w:r>
      <w:r w:rsidR="00232CBD">
        <w:rPr>
          <w:rFonts w:ascii="Arial" w:hAnsi="Arial" w:cs="Arial"/>
          <w:sz w:val="22"/>
          <w:szCs w:val="22"/>
        </w:rPr>
        <w:t>I</w:t>
      </w:r>
      <w:r w:rsidRPr="00B27F81">
        <w:rPr>
          <w:rFonts w:ascii="Arial" w:hAnsi="Arial" w:cs="Arial"/>
          <w:sz w:val="22"/>
          <w:szCs w:val="22"/>
        </w:rPr>
        <w:t xml:space="preserve">nstrument is made under section 388-55 of Schedule 1 to the </w:t>
      </w:r>
      <w:r w:rsidRPr="00B27F81">
        <w:rPr>
          <w:rFonts w:ascii="Arial" w:hAnsi="Arial" w:cs="Arial"/>
          <w:i/>
          <w:iCs/>
          <w:sz w:val="22"/>
          <w:szCs w:val="22"/>
        </w:rPr>
        <w:t>Taxation Administration Act</w:t>
      </w:r>
      <w:r w:rsidR="004A29D3">
        <w:rPr>
          <w:rFonts w:ascii="Arial" w:hAnsi="Arial" w:cs="Arial"/>
          <w:i/>
          <w:iCs/>
          <w:sz w:val="22"/>
          <w:szCs w:val="22"/>
        </w:rPr>
        <w:t xml:space="preserve"> </w:t>
      </w:r>
      <w:r w:rsidRPr="00B27F81">
        <w:rPr>
          <w:rFonts w:ascii="Arial" w:hAnsi="Arial" w:cs="Arial"/>
          <w:i/>
          <w:iCs/>
          <w:sz w:val="22"/>
          <w:szCs w:val="22"/>
        </w:rPr>
        <w:t xml:space="preserve">1953 </w:t>
      </w:r>
      <w:r w:rsidRPr="00B27F81">
        <w:rPr>
          <w:rFonts w:ascii="Arial" w:hAnsi="Arial" w:cs="Arial"/>
          <w:sz w:val="22"/>
          <w:szCs w:val="22"/>
        </w:rPr>
        <w:t>(TAA 1953).</w:t>
      </w:r>
    </w:p>
    <w:p w14:paraId="386477D2" w14:textId="77777777" w:rsidR="001E286B" w:rsidRDefault="001F166E" w:rsidP="00B27F81">
      <w:pPr>
        <w:numPr>
          <w:ilvl w:val="0"/>
          <w:numId w:val="47"/>
        </w:numPr>
        <w:spacing w:after="120"/>
        <w:ind w:left="567" w:hanging="567"/>
        <w:rPr>
          <w:rFonts w:ascii="Arial" w:hAnsi="Arial" w:cs="Arial"/>
          <w:sz w:val="22"/>
          <w:szCs w:val="22"/>
        </w:rPr>
      </w:pPr>
      <w:r w:rsidRPr="00B27F81">
        <w:rPr>
          <w:rFonts w:ascii="Arial" w:hAnsi="Arial" w:cs="Arial"/>
          <w:sz w:val="22"/>
          <w:szCs w:val="22"/>
        </w:rPr>
        <w:t xml:space="preserve">This </w:t>
      </w:r>
      <w:r w:rsidR="00232CBD">
        <w:rPr>
          <w:rFonts w:ascii="Arial" w:hAnsi="Arial" w:cs="Arial"/>
          <w:sz w:val="22"/>
          <w:szCs w:val="22"/>
        </w:rPr>
        <w:t>I</w:t>
      </w:r>
      <w:r w:rsidRPr="00B27F81">
        <w:rPr>
          <w:rFonts w:ascii="Arial" w:hAnsi="Arial" w:cs="Arial"/>
          <w:sz w:val="22"/>
          <w:szCs w:val="22"/>
        </w:rPr>
        <w:t xml:space="preserve">nstrument </w:t>
      </w:r>
      <w:r w:rsidR="00C87C7C" w:rsidRPr="00B27F81">
        <w:rPr>
          <w:rFonts w:ascii="Arial" w:hAnsi="Arial" w:cs="Arial"/>
          <w:sz w:val="22"/>
          <w:szCs w:val="22"/>
        </w:rPr>
        <w:t>defers</w:t>
      </w:r>
      <w:r w:rsidRPr="00B27F81">
        <w:rPr>
          <w:rFonts w:ascii="Arial" w:hAnsi="Arial" w:cs="Arial"/>
          <w:sz w:val="22"/>
          <w:szCs w:val="22"/>
        </w:rPr>
        <w:t xml:space="preserve"> the due date for providing the Commissioner with copies of payment summaries in respect of employment termination payments or departing Australia superannuation payments </w:t>
      </w:r>
      <w:r w:rsidR="00C87C7C" w:rsidRPr="00B27F81">
        <w:rPr>
          <w:rFonts w:ascii="Arial" w:hAnsi="Arial" w:cs="Arial"/>
          <w:sz w:val="22"/>
          <w:szCs w:val="22"/>
        </w:rPr>
        <w:t xml:space="preserve">to 14 August </w:t>
      </w:r>
      <w:r w:rsidR="00F854CC" w:rsidRPr="00AE052A">
        <w:rPr>
          <w:rFonts w:ascii="Arial" w:hAnsi="Arial" w:cs="Arial"/>
          <w:sz w:val="22"/>
          <w:szCs w:val="22"/>
        </w:rPr>
        <w:t xml:space="preserve">following the end of the financial year in which the payments are </w:t>
      </w:r>
      <w:r w:rsidR="00F854CC" w:rsidRPr="00AE02D6">
        <w:rPr>
          <w:rFonts w:ascii="Arial" w:hAnsi="Arial" w:cs="Arial"/>
          <w:sz w:val="22"/>
          <w:szCs w:val="22"/>
        </w:rPr>
        <w:t>made</w:t>
      </w:r>
      <w:r w:rsidR="00C87C7C" w:rsidRPr="00B27F81">
        <w:rPr>
          <w:rFonts w:ascii="Arial" w:hAnsi="Arial" w:cs="Arial"/>
          <w:sz w:val="22"/>
          <w:szCs w:val="22"/>
        </w:rPr>
        <w:t>.</w:t>
      </w:r>
    </w:p>
    <w:p w14:paraId="01557574" w14:textId="77777777" w:rsidR="001F166E" w:rsidRPr="00B27F81" w:rsidRDefault="001F166E" w:rsidP="00B27F81">
      <w:pPr>
        <w:numPr>
          <w:ilvl w:val="0"/>
          <w:numId w:val="47"/>
        </w:numPr>
        <w:spacing w:after="120"/>
        <w:ind w:left="567" w:hanging="567"/>
        <w:rPr>
          <w:rFonts w:ascii="Arial" w:hAnsi="Arial" w:cs="Arial"/>
          <w:sz w:val="22"/>
          <w:szCs w:val="22"/>
        </w:rPr>
      </w:pPr>
      <w:r w:rsidRPr="00B27F81">
        <w:rPr>
          <w:rFonts w:ascii="Arial" w:hAnsi="Arial" w:cs="Arial"/>
          <w:sz w:val="22"/>
          <w:szCs w:val="22"/>
        </w:rPr>
        <w:t xml:space="preserve">This is a </w:t>
      </w:r>
      <w:r w:rsidR="00232CBD">
        <w:rPr>
          <w:rFonts w:ascii="Arial" w:hAnsi="Arial" w:cs="Arial"/>
          <w:sz w:val="22"/>
          <w:szCs w:val="22"/>
        </w:rPr>
        <w:t>L</w:t>
      </w:r>
      <w:r w:rsidRPr="00B27F81">
        <w:rPr>
          <w:rFonts w:ascii="Arial" w:hAnsi="Arial" w:cs="Arial"/>
          <w:sz w:val="22"/>
          <w:szCs w:val="22"/>
        </w:rPr>
        <w:t xml:space="preserve">egislative </w:t>
      </w:r>
      <w:r w:rsidR="00232CBD">
        <w:rPr>
          <w:rFonts w:ascii="Arial" w:hAnsi="Arial" w:cs="Arial"/>
          <w:sz w:val="22"/>
          <w:szCs w:val="22"/>
        </w:rPr>
        <w:t>I</w:t>
      </w:r>
      <w:r w:rsidRPr="00B27F81">
        <w:rPr>
          <w:rFonts w:ascii="Arial" w:hAnsi="Arial" w:cs="Arial"/>
          <w:sz w:val="22"/>
          <w:szCs w:val="22"/>
        </w:rPr>
        <w:t xml:space="preserve">nstrument for the purposes of the </w:t>
      </w:r>
      <w:r w:rsidR="00B11A2D" w:rsidRPr="00B27F81">
        <w:rPr>
          <w:rFonts w:ascii="Arial" w:hAnsi="Arial" w:cs="Arial"/>
          <w:i/>
          <w:sz w:val="22"/>
          <w:szCs w:val="22"/>
        </w:rPr>
        <w:t>Legislation Act 2003</w:t>
      </w:r>
      <w:r w:rsidR="00B11A2D" w:rsidRPr="00B27F81">
        <w:rPr>
          <w:rFonts w:ascii="Arial" w:hAnsi="Arial" w:cs="Arial"/>
          <w:sz w:val="22"/>
          <w:szCs w:val="22"/>
        </w:rPr>
        <w:t>.</w:t>
      </w:r>
    </w:p>
    <w:p w14:paraId="4687A587" w14:textId="77777777" w:rsidR="00B31550" w:rsidRPr="00B27F81" w:rsidRDefault="00B31550" w:rsidP="00B27F81">
      <w:pPr>
        <w:numPr>
          <w:ilvl w:val="0"/>
          <w:numId w:val="47"/>
        </w:numPr>
        <w:spacing w:after="120"/>
        <w:ind w:left="567" w:hanging="567"/>
        <w:rPr>
          <w:rFonts w:ascii="Arial" w:hAnsi="Arial" w:cs="Arial"/>
          <w:sz w:val="22"/>
          <w:szCs w:val="22"/>
        </w:rPr>
      </w:pPr>
      <w:r w:rsidRPr="00B27F81">
        <w:rPr>
          <w:rFonts w:ascii="Arial" w:hAnsi="Arial" w:cs="Arial"/>
          <w:sz w:val="22"/>
          <w:szCs w:val="22"/>
        </w:rPr>
        <w:t xml:space="preserve">Under subsection 33(3) of the </w:t>
      </w:r>
      <w:r w:rsidRPr="00B27F81">
        <w:rPr>
          <w:rFonts w:ascii="Arial" w:hAnsi="Arial" w:cs="Arial"/>
          <w:i/>
          <w:iCs/>
          <w:sz w:val="22"/>
          <w:szCs w:val="22"/>
        </w:rPr>
        <w:t>Acts Interpretation Act 1901</w:t>
      </w:r>
      <w:r w:rsidRPr="00B27F81">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CE60356" w14:textId="77777777" w:rsidR="006302F7" w:rsidRPr="00B27F81" w:rsidRDefault="006302F7" w:rsidP="00910595">
      <w:pPr>
        <w:spacing w:after="120"/>
        <w:rPr>
          <w:rFonts w:ascii="Arial" w:hAnsi="Arial" w:cs="Arial"/>
          <w:sz w:val="22"/>
          <w:szCs w:val="22"/>
        </w:rPr>
      </w:pPr>
    </w:p>
    <w:p w14:paraId="7F1AD0A2" w14:textId="77777777" w:rsidR="001D02E6" w:rsidRPr="00B27F81" w:rsidRDefault="001D02E6" w:rsidP="00910595">
      <w:pPr>
        <w:pStyle w:val="Heading2"/>
      </w:pPr>
      <w:r w:rsidRPr="00B27F81">
        <w:t>Date of effect</w:t>
      </w:r>
    </w:p>
    <w:p w14:paraId="42C2C140" w14:textId="77777777" w:rsidR="001E286B" w:rsidRPr="00B27F81" w:rsidRDefault="00222AFB" w:rsidP="00B27F81">
      <w:pPr>
        <w:numPr>
          <w:ilvl w:val="0"/>
          <w:numId w:val="47"/>
        </w:numPr>
        <w:spacing w:after="120"/>
        <w:ind w:left="567" w:hanging="567"/>
        <w:rPr>
          <w:rFonts w:ascii="Arial" w:hAnsi="Arial" w:cs="Arial"/>
          <w:sz w:val="22"/>
          <w:szCs w:val="22"/>
        </w:rPr>
      </w:pPr>
      <w:r w:rsidRPr="00B27F81">
        <w:rPr>
          <w:rFonts w:ascii="Arial" w:hAnsi="Arial" w:cs="Arial"/>
          <w:sz w:val="22"/>
          <w:szCs w:val="22"/>
        </w:rPr>
        <w:t xml:space="preserve">This </w:t>
      </w:r>
      <w:r w:rsidR="00232CBD">
        <w:rPr>
          <w:rFonts w:ascii="Arial" w:hAnsi="Arial" w:cs="Arial"/>
          <w:sz w:val="22"/>
          <w:szCs w:val="22"/>
        </w:rPr>
        <w:t>I</w:t>
      </w:r>
      <w:r w:rsidRPr="00B27F81">
        <w:rPr>
          <w:rFonts w:ascii="Arial" w:hAnsi="Arial" w:cs="Arial"/>
          <w:sz w:val="22"/>
          <w:szCs w:val="22"/>
        </w:rPr>
        <w:t xml:space="preserve">nstrument commences on </w:t>
      </w:r>
      <w:r w:rsidR="00B11A2D" w:rsidRPr="00B27F81">
        <w:rPr>
          <w:rFonts w:ascii="Arial" w:hAnsi="Arial" w:cs="Arial"/>
          <w:sz w:val="22"/>
          <w:szCs w:val="22"/>
        </w:rPr>
        <w:t>1 April 2022.</w:t>
      </w:r>
    </w:p>
    <w:p w14:paraId="447C8B64" w14:textId="77777777" w:rsidR="001D02E6" w:rsidRPr="00B27F81" w:rsidRDefault="001D02E6" w:rsidP="00B27F81">
      <w:pPr>
        <w:numPr>
          <w:ilvl w:val="0"/>
          <w:numId w:val="47"/>
        </w:numPr>
        <w:spacing w:after="120"/>
        <w:ind w:left="567" w:hanging="567"/>
        <w:rPr>
          <w:rFonts w:ascii="Arial" w:hAnsi="Arial" w:cs="Arial"/>
          <w:i/>
          <w:sz w:val="22"/>
          <w:szCs w:val="22"/>
        </w:rPr>
      </w:pPr>
      <w:r w:rsidRPr="00B27F81">
        <w:rPr>
          <w:rFonts w:ascii="Arial" w:hAnsi="Arial" w:cs="Arial"/>
          <w:sz w:val="22"/>
          <w:szCs w:val="22"/>
        </w:rPr>
        <w:t xml:space="preserve">Under section 12(2) of the </w:t>
      </w:r>
      <w:r w:rsidR="00B31550" w:rsidRPr="00B27F81">
        <w:rPr>
          <w:rFonts w:ascii="Arial" w:hAnsi="Arial" w:cs="Arial"/>
          <w:i/>
          <w:sz w:val="22"/>
          <w:szCs w:val="22"/>
        </w:rPr>
        <w:t xml:space="preserve">Legislation </w:t>
      </w:r>
      <w:r w:rsidRPr="00B27F81">
        <w:rPr>
          <w:rFonts w:ascii="Arial" w:hAnsi="Arial" w:cs="Arial"/>
          <w:i/>
          <w:sz w:val="22"/>
          <w:szCs w:val="22"/>
        </w:rPr>
        <w:t>Act 2003</w:t>
      </w:r>
      <w:r w:rsidRPr="00B27F81">
        <w:rPr>
          <w:rFonts w:ascii="Arial" w:hAnsi="Arial" w:cs="Arial"/>
          <w:sz w:val="22"/>
          <w:szCs w:val="22"/>
        </w:rPr>
        <w:t xml:space="preserve"> this instrument does not adversely affect the rights or liabilities of any person other than the Commonwealth.</w:t>
      </w:r>
    </w:p>
    <w:p w14:paraId="78FC5EAE" w14:textId="77777777" w:rsidR="00486653" w:rsidRDefault="00486653" w:rsidP="00910595">
      <w:pPr>
        <w:spacing w:after="120"/>
        <w:rPr>
          <w:rFonts w:ascii="Arial" w:hAnsi="Arial" w:cs="Arial"/>
          <w:sz w:val="22"/>
          <w:szCs w:val="22"/>
        </w:rPr>
      </w:pPr>
    </w:p>
    <w:p w14:paraId="04C933DF" w14:textId="77777777" w:rsidR="00486653" w:rsidRPr="00B27F81" w:rsidRDefault="00486653" w:rsidP="00910595">
      <w:pPr>
        <w:pStyle w:val="Heading2"/>
      </w:pPr>
      <w:r w:rsidRPr="00B27F81">
        <w:t>What is the effect of this instrument</w:t>
      </w:r>
    </w:p>
    <w:p w14:paraId="35D7B2D3" w14:textId="2D4285AB" w:rsidR="001E286B" w:rsidRDefault="00B46DD2" w:rsidP="00B27F81">
      <w:pPr>
        <w:numPr>
          <w:ilvl w:val="0"/>
          <w:numId w:val="47"/>
        </w:numPr>
        <w:spacing w:after="120"/>
        <w:ind w:left="567" w:hanging="567"/>
        <w:rPr>
          <w:rFonts w:ascii="Arial" w:hAnsi="Arial" w:cs="Arial"/>
          <w:sz w:val="22"/>
          <w:szCs w:val="22"/>
        </w:rPr>
      </w:pPr>
      <w:r w:rsidRPr="00B27F81">
        <w:rPr>
          <w:rFonts w:ascii="Arial" w:hAnsi="Arial" w:cs="Arial"/>
          <w:sz w:val="22"/>
          <w:szCs w:val="22"/>
        </w:rPr>
        <w:t xml:space="preserve">The effect of this </w:t>
      </w:r>
      <w:r w:rsidR="00232CBD">
        <w:rPr>
          <w:rFonts w:ascii="Arial" w:hAnsi="Arial" w:cs="Arial"/>
          <w:sz w:val="22"/>
          <w:szCs w:val="22"/>
        </w:rPr>
        <w:t>I</w:t>
      </w:r>
      <w:r w:rsidRPr="00B27F81">
        <w:rPr>
          <w:rFonts w:ascii="Arial" w:hAnsi="Arial" w:cs="Arial"/>
          <w:sz w:val="22"/>
          <w:szCs w:val="22"/>
        </w:rPr>
        <w:t xml:space="preserve">nstrument is </w:t>
      </w:r>
      <w:r w:rsidR="004A29D3" w:rsidRPr="0083208A">
        <w:rPr>
          <w:rFonts w:ascii="Arial" w:hAnsi="Arial" w:cs="Arial"/>
          <w:sz w:val="22"/>
          <w:szCs w:val="22"/>
        </w:rPr>
        <w:t>payers are not required to give copies of payment summaries to the Commissioner within 14 days of making employment termination payments or departing Australia superannuation payments where they have withheld amounts from payments in accordance with Subdivision 12-C, section 12-85 or Subdivision 12-FA, section 12-305</w:t>
      </w:r>
      <w:r w:rsidR="004A29D3">
        <w:rPr>
          <w:rFonts w:ascii="Arial" w:hAnsi="Arial" w:cs="Arial"/>
          <w:sz w:val="22"/>
          <w:szCs w:val="22"/>
        </w:rPr>
        <w:t xml:space="preserve"> of the TAA 1953</w:t>
      </w:r>
      <w:r w:rsidR="004A29D3" w:rsidRPr="0083208A">
        <w:rPr>
          <w:rFonts w:ascii="Arial" w:hAnsi="Arial" w:cs="Arial"/>
          <w:sz w:val="22"/>
          <w:szCs w:val="22"/>
        </w:rPr>
        <w:t>. They are however required to provide copies but within a timeframe aligned with their other reporting obligations</w:t>
      </w:r>
      <w:r w:rsidR="000850FF" w:rsidRPr="00B27F81">
        <w:rPr>
          <w:rFonts w:ascii="Arial" w:hAnsi="Arial" w:cs="Arial"/>
          <w:sz w:val="22"/>
          <w:szCs w:val="22"/>
        </w:rPr>
        <w:t>.</w:t>
      </w:r>
    </w:p>
    <w:p w14:paraId="6C0EB2D5" w14:textId="5AD2DCDF" w:rsidR="00014221" w:rsidRDefault="00014221" w:rsidP="00B27F81">
      <w:pPr>
        <w:numPr>
          <w:ilvl w:val="0"/>
          <w:numId w:val="47"/>
        </w:numPr>
        <w:spacing w:after="120"/>
        <w:ind w:left="567" w:hanging="567"/>
        <w:rPr>
          <w:rFonts w:ascii="Arial" w:hAnsi="Arial" w:cs="Arial"/>
          <w:sz w:val="22"/>
          <w:szCs w:val="22"/>
        </w:rPr>
      </w:pPr>
      <w:r>
        <w:rPr>
          <w:rFonts w:ascii="Arial" w:hAnsi="Arial" w:cs="Arial"/>
          <w:sz w:val="22"/>
          <w:szCs w:val="22"/>
        </w:rPr>
        <w:t xml:space="preserve">This instrument does not defer the due date for providing the payee </w:t>
      </w:r>
      <w:r w:rsidR="001E6DAB">
        <w:rPr>
          <w:rFonts w:ascii="Arial" w:hAnsi="Arial" w:cs="Arial"/>
          <w:sz w:val="22"/>
          <w:szCs w:val="22"/>
        </w:rPr>
        <w:t xml:space="preserve">the </w:t>
      </w:r>
      <w:r w:rsidRPr="00B27F81">
        <w:rPr>
          <w:rFonts w:ascii="Arial" w:hAnsi="Arial" w:cs="Arial"/>
          <w:sz w:val="22"/>
          <w:szCs w:val="22"/>
        </w:rPr>
        <w:t>payment summaries in respect of employment termination payments or departing Australia superannuation payments</w:t>
      </w:r>
      <w:r w:rsidR="001E6DAB">
        <w:rPr>
          <w:rFonts w:ascii="Arial" w:hAnsi="Arial" w:cs="Arial"/>
          <w:sz w:val="22"/>
          <w:szCs w:val="22"/>
        </w:rPr>
        <w:t>. The payer is still required to provide the payment summaries to the payee within 14 days of making the payments.</w:t>
      </w:r>
    </w:p>
    <w:p w14:paraId="2EF42710" w14:textId="77777777" w:rsidR="007F3C05" w:rsidRDefault="007F3C05" w:rsidP="007F3C05">
      <w:pPr>
        <w:numPr>
          <w:ilvl w:val="0"/>
          <w:numId w:val="47"/>
        </w:numPr>
        <w:spacing w:after="120"/>
        <w:ind w:left="567" w:hanging="567"/>
        <w:rPr>
          <w:rFonts w:ascii="Arial" w:hAnsi="Arial" w:cs="Arial"/>
          <w:sz w:val="22"/>
          <w:szCs w:val="22"/>
        </w:rPr>
      </w:pPr>
      <w:r w:rsidRPr="00AE02D6">
        <w:rPr>
          <w:rFonts w:ascii="Arial" w:hAnsi="Arial" w:cs="Arial"/>
          <w:color w:val="000000"/>
          <w:sz w:val="22"/>
          <w:szCs w:val="22"/>
        </w:rPr>
        <w:t>This</w:t>
      </w:r>
      <w:r w:rsidRPr="00AE052A">
        <w:rPr>
          <w:rFonts w:ascii="Arial" w:hAnsi="Arial" w:cs="Arial"/>
          <w:color w:val="000000"/>
          <w:sz w:val="22"/>
          <w:szCs w:val="22"/>
        </w:rPr>
        <w:t xml:space="preserve"> legislative instrument </w:t>
      </w:r>
      <w:r>
        <w:rPr>
          <w:rFonts w:ascii="Arial" w:hAnsi="Arial" w:cs="Arial"/>
          <w:color w:val="000000"/>
          <w:sz w:val="22"/>
          <w:szCs w:val="22"/>
        </w:rPr>
        <w:t>repeals</w:t>
      </w:r>
      <w:r w:rsidRPr="00AE052A">
        <w:rPr>
          <w:rFonts w:ascii="Arial" w:hAnsi="Arial" w:cs="Arial"/>
          <w:color w:val="000000"/>
          <w:sz w:val="22"/>
          <w:szCs w:val="22"/>
        </w:rPr>
        <w:t xml:space="preserve"> </w:t>
      </w:r>
      <w:r w:rsidRPr="00B27F81">
        <w:rPr>
          <w:rFonts w:ascii="Arial" w:hAnsi="Arial" w:cs="Arial"/>
          <w:i/>
          <w:iCs/>
          <w:sz w:val="22"/>
          <w:szCs w:val="22"/>
        </w:rPr>
        <w:t>Taxation Administration Act 1953 – PAYG Withholding – Payment summary deferral – Employment termination and departing Australia superannuation payments</w:t>
      </w:r>
      <w:r w:rsidRPr="00AE052A">
        <w:rPr>
          <w:rFonts w:ascii="Arial" w:hAnsi="Arial" w:cs="Arial"/>
          <w:color w:val="000000"/>
          <w:sz w:val="22"/>
          <w:szCs w:val="22"/>
        </w:rPr>
        <w:t xml:space="preserve"> </w:t>
      </w:r>
      <w:r>
        <w:rPr>
          <w:rFonts w:ascii="Arial" w:hAnsi="Arial" w:cs="Arial"/>
          <w:color w:val="000000"/>
          <w:sz w:val="22"/>
          <w:szCs w:val="22"/>
        </w:rPr>
        <w:t>(</w:t>
      </w:r>
      <w:r w:rsidRPr="00AE052A">
        <w:rPr>
          <w:rFonts w:ascii="Arial" w:hAnsi="Arial" w:cs="Arial"/>
          <w:color w:val="000000"/>
          <w:sz w:val="22"/>
          <w:szCs w:val="22"/>
        </w:rPr>
        <w:t>F2012L00584</w:t>
      </w:r>
      <w:r>
        <w:rPr>
          <w:rFonts w:ascii="Arial" w:hAnsi="Arial" w:cs="Arial"/>
          <w:color w:val="000000"/>
          <w:sz w:val="22"/>
          <w:szCs w:val="22"/>
        </w:rPr>
        <w:t>)</w:t>
      </w:r>
      <w:r w:rsidRPr="00AE052A">
        <w:rPr>
          <w:rFonts w:ascii="Arial" w:hAnsi="Arial" w:cs="Arial"/>
          <w:color w:val="000000"/>
          <w:sz w:val="22"/>
          <w:szCs w:val="22"/>
        </w:rPr>
        <w:t xml:space="preserve"> registered on 2 March 2012</w:t>
      </w:r>
      <w:r>
        <w:rPr>
          <w:rFonts w:ascii="Arial" w:hAnsi="Arial" w:cs="Arial"/>
          <w:color w:val="000000"/>
          <w:sz w:val="22"/>
          <w:szCs w:val="22"/>
        </w:rPr>
        <w:t>.</w:t>
      </w:r>
    </w:p>
    <w:p w14:paraId="678B658E" w14:textId="77777777" w:rsidR="000850FF" w:rsidRPr="00B27F81" w:rsidRDefault="000850FF" w:rsidP="00B84541">
      <w:pPr>
        <w:rPr>
          <w:rFonts w:ascii="Arial" w:hAnsi="Arial" w:cs="Arial"/>
          <w:sz w:val="22"/>
          <w:szCs w:val="22"/>
        </w:rPr>
      </w:pPr>
    </w:p>
    <w:p w14:paraId="69C3E322" w14:textId="77777777" w:rsidR="001E286B" w:rsidRPr="00B27F81" w:rsidRDefault="00640CC2" w:rsidP="00640CC2">
      <w:pPr>
        <w:pStyle w:val="Heading2"/>
      </w:pPr>
      <w:r w:rsidRPr="00B27F81">
        <w:lastRenderedPageBreak/>
        <w:t>Compliance cost assessment</w:t>
      </w:r>
    </w:p>
    <w:p w14:paraId="1AED746F" w14:textId="77777777" w:rsidR="00493CA7" w:rsidRDefault="00F854CC" w:rsidP="00B27F81">
      <w:pPr>
        <w:numPr>
          <w:ilvl w:val="0"/>
          <w:numId w:val="47"/>
        </w:numPr>
        <w:spacing w:after="120"/>
        <w:ind w:left="567" w:hanging="567"/>
        <w:rPr>
          <w:rFonts w:ascii="Arial" w:hAnsi="Arial" w:cs="Arial"/>
          <w:sz w:val="22"/>
          <w:szCs w:val="22"/>
        </w:rPr>
      </w:pPr>
      <w:r w:rsidRPr="0083208A">
        <w:rPr>
          <w:rFonts w:ascii="Arial" w:hAnsi="Arial" w:cs="Arial"/>
          <w:sz w:val="22"/>
          <w:szCs w:val="22"/>
        </w:rPr>
        <w:t>An assessment of the compliance cost impact indicates that the impact will be minor for both implementation and on-going compliance costs. The new instrument is of a minor or machinery nature</w:t>
      </w:r>
      <w:r w:rsidR="00232CBD">
        <w:rPr>
          <w:rFonts w:ascii="Arial" w:hAnsi="Arial" w:cs="Arial"/>
          <w:sz w:val="22"/>
          <w:szCs w:val="22"/>
        </w:rPr>
        <w:t>.</w:t>
      </w:r>
    </w:p>
    <w:p w14:paraId="22987B13" w14:textId="77777777" w:rsidR="00B27F81" w:rsidRPr="00B27F81" w:rsidRDefault="00B27F81" w:rsidP="00B27F81">
      <w:pPr>
        <w:spacing w:after="120"/>
        <w:rPr>
          <w:rFonts w:ascii="Arial" w:hAnsi="Arial" w:cs="Arial"/>
          <w:sz w:val="22"/>
          <w:szCs w:val="22"/>
        </w:rPr>
      </w:pPr>
    </w:p>
    <w:p w14:paraId="4EB65CF2" w14:textId="77777777" w:rsidR="00B11A2D" w:rsidRPr="00B27F81" w:rsidRDefault="00486653" w:rsidP="00B11A2D">
      <w:pPr>
        <w:pStyle w:val="Heading2"/>
      </w:pPr>
      <w:r w:rsidRPr="00B27F81">
        <w:t>Background</w:t>
      </w:r>
    </w:p>
    <w:p w14:paraId="45188FF9" w14:textId="0FB7ED8C" w:rsidR="00697090" w:rsidRDefault="00697090" w:rsidP="00B27F81">
      <w:pPr>
        <w:numPr>
          <w:ilvl w:val="0"/>
          <w:numId w:val="47"/>
        </w:numPr>
        <w:spacing w:after="120"/>
        <w:ind w:left="567" w:hanging="567"/>
        <w:rPr>
          <w:rFonts w:ascii="Arial" w:hAnsi="Arial" w:cs="Arial"/>
          <w:sz w:val="22"/>
          <w:szCs w:val="22"/>
        </w:rPr>
      </w:pPr>
      <w:r>
        <w:rPr>
          <w:rFonts w:ascii="Arial" w:hAnsi="Arial" w:cs="Arial"/>
          <w:sz w:val="22"/>
          <w:szCs w:val="22"/>
        </w:rPr>
        <w:t>Paragraphs</w:t>
      </w:r>
      <w:r w:rsidRPr="0083208A">
        <w:rPr>
          <w:rFonts w:ascii="Arial" w:hAnsi="Arial" w:cs="Arial"/>
          <w:sz w:val="22"/>
          <w:szCs w:val="22"/>
        </w:rPr>
        <w:t xml:space="preserve"> 16-165(1)(b) and </w:t>
      </w:r>
      <w:r>
        <w:rPr>
          <w:rFonts w:ascii="Arial" w:hAnsi="Arial" w:cs="Arial"/>
          <w:sz w:val="22"/>
          <w:szCs w:val="22"/>
        </w:rPr>
        <w:t>1</w:t>
      </w:r>
      <w:r w:rsidRPr="0083208A">
        <w:rPr>
          <w:rFonts w:ascii="Arial" w:hAnsi="Arial" w:cs="Arial"/>
          <w:sz w:val="22"/>
          <w:szCs w:val="22"/>
        </w:rPr>
        <w:t xml:space="preserve">6-166(b) of Schedule 1 to the </w:t>
      </w:r>
      <w:r>
        <w:rPr>
          <w:rFonts w:ascii="Arial" w:hAnsi="Arial" w:cs="Arial"/>
          <w:sz w:val="22"/>
          <w:szCs w:val="22"/>
        </w:rPr>
        <w:t>TAA</w:t>
      </w:r>
      <w:r w:rsidRPr="0083208A">
        <w:rPr>
          <w:rFonts w:ascii="Arial" w:hAnsi="Arial" w:cs="Arial"/>
          <w:sz w:val="22"/>
          <w:szCs w:val="22"/>
        </w:rPr>
        <w:t xml:space="preserve"> 1953 require a copy of the payment summary relating to these payments to be provided to the Commissioner within 14 days of making the payments</w:t>
      </w:r>
      <w:r>
        <w:rPr>
          <w:rFonts w:ascii="Arial" w:hAnsi="Arial" w:cs="Arial"/>
          <w:sz w:val="22"/>
          <w:szCs w:val="22"/>
        </w:rPr>
        <w:t>.</w:t>
      </w:r>
    </w:p>
    <w:p w14:paraId="0A888B9F" w14:textId="77777777" w:rsidR="00CA3EEF" w:rsidRPr="00B27F81" w:rsidRDefault="00CA3EEF" w:rsidP="00CA3EEF">
      <w:pPr>
        <w:numPr>
          <w:ilvl w:val="0"/>
          <w:numId w:val="47"/>
        </w:numPr>
        <w:spacing w:after="120"/>
        <w:ind w:left="567" w:hanging="567"/>
        <w:rPr>
          <w:rFonts w:ascii="Arial" w:hAnsi="Arial" w:cs="Arial"/>
          <w:sz w:val="22"/>
          <w:szCs w:val="22"/>
        </w:rPr>
      </w:pPr>
      <w:r w:rsidRPr="00B27F81">
        <w:rPr>
          <w:rFonts w:ascii="Arial" w:hAnsi="Arial" w:cs="Arial"/>
          <w:sz w:val="22"/>
          <w:szCs w:val="22"/>
        </w:rPr>
        <w:t>This deferral has been in place since 16 November 2006, provided by:</w:t>
      </w:r>
    </w:p>
    <w:p w14:paraId="336108F0" w14:textId="77777777" w:rsidR="00CA3EEF" w:rsidRPr="005B67FB" w:rsidRDefault="00CA3EEF" w:rsidP="00CA3EEF">
      <w:pPr>
        <w:numPr>
          <w:ilvl w:val="1"/>
          <w:numId w:val="53"/>
        </w:numPr>
        <w:spacing w:after="120"/>
        <w:ind w:left="1134" w:hanging="567"/>
        <w:rPr>
          <w:rFonts w:ascii="Arial" w:hAnsi="Arial" w:cs="Arial"/>
          <w:sz w:val="22"/>
          <w:szCs w:val="22"/>
        </w:rPr>
      </w:pPr>
      <w:r w:rsidRPr="005B67FB">
        <w:rPr>
          <w:rFonts w:ascii="Arial" w:hAnsi="Arial" w:cs="Arial"/>
          <w:i/>
          <w:iCs/>
          <w:sz w:val="22"/>
          <w:szCs w:val="22"/>
        </w:rPr>
        <w:t>Pay As You Go (PAYG) Withholding: Notice of exemption from requirement to give a copy of payment summary to the Commissioner within 14 days under section 16-165(1)(b) and section 16-166(b) of Schedule 1 to the Taxation Administration Act 1953</w:t>
      </w:r>
      <w:r w:rsidRPr="005B67FB">
        <w:rPr>
          <w:rFonts w:ascii="Arial" w:hAnsi="Arial" w:cs="Arial"/>
          <w:sz w:val="22"/>
          <w:szCs w:val="22"/>
        </w:rPr>
        <w:t xml:space="preserve"> (F2006B11584) registered on 16 November 2006, and</w:t>
      </w:r>
    </w:p>
    <w:p w14:paraId="2CA09F2E" w14:textId="77777777" w:rsidR="00CA3EEF" w:rsidRPr="00B27F81" w:rsidRDefault="00CA3EEF" w:rsidP="00CA3EEF">
      <w:pPr>
        <w:numPr>
          <w:ilvl w:val="1"/>
          <w:numId w:val="53"/>
        </w:numPr>
        <w:spacing w:after="120"/>
        <w:ind w:left="1134" w:hanging="567"/>
        <w:rPr>
          <w:rFonts w:ascii="Arial" w:hAnsi="Arial" w:cs="Arial"/>
          <w:sz w:val="22"/>
          <w:szCs w:val="22"/>
        </w:rPr>
      </w:pPr>
      <w:r w:rsidRPr="00B27F81">
        <w:rPr>
          <w:rFonts w:ascii="Arial" w:hAnsi="Arial" w:cs="Arial"/>
          <w:i/>
          <w:iCs/>
          <w:sz w:val="22"/>
          <w:szCs w:val="22"/>
        </w:rPr>
        <w:t>Taxation Administration Act 1953 – PAYG Withholding – Payment summary deferral – Employment termination and departing Australia superannuation payments</w:t>
      </w:r>
      <w:r w:rsidRPr="00B27F81">
        <w:rPr>
          <w:rFonts w:ascii="Arial" w:hAnsi="Arial" w:cs="Arial"/>
          <w:sz w:val="22"/>
          <w:szCs w:val="22"/>
        </w:rPr>
        <w:t xml:space="preserve"> (F2012L00584) registered 15 March 2012.</w:t>
      </w:r>
    </w:p>
    <w:p w14:paraId="5A58180D" w14:textId="77777777" w:rsidR="00697090" w:rsidRDefault="00697090" w:rsidP="00B27F81">
      <w:pPr>
        <w:numPr>
          <w:ilvl w:val="0"/>
          <w:numId w:val="47"/>
        </w:numPr>
        <w:spacing w:after="120"/>
        <w:ind w:left="567" w:hanging="567"/>
        <w:rPr>
          <w:rFonts w:ascii="Arial" w:hAnsi="Arial" w:cs="Arial"/>
          <w:sz w:val="22"/>
          <w:szCs w:val="22"/>
        </w:rPr>
      </w:pPr>
      <w:r w:rsidRPr="0083208A">
        <w:rPr>
          <w:rFonts w:ascii="Arial" w:hAnsi="Arial" w:cs="Arial"/>
          <w:sz w:val="22"/>
          <w:szCs w:val="22"/>
        </w:rPr>
        <w:t xml:space="preserve">This instrument </w:t>
      </w:r>
      <w:r>
        <w:rPr>
          <w:rFonts w:ascii="Arial" w:hAnsi="Arial" w:cs="Arial"/>
          <w:sz w:val="22"/>
          <w:szCs w:val="22"/>
        </w:rPr>
        <w:t xml:space="preserve">continues to </w:t>
      </w:r>
      <w:r w:rsidRPr="0083208A">
        <w:rPr>
          <w:rFonts w:ascii="Arial" w:hAnsi="Arial" w:cs="Arial"/>
          <w:sz w:val="22"/>
          <w:szCs w:val="22"/>
        </w:rPr>
        <w:t>defer the due date for providing the payment summary until 14 August following the end of the financial year in which the payments are made</w:t>
      </w:r>
      <w:r>
        <w:rPr>
          <w:rFonts w:ascii="Arial" w:hAnsi="Arial" w:cs="Arial"/>
          <w:sz w:val="22"/>
          <w:szCs w:val="22"/>
        </w:rPr>
        <w:t>.</w:t>
      </w:r>
    </w:p>
    <w:p w14:paraId="009F8757" w14:textId="77777777" w:rsidR="00426AEE" w:rsidRPr="00B27F81" w:rsidRDefault="00697090" w:rsidP="00B27F81">
      <w:pPr>
        <w:numPr>
          <w:ilvl w:val="0"/>
          <w:numId w:val="47"/>
        </w:numPr>
        <w:spacing w:after="120"/>
        <w:ind w:left="567" w:hanging="567"/>
        <w:rPr>
          <w:rFonts w:ascii="Arial" w:hAnsi="Arial" w:cs="Arial"/>
          <w:sz w:val="22"/>
          <w:szCs w:val="22"/>
        </w:rPr>
      </w:pPr>
      <w:r>
        <w:rPr>
          <w:rFonts w:ascii="Arial" w:hAnsi="Arial" w:cs="Arial"/>
          <w:sz w:val="22"/>
          <w:szCs w:val="22"/>
        </w:rPr>
        <w:t xml:space="preserve">The deferral </w:t>
      </w:r>
      <w:r w:rsidRPr="00AE052A">
        <w:rPr>
          <w:rFonts w:ascii="Arial" w:hAnsi="Arial" w:cs="Arial"/>
          <w:sz w:val="22"/>
          <w:szCs w:val="22"/>
        </w:rPr>
        <w:t xml:space="preserve">facilitates </w:t>
      </w:r>
      <w:r>
        <w:rPr>
          <w:rFonts w:ascii="Arial" w:hAnsi="Arial" w:cs="Arial"/>
          <w:sz w:val="22"/>
          <w:szCs w:val="22"/>
        </w:rPr>
        <w:t xml:space="preserve">the </w:t>
      </w:r>
      <w:r w:rsidRPr="00AA74EE">
        <w:rPr>
          <w:rFonts w:ascii="Arial" w:hAnsi="Arial" w:cs="Arial"/>
          <w:sz w:val="22"/>
          <w:szCs w:val="22"/>
        </w:rPr>
        <w:t xml:space="preserve">efficient administration </w:t>
      </w:r>
      <w:r>
        <w:rPr>
          <w:rFonts w:ascii="Arial" w:hAnsi="Arial" w:cs="Arial"/>
          <w:sz w:val="22"/>
          <w:szCs w:val="22"/>
        </w:rPr>
        <w:t xml:space="preserve">of payment summary reporting to the Commissioner as it aligns with the due date of the majority of other payment summaries. It also removes </w:t>
      </w:r>
      <w:r w:rsidRPr="00AA74EE">
        <w:rPr>
          <w:rFonts w:ascii="Arial" w:hAnsi="Arial" w:cs="Arial"/>
          <w:sz w:val="22"/>
          <w:szCs w:val="22"/>
        </w:rPr>
        <w:t xml:space="preserve">an unnecessary </w:t>
      </w:r>
      <w:r>
        <w:rPr>
          <w:rFonts w:ascii="Arial" w:hAnsi="Arial" w:cs="Arial"/>
          <w:sz w:val="22"/>
          <w:szCs w:val="22"/>
        </w:rPr>
        <w:t xml:space="preserve">administrative </w:t>
      </w:r>
      <w:r w:rsidRPr="00AA74EE">
        <w:rPr>
          <w:rFonts w:ascii="Arial" w:hAnsi="Arial" w:cs="Arial"/>
          <w:sz w:val="22"/>
          <w:szCs w:val="22"/>
        </w:rPr>
        <w:t>burden on employers and other payers</w:t>
      </w:r>
      <w:r>
        <w:rPr>
          <w:rFonts w:ascii="Arial" w:hAnsi="Arial" w:cs="Arial"/>
          <w:sz w:val="22"/>
          <w:szCs w:val="22"/>
        </w:rPr>
        <w:t xml:space="preserve"> in having to provide the Commissioner separate payment summaries throughout the financial year</w:t>
      </w:r>
      <w:r w:rsidRPr="00AA74EE">
        <w:rPr>
          <w:rFonts w:ascii="Arial" w:hAnsi="Arial" w:cs="Arial"/>
          <w:sz w:val="22"/>
          <w:szCs w:val="22"/>
        </w:rPr>
        <w:t>.</w:t>
      </w:r>
    </w:p>
    <w:p w14:paraId="21DDBE19" w14:textId="77777777" w:rsidR="00486653" w:rsidRPr="00B27F81" w:rsidRDefault="00486653" w:rsidP="00910595">
      <w:pPr>
        <w:spacing w:after="120"/>
        <w:rPr>
          <w:rFonts w:ascii="Arial" w:hAnsi="Arial" w:cs="Arial"/>
          <w:sz w:val="22"/>
          <w:szCs w:val="22"/>
        </w:rPr>
      </w:pPr>
    </w:p>
    <w:p w14:paraId="52D28FC9" w14:textId="77777777" w:rsidR="00486653" w:rsidRPr="00B27F81" w:rsidRDefault="00E10B37" w:rsidP="00910595">
      <w:pPr>
        <w:pStyle w:val="Heading2"/>
      </w:pPr>
      <w:r w:rsidRPr="00B27F81">
        <w:t>Consultation</w:t>
      </w:r>
    </w:p>
    <w:p w14:paraId="5B16E963" w14:textId="77777777" w:rsidR="00CA3EEF" w:rsidRPr="00B27F81" w:rsidRDefault="00CA3EEF" w:rsidP="00CA3EEF">
      <w:pPr>
        <w:numPr>
          <w:ilvl w:val="0"/>
          <w:numId w:val="47"/>
        </w:numPr>
        <w:spacing w:after="120"/>
        <w:ind w:left="567" w:hanging="567"/>
        <w:rPr>
          <w:rFonts w:ascii="Arial" w:hAnsi="Arial" w:cs="Arial"/>
          <w:sz w:val="22"/>
          <w:szCs w:val="22"/>
        </w:rPr>
      </w:pPr>
      <w:r w:rsidRPr="00B27F81">
        <w:rPr>
          <w:rFonts w:ascii="Arial" w:hAnsi="Arial" w:cs="Arial"/>
          <w:sz w:val="22"/>
          <w:szCs w:val="22"/>
        </w:rPr>
        <w:t xml:space="preserve">Subsection 17(1) of the </w:t>
      </w:r>
      <w:r w:rsidRPr="003549CC">
        <w:rPr>
          <w:rFonts w:ascii="Arial" w:hAnsi="Arial" w:cs="Arial"/>
          <w:i/>
          <w:iCs/>
          <w:sz w:val="22"/>
          <w:szCs w:val="22"/>
        </w:rPr>
        <w:t>Legislation Act 2003</w:t>
      </w:r>
      <w:r w:rsidRPr="00B27F81">
        <w:rPr>
          <w:rFonts w:ascii="Arial" w:hAnsi="Arial" w:cs="Arial"/>
          <w:sz w:val="22"/>
          <w:szCs w:val="22"/>
        </w:rPr>
        <w:t xml:space="preserve"> requires, before the making of a determination, that the Commissioner is satisfied that appropriate and reasonably practicable consultation has been undertaken.</w:t>
      </w:r>
    </w:p>
    <w:p w14:paraId="72E2EF87" w14:textId="77777777" w:rsidR="00101797" w:rsidRPr="003B041B" w:rsidRDefault="00101797" w:rsidP="003549CC">
      <w:pPr>
        <w:numPr>
          <w:ilvl w:val="0"/>
          <w:numId w:val="47"/>
        </w:numPr>
        <w:spacing w:after="120"/>
        <w:ind w:left="567" w:hanging="567"/>
        <w:rPr>
          <w:rFonts w:ascii="Arial" w:hAnsi="Arial" w:cs="Arial"/>
          <w:sz w:val="22"/>
          <w:szCs w:val="22"/>
        </w:rPr>
      </w:pPr>
      <w:r w:rsidRPr="003B041B">
        <w:rPr>
          <w:rFonts w:ascii="Arial" w:hAnsi="Arial" w:cs="Arial"/>
          <w:sz w:val="22"/>
          <w:szCs w:val="22"/>
        </w:rPr>
        <w:t>Broad consultation has occurred. The draft determination and draft explanatory statement were published on the ATO Legal Database</w:t>
      </w:r>
      <w:r w:rsidRPr="003B041B">
        <w:rPr>
          <w:rFonts w:ascii="Arial" w:hAnsi="Arial" w:cs="Arial"/>
          <w:color w:val="FF0000"/>
          <w:sz w:val="22"/>
          <w:szCs w:val="22"/>
        </w:rPr>
        <w:t xml:space="preserve"> </w:t>
      </w:r>
      <w:r w:rsidRPr="003B041B">
        <w:rPr>
          <w:rFonts w:ascii="Arial" w:hAnsi="Arial" w:cs="Arial"/>
          <w:sz w:val="22"/>
          <w:szCs w:val="22"/>
        </w:rPr>
        <w:t>at ato.gov.au</w:t>
      </w:r>
      <w:r w:rsidRPr="003B041B">
        <w:rPr>
          <w:rFonts w:ascii="Arial" w:hAnsi="Arial" w:cs="Arial"/>
          <w:color w:val="1F497D"/>
          <w:sz w:val="22"/>
          <w:szCs w:val="22"/>
        </w:rPr>
        <w:t xml:space="preserve"> </w:t>
      </w:r>
      <w:r w:rsidRPr="003B041B">
        <w:rPr>
          <w:rFonts w:ascii="Arial" w:hAnsi="Arial" w:cs="Arial"/>
          <w:sz w:val="22"/>
          <w:szCs w:val="22"/>
        </w:rPr>
        <w:t xml:space="preserve">on </w:t>
      </w:r>
      <w:r>
        <w:rPr>
          <w:rFonts w:ascii="Arial" w:hAnsi="Arial" w:cs="Arial"/>
          <w:sz w:val="22"/>
          <w:szCs w:val="22"/>
        </w:rPr>
        <w:t>7 March 2022</w:t>
      </w:r>
      <w:r w:rsidRPr="003B041B">
        <w:rPr>
          <w:rFonts w:ascii="Arial" w:hAnsi="Arial" w:cs="Arial"/>
          <w:sz w:val="22"/>
          <w:szCs w:val="22"/>
        </w:rPr>
        <w:t xml:space="preserve"> seeking feedback and comments for a period of two weeks. The ATO Legal Database sends emails and news feeds to direct subscribers such as tax professionals and other industry stakeholders. Consultation on the draft determination and draft explanatory statement was also announced on “What we are consulting about” at ato.gov.au. No comments were received by the due date.</w:t>
      </w:r>
    </w:p>
    <w:p w14:paraId="7F7A7DBD" w14:textId="77777777" w:rsidR="00970112" w:rsidRDefault="00970112" w:rsidP="00970112">
      <w:pPr>
        <w:spacing w:after="120"/>
        <w:rPr>
          <w:rFonts w:ascii="Arial" w:hAnsi="Arial" w:cs="Arial"/>
          <w:sz w:val="22"/>
          <w:szCs w:val="22"/>
        </w:rPr>
      </w:pPr>
    </w:p>
    <w:p w14:paraId="1936B5DF" w14:textId="77777777" w:rsidR="003549CC" w:rsidRPr="009C43FB" w:rsidRDefault="003549CC" w:rsidP="00970112">
      <w:pPr>
        <w:spacing w:after="120"/>
        <w:rPr>
          <w:rFonts w:ascii="Arial" w:hAnsi="Arial" w:cs="Arial"/>
          <w:sz w:val="22"/>
          <w:szCs w:val="22"/>
        </w:rPr>
      </w:pPr>
    </w:p>
    <w:p w14:paraId="62EBE960" w14:textId="77777777" w:rsidR="00910595" w:rsidRPr="009C43FB" w:rsidRDefault="00910595" w:rsidP="00910595">
      <w:pPr>
        <w:spacing w:after="120"/>
        <w:rPr>
          <w:rFonts w:ascii="Arial" w:hAnsi="Arial" w:cs="Arial"/>
          <w:sz w:val="22"/>
          <w:szCs w:val="22"/>
        </w:rPr>
      </w:pPr>
    </w:p>
    <w:p w14:paraId="0F64FF04" w14:textId="77777777" w:rsidR="009371D0" w:rsidRPr="00B27F81" w:rsidRDefault="007E0A01" w:rsidP="00910595">
      <w:pPr>
        <w:pStyle w:val="Heading3"/>
        <w:rPr>
          <w:i/>
          <w:sz w:val="20"/>
          <w:szCs w:val="20"/>
        </w:rPr>
      </w:pPr>
      <w:r w:rsidRPr="00B27F81">
        <w:rPr>
          <w:i/>
          <w:sz w:val="20"/>
          <w:szCs w:val="20"/>
        </w:rPr>
        <w:t>Legislative references</w:t>
      </w:r>
    </w:p>
    <w:p w14:paraId="3097E896" w14:textId="77777777" w:rsidR="0076271C" w:rsidRDefault="0076271C" w:rsidP="00101CD5">
      <w:pPr>
        <w:rPr>
          <w:rFonts w:ascii="Arial" w:hAnsi="Arial" w:cs="Arial"/>
          <w:i/>
          <w:sz w:val="20"/>
        </w:rPr>
      </w:pPr>
      <w:r w:rsidRPr="00B27F81">
        <w:rPr>
          <w:rFonts w:ascii="Arial" w:hAnsi="Arial" w:cs="Arial"/>
          <w:i/>
          <w:sz w:val="20"/>
        </w:rPr>
        <w:t>Acts Interpretation Act 1901</w:t>
      </w:r>
    </w:p>
    <w:p w14:paraId="4EC29BCE" w14:textId="77777777" w:rsidR="007F3C05" w:rsidRPr="00B27F81" w:rsidRDefault="007F3C05" w:rsidP="007F3C05">
      <w:pPr>
        <w:rPr>
          <w:rFonts w:ascii="Arial" w:hAnsi="Arial" w:cs="Arial"/>
          <w:i/>
          <w:sz w:val="20"/>
        </w:rPr>
      </w:pPr>
      <w:r w:rsidRPr="004B1188">
        <w:rPr>
          <w:rFonts w:ascii="Arial" w:hAnsi="Arial" w:cs="Arial"/>
          <w:i/>
          <w:sz w:val="20"/>
        </w:rPr>
        <w:t>Human Rights (Parliamentary Scrutiny) Act 2011</w:t>
      </w:r>
    </w:p>
    <w:p w14:paraId="1AE01B75" w14:textId="77777777" w:rsidR="0076271C" w:rsidRPr="00B27F81" w:rsidRDefault="007E0A01" w:rsidP="00101CD5">
      <w:pPr>
        <w:rPr>
          <w:rFonts w:ascii="Arial" w:hAnsi="Arial" w:cs="Arial"/>
          <w:i/>
          <w:sz w:val="20"/>
        </w:rPr>
      </w:pPr>
      <w:r w:rsidRPr="00B27F81">
        <w:rPr>
          <w:rFonts w:ascii="Arial" w:hAnsi="Arial" w:cs="Arial"/>
          <w:i/>
          <w:sz w:val="20"/>
        </w:rPr>
        <w:t>Income Tax Assessment Act 1997</w:t>
      </w:r>
    </w:p>
    <w:p w14:paraId="228A2761" w14:textId="77777777" w:rsidR="00910595" w:rsidRPr="00B27F81" w:rsidRDefault="0076271C" w:rsidP="00101CD5">
      <w:pPr>
        <w:rPr>
          <w:rFonts w:ascii="Arial" w:hAnsi="Arial" w:cs="Arial"/>
          <w:i/>
          <w:sz w:val="20"/>
        </w:rPr>
      </w:pPr>
      <w:r w:rsidRPr="00B27F81">
        <w:rPr>
          <w:rFonts w:ascii="Arial" w:hAnsi="Arial" w:cs="Arial"/>
          <w:i/>
          <w:sz w:val="20"/>
        </w:rPr>
        <w:t>Legislation Act 2003</w:t>
      </w:r>
    </w:p>
    <w:p w14:paraId="29157FD8" w14:textId="77777777" w:rsidR="00910595" w:rsidRPr="00B27F81" w:rsidRDefault="007E0A01" w:rsidP="00101CD5">
      <w:pPr>
        <w:rPr>
          <w:rFonts w:ascii="Arial" w:hAnsi="Arial" w:cs="Arial"/>
          <w:i/>
          <w:sz w:val="20"/>
        </w:rPr>
      </w:pPr>
      <w:r w:rsidRPr="00B27F81">
        <w:rPr>
          <w:rFonts w:ascii="Arial" w:hAnsi="Arial" w:cs="Arial"/>
          <w:i/>
          <w:sz w:val="20"/>
        </w:rPr>
        <w:t>Taxation Administration Act 1953</w:t>
      </w:r>
    </w:p>
    <w:p w14:paraId="38D63F83" w14:textId="77777777" w:rsidR="00333567" w:rsidRPr="009C43FB" w:rsidRDefault="00333567" w:rsidP="00910595">
      <w:pPr>
        <w:spacing w:after="120"/>
        <w:rPr>
          <w:rFonts w:ascii="Arial" w:hAnsi="Arial" w:cs="Arial"/>
          <w:sz w:val="22"/>
          <w:szCs w:val="22"/>
        </w:rPr>
      </w:pPr>
    </w:p>
    <w:p w14:paraId="0E4F475B" w14:textId="77777777" w:rsidR="00101CD5" w:rsidRPr="009C43FB" w:rsidRDefault="00101CD5">
      <w:pPr>
        <w:rPr>
          <w:rFonts w:ascii="Arial" w:hAnsi="Arial" w:cs="Arial"/>
          <w:sz w:val="22"/>
          <w:szCs w:val="22"/>
        </w:rPr>
      </w:pPr>
      <w:r w:rsidRPr="009C43FB">
        <w:rPr>
          <w:rFonts w:ascii="Arial" w:hAnsi="Arial" w:cs="Arial"/>
          <w:sz w:val="22"/>
          <w:szCs w:val="22"/>
        </w:rPr>
        <w:br w:type="page"/>
      </w:r>
    </w:p>
    <w:p w14:paraId="12711B78" w14:textId="77777777" w:rsidR="00526403" w:rsidRPr="009C43FB" w:rsidRDefault="00526403" w:rsidP="00101CD5">
      <w:pPr>
        <w:spacing w:after="120"/>
        <w:rPr>
          <w:rFonts w:ascii="Arial" w:hAnsi="Arial" w:cs="Arial"/>
          <w:sz w:val="22"/>
          <w:szCs w:val="22"/>
        </w:rPr>
      </w:pPr>
    </w:p>
    <w:p w14:paraId="183780EB" w14:textId="77777777" w:rsidR="00333567" w:rsidRPr="009C43FB" w:rsidRDefault="00E53399" w:rsidP="00101CD5">
      <w:pPr>
        <w:pStyle w:val="Heading3"/>
        <w:spacing w:before="0" w:after="120"/>
        <w:jc w:val="center"/>
        <w:rPr>
          <w:sz w:val="24"/>
        </w:rPr>
      </w:pPr>
      <w:r w:rsidRPr="009C43FB">
        <w:rPr>
          <w:sz w:val="24"/>
        </w:rPr>
        <w:t xml:space="preserve">Statement of compatibility </w:t>
      </w:r>
      <w:r w:rsidR="00C11D03" w:rsidRPr="009C43FB">
        <w:rPr>
          <w:sz w:val="24"/>
        </w:rPr>
        <w:t>with Human Rights</w:t>
      </w:r>
    </w:p>
    <w:p w14:paraId="2459854C" w14:textId="77777777" w:rsidR="00E53399" w:rsidRPr="009C43FB" w:rsidRDefault="004F5EB1" w:rsidP="00101CD5">
      <w:pPr>
        <w:pStyle w:val="Heading3"/>
        <w:spacing w:before="0" w:after="120"/>
        <w:rPr>
          <w:sz w:val="24"/>
        </w:rPr>
      </w:pPr>
      <w:r w:rsidRPr="009C43FB">
        <w:rPr>
          <w:b w:val="0"/>
          <w:sz w:val="22"/>
          <w:szCs w:val="20"/>
        </w:rPr>
        <w:t>P</w:t>
      </w:r>
      <w:r w:rsidR="00E53399" w:rsidRPr="009C43FB">
        <w:rPr>
          <w:b w:val="0"/>
          <w:sz w:val="22"/>
          <w:szCs w:val="20"/>
        </w:rPr>
        <w:t xml:space="preserve">repared in accordance with Part 3 of the </w:t>
      </w:r>
      <w:r w:rsidR="00E53399" w:rsidRPr="009C43FB">
        <w:rPr>
          <w:b w:val="0"/>
          <w:i/>
          <w:sz w:val="22"/>
          <w:szCs w:val="20"/>
        </w:rPr>
        <w:t>Human Rights (Parliamentary Scrutiny) Act 2011</w:t>
      </w:r>
    </w:p>
    <w:p w14:paraId="195B8ADB" w14:textId="77777777" w:rsidR="00D77015" w:rsidRPr="009C43FB" w:rsidRDefault="00D77015" w:rsidP="00101CD5">
      <w:pPr>
        <w:spacing w:after="120"/>
        <w:rPr>
          <w:rFonts w:ascii="Arial" w:hAnsi="Arial" w:cs="Arial"/>
          <w:sz w:val="22"/>
          <w:szCs w:val="22"/>
        </w:rPr>
      </w:pPr>
    </w:p>
    <w:p w14:paraId="67EAA9A8" w14:textId="77777777" w:rsidR="001E286B" w:rsidRPr="00232CBD" w:rsidRDefault="00F0612F" w:rsidP="00F0612F">
      <w:pPr>
        <w:pStyle w:val="Heading2"/>
        <w:jc w:val="center"/>
        <w:rPr>
          <w:i/>
          <w:iCs/>
        </w:rPr>
      </w:pPr>
      <w:r w:rsidRPr="00232CBD">
        <w:rPr>
          <w:i/>
          <w:iCs/>
        </w:rPr>
        <w:t xml:space="preserve">Taxation Administration– </w:t>
      </w:r>
      <w:r w:rsidR="008B23F7">
        <w:rPr>
          <w:i/>
          <w:iCs/>
        </w:rPr>
        <w:t xml:space="preserve">Payment Summary Deferral: </w:t>
      </w:r>
      <w:r w:rsidRPr="00232CBD">
        <w:rPr>
          <w:i/>
          <w:iCs/>
        </w:rPr>
        <w:t>Employment</w:t>
      </w:r>
      <w:r w:rsidR="009C43FB" w:rsidRPr="00232CBD">
        <w:rPr>
          <w:i/>
          <w:iCs/>
        </w:rPr>
        <w:t xml:space="preserve"> </w:t>
      </w:r>
      <w:r w:rsidRPr="00232CBD">
        <w:rPr>
          <w:i/>
          <w:iCs/>
        </w:rPr>
        <w:t>Termination and Departing Australia</w:t>
      </w:r>
      <w:r w:rsidR="003F2AAD" w:rsidRPr="00232CBD">
        <w:rPr>
          <w:i/>
          <w:iCs/>
        </w:rPr>
        <w:t xml:space="preserve"> </w:t>
      </w:r>
      <w:r w:rsidRPr="00232CBD">
        <w:rPr>
          <w:i/>
          <w:iCs/>
        </w:rPr>
        <w:t xml:space="preserve">Superannuation </w:t>
      </w:r>
      <w:r w:rsidR="002D1AB3" w:rsidRPr="00232CBD">
        <w:rPr>
          <w:i/>
          <w:iCs/>
        </w:rPr>
        <w:t>Payment</w:t>
      </w:r>
      <w:r w:rsidR="008B23F7">
        <w:rPr>
          <w:i/>
          <w:iCs/>
        </w:rPr>
        <w:t>s</w:t>
      </w:r>
      <w:r w:rsidR="002D1AB3" w:rsidRPr="00232CBD">
        <w:rPr>
          <w:i/>
          <w:iCs/>
        </w:rPr>
        <w:t xml:space="preserve"> Deferral</w:t>
      </w:r>
      <w:r w:rsidR="002D1AB3">
        <w:rPr>
          <w:i/>
          <w:iCs/>
        </w:rPr>
        <w:t xml:space="preserve"> 2022</w:t>
      </w:r>
    </w:p>
    <w:p w14:paraId="307B716B" w14:textId="77777777" w:rsidR="009371D0" w:rsidRPr="009C43FB" w:rsidRDefault="00075B58" w:rsidP="00101CD5">
      <w:pPr>
        <w:autoSpaceDE w:val="0"/>
        <w:autoSpaceDN w:val="0"/>
        <w:adjustRightInd w:val="0"/>
        <w:spacing w:after="120"/>
        <w:rPr>
          <w:rFonts w:ascii="Arial" w:hAnsi="Arial" w:cs="Arial"/>
          <w:sz w:val="22"/>
        </w:rPr>
      </w:pPr>
      <w:r w:rsidRPr="009C43FB">
        <w:rPr>
          <w:rFonts w:ascii="Arial" w:hAnsi="Arial" w:cs="Arial"/>
          <w:sz w:val="22"/>
        </w:rPr>
        <w:t xml:space="preserve">This Legislative Instrument is compatible with the human rights and freedoms recognised or declared in the international instruments listed in section 3 of the </w:t>
      </w:r>
      <w:r w:rsidRPr="009C43FB">
        <w:rPr>
          <w:rFonts w:ascii="Arial" w:hAnsi="Arial" w:cs="Arial"/>
          <w:i/>
          <w:sz w:val="22"/>
        </w:rPr>
        <w:t>Human Righ</w:t>
      </w:r>
      <w:r w:rsidR="00101CD5" w:rsidRPr="009C43FB">
        <w:rPr>
          <w:rFonts w:ascii="Arial" w:hAnsi="Arial" w:cs="Arial"/>
          <w:i/>
          <w:sz w:val="22"/>
        </w:rPr>
        <w:t>ts (Parliamentary Scrutiny) Act </w:t>
      </w:r>
      <w:r w:rsidRPr="009C43FB">
        <w:rPr>
          <w:rFonts w:ascii="Arial" w:hAnsi="Arial" w:cs="Arial"/>
          <w:i/>
          <w:sz w:val="22"/>
        </w:rPr>
        <w:t>2011.</w:t>
      </w:r>
    </w:p>
    <w:p w14:paraId="0ABAD21E" w14:textId="77777777" w:rsidR="00075B58" w:rsidRPr="009C43FB" w:rsidRDefault="00075B58" w:rsidP="00101CD5">
      <w:pPr>
        <w:spacing w:after="120"/>
        <w:rPr>
          <w:rFonts w:ascii="Arial" w:hAnsi="Arial" w:cs="Arial"/>
          <w:sz w:val="22"/>
          <w:szCs w:val="22"/>
        </w:rPr>
      </w:pPr>
    </w:p>
    <w:p w14:paraId="3C1B7DE0" w14:textId="77777777" w:rsidR="00075B58" w:rsidRPr="009C43FB" w:rsidRDefault="00075B58" w:rsidP="00101CD5">
      <w:pPr>
        <w:pStyle w:val="Heading2"/>
      </w:pPr>
      <w:r w:rsidRPr="009C43FB">
        <w:t xml:space="preserve">Overview of </w:t>
      </w:r>
      <w:r w:rsidR="007E0A01" w:rsidRPr="009C43FB">
        <w:t xml:space="preserve">the </w:t>
      </w:r>
      <w:r w:rsidRPr="009C43FB">
        <w:t>Legislative Instrument</w:t>
      </w:r>
    </w:p>
    <w:p w14:paraId="05B8BDF7" w14:textId="77777777" w:rsidR="0067037A" w:rsidRPr="009C43FB" w:rsidRDefault="0067037A" w:rsidP="002F2B13">
      <w:pPr>
        <w:autoSpaceDE w:val="0"/>
        <w:autoSpaceDN w:val="0"/>
        <w:adjustRightInd w:val="0"/>
        <w:spacing w:after="120"/>
        <w:rPr>
          <w:rFonts w:ascii="Arial" w:hAnsi="Arial" w:cs="Arial"/>
          <w:sz w:val="22"/>
        </w:rPr>
      </w:pPr>
      <w:r w:rsidRPr="009C43FB">
        <w:rPr>
          <w:rFonts w:ascii="Arial" w:hAnsi="Arial" w:cs="Arial"/>
          <w:sz w:val="22"/>
        </w:rPr>
        <w:t xml:space="preserve">This instrument defers the due date for providing the Commissioner with copies of payment summaries in respect of employment termination payments </w:t>
      </w:r>
      <w:r w:rsidR="00727506">
        <w:rPr>
          <w:rFonts w:ascii="Arial" w:hAnsi="Arial" w:cs="Arial"/>
          <w:sz w:val="22"/>
        </w:rPr>
        <w:t>and</w:t>
      </w:r>
      <w:r w:rsidRPr="009C43FB">
        <w:rPr>
          <w:rFonts w:ascii="Arial" w:hAnsi="Arial" w:cs="Arial"/>
          <w:sz w:val="22"/>
        </w:rPr>
        <w:t xml:space="preserve"> departing Australia superannuation payments to 14 August after the end of a financial year for any payment made. These copies would otherwise have to be provided to the Commissioner 14 days after the date of making the payment.</w:t>
      </w:r>
    </w:p>
    <w:p w14:paraId="1B5C5A11" w14:textId="77777777" w:rsidR="00075B58" w:rsidRPr="009C43FB" w:rsidRDefault="00075B58" w:rsidP="00101CD5">
      <w:pPr>
        <w:spacing w:after="120"/>
        <w:rPr>
          <w:rFonts w:ascii="Arial" w:hAnsi="Arial" w:cs="Arial"/>
          <w:sz w:val="22"/>
          <w:szCs w:val="22"/>
        </w:rPr>
      </w:pPr>
    </w:p>
    <w:p w14:paraId="40F7ED88" w14:textId="77777777" w:rsidR="00075B58" w:rsidRPr="009C43FB" w:rsidRDefault="00075B58" w:rsidP="00101CD5">
      <w:pPr>
        <w:pStyle w:val="Heading2"/>
      </w:pPr>
      <w:r w:rsidRPr="009C43FB">
        <w:t>Human rights implications</w:t>
      </w:r>
    </w:p>
    <w:p w14:paraId="02604C75" w14:textId="77777777" w:rsidR="001E286B" w:rsidRPr="009C43FB" w:rsidRDefault="00075B58" w:rsidP="00101CD5">
      <w:pPr>
        <w:spacing w:after="120"/>
        <w:rPr>
          <w:rFonts w:ascii="Arial" w:hAnsi="Arial" w:cs="Arial"/>
          <w:sz w:val="22"/>
        </w:rPr>
      </w:pPr>
      <w:r w:rsidRPr="009C43FB">
        <w:rPr>
          <w:rFonts w:ascii="Arial" w:hAnsi="Arial" w:cs="Arial"/>
          <w:sz w:val="22"/>
        </w:rPr>
        <w:t>This Legislative Instrument does not engage any of the applicable rights or freedoms.</w:t>
      </w:r>
    </w:p>
    <w:p w14:paraId="4361D402" w14:textId="77777777" w:rsidR="00426AEE" w:rsidRPr="009C43FB" w:rsidRDefault="00426AEE" w:rsidP="00426AEE">
      <w:pPr>
        <w:spacing w:after="120"/>
        <w:rPr>
          <w:rFonts w:ascii="Arial" w:hAnsi="Arial" w:cs="Arial"/>
          <w:sz w:val="22"/>
          <w:szCs w:val="22"/>
        </w:rPr>
      </w:pPr>
      <w:r w:rsidRPr="009C43FB">
        <w:rPr>
          <w:rFonts w:ascii="Arial" w:hAnsi="Arial" w:cs="Arial"/>
          <w:sz w:val="22"/>
          <w:szCs w:val="22"/>
        </w:rPr>
        <w:t xml:space="preserve">This </w:t>
      </w:r>
      <w:r w:rsidR="00232CBD">
        <w:rPr>
          <w:rFonts w:ascii="Arial" w:hAnsi="Arial" w:cs="Arial"/>
          <w:sz w:val="22"/>
          <w:szCs w:val="22"/>
        </w:rPr>
        <w:t>I</w:t>
      </w:r>
      <w:r w:rsidRPr="009C43FB">
        <w:rPr>
          <w:rFonts w:ascii="Arial" w:hAnsi="Arial" w:cs="Arial"/>
          <w:sz w:val="22"/>
          <w:szCs w:val="22"/>
        </w:rPr>
        <w:t>nstrument defers the requirement for an employer or other payer to provide the Commissioner</w:t>
      </w:r>
      <w:r w:rsidR="00BD64A8" w:rsidRPr="009C43FB">
        <w:rPr>
          <w:rFonts w:ascii="Arial" w:hAnsi="Arial" w:cs="Arial"/>
          <w:sz w:val="22"/>
          <w:szCs w:val="22"/>
        </w:rPr>
        <w:t xml:space="preserve"> with </w:t>
      </w:r>
      <w:r w:rsidRPr="009C43FB">
        <w:rPr>
          <w:rFonts w:ascii="Arial" w:hAnsi="Arial" w:cs="Arial"/>
          <w:sz w:val="22"/>
          <w:szCs w:val="22"/>
        </w:rPr>
        <w:t xml:space="preserve">a copy of a payment summary for a withholding payment </w:t>
      </w:r>
      <w:r w:rsidR="0067037A" w:rsidRPr="009C43FB">
        <w:rPr>
          <w:rFonts w:ascii="Arial" w:hAnsi="Arial" w:cs="Arial"/>
          <w:sz w:val="22"/>
          <w:szCs w:val="22"/>
        </w:rPr>
        <w:t>until 14 August of the following year.</w:t>
      </w:r>
    </w:p>
    <w:p w14:paraId="1B0F30B7" w14:textId="77777777" w:rsidR="001E286B" w:rsidRDefault="00163B8A" w:rsidP="00101CD5">
      <w:pPr>
        <w:spacing w:after="120"/>
        <w:rPr>
          <w:rFonts w:ascii="Arial" w:hAnsi="Arial" w:cs="Arial"/>
          <w:sz w:val="22"/>
          <w:szCs w:val="22"/>
        </w:rPr>
      </w:pPr>
      <w:r w:rsidRPr="009C43FB">
        <w:rPr>
          <w:rFonts w:ascii="Arial" w:hAnsi="Arial" w:cs="Arial"/>
          <w:sz w:val="22"/>
          <w:szCs w:val="22"/>
        </w:rPr>
        <w:t xml:space="preserve">The </w:t>
      </w:r>
      <w:r w:rsidR="00426AEE" w:rsidRPr="009C43FB">
        <w:rPr>
          <w:rFonts w:ascii="Arial" w:hAnsi="Arial" w:cs="Arial"/>
          <w:sz w:val="22"/>
          <w:szCs w:val="22"/>
        </w:rPr>
        <w:t>14-day</w:t>
      </w:r>
      <w:r w:rsidRPr="009C43FB">
        <w:rPr>
          <w:rFonts w:ascii="Arial" w:hAnsi="Arial" w:cs="Arial"/>
          <w:sz w:val="22"/>
          <w:szCs w:val="22"/>
        </w:rPr>
        <w:t xml:space="preserve"> reporting</w:t>
      </w:r>
      <w:r w:rsidR="00426AEE" w:rsidRPr="009C43FB">
        <w:rPr>
          <w:rFonts w:ascii="Arial" w:hAnsi="Arial" w:cs="Arial"/>
          <w:sz w:val="22"/>
          <w:szCs w:val="22"/>
        </w:rPr>
        <w:t xml:space="preserve"> timeframe</w:t>
      </w:r>
      <w:r w:rsidRPr="009C43FB">
        <w:rPr>
          <w:rFonts w:ascii="Arial" w:hAnsi="Arial" w:cs="Arial"/>
          <w:sz w:val="22"/>
          <w:szCs w:val="22"/>
        </w:rPr>
        <w:t xml:space="preserve"> is not required for </w:t>
      </w:r>
      <w:r w:rsidR="00426AEE" w:rsidRPr="009C43FB">
        <w:rPr>
          <w:rFonts w:ascii="Arial" w:hAnsi="Arial" w:cs="Arial"/>
          <w:sz w:val="22"/>
          <w:szCs w:val="22"/>
        </w:rPr>
        <w:t>effective</w:t>
      </w:r>
      <w:r w:rsidRPr="009C43FB">
        <w:rPr>
          <w:rFonts w:ascii="Arial" w:hAnsi="Arial" w:cs="Arial"/>
          <w:sz w:val="22"/>
          <w:szCs w:val="22"/>
        </w:rPr>
        <w:t xml:space="preserve"> administration and places an unnecessary burden on employers and other payers.</w:t>
      </w:r>
    </w:p>
    <w:p w14:paraId="30CC9ABF" w14:textId="77777777" w:rsidR="009C43FB" w:rsidRPr="009C43FB" w:rsidRDefault="009C43FB" w:rsidP="00101CD5">
      <w:pPr>
        <w:spacing w:after="120"/>
        <w:rPr>
          <w:rFonts w:ascii="Arial" w:hAnsi="Arial" w:cs="Arial"/>
          <w:sz w:val="22"/>
          <w:szCs w:val="22"/>
        </w:rPr>
      </w:pPr>
    </w:p>
    <w:p w14:paraId="3459690E" w14:textId="77777777" w:rsidR="00075B58" w:rsidRPr="009C43FB" w:rsidRDefault="00075B58" w:rsidP="00101CD5">
      <w:pPr>
        <w:pStyle w:val="Heading2"/>
      </w:pPr>
      <w:r w:rsidRPr="009C43FB">
        <w:t>Conclusion</w:t>
      </w:r>
    </w:p>
    <w:p w14:paraId="6520057E" w14:textId="77777777" w:rsidR="00075B58" w:rsidRPr="009C43FB" w:rsidRDefault="00075B58" w:rsidP="00101CD5">
      <w:pPr>
        <w:spacing w:after="120"/>
        <w:rPr>
          <w:rFonts w:ascii="Arial" w:hAnsi="Arial" w:cs="Arial"/>
          <w:sz w:val="22"/>
          <w:szCs w:val="22"/>
        </w:rPr>
      </w:pPr>
      <w:r w:rsidRPr="009C43FB">
        <w:rPr>
          <w:rFonts w:ascii="Arial" w:hAnsi="Arial" w:cs="Arial"/>
          <w:sz w:val="22"/>
          <w:szCs w:val="22"/>
        </w:rPr>
        <w:t>This Legislative Instrument is compatible with human rights as it does not raise any human rights issues.</w:t>
      </w:r>
    </w:p>
    <w:sectPr w:rsidR="00075B58" w:rsidRPr="009C43FB" w:rsidSect="00081520">
      <w:headerReference w:type="even" r:id="rId8"/>
      <w:headerReference w:type="default" r:id="rId9"/>
      <w:footerReference w:type="even" r:id="rId10"/>
      <w:footerReference w:type="default" r:id="rId11"/>
      <w:headerReference w:type="first" r:id="rId12"/>
      <w:footerReference w:type="first" r:id="rId13"/>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A3C89" w14:textId="77777777" w:rsidR="0015357A" w:rsidRDefault="0015357A">
      <w:r>
        <w:separator/>
      </w:r>
    </w:p>
  </w:endnote>
  <w:endnote w:type="continuationSeparator" w:id="0">
    <w:p w14:paraId="22D607C8" w14:textId="77777777" w:rsidR="0015357A" w:rsidRDefault="0015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6E096" w14:textId="77777777" w:rsidR="00BA4446" w:rsidRDefault="00BA4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A5926" w14:textId="77777777" w:rsidR="00BA4446" w:rsidRDefault="00BA4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27A64" w14:textId="77777777" w:rsidR="00BA4446" w:rsidRDefault="00BA4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B9C2B" w14:textId="77777777" w:rsidR="0015357A" w:rsidRDefault="0015357A">
      <w:r>
        <w:separator/>
      </w:r>
    </w:p>
  </w:footnote>
  <w:footnote w:type="continuationSeparator" w:id="0">
    <w:p w14:paraId="5DFCBC3E" w14:textId="77777777" w:rsidR="0015357A" w:rsidRDefault="00153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32768"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106BA989"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0D539DB3"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5590D">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2D10F"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82EEB" w14:textId="77777777"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F76F16">
      <w:rPr>
        <w:rFonts w:ascii="Arial" w:hAnsi="Arial" w:cs="Arial"/>
        <w:b/>
        <w:sz w:val="22"/>
        <w:szCs w:val="22"/>
      </w:rPr>
      <w:t>2022</w:t>
    </w:r>
    <w:r w:rsidRPr="00767CE8">
      <w:rPr>
        <w:rFonts w:ascii="Arial" w:hAnsi="Arial" w:cs="Arial"/>
        <w:b/>
        <w:sz w:val="22"/>
        <w:szCs w:val="22"/>
      </w:rPr>
      <w:t>/</w:t>
    </w:r>
    <w:r w:rsidR="00F76F16">
      <w:rPr>
        <w:rFonts w:ascii="Arial" w:hAnsi="Arial" w:cs="Arial"/>
        <w:b/>
        <w:sz w:val="22"/>
        <w:szCs w:val="22"/>
      </w:rPr>
      <w:t>SEO</w:t>
    </w:r>
    <w:r w:rsidRPr="00767CE8">
      <w:rPr>
        <w:rFonts w:ascii="Arial" w:hAnsi="Arial" w:cs="Arial"/>
        <w:b/>
        <w:sz w:val="22"/>
        <w:szCs w:val="22"/>
      </w:rPr>
      <w:t>/</w:t>
    </w:r>
    <w:r w:rsidR="00F76F16">
      <w:rPr>
        <w:rFonts w:ascii="Arial" w:hAnsi="Arial" w:cs="Arial"/>
        <w:b/>
        <w:sz w:val="22"/>
        <w:szCs w:val="22"/>
      </w:rPr>
      <w:t>0007</w:t>
    </w:r>
  </w:p>
  <w:p w14:paraId="2CDCD35A"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21D9F831" wp14:editId="42133077">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2EA4DF6A"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15:restartNumberingAfterBreak="0">
    <w:nsid w:val="11B4688F"/>
    <w:multiLevelType w:val="hybridMultilevel"/>
    <w:tmpl w:val="0866818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0"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7"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B4D6357"/>
    <w:multiLevelType w:val="hybridMultilevel"/>
    <w:tmpl w:val="A14C4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2"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3"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5"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3FCC3903"/>
    <w:multiLevelType w:val="hybridMultilevel"/>
    <w:tmpl w:val="65B697FE"/>
    <w:lvl w:ilvl="0" w:tplc="5D364D7A">
      <w:start w:val="1"/>
      <w:numFmt w:val="decimal"/>
      <w:lvlText w:val="%1."/>
      <w:lvlJc w:val="left"/>
      <w:pPr>
        <w:tabs>
          <w:tab w:val="num" w:pos="360"/>
        </w:tabs>
        <w:ind w:left="360" w:hanging="360"/>
      </w:pPr>
      <w:rPr>
        <w:rFonts w:hint="default"/>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0" w15:restartNumberingAfterBreak="0">
    <w:nsid w:val="45B7441C"/>
    <w:multiLevelType w:val="hybridMultilevel"/>
    <w:tmpl w:val="86421E3E"/>
    <w:lvl w:ilvl="0" w:tplc="8B9C8B06">
      <w:start w:val="1"/>
      <w:numFmt w:val="decimal"/>
      <w:lvlText w:val="%1."/>
      <w:lvlJc w:val="left"/>
      <w:pPr>
        <w:ind w:left="720" w:hanging="360"/>
      </w:pPr>
      <w:rPr>
        <w:rFonts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8"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15:restartNumberingAfterBreak="0">
    <w:nsid w:val="69AD5D6E"/>
    <w:multiLevelType w:val="hybridMultilevel"/>
    <w:tmpl w:val="EEB4EF4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707368"/>
    <w:multiLevelType w:val="hybridMultilevel"/>
    <w:tmpl w:val="3DFA157C"/>
    <w:lvl w:ilvl="0" w:tplc="0C09000F">
      <w:start w:val="1"/>
      <w:numFmt w:val="decimal"/>
      <w:lvlText w:val="%1."/>
      <w:lvlJc w:val="left"/>
      <w:pPr>
        <w:ind w:left="720" w:hanging="360"/>
      </w:pPr>
      <w:rPr>
        <w:rFonts w:hint="default"/>
      </w:rPr>
    </w:lvl>
    <w:lvl w:ilvl="1" w:tplc="269C7C2C">
      <w:start w:val="1"/>
      <w:numFmt w:val="lowerLetter"/>
      <w:lvlText w:val="(%2)"/>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28"/>
  </w:num>
  <w:num w:numId="4">
    <w:abstractNumId w:val="46"/>
  </w:num>
  <w:num w:numId="5">
    <w:abstractNumId w:val="6"/>
  </w:num>
  <w:num w:numId="6">
    <w:abstractNumId w:val="15"/>
  </w:num>
  <w:num w:numId="7">
    <w:abstractNumId w:val="40"/>
  </w:num>
  <w:num w:numId="8">
    <w:abstractNumId w:val="39"/>
  </w:num>
  <w:num w:numId="9">
    <w:abstractNumId w:val="31"/>
  </w:num>
  <w:num w:numId="10">
    <w:abstractNumId w:val="25"/>
  </w:num>
  <w:num w:numId="11">
    <w:abstractNumId w:val="48"/>
  </w:num>
  <w:num w:numId="12">
    <w:abstractNumId w:val="41"/>
  </w:num>
  <w:num w:numId="13">
    <w:abstractNumId w:val="45"/>
  </w:num>
  <w:num w:numId="14">
    <w:abstractNumId w:val="44"/>
  </w:num>
  <w:num w:numId="15">
    <w:abstractNumId w:val="23"/>
  </w:num>
  <w:num w:numId="16">
    <w:abstractNumId w:val="27"/>
  </w:num>
  <w:num w:numId="17">
    <w:abstractNumId w:val="12"/>
  </w:num>
  <w:num w:numId="18">
    <w:abstractNumId w:val="18"/>
  </w:num>
  <w:num w:numId="19">
    <w:abstractNumId w:val="3"/>
  </w:num>
  <w:num w:numId="20">
    <w:abstractNumId w:val="1"/>
  </w:num>
  <w:num w:numId="21">
    <w:abstractNumId w:val="14"/>
  </w:num>
  <w:num w:numId="22">
    <w:abstractNumId w:val="37"/>
  </w:num>
  <w:num w:numId="23">
    <w:abstractNumId w:val="11"/>
  </w:num>
  <w:num w:numId="24">
    <w:abstractNumId w:val="22"/>
  </w:num>
  <w:num w:numId="25">
    <w:abstractNumId w:val="35"/>
  </w:num>
  <w:num w:numId="26">
    <w:abstractNumId w:val="34"/>
  </w:num>
  <w:num w:numId="27">
    <w:abstractNumId w:val="10"/>
  </w:num>
  <w:num w:numId="28">
    <w:abstractNumId w:val="38"/>
  </w:num>
  <w:num w:numId="29">
    <w:abstractNumId w:val="21"/>
  </w:num>
  <w:num w:numId="30">
    <w:abstractNumId w:val="16"/>
  </w:num>
  <w:num w:numId="31">
    <w:abstractNumId w:val="7"/>
  </w:num>
  <w:num w:numId="32">
    <w:abstractNumId w:val="0"/>
  </w:num>
  <w:num w:numId="33">
    <w:abstractNumId w:val="9"/>
  </w:num>
  <w:num w:numId="34">
    <w:abstractNumId w:val="29"/>
  </w:num>
  <w:num w:numId="35">
    <w:abstractNumId w:val="42"/>
  </w:num>
  <w:num w:numId="36">
    <w:abstractNumId w:val="20"/>
  </w:num>
  <w:num w:numId="37">
    <w:abstractNumId w:val="13"/>
  </w:num>
  <w:num w:numId="38">
    <w:abstractNumId w:val="24"/>
  </w:num>
  <w:num w:numId="39">
    <w:abstractNumId w:val="2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3"/>
  </w:num>
  <w:num w:numId="43">
    <w:abstractNumId w:val="2"/>
  </w:num>
  <w:num w:numId="44">
    <w:abstractNumId w:val="5"/>
  </w:num>
  <w:num w:numId="45">
    <w:abstractNumId w:val="36"/>
  </w:num>
  <w:num w:numId="46">
    <w:abstractNumId w:val="32"/>
  </w:num>
  <w:num w:numId="47">
    <w:abstractNumId w:val="30"/>
  </w:num>
  <w:num w:numId="48">
    <w:abstractNumId w:val="19"/>
  </w:num>
  <w:num w:numId="49">
    <w:abstractNumId w:val="8"/>
  </w:num>
  <w:num w:numId="50">
    <w:abstractNumId w:val="43"/>
  </w:num>
  <w:num w:numId="5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4221"/>
    <w:rsid w:val="0001796D"/>
    <w:rsid w:val="00017BF0"/>
    <w:rsid w:val="0002568B"/>
    <w:rsid w:val="00043FA7"/>
    <w:rsid w:val="000552E8"/>
    <w:rsid w:val="00056550"/>
    <w:rsid w:val="00056585"/>
    <w:rsid w:val="0005674F"/>
    <w:rsid w:val="00065C6E"/>
    <w:rsid w:val="00072E6E"/>
    <w:rsid w:val="00073F1B"/>
    <w:rsid w:val="00075B58"/>
    <w:rsid w:val="00081520"/>
    <w:rsid w:val="000832C5"/>
    <w:rsid w:val="00083665"/>
    <w:rsid w:val="000850FF"/>
    <w:rsid w:val="000B11DD"/>
    <w:rsid w:val="000B1785"/>
    <w:rsid w:val="000C390A"/>
    <w:rsid w:val="000C3980"/>
    <w:rsid w:val="000C77DD"/>
    <w:rsid w:val="000E295B"/>
    <w:rsid w:val="000E4429"/>
    <w:rsid w:val="000E45A0"/>
    <w:rsid w:val="000E5471"/>
    <w:rsid w:val="00101797"/>
    <w:rsid w:val="00101CD5"/>
    <w:rsid w:val="00107460"/>
    <w:rsid w:val="00112415"/>
    <w:rsid w:val="0013678D"/>
    <w:rsid w:val="00140A34"/>
    <w:rsid w:val="00143E9A"/>
    <w:rsid w:val="00146ED8"/>
    <w:rsid w:val="0015357A"/>
    <w:rsid w:val="00163B8A"/>
    <w:rsid w:val="00167202"/>
    <w:rsid w:val="001828A4"/>
    <w:rsid w:val="001A3BE2"/>
    <w:rsid w:val="001C35E7"/>
    <w:rsid w:val="001C4578"/>
    <w:rsid w:val="001D02E6"/>
    <w:rsid w:val="001E286B"/>
    <w:rsid w:val="001E6DAB"/>
    <w:rsid w:val="001F00E3"/>
    <w:rsid w:val="001F0184"/>
    <w:rsid w:val="001F166E"/>
    <w:rsid w:val="001F28A6"/>
    <w:rsid w:val="001F2A16"/>
    <w:rsid w:val="001F6921"/>
    <w:rsid w:val="001F7C3E"/>
    <w:rsid w:val="00201969"/>
    <w:rsid w:val="0021222C"/>
    <w:rsid w:val="00213FA5"/>
    <w:rsid w:val="0021496E"/>
    <w:rsid w:val="00222AFB"/>
    <w:rsid w:val="00232CBD"/>
    <w:rsid w:val="0023733A"/>
    <w:rsid w:val="0024044F"/>
    <w:rsid w:val="00240CFB"/>
    <w:rsid w:val="002436CE"/>
    <w:rsid w:val="00245D00"/>
    <w:rsid w:val="00257F2D"/>
    <w:rsid w:val="00262F9F"/>
    <w:rsid w:val="00266D2D"/>
    <w:rsid w:val="0027034D"/>
    <w:rsid w:val="0027331F"/>
    <w:rsid w:val="00285E76"/>
    <w:rsid w:val="002949C3"/>
    <w:rsid w:val="002A10A4"/>
    <w:rsid w:val="002A26FE"/>
    <w:rsid w:val="002B1423"/>
    <w:rsid w:val="002D1AB3"/>
    <w:rsid w:val="002F1257"/>
    <w:rsid w:val="002F2B13"/>
    <w:rsid w:val="0030641C"/>
    <w:rsid w:val="00310C61"/>
    <w:rsid w:val="003171B3"/>
    <w:rsid w:val="0032559D"/>
    <w:rsid w:val="00331616"/>
    <w:rsid w:val="00333567"/>
    <w:rsid w:val="0033668F"/>
    <w:rsid w:val="00344575"/>
    <w:rsid w:val="0035113C"/>
    <w:rsid w:val="00354525"/>
    <w:rsid w:val="003549CC"/>
    <w:rsid w:val="00374385"/>
    <w:rsid w:val="00380CC4"/>
    <w:rsid w:val="003B041B"/>
    <w:rsid w:val="003C058C"/>
    <w:rsid w:val="003C0686"/>
    <w:rsid w:val="003D08CF"/>
    <w:rsid w:val="003D0CBA"/>
    <w:rsid w:val="003D0F6A"/>
    <w:rsid w:val="003D4BA8"/>
    <w:rsid w:val="003E5269"/>
    <w:rsid w:val="003F2AAD"/>
    <w:rsid w:val="00405394"/>
    <w:rsid w:val="004066E4"/>
    <w:rsid w:val="0040680B"/>
    <w:rsid w:val="00407361"/>
    <w:rsid w:val="00417C55"/>
    <w:rsid w:val="00424A7B"/>
    <w:rsid w:val="0042561F"/>
    <w:rsid w:val="00426AEE"/>
    <w:rsid w:val="00442776"/>
    <w:rsid w:val="004447C1"/>
    <w:rsid w:val="00446AA8"/>
    <w:rsid w:val="00446EE5"/>
    <w:rsid w:val="0045590D"/>
    <w:rsid w:val="0046211F"/>
    <w:rsid w:val="0046787B"/>
    <w:rsid w:val="00484E55"/>
    <w:rsid w:val="00486653"/>
    <w:rsid w:val="00493CA7"/>
    <w:rsid w:val="004A29D3"/>
    <w:rsid w:val="004A5FDA"/>
    <w:rsid w:val="004D098C"/>
    <w:rsid w:val="004D24A9"/>
    <w:rsid w:val="004D41FE"/>
    <w:rsid w:val="004E5357"/>
    <w:rsid w:val="004F4A07"/>
    <w:rsid w:val="004F5EB1"/>
    <w:rsid w:val="004F6887"/>
    <w:rsid w:val="005030AD"/>
    <w:rsid w:val="0051249C"/>
    <w:rsid w:val="005176E7"/>
    <w:rsid w:val="00520330"/>
    <w:rsid w:val="00524B6B"/>
    <w:rsid w:val="00526403"/>
    <w:rsid w:val="005413EE"/>
    <w:rsid w:val="0056118D"/>
    <w:rsid w:val="00587443"/>
    <w:rsid w:val="00587C50"/>
    <w:rsid w:val="0059147E"/>
    <w:rsid w:val="005917F3"/>
    <w:rsid w:val="005B0ACD"/>
    <w:rsid w:val="005B50A2"/>
    <w:rsid w:val="005B67FB"/>
    <w:rsid w:val="005C3408"/>
    <w:rsid w:val="005D611B"/>
    <w:rsid w:val="005F1ACE"/>
    <w:rsid w:val="005F256D"/>
    <w:rsid w:val="005F5998"/>
    <w:rsid w:val="00600591"/>
    <w:rsid w:val="0060183A"/>
    <w:rsid w:val="00603110"/>
    <w:rsid w:val="00611C8E"/>
    <w:rsid w:val="00624954"/>
    <w:rsid w:val="00626086"/>
    <w:rsid w:val="006302F7"/>
    <w:rsid w:val="00631F30"/>
    <w:rsid w:val="00640CC2"/>
    <w:rsid w:val="00642420"/>
    <w:rsid w:val="00646158"/>
    <w:rsid w:val="006513F4"/>
    <w:rsid w:val="00653E02"/>
    <w:rsid w:val="0066622C"/>
    <w:rsid w:val="00666487"/>
    <w:rsid w:val="0067037A"/>
    <w:rsid w:val="00673B37"/>
    <w:rsid w:val="00674E3D"/>
    <w:rsid w:val="006945EA"/>
    <w:rsid w:val="00697090"/>
    <w:rsid w:val="006A6041"/>
    <w:rsid w:val="006B5470"/>
    <w:rsid w:val="006C4639"/>
    <w:rsid w:val="006D0138"/>
    <w:rsid w:val="006D6F52"/>
    <w:rsid w:val="00701718"/>
    <w:rsid w:val="00710359"/>
    <w:rsid w:val="00712FFF"/>
    <w:rsid w:val="00722DBF"/>
    <w:rsid w:val="00727506"/>
    <w:rsid w:val="00735157"/>
    <w:rsid w:val="0075436E"/>
    <w:rsid w:val="0076271C"/>
    <w:rsid w:val="00767CE8"/>
    <w:rsid w:val="007738B4"/>
    <w:rsid w:val="00775490"/>
    <w:rsid w:val="00795D0C"/>
    <w:rsid w:val="00797F42"/>
    <w:rsid w:val="007A55BA"/>
    <w:rsid w:val="007C1FBD"/>
    <w:rsid w:val="007C54B3"/>
    <w:rsid w:val="007C5C8E"/>
    <w:rsid w:val="007D5547"/>
    <w:rsid w:val="007E0A01"/>
    <w:rsid w:val="007E22F5"/>
    <w:rsid w:val="007E321E"/>
    <w:rsid w:val="007F25F3"/>
    <w:rsid w:val="007F3C05"/>
    <w:rsid w:val="007F4901"/>
    <w:rsid w:val="007F7766"/>
    <w:rsid w:val="00802BB4"/>
    <w:rsid w:val="0081436D"/>
    <w:rsid w:val="00826DEB"/>
    <w:rsid w:val="008313A9"/>
    <w:rsid w:val="00832A78"/>
    <w:rsid w:val="00836B02"/>
    <w:rsid w:val="008467D4"/>
    <w:rsid w:val="00850889"/>
    <w:rsid w:val="00850FB0"/>
    <w:rsid w:val="0085238E"/>
    <w:rsid w:val="0085330D"/>
    <w:rsid w:val="00853428"/>
    <w:rsid w:val="008540EA"/>
    <w:rsid w:val="00866A00"/>
    <w:rsid w:val="008702A6"/>
    <w:rsid w:val="008757CE"/>
    <w:rsid w:val="0088392C"/>
    <w:rsid w:val="00897C0E"/>
    <w:rsid w:val="00897E31"/>
    <w:rsid w:val="008A046F"/>
    <w:rsid w:val="008A05A9"/>
    <w:rsid w:val="008A405A"/>
    <w:rsid w:val="008A6A6A"/>
    <w:rsid w:val="008B23F7"/>
    <w:rsid w:val="008B650A"/>
    <w:rsid w:val="008B787C"/>
    <w:rsid w:val="008C3898"/>
    <w:rsid w:val="008C55DF"/>
    <w:rsid w:val="008C66CC"/>
    <w:rsid w:val="008E51B4"/>
    <w:rsid w:val="008F483C"/>
    <w:rsid w:val="00910238"/>
    <w:rsid w:val="00910595"/>
    <w:rsid w:val="00910756"/>
    <w:rsid w:val="00912D61"/>
    <w:rsid w:val="009322D7"/>
    <w:rsid w:val="00932BDE"/>
    <w:rsid w:val="009371D0"/>
    <w:rsid w:val="00937771"/>
    <w:rsid w:val="00965B92"/>
    <w:rsid w:val="00967725"/>
    <w:rsid w:val="00970112"/>
    <w:rsid w:val="0098195F"/>
    <w:rsid w:val="00982ECF"/>
    <w:rsid w:val="009902F8"/>
    <w:rsid w:val="00993BB8"/>
    <w:rsid w:val="0099555F"/>
    <w:rsid w:val="009A22A1"/>
    <w:rsid w:val="009B3A1B"/>
    <w:rsid w:val="009B6332"/>
    <w:rsid w:val="009C0912"/>
    <w:rsid w:val="009C43FB"/>
    <w:rsid w:val="009C7443"/>
    <w:rsid w:val="009D6694"/>
    <w:rsid w:val="009F0300"/>
    <w:rsid w:val="00A167A8"/>
    <w:rsid w:val="00A1699E"/>
    <w:rsid w:val="00A21361"/>
    <w:rsid w:val="00A21F0A"/>
    <w:rsid w:val="00A26011"/>
    <w:rsid w:val="00A407CD"/>
    <w:rsid w:val="00A506C2"/>
    <w:rsid w:val="00A51E87"/>
    <w:rsid w:val="00A52F7E"/>
    <w:rsid w:val="00A62886"/>
    <w:rsid w:val="00A74C38"/>
    <w:rsid w:val="00A77D24"/>
    <w:rsid w:val="00A8572F"/>
    <w:rsid w:val="00A912FE"/>
    <w:rsid w:val="00A93E07"/>
    <w:rsid w:val="00A979CF"/>
    <w:rsid w:val="00AA4DF8"/>
    <w:rsid w:val="00AB780C"/>
    <w:rsid w:val="00AC2448"/>
    <w:rsid w:val="00AD0B0B"/>
    <w:rsid w:val="00AD15D7"/>
    <w:rsid w:val="00AD5ADE"/>
    <w:rsid w:val="00AE7138"/>
    <w:rsid w:val="00AF4CAF"/>
    <w:rsid w:val="00B117BA"/>
    <w:rsid w:val="00B11A2D"/>
    <w:rsid w:val="00B15F23"/>
    <w:rsid w:val="00B16508"/>
    <w:rsid w:val="00B20D87"/>
    <w:rsid w:val="00B24053"/>
    <w:rsid w:val="00B27F81"/>
    <w:rsid w:val="00B31550"/>
    <w:rsid w:val="00B46DD2"/>
    <w:rsid w:val="00B578AC"/>
    <w:rsid w:val="00B62F06"/>
    <w:rsid w:val="00B6433F"/>
    <w:rsid w:val="00B64CF5"/>
    <w:rsid w:val="00B67AC8"/>
    <w:rsid w:val="00B76464"/>
    <w:rsid w:val="00B76C9B"/>
    <w:rsid w:val="00B823A1"/>
    <w:rsid w:val="00B8428B"/>
    <w:rsid w:val="00B84541"/>
    <w:rsid w:val="00BA41F5"/>
    <w:rsid w:val="00BA4446"/>
    <w:rsid w:val="00BB3C9C"/>
    <w:rsid w:val="00BD378D"/>
    <w:rsid w:val="00BD64A8"/>
    <w:rsid w:val="00BE1668"/>
    <w:rsid w:val="00BF4822"/>
    <w:rsid w:val="00C01D22"/>
    <w:rsid w:val="00C104B6"/>
    <w:rsid w:val="00C10F02"/>
    <w:rsid w:val="00C114F4"/>
    <w:rsid w:val="00C11D03"/>
    <w:rsid w:val="00C31967"/>
    <w:rsid w:val="00C34C96"/>
    <w:rsid w:val="00C371DE"/>
    <w:rsid w:val="00C409AE"/>
    <w:rsid w:val="00C4143E"/>
    <w:rsid w:val="00C4294C"/>
    <w:rsid w:val="00C42D50"/>
    <w:rsid w:val="00C54DF8"/>
    <w:rsid w:val="00C60B49"/>
    <w:rsid w:val="00C7440A"/>
    <w:rsid w:val="00C865ED"/>
    <w:rsid w:val="00C8775A"/>
    <w:rsid w:val="00C87C7C"/>
    <w:rsid w:val="00C9778A"/>
    <w:rsid w:val="00CA0877"/>
    <w:rsid w:val="00CA3EEF"/>
    <w:rsid w:val="00CA6B59"/>
    <w:rsid w:val="00CB3B6C"/>
    <w:rsid w:val="00CB75F1"/>
    <w:rsid w:val="00CC1833"/>
    <w:rsid w:val="00CC189F"/>
    <w:rsid w:val="00CC3368"/>
    <w:rsid w:val="00CD0ECE"/>
    <w:rsid w:val="00CE0109"/>
    <w:rsid w:val="00CF19C4"/>
    <w:rsid w:val="00CF2B0A"/>
    <w:rsid w:val="00D0505A"/>
    <w:rsid w:val="00D13C04"/>
    <w:rsid w:val="00D20A78"/>
    <w:rsid w:val="00D278BA"/>
    <w:rsid w:val="00D40454"/>
    <w:rsid w:val="00D4059C"/>
    <w:rsid w:val="00D511C3"/>
    <w:rsid w:val="00D53D8F"/>
    <w:rsid w:val="00D61C76"/>
    <w:rsid w:val="00D77015"/>
    <w:rsid w:val="00D92B48"/>
    <w:rsid w:val="00DB1693"/>
    <w:rsid w:val="00DD0B6E"/>
    <w:rsid w:val="00DD5B07"/>
    <w:rsid w:val="00DE59E2"/>
    <w:rsid w:val="00DE6821"/>
    <w:rsid w:val="00DF2022"/>
    <w:rsid w:val="00DF34BE"/>
    <w:rsid w:val="00DF5D59"/>
    <w:rsid w:val="00E10B37"/>
    <w:rsid w:val="00E239E4"/>
    <w:rsid w:val="00E36A38"/>
    <w:rsid w:val="00E4087C"/>
    <w:rsid w:val="00E53399"/>
    <w:rsid w:val="00E76F32"/>
    <w:rsid w:val="00E77995"/>
    <w:rsid w:val="00E87099"/>
    <w:rsid w:val="00EA28E6"/>
    <w:rsid w:val="00EF4E9D"/>
    <w:rsid w:val="00EF78C4"/>
    <w:rsid w:val="00F04CD7"/>
    <w:rsid w:val="00F0612F"/>
    <w:rsid w:val="00F23E15"/>
    <w:rsid w:val="00F244A2"/>
    <w:rsid w:val="00F35064"/>
    <w:rsid w:val="00F374D8"/>
    <w:rsid w:val="00F50626"/>
    <w:rsid w:val="00F539FB"/>
    <w:rsid w:val="00F5684D"/>
    <w:rsid w:val="00F57AB6"/>
    <w:rsid w:val="00F6480F"/>
    <w:rsid w:val="00F64868"/>
    <w:rsid w:val="00F70C2E"/>
    <w:rsid w:val="00F76F16"/>
    <w:rsid w:val="00F84DF2"/>
    <w:rsid w:val="00F854CC"/>
    <w:rsid w:val="00F86713"/>
    <w:rsid w:val="00F932E0"/>
    <w:rsid w:val="00FB7701"/>
    <w:rsid w:val="00FC40F0"/>
    <w:rsid w:val="00FC6D3B"/>
    <w:rsid w:val="00FD0129"/>
    <w:rsid w:val="00FD1FF1"/>
    <w:rsid w:val="00FE17ED"/>
    <w:rsid w:val="00FF19D9"/>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48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paragraph" w:customStyle="1" w:styleId="acthead5">
    <w:name w:val="acthead5"/>
    <w:basedOn w:val="Normal"/>
    <w:rsid w:val="00970112"/>
    <w:pPr>
      <w:spacing w:before="100" w:beforeAutospacing="1" w:after="100" w:afterAutospacing="1"/>
    </w:pPr>
    <w:rPr>
      <w:szCs w:val="24"/>
    </w:rPr>
  </w:style>
  <w:style w:type="character" w:customStyle="1" w:styleId="charsectno">
    <w:name w:val="charsectno"/>
    <w:basedOn w:val="DefaultParagraphFont"/>
    <w:rsid w:val="00970112"/>
  </w:style>
  <w:style w:type="paragraph" w:customStyle="1" w:styleId="subsection">
    <w:name w:val="subsection"/>
    <w:basedOn w:val="Normal"/>
    <w:rsid w:val="00970112"/>
    <w:pPr>
      <w:spacing w:before="100" w:beforeAutospacing="1" w:after="100" w:afterAutospacing="1"/>
    </w:pPr>
    <w:rPr>
      <w:szCs w:val="24"/>
    </w:rPr>
  </w:style>
  <w:style w:type="paragraph" w:customStyle="1" w:styleId="paragraph">
    <w:name w:val="paragraph"/>
    <w:basedOn w:val="Normal"/>
    <w:rsid w:val="00970112"/>
    <w:pPr>
      <w:spacing w:before="100" w:beforeAutospacing="1" w:after="100" w:afterAutospacing="1"/>
    </w:pPr>
    <w:rPr>
      <w:szCs w:val="24"/>
    </w:rPr>
  </w:style>
  <w:style w:type="paragraph" w:customStyle="1" w:styleId="notetext">
    <w:name w:val="notetext"/>
    <w:basedOn w:val="Normal"/>
    <w:rsid w:val="00970112"/>
    <w:pPr>
      <w:spacing w:before="100" w:beforeAutospacing="1" w:after="100" w:afterAutospacing="1"/>
    </w:pPr>
    <w:rPr>
      <w:szCs w:val="24"/>
    </w:rPr>
  </w:style>
  <w:style w:type="character" w:customStyle="1" w:styleId="legsubtitle">
    <w:name w:val="legsubtitle"/>
    <w:basedOn w:val="DefaultParagraphFont"/>
    <w:rsid w:val="001F166E"/>
  </w:style>
  <w:style w:type="paragraph" w:styleId="Revision">
    <w:name w:val="Revision"/>
    <w:hidden/>
    <w:uiPriority w:val="99"/>
    <w:semiHidden/>
    <w:rsid w:val="00A21361"/>
    <w:rPr>
      <w:sz w:val="24"/>
    </w:rPr>
  </w:style>
  <w:style w:type="character" w:styleId="UnresolvedMention">
    <w:name w:val="Unresolved Mention"/>
    <w:basedOn w:val="DefaultParagraphFont"/>
    <w:uiPriority w:val="99"/>
    <w:semiHidden/>
    <w:unhideWhenUsed/>
    <w:rsid w:val="00F85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83518">
      <w:bodyDiv w:val="1"/>
      <w:marLeft w:val="0"/>
      <w:marRight w:val="0"/>
      <w:marTop w:val="0"/>
      <w:marBottom w:val="0"/>
      <w:divBdr>
        <w:top w:val="none" w:sz="0" w:space="0" w:color="auto"/>
        <w:left w:val="none" w:sz="0" w:space="0" w:color="auto"/>
        <w:bottom w:val="none" w:sz="0" w:space="0" w:color="auto"/>
        <w:right w:val="none" w:sz="0" w:space="0" w:color="auto"/>
      </w:divBdr>
    </w:div>
    <w:div w:id="768432941">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357658243">
      <w:bodyDiv w:val="1"/>
      <w:marLeft w:val="0"/>
      <w:marRight w:val="0"/>
      <w:marTop w:val="0"/>
      <w:marBottom w:val="0"/>
      <w:divBdr>
        <w:top w:val="none" w:sz="0" w:space="0" w:color="auto"/>
        <w:left w:val="none" w:sz="0" w:space="0" w:color="auto"/>
        <w:bottom w:val="none" w:sz="0" w:space="0" w:color="auto"/>
        <w:right w:val="none" w:sz="0" w:space="0" w:color="auto"/>
      </w:divBdr>
    </w:div>
    <w:div w:id="143937324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5315</Characters>
  <Application>Microsoft Office Word</Application>
  <DocSecurity>0</DocSecurity>
  <Lines>44</Lines>
  <Paragraphs>12</Paragraphs>
  <ScaleCrop>false</ScaleCrop>
  <Company/>
  <LinksUpToDate>false</LinksUpToDate>
  <CharactersWithSpaces>6246</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2022-03-23T03:49:00Z</dcterms:created>
  <dcterms:modified xsi:type="dcterms:W3CDTF">2022-03-23T03:49:00Z</dcterms:modified>
</cp:coreProperties>
</file>