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Pr="00302DB5" w:rsidRDefault="004C58B9" w:rsidP="004C58B9">
      <w:pPr>
        <w:jc w:val="center"/>
        <w:rPr>
          <w:rFonts w:ascii="Arial" w:hAnsi="Arial" w:cs="Arial"/>
          <w:b/>
          <w:sz w:val="28"/>
          <w:szCs w:val="28"/>
        </w:rPr>
      </w:pPr>
      <w:r w:rsidRPr="00302DB5">
        <w:rPr>
          <w:rFonts w:ascii="Arial" w:hAnsi="Arial" w:cs="Arial"/>
          <w:b/>
          <w:sz w:val="28"/>
          <w:szCs w:val="28"/>
        </w:rPr>
        <w:t>EXPLANATORY STATEMENT</w:t>
      </w:r>
    </w:p>
    <w:p w14:paraId="19E1CCC0" w14:textId="77777777" w:rsidR="004C58B9" w:rsidRPr="00302DB5" w:rsidRDefault="004C58B9" w:rsidP="004C58B9">
      <w:pPr>
        <w:jc w:val="center"/>
        <w:rPr>
          <w:rFonts w:ascii="Arial" w:hAnsi="Arial" w:cs="Arial"/>
        </w:rPr>
      </w:pPr>
      <w:r w:rsidRPr="00302DB5">
        <w:rPr>
          <w:rFonts w:ascii="Arial" w:hAnsi="Arial" w:cs="Arial"/>
        </w:rPr>
        <w:t>Approved by the Australian Communications and Media Authority</w:t>
      </w:r>
    </w:p>
    <w:p w14:paraId="12FAD029" w14:textId="77777777" w:rsidR="003F0DBA" w:rsidRPr="00302DB5" w:rsidRDefault="003F0DBA" w:rsidP="003F0DBA">
      <w:pPr>
        <w:jc w:val="center"/>
        <w:rPr>
          <w:rFonts w:ascii="Arial" w:hAnsi="Arial" w:cs="Arial"/>
          <w:b/>
        </w:rPr>
      </w:pPr>
      <w:r w:rsidRPr="00302DB5">
        <w:rPr>
          <w:rFonts w:ascii="Arial" w:hAnsi="Arial" w:cs="Arial"/>
          <w:i/>
        </w:rPr>
        <w:t>Telecommunications Act 1997</w:t>
      </w:r>
    </w:p>
    <w:p w14:paraId="2C127604" w14:textId="6CB4B8A9" w:rsidR="00735DD9" w:rsidRPr="00302DB5" w:rsidRDefault="00735DD9" w:rsidP="00735DD9">
      <w:pPr>
        <w:pStyle w:val="Heading1"/>
        <w:jc w:val="center"/>
        <w:rPr>
          <w:i/>
          <w:sz w:val="22"/>
          <w:szCs w:val="22"/>
        </w:rPr>
      </w:pPr>
      <w:r w:rsidRPr="00302DB5">
        <w:rPr>
          <w:i/>
          <w:sz w:val="22"/>
          <w:szCs w:val="22"/>
        </w:rPr>
        <w:t>Telecommunications (Listed Infringement Notice Provisions) Declaration 2022</w:t>
      </w:r>
    </w:p>
    <w:p w14:paraId="5BD65A2C" w14:textId="0287BAB5" w:rsidR="004C58B9" w:rsidRPr="00302DB5" w:rsidRDefault="004C58B9" w:rsidP="004C58B9">
      <w:pPr>
        <w:jc w:val="center"/>
        <w:rPr>
          <w:rFonts w:ascii="Arial" w:hAnsi="Arial" w:cs="Arial"/>
          <w:b/>
          <w:i/>
        </w:rPr>
      </w:pPr>
    </w:p>
    <w:p w14:paraId="494E2552" w14:textId="686E6C93" w:rsidR="004C58B9" w:rsidRPr="00302DB5" w:rsidRDefault="004C58B9" w:rsidP="006C6A35">
      <w:pPr>
        <w:spacing w:line="257" w:lineRule="auto"/>
        <w:rPr>
          <w:rFonts w:ascii="Arial" w:hAnsi="Arial" w:cs="Arial"/>
          <w:b/>
        </w:rPr>
      </w:pPr>
      <w:r w:rsidRPr="00302DB5">
        <w:rPr>
          <w:rFonts w:ascii="Arial" w:hAnsi="Arial" w:cs="Arial"/>
          <w:b/>
        </w:rPr>
        <w:t>Authorit</w:t>
      </w:r>
      <w:r w:rsidR="007818DA">
        <w:rPr>
          <w:rFonts w:ascii="Arial" w:hAnsi="Arial" w:cs="Arial"/>
          <w:b/>
        </w:rPr>
        <w:t>y</w:t>
      </w:r>
    </w:p>
    <w:p w14:paraId="55FAA4BD" w14:textId="00731FCC" w:rsidR="004C58B9" w:rsidRPr="00302DB5" w:rsidRDefault="004C58B9" w:rsidP="006C6A35">
      <w:pPr>
        <w:spacing w:line="257" w:lineRule="auto"/>
        <w:rPr>
          <w:rFonts w:ascii="Arial" w:hAnsi="Arial" w:cs="Arial"/>
        </w:rPr>
      </w:pPr>
      <w:r w:rsidRPr="00302DB5">
        <w:rPr>
          <w:rFonts w:ascii="Arial" w:hAnsi="Arial" w:cs="Arial"/>
        </w:rPr>
        <w:t>The Australian Communications and Media Authority (</w:t>
      </w:r>
      <w:r w:rsidRPr="00302DB5">
        <w:rPr>
          <w:rFonts w:ascii="Arial" w:hAnsi="Arial" w:cs="Arial"/>
          <w:b/>
        </w:rPr>
        <w:t>the ACMA</w:t>
      </w:r>
      <w:r w:rsidRPr="00302DB5">
        <w:rPr>
          <w:rFonts w:ascii="Arial" w:hAnsi="Arial" w:cs="Arial"/>
        </w:rPr>
        <w:t xml:space="preserve">) has made the </w:t>
      </w:r>
      <w:r w:rsidR="00776002" w:rsidRPr="00302DB5">
        <w:rPr>
          <w:rFonts w:ascii="Arial" w:hAnsi="Arial" w:cs="Arial"/>
          <w:i/>
        </w:rPr>
        <w:t>Telecommunications (Listed Infringement Notice Provisions) Declaration 2022</w:t>
      </w:r>
      <w:r w:rsidRPr="00302DB5">
        <w:rPr>
          <w:rFonts w:ascii="Arial" w:hAnsi="Arial" w:cs="Arial"/>
          <w:i/>
        </w:rPr>
        <w:t xml:space="preserve"> </w:t>
      </w:r>
      <w:r w:rsidRPr="00302DB5">
        <w:rPr>
          <w:rFonts w:ascii="Arial" w:hAnsi="Arial" w:cs="Arial"/>
        </w:rPr>
        <w:t>(</w:t>
      </w:r>
      <w:r w:rsidRPr="00302DB5">
        <w:rPr>
          <w:rFonts w:ascii="Arial" w:hAnsi="Arial" w:cs="Arial"/>
          <w:b/>
        </w:rPr>
        <w:t xml:space="preserve">the </w:t>
      </w:r>
      <w:r w:rsidR="00551416">
        <w:rPr>
          <w:rFonts w:ascii="Arial" w:hAnsi="Arial" w:cs="Arial"/>
          <w:b/>
        </w:rPr>
        <w:t>Declaration</w:t>
      </w:r>
      <w:r w:rsidRPr="00302DB5">
        <w:rPr>
          <w:rFonts w:ascii="Arial" w:hAnsi="Arial" w:cs="Arial"/>
        </w:rPr>
        <w:t xml:space="preserve">) under </w:t>
      </w:r>
      <w:r w:rsidR="00776002" w:rsidRPr="00302DB5">
        <w:rPr>
          <w:rFonts w:ascii="Arial" w:hAnsi="Arial" w:cs="Arial"/>
        </w:rPr>
        <w:t xml:space="preserve">subsection </w:t>
      </w:r>
      <w:r w:rsidR="007D0454" w:rsidRPr="00302DB5">
        <w:rPr>
          <w:rFonts w:ascii="Arial" w:hAnsi="Arial" w:cs="Arial"/>
        </w:rPr>
        <w:t>572</w:t>
      </w:r>
      <w:proofErr w:type="gramStart"/>
      <w:r w:rsidR="007D0454" w:rsidRPr="00302DB5">
        <w:rPr>
          <w:rFonts w:ascii="Arial" w:hAnsi="Arial" w:cs="Arial"/>
        </w:rPr>
        <w:t>E(</w:t>
      </w:r>
      <w:proofErr w:type="gramEnd"/>
      <w:r w:rsidR="007D0454" w:rsidRPr="00302DB5">
        <w:rPr>
          <w:rFonts w:ascii="Arial" w:hAnsi="Arial" w:cs="Arial"/>
        </w:rPr>
        <w:t>7)</w:t>
      </w:r>
      <w:r w:rsidRPr="00302DB5">
        <w:rPr>
          <w:rFonts w:ascii="Arial" w:hAnsi="Arial" w:cs="Arial"/>
        </w:rPr>
        <w:t xml:space="preserve"> of the </w:t>
      </w:r>
      <w:r w:rsidR="008D018D">
        <w:rPr>
          <w:rFonts w:ascii="Arial" w:hAnsi="Arial" w:cs="Arial"/>
          <w:i/>
        </w:rPr>
        <w:t>T</w:t>
      </w:r>
      <w:r w:rsidR="00D742E5" w:rsidRPr="00302DB5">
        <w:rPr>
          <w:rFonts w:ascii="Arial" w:hAnsi="Arial" w:cs="Arial"/>
          <w:i/>
        </w:rPr>
        <w:t>elecommunications Act 1997</w:t>
      </w:r>
      <w:r w:rsidR="00D742E5" w:rsidRPr="00302DB5">
        <w:rPr>
          <w:rFonts w:ascii="Arial" w:hAnsi="Arial" w:cs="Arial"/>
        </w:rPr>
        <w:t xml:space="preserve"> (</w:t>
      </w:r>
      <w:r w:rsidR="00D742E5" w:rsidRPr="00302DB5">
        <w:rPr>
          <w:rFonts w:ascii="Arial" w:hAnsi="Arial" w:cs="Arial"/>
          <w:b/>
        </w:rPr>
        <w:t>the Act</w:t>
      </w:r>
      <w:r w:rsidR="00D742E5" w:rsidRPr="00302DB5">
        <w:rPr>
          <w:rFonts w:ascii="Arial" w:hAnsi="Arial" w:cs="Arial"/>
        </w:rPr>
        <w:t>) and s</w:t>
      </w:r>
      <w:r w:rsidR="00D26826">
        <w:rPr>
          <w:rFonts w:ascii="Arial" w:hAnsi="Arial" w:cs="Arial"/>
        </w:rPr>
        <w:t>ub</w:t>
      </w:r>
      <w:r w:rsidR="00970FE4">
        <w:rPr>
          <w:rFonts w:ascii="Arial" w:hAnsi="Arial" w:cs="Arial"/>
        </w:rPr>
        <w:t>s</w:t>
      </w:r>
      <w:r w:rsidR="00D742E5" w:rsidRPr="00302DB5">
        <w:rPr>
          <w:rFonts w:ascii="Arial" w:hAnsi="Arial" w:cs="Arial"/>
        </w:rPr>
        <w:t xml:space="preserve">ection 33(3) of the </w:t>
      </w:r>
      <w:r w:rsidR="00D742E5" w:rsidRPr="00302DB5">
        <w:rPr>
          <w:rFonts w:ascii="Arial" w:hAnsi="Arial" w:cs="Arial"/>
          <w:i/>
        </w:rPr>
        <w:t>Acts Interpretation Act 1901</w:t>
      </w:r>
      <w:r w:rsidR="00D742E5" w:rsidRPr="00302DB5">
        <w:rPr>
          <w:rFonts w:ascii="Arial" w:hAnsi="Arial" w:cs="Arial"/>
        </w:rPr>
        <w:t xml:space="preserve"> (</w:t>
      </w:r>
      <w:r w:rsidR="00D742E5" w:rsidRPr="00302DB5">
        <w:rPr>
          <w:rFonts w:ascii="Arial" w:hAnsi="Arial" w:cs="Arial"/>
          <w:b/>
        </w:rPr>
        <w:t>the AIA</w:t>
      </w:r>
      <w:r w:rsidR="00D742E5" w:rsidRPr="00302DB5">
        <w:rPr>
          <w:rFonts w:ascii="Arial" w:hAnsi="Arial" w:cs="Arial"/>
        </w:rPr>
        <w:t>)</w:t>
      </w:r>
      <w:r w:rsidRPr="00302DB5">
        <w:rPr>
          <w:rFonts w:ascii="Arial" w:hAnsi="Arial" w:cs="Arial"/>
        </w:rPr>
        <w:t>.</w:t>
      </w:r>
    </w:p>
    <w:p w14:paraId="368CB04A" w14:textId="77777777" w:rsidR="00F258B0" w:rsidRPr="00302DB5" w:rsidRDefault="00F258B0" w:rsidP="006C6A35">
      <w:pPr>
        <w:spacing w:line="257" w:lineRule="auto"/>
        <w:rPr>
          <w:rFonts w:ascii="Arial" w:hAnsi="Arial" w:cs="Arial"/>
        </w:rPr>
      </w:pPr>
      <w:r w:rsidRPr="00302DB5">
        <w:rPr>
          <w:rFonts w:ascii="Arial" w:hAnsi="Arial" w:cs="Arial"/>
        </w:rPr>
        <w:t>Subsection 572</w:t>
      </w:r>
      <w:proofErr w:type="gramStart"/>
      <w:r w:rsidRPr="00302DB5">
        <w:rPr>
          <w:rFonts w:ascii="Arial" w:hAnsi="Arial" w:cs="Arial"/>
        </w:rPr>
        <w:t>E(</w:t>
      </w:r>
      <w:proofErr w:type="gramEnd"/>
      <w:r w:rsidRPr="00302DB5">
        <w:rPr>
          <w:rFonts w:ascii="Arial" w:hAnsi="Arial" w:cs="Arial"/>
        </w:rPr>
        <w:t>7) of the Act provides that the ACMA may, by legislative instrument, declare that a specified provision of:</w:t>
      </w:r>
    </w:p>
    <w:p w14:paraId="4E53DCC0" w14:textId="77777777" w:rsidR="00F258B0" w:rsidRPr="00302DB5" w:rsidRDefault="00F258B0" w:rsidP="006C6A35">
      <w:pPr>
        <w:pStyle w:val="ListParagraph"/>
        <w:numPr>
          <w:ilvl w:val="0"/>
          <w:numId w:val="18"/>
        </w:numPr>
        <w:spacing w:line="257" w:lineRule="auto"/>
        <w:ind w:left="777" w:hanging="357"/>
        <w:rPr>
          <w:rFonts w:ascii="Arial" w:hAnsi="Arial" w:cs="Arial"/>
        </w:rPr>
      </w:pPr>
      <w:r w:rsidRPr="00302DB5">
        <w:rPr>
          <w:rFonts w:ascii="Arial" w:hAnsi="Arial" w:cs="Arial"/>
        </w:rPr>
        <w:t xml:space="preserve">the </w:t>
      </w:r>
      <w:proofErr w:type="gramStart"/>
      <w:r w:rsidRPr="00302DB5">
        <w:rPr>
          <w:rFonts w:ascii="Arial" w:hAnsi="Arial" w:cs="Arial"/>
        </w:rPr>
        <w:t>Act;</w:t>
      </w:r>
      <w:proofErr w:type="gramEnd"/>
    </w:p>
    <w:p w14:paraId="024891BD" w14:textId="77777777" w:rsidR="00F258B0" w:rsidRPr="00302DB5" w:rsidRDefault="00F258B0" w:rsidP="006C6A35">
      <w:pPr>
        <w:pStyle w:val="ListParagraph"/>
        <w:numPr>
          <w:ilvl w:val="0"/>
          <w:numId w:val="18"/>
        </w:numPr>
        <w:spacing w:line="257" w:lineRule="auto"/>
        <w:ind w:left="777" w:hanging="357"/>
        <w:rPr>
          <w:rFonts w:ascii="Arial" w:hAnsi="Arial" w:cs="Arial"/>
        </w:rPr>
      </w:pPr>
      <w:r w:rsidRPr="00302DB5">
        <w:rPr>
          <w:rFonts w:ascii="Arial" w:hAnsi="Arial" w:cs="Arial"/>
        </w:rPr>
        <w:t xml:space="preserve">a declaration in force under section 63 of the Act; or </w:t>
      </w:r>
    </w:p>
    <w:p w14:paraId="350BA6EC" w14:textId="77777777" w:rsidR="00F258B0" w:rsidRPr="00302DB5" w:rsidRDefault="00F258B0" w:rsidP="006C6A35">
      <w:pPr>
        <w:pStyle w:val="ListParagraph"/>
        <w:numPr>
          <w:ilvl w:val="0"/>
          <w:numId w:val="18"/>
        </w:numPr>
        <w:spacing w:line="257" w:lineRule="auto"/>
        <w:ind w:left="777" w:hanging="357"/>
        <w:rPr>
          <w:rFonts w:ascii="Arial" w:hAnsi="Arial" w:cs="Arial"/>
        </w:rPr>
      </w:pPr>
      <w:r w:rsidRPr="00302DB5">
        <w:rPr>
          <w:rFonts w:ascii="Arial" w:hAnsi="Arial" w:cs="Arial"/>
        </w:rPr>
        <w:t xml:space="preserve">a determination in force under section 99 of the </w:t>
      </w:r>
      <w:proofErr w:type="gramStart"/>
      <w:r w:rsidRPr="00302DB5">
        <w:rPr>
          <w:rFonts w:ascii="Arial" w:hAnsi="Arial" w:cs="Arial"/>
        </w:rPr>
        <w:t>Act;</w:t>
      </w:r>
      <w:proofErr w:type="gramEnd"/>
    </w:p>
    <w:p w14:paraId="1B0F8C79" w14:textId="77777777" w:rsidR="00F258B0" w:rsidRPr="00302DB5" w:rsidRDefault="00F258B0" w:rsidP="006C6A35">
      <w:pPr>
        <w:spacing w:line="257" w:lineRule="auto"/>
        <w:rPr>
          <w:rFonts w:ascii="Arial" w:hAnsi="Arial" w:cs="Arial"/>
        </w:rPr>
      </w:pPr>
      <w:r w:rsidRPr="00302DB5">
        <w:rPr>
          <w:rFonts w:ascii="Arial" w:hAnsi="Arial" w:cs="Arial"/>
        </w:rPr>
        <w:t xml:space="preserve">is a listed infringement notice provision for the purposes of section 572E of the Act.  </w:t>
      </w:r>
    </w:p>
    <w:p w14:paraId="3E8CB52E" w14:textId="7FA9BC31" w:rsidR="00F258B0" w:rsidRPr="00302DB5" w:rsidRDefault="00F258B0" w:rsidP="006C6A35">
      <w:pPr>
        <w:spacing w:line="257" w:lineRule="auto"/>
        <w:rPr>
          <w:rFonts w:ascii="Arial" w:hAnsi="Arial" w:cs="Arial"/>
        </w:rPr>
      </w:pPr>
      <w:bookmarkStart w:id="0" w:name="_Hlk97807493"/>
      <w:r w:rsidRPr="00302DB5">
        <w:rPr>
          <w:rFonts w:ascii="Arial" w:hAnsi="Arial" w:cs="Arial"/>
        </w:rPr>
        <w:t xml:space="preserve">Section 572E allows the ACMA to give an infringement notice in relation to a contravention of a civil penalty provision. </w:t>
      </w:r>
      <w:r w:rsidR="00734D83">
        <w:rPr>
          <w:rFonts w:ascii="Arial" w:hAnsi="Arial" w:cs="Arial"/>
        </w:rPr>
        <w:t>S</w:t>
      </w:r>
      <w:r w:rsidRPr="00302DB5">
        <w:rPr>
          <w:rFonts w:ascii="Arial" w:hAnsi="Arial" w:cs="Arial"/>
        </w:rPr>
        <w:t>ections 68 and 101 of the Act</w:t>
      </w:r>
      <w:r w:rsidR="00734D83">
        <w:rPr>
          <w:rFonts w:ascii="Arial" w:hAnsi="Arial" w:cs="Arial"/>
        </w:rPr>
        <w:t xml:space="preserve"> require carriers and carriage service providers</w:t>
      </w:r>
      <w:r w:rsidR="003D52F8">
        <w:rPr>
          <w:rFonts w:ascii="Arial" w:hAnsi="Arial" w:cs="Arial"/>
        </w:rPr>
        <w:t xml:space="preserve"> (</w:t>
      </w:r>
      <w:r w:rsidR="003D52F8" w:rsidRPr="007818DA">
        <w:rPr>
          <w:rFonts w:ascii="Arial" w:hAnsi="Arial" w:cs="Arial"/>
          <w:b/>
          <w:bCs/>
        </w:rPr>
        <w:t>CSPs</w:t>
      </w:r>
      <w:r w:rsidR="003D52F8">
        <w:rPr>
          <w:rFonts w:ascii="Arial" w:hAnsi="Arial" w:cs="Arial"/>
        </w:rPr>
        <w:t>)</w:t>
      </w:r>
      <w:r w:rsidR="00734D83">
        <w:rPr>
          <w:rFonts w:ascii="Arial" w:hAnsi="Arial" w:cs="Arial"/>
        </w:rPr>
        <w:t xml:space="preserve"> to comply with licence conditions and service provider rules</w:t>
      </w:r>
      <w:r w:rsidR="002A124C">
        <w:rPr>
          <w:rFonts w:ascii="Arial" w:hAnsi="Arial" w:cs="Arial"/>
        </w:rPr>
        <w:t>,</w:t>
      </w:r>
      <w:r w:rsidR="00734D83">
        <w:rPr>
          <w:rFonts w:ascii="Arial" w:hAnsi="Arial" w:cs="Arial"/>
        </w:rPr>
        <w:t xml:space="preserve"> respectively, and</w:t>
      </w:r>
      <w:r w:rsidRPr="00302DB5">
        <w:rPr>
          <w:rFonts w:ascii="Arial" w:hAnsi="Arial" w:cs="Arial"/>
        </w:rPr>
        <w:t xml:space="preserve"> include</w:t>
      </w:r>
      <w:r w:rsidR="00F75E29">
        <w:rPr>
          <w:rFonts w:ascii="Arial" w:hAnsi="Arial" w:cs="Arial"/>
        </w:rPr>
        <w:t>s</w:t>
      </w:r>
      <w:r w:rsidRPr="00302DB5">
        <w:rPr>
          <w:rFonts w:ascii="Arial" w:hAnsi="Arial" w:cs="Arial"/>
        </w:rPr>
        <w:t xml:space="preserve"> civil penalty provisions that</w:t>
      </w:r>
      <w:r w:rsidR="00734D83">
        <w:rPr>
          <w:rFonts w:ascii="Arial" w:hAnsi="Arial" w:cs="Arial"/>
        </w:rPr>
        <w:t xml:space="preserve"> apply </w:t>
      </w:r>
      <w:r w:rsidR="002B041C">
        <w:rPr>
          <w:rFonts w:ascii="Arial" w:hAnsi="Arial" w:cs="Arial"/>
        </w:rPr>
        <w:t>to a carrier or carriage service provider that contravenes</w:t>
      </w:r>
      <w:r w:rsidR="002B041C" w:rsidRPr="001341CC">
        <w:rPr>
          <w:rFonts w:ascii="Arial" w:hAnsi="Arial" w:cs="Arial"/>
        </w:rPr>
        <w:t xml:space="preserve"> </w:t>
      </w:r>
      <w:r w:rsidR="002B041C">
        <w:rPr>
          <w:rFonts w:ascii="Arial" w:hAnsi="Arial" w:cs="Arial"/>
          <w:u w:val="single"/>
        </w:rPr>
        <w:t>a</w:t>
      </w:r>
      <w:r w:rsidR="00D71B36">
        <w:rPr>
          <w:rFonts w:ascii="Arial" w:hAnsi="Arial" w:cs="Arial"/>
          <w:u w:val="single"/>
        </w:rPr>
        <w:t>nother</w:t>
      </w:r>
      <w:r w:rsidRPr="00302DB5">
        <w:rPr>
          <w:rFonts w:ascii="Arial" w:hAnsi="Arial" w:cs="Arial"/>
        </w:rPr>
        <w:t xml:space="preserve"> provision of the Act. </w:t>
      </w:r>
      <w:r w:rsidR="002B041C">
        <w:rPr>
          <w:rFonts w:ascii="Arial" w:hAnsi="Arial" w:cs="Arial"/>
        </w:rPr>
        <w:t>S</w:t>
      </w:r>
      <w:r w:rsidRPr="00302DB5">
        <w:rPr>
          <w:rFonts w:ascii="Arial" w:hAnsi="Arial" w:cs="Arial"/>
        </w:rPr>
        <w:t>ubsection</w:t>
      </w:r>
      <w:r w:rsidR="00076CE5">
        <w:rPr>
          <w:rFonts w:ascii="Arial" w:hAnsi="Arial" w:cs="Arial"/>
        </w:rPr>
        <w:t>s</w:t>
      </w:r>
      <w:r w:rsidRPr="00302DB5">
        <w:rPr>
          <w:rFonts w:ascii="Arial" w:hAnsi="Arial" w:cs="Arial"/>
        </w:rPr>
        <w:t xml:space="preserve"> 572</w:t>
      </w:r>
      <w:proofErr w:type="gramStart"/>
      <w:r w:rsidRPr="00302DB5">
        <w:rPr>
          <w:rFonts w:ascii="Arial" w:hAnsi="Arial" w:cs="Arial"/>
        </w:rPr>
        <w:t>E</w:t>
      </w:r>
      <w:r w:rsidR="00076CE5">
        <w:rPr>
          <w:rFonts w:ascii="Arial" w:hAnsi="Arial" w:cs="Arial"/>
        </w:rPr>
        <w:t>(</w:t>
      </w:r>
      <w:proofErr w:type="gramEnd"/>
      <w:r w:rsidR="00076CE5">
        <w:rPr>
          <w:rFonts w:ascii="Arial" w:hAnsi="Arial" w:cs="Arial"/>
        </w:rPr>
        <w:t xml:space="preserve">5) and </w:t>
      </w:r>
      <w:r w:rsidRPr="00302DB5">
        <w:rPr>
          <w:rFonts w:ascii="Arial" w:hAnsi="Arial" w:cs="Arial"/>
        </w:rPr>
        <w:t xml:space="preserve">(6) </w:t>
      </w:r>
      <w:r w:rsidR="00F3647D">
        <w:rPr>
          <w:rFonts w:ascii="Arial" w:hAnsi="Arial" w:cs="Arial"/>
        </w:rPr>
        <w:t>provide</w:t>
      </w:r>
      <w:r w:rsidRPr="00302DB5">
        <w:rPr>
          <w:rFonts w:ascii="Arial" w:hAnsi="Arial" w:cs="Arial"/>
        </w:rPr>
        <w:t xml:space="preserve"> that an infringement notice may only be given in relation to a contravention of section 68 or 101 of the Act if the other provision</w:t>
      </w:r>
      <w:r w:rsidR="002B041C">
        <w:rPr>
          <w:rFonts w:ascii="Arial" w:hAnsi="Arial" w:cs="Arial"/>
        </w:rPr>
        <w:t xml:space="preserve"> contravened</w:t>
      </w:r>
      <w:r w:rsidRPr="00302DB5">
        <w:rPr>
          <w:rFonts w:ascii="Arial" w:hAnsi="Arial" w:cs="Arial"/>
        </w:rPr>
        <w:t xml:space="preserve"> is listed in the legislative instrument made under subsection 572E(7) of the Act, and has been so listed for at least three months before the alleged contravening conduct takes place.</w:t>
      </w:r>
    </w:p>
    <w:bookmarkEnd w:id="0"/>
    <w:p w14:paraId="370F7A88" w14:textId="23758C91" w:rsidR="00F258B0" w:rsidRDefault="00F258B0" w:rsidP="006C6A35">
      <w:pPr>
        <w:spacing w:line="257" w:lineRule="auto"/>
        <w:rPr>
          <w:rFonts w:ascii="Arial" w:hAnsi="Arial" w:cs="Arial"/>
        </w:rPr>
      </w:pPr>
      <w:r w:rsidRPr="00302DB5">
        <w:rPr>
          <w:rFonts w:ascii="Arial" w:hAnsi="Arial" w:cs="Arial"/>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03BB38D4" w14:textId="75C16DD1" w:rsidR="00DE1D2B" w:rsidRPr="00302DB5" w:rsidRDefault="006A4887" w:rsidP="006C6A35">
      <w:pPr>
        <w:spacing w:line="257" w:lineRule="auto"/>
        <w:rPr>
          <w:rFonts w:ascii="Arial" w:hAnsi="Arial" w:cs="Arial"/>
        </w:rPr>
      </w:pPr>
      <w:r w:rsidRPr="006A4887">
        <w:rPr>
          <w:rFonts w:ascii="Arial" w:hAnsi="Arial" w:cs="Arial"/>
        </w:rPr>
        <w:t xml:space="preserve">This Declaration replaces the </w:t>
      </w:r>
      <w:r w:rsidRPr="006A4887">
        <w:rPr>
          <w:rFonts w:ascii="Arial" w:hAnsi="Arial" w:cs="Arial"/>
          <w:i/>
          <w:iCs/>
        </w:rPr>
        <w:t>Telecommunications (Listed Infringement Notice Provisions) Declaration 20</w:t>
      </w:r>
      <w:r w:rsidR="00DE1D2B">
        <w:rPr>
          <w:rFonts w:ascii="Arial" w:hAnsi="Arial" w:cs="Arial"/>
          <w:i/>
          <w:iCs/>
        </w:rPr>
        <w:t>11</w:t>
      </w:r>
      <w:r w:rsidR="002A124C">
        <w:rPr>
          <w:rFonts w:ascii="Arial" w:hAnsi="Arial" w:cs="Arial"/>
        </w:rPr>
        <w:t xml:space="preserve"> (</w:t>
      </w:r>
      <w:r w:rsidR="002A124C" w:rsidRPr="007818DA">
        <w:rPr>
          <w:rFonts w:ascii="Arial" w:hAnsi="Arial" w:cs="Arial"/>
          <w:b/>
          <w:bCs/>
        </w:rPr>
        <w:t>the 2011 Declaration</w:t>
      </w:r>
      <w:r w:rsidR="002A124C">
        <w:rPr>
          <w:rFonts w:ascii="Arial" w:hAnsi="Arial" w:cs="Arial"/>
        </w:rPr>
        <w:t>)</w:t>
      </w:r>
      <w:r w:rsidRPr="006A4887">
        <w:rPr>
          <w:rFonts w:ascii="Arial" w:hAnsi="Arial" w:cs="Arial"/>
        </w:rPr>
        <w:t>.</w:t>
      </w:r>
    </w:p>
    <w:p w14:paraId="67DC7E8F" w14:textId="77777777" w:rsidR="00F258B0" w:rsidRPr="00302DB5" w:rsidRDefault="00F258B0" w:rsidP="006C6A35">
      <w:pPr>
        <w:spacing w:line="257" w:lineRule="auto"/>
        <w:rPr>
          <w:rFonts w:ascii="Arial" w:hAnsi="Arial" w:cs="Arial"/>
        </w:rPr>
      </w:pPr>
      <w:r w:rsidRPr="00E169A8">
        <w:rPr>
          <w:rFonts w:ascii="Arial" w:hAnsi="Arial" w:cs="Arial"/>
        </w:rPr>
        <w:t xml:space="preserve">A provision-by-provision description of the instrument is set out in the notes at </w:t>
      </w:r>
      <w:r w:rsidRPr="00E169A8">
        <w:rPr>
          <w:rFonts w:ascii="Arial" w:hAnsi="Arial" w:cs="Arial"/>
          <w:b/>
        </w:rPr>
        <w:t>Attachment A</w:t>
      </w:r>
      <w:r w:rsidRPr="00E169A8">
        <w:rPr>
          <w:rFonts w:ascii="Arial" w:hAnsi="Arial" w:cs="Arial"/>
        </w:rPr>
        <w:t>.</w:t>
      </w:r>
    </w:p>
    <w:p w14:paraId="10F014E9" w14:textId="18DB4B24" w:rsidR="00F258B0" w:rsidRPr="00302DB5" w:rsidRDefault="00F258B0" w:rsidP="006C6A35">
      <w:pPr>
        <w:spacing w:line="257" w:lineRule="auto"/>
        <w:rPr>
          <w:rFonts w:ascii="Arial" w:hAnsi="Arial" w:cs="Arial"/>
        </w:rPr>
      </w:pPr>
      <w:r w:rsidRPr="00302DB5">
        <w:rPr>
          <w:rFonts w:ascii="Arial" w:hAnsi="Arial" w:cs="Arial"/>
        </w:rPr>
        <w:t>The instrument is a</w:t>
      </w:r>
      <w:r w:rsidR="0030584E">
        <w:rPr>
          <w:rFonts w:ascii="Arial" w:hAnsi="Arial" w:cs="Arial"/>
        </w:rPr>
        <w:t xml:space="preserve"> disallowable</w:t>
      </w:r>
      <w:r w:rsidRPr="00302DB5">
        <w:rPr>
          <w:rFonts w:ascii="Arial" w:hAnsi="Arial" w:cs="Arial"/>
        </w:rPr>
        <w:t xml:space="preserve"> legislative instrument for the purposes of the </w:t>
      </w:r>
      <w:r w:rsidRPr="00302DB5">
        <w:rPr>
          <w:rFonts w:ascii="Arial" w:hAnsi="Arial" w:cs="Arial"/>
          <w:i/>
        </w:rPr>
        <w:t xml:space="preserve">Legislation Act 2003 </w:t>
      </w:r>
      <w:r w:rsidRPr="00302DB5">
        <w:rPr>
          <w:rFonts w:ascii="Arial" w:hAnsi="Arial" w:cs="Arial"/>
        </w:rPr>
        <w:t>(</w:t>
      </w:r>
      <w:r w:rsidRPr="00302DB5">
        <w:rPr>
          <w:rFonts w:ascii="Arial" w:hAnsi="Arial" w:cs="Arial"/>
          <w:b/>
        </w:rPr>
        <w:t>the LA</w:t>
      </w:r>
      <w:r w:rsidRPr="00302DB5">
        <w:rPr>
          <w:rFonts w:ascii="Arial" w:hAnsi="Arial" w:cs="Arial"/>
        </w:rPr>
        <w:t xml:space="preserve">). </w:t>
      </w:r>
    </w:p>
    <w:p w14:paraId="7D900AC6" w14:textId="77777777" w:rsidR="004C58B9" w:rsidRPr="00E169A8" w:rsidRDefault="004C58B9" w:rsidP="006C6A35">
      <w:pPr>
        <w:spacing w:line="257" w:lineRule="auto"/>
        <w:rPr>
          <w:rFonts w:ascii="Arial" w:hAnsi="Arial" w:cs="Arial"/>
          <w:b/>
        </w:rPr>
      </w:pPr>
      <w:r w:rsidRPr="00E169A8">
        <w:rPr>
          <w:rFonts w:ascii="Arial" w:hAnsi="Arial" w:cs="Arial"/>
          <w:b/>
        </w:rPr>
        <w:t>Purpose and operation of the instrument</w:t>
      </w:r>
    </w:p>
    <w:p w14:paraId="487FA058" w14:textId="42C97C39" w:rsidR="00B93E43" w:rsidRPr="00302DB5" w:rsidRDefault="00B93E43" w:rsidP="006C6A35">
      <w:pPr>
        <w:spacing w:line="257" w:lineRule="auto"/>
        <w:rPr>
          <w:rFonts w:ascii="Arial" w:hAnsi="Arial" w:cs="Arial"/>
          <w:highlight w:val="yellow"/>
        </w:rPr>
      </w:pPr>
      <w:r w:rsidRPr="00302DB5">
        <w:rPr>
          <w:rFonts w:ascii="Arial" w:hAnsi="Arial" w:cs="Arial"/>
        </w:rPr>
        <w:t xml:space="preserve">The ACMA has made the </w:t>
      </w:r>
      <w:r w:rsidR="00A20CE1">
        <w:rPr>
          <w:rFonts w:ascii="Arial" w:hAnsi="Arial" w:cs="Arial"/>
        </w:rPr>
        <w:t>Declaration</w:t>
      </w:r>
      <w:r w:rsidR="00B80B45">
        <w:rPr>
          <w:rFonts w:ascii="Arial" w:hAnsi="Arial" w:cs="Arial"/>
        </w:rPr>
        <w:t xml:space="preserve"> </w:t>
      </w:r>
      <w:r w:rsidRPr="00302DB5">
        <w:rPr>
          <w:rFonts w:ascii="Arial" w:hAnsi="Arial" w:cs="Arial"/>
        </w:rPr>
        <w:t>for the purpose of specifying particular provisions in certain Acts and legislative instruments as “listed infringement notice provisions” for the purposes of section 572E of the Act. If a provision has been breached and that conduct also constitutes a contravention of section 68 or 101 of the Act, the ACMA may,</w:t>
      </w:r>
      <w:r w:rsidR="007E6F20">
        <w:rPr>
          <w:rFonts w:ascii="Arial" w:hAnsi="Arial" w:cs="Arial"/>
        </w:rPr>
        <w:t xml:space="preserve"> if that provision is </w:t>
      </w:r>
      <w:r w:rsidR="007E6F20">
        <w:rPr>
          <w:rFonts w:ascii="Arial" w:hAnsi="Arial" w:cs="Arial"/>
        </w:rPr>
        <w:lastRenderedPageBreak/>
        <w:t>a listed infringement notice provision</w:t>
      </w:r>
      <w:r w:rsidR="00E807E5">
        <w:rPr>
          <w:rFonts w:ascii="Arial" w:hAnsi="Arial" w:cs="Arial"/>
        </w:rPr>
        <w:t>, and</w:t>
      </w:r>
      <w:r w:rsidRPr="00302DB5">
        <w:rPr>
          <w:rFonts w:ascii="Arial" w:hAnsi="Arial" w:cs="Arial"/>
        </w:rPr>
        <w:t xml:space="preserve"> providing </w:t>
      </w:r>
      <w:proofErr w:type="gramStart"/>
      <w:r w:rsidRPr="00302DB5">
        <w:rPr>
          <w:rFonts w:ascii="Arial" w:hAnsi="Arial" w:cs="Arial"/>
        </w:rPr>
        <w:t>that certain criteria</w:t>
      </w:r>
      <w:proofErr w:type="gramEnd"/>
      <w:r w:rsidRPr="00302DB5">
        <w:rPr>
          <w:rFonts w:ascii="Arial" w:hAnsi="Arial" w:cs="Arial"/>
        </w:rPr>
        <w:t xml:space="preserve"> are met, give an infringement notice under Part 31B of the Act in relation to that contravention.</w:t>
      </w:r>
    </w:p>
    <w:p w14:paraId="286FE236" w14:textId="2B2611CB" w:rsidR="00DA7900" w:rsidRPr="00302DB5" w:rsidRDefault="00634BDF" w:rsidP="006C6A35">
      <w:pPr>
        <w:spacing w:line="257" w:lineRule="auto"/>
        <w:rPr>
          <w:rFonts w:ascii="Arial" w:hAnsi="Arial" w:cs="Arial"/>
        </w:rPr>
      </w:pPr>
      <w:r w:rsidRPr="00302DB5">
        <w:rPr>
          <w:rFonts w:ascii="Arial" w:hAnsi="Arial" w:cs="Arial"/>
        </w:rPr>
        <w:t xml:space="preserve">Part 31B of </w:t>
      </w:r>
      <w:r w:rsidR="00E11923">
        <w:rPr>
          <w:rFonts w:ascii="Arial" w:hAnsi="Arial" w:cs="Arial"/>
        </w:rPr>
        <w:t>the Act</w:t>
      </w:r>
      <w:r w:rsidRPr="00302DB5">
        <w:rPr>
          <w:rFonts w:ascii="Arial" w:hAnsi="Arial" w:cs="Arial"/>
        </w:rPr>
        <w:t xml:space="preserve"> establishes a scheme under which the Chair of the ACMA and certain </w:t>
      </w:r>
      <w:r w:rsidR="007C0771">
        <w:rPr>
          <w:rFonts w:ascii="Arial" w:hAnsi="Arial" w:cs="Arial"/>
        </w:rPr>
        <w:t>authorised</w:t>
      </w:r>
      <w:r w:rsidRPr="00302DB5">
        <w:rPr>
          <w:rFonts w:ascii="Arial" w:hAnsi="Arial" w:cs="Arial"/>
        </w:rPr>
        <w:t xml:space="preserve"> ACMA officers </w:t>
      </w:r>
      <w:r w:rsidR="00AB6F19">
        <w:rPr>
          <w:rFonts w:ascii="Arial" w:hAnsi="Arial" w:cs="Arial"/>
        </w:rPr>
        <w:t xml:space="preserve">(authorised infringement notice officers) </w:t>
      </w:r>
      <w:r w:rsidRPr="00302DB5">
        <w:rPr>
          <w:rFonts w:ascii="Arial" w:hAnsi="Arial" w:cs="Arial"/>
        </w:rPr>
        <w:t xml:space="preserve">may give infringement notices in respect of contraventions of civil penalty provisions in </w:t>
      </w:r>
      <w:r w:rsidR="00E11923">
        <w:rPr>
          <w:rFonts w:ascii="Arial" w:hAnsi="Arial" w:cs="Arial"/>
        </w:rPr>
        <w:t>the Act</w:t>
      </w:r>
      <w:r w:rsidR="002348AF">
        <w:rPr>
          <w:rFonts w:ascii="Arial" w:hAnsi="Arial" w:cs="Arial"/>
        </w:rPr>
        <w:t>,</w:t>
      </w:r>
      <w:r w:rsidRPr="00302DB5">
        <w:rPr>
          <w:rFonts w:ascii="Arial" w:hAnsi="Arial" w:cs="Arial"/>
        </w:rPr>
        <w:t xml:space="preserve"> the </w:t>
      </w:r>
      <w:r w:rsidRPr="00314AA1">
        <w:rPr>
          <w:rFonts w:ascii="Arial" w:hAnsi="Arial" w:cs="Arial"/>
          <w:i/>
        </w:rPr>
        <w:t>Telecommunications (Consumer Protection and Service Standards) Act 1999</w:t>
      </w:r>
      <w:r w:rsidRPr="00302DB5">
        <w:rPr>
          <w:rFonts w:ascii="Arial" w:hAnsi="Arial" w:cs="Arial"/>
        </w:rPr>
        <w:t xml:space="preserve"> (</w:t>
      </w:r>
      <w:r w:rsidRPr="0046005E">
        <w:rPr>
          <w:rFonts w:ascii="Arial" w:hAnsi="Arial" w:cs="Arial"/>
          <w:b/>
          <w:bCs/>
        </w:rPr>
        <w:t>the TCPSS Act</w:t>
      </w:r>
      <w:r w:rsidRPr="00302DB5">
        <w:rPr>
          <w:rFonts w:ascii="Arial" w:hAnsi="Arial" w:cs="Arial"/>
        </w:rPr>
        <w:t>)</w:t>
      </w:r>
      <w:r w:rsidR="002348AF">
        <w:rPr>
          <w:rFonts w:ascii="Arial" w:hAnsi="Arial" w:cs="Arial"/>
        </w:rPr>
        <w:t xml:space="preserve"> and Chapter 5 of the </w:t>
      </w:r>
      <w:r w:rsidR="001F1669">
        <w:rPr>
          <w:rFonts w:ascii="Arial" w:hAnsi="Arial" w:cs="Arial"/>
          <w:i/>
          <w:iCs/>
        </w:rPr>
        <w:t>Telecommunications (Interception and Access) Act 1979</w:t>
      </w:r>
      <w:r w:rsidR="002B2A8D">
        <w:rPr>
          <w:rFonts w:ascii="Arial" w:hAnsi="Arial" w:cs="Arial"/>
          <w:i/>
          <w:iCs/>
        </w:rPr>
        <w:t xml:space="preserve"> </w:t>
      </w:r>
      <w:r w:rsidR="002B2A8D">
        <w:rPr>
          <w:rFonts w:ascii="Arial" w:hAnsi="Arial" w:cs="Arial"/>
        </w:rPr>
        <w:t>(</w:t>
      </w:r>
      <w:r w:rsidR="002B2A8D" w:rsidRPr="0046005E">
        <w:rPr>
          <w:rFonts w:ascii="Arial" w:hAnsi="Arial" w:cs="Arial"/>
          <w:b/>
          <w:bCs/>
        </w:rPr>
        <w:t>the TIA Act</w:t>
      </w:r>
      <w:r w:rsidR="002B2A8D">
        <w:rPr>
          <w:rFonts w:ascii="Arial" w:hAnsi="Arial" w:cs="Arial"/>
        </w:rPr>
        <w:t>)</w:t>
      </w:r>
      <w:r w:rsidRPr="00302DB5">
        <w:rPr>
          <w:rFonts w:ascii="Arial" w:hAnsi="Arial" w:cs="Arial"/>
        </w:rPr>
        <w:t>.</w:t>
      </w:r>
    </w:p>
    <w:p w14:paraId="4C20DA9D" w14:textId="031BF217" w:rsidR="00EA75A5" w:rsidRPr="00302DB5" w:rsidRDefault="00634BDF" w:rsidP="006C6A35">
      <w:pPr>
        <w:spacing w:line="257" w:lineRule="auto"/>
        <w:rPr>
          <w:rFonts w:ascii="Arial" w:hAnsi="Arial" w:cs="Arial"/>
        </w:rPr>
      </w:pPr>
      <w:r w:rsidRPr="00302DB5">
        <w:rPr>
          <w:rFonts w:ascii="Arial" w:hAnsi="Arial" w:cs="Arial"/>
        </w:rPr>
        <w:t>Subsection 572</w:t>
      </w:r>
      <w:proofErr w:type="gramStart"/>
      <w:r w:rsidRPr="00302DB5">
        <w:rPr>
          <w:rFonts w:ascii="Arial" w:hAnsi="Arial" w:cs="Arial"/>
        </w:rPr>
        <w:t>E(</w:t>
      </w:r>
      <w:proofErr w:type="gramEnd"/>
      <w:r w:rsidRPr="00302DB5">
        <w:rPr>
          <w:rFonts w:ascii="Arial" w:hAnsi="Arial" w:cs="Arial"/>
        </w:rPr>
        <w:t xml:space="preserve">1) of </w:t>
      </w:r>
      <w:r w:rsidR="00E11923">
        <w:rPr>
          <w:rFonts w:ascii="Arial" w:hAnsi="Arial" w:cs="Arial"/>
        </w:rPr>
        <w:t>the Act</w:t>
      </w:r>
      <w:r w:rsidRPr="00302DB5">
        <w:rPr>
          <w:rFonts w:ascii="Arial" w:hAnsi="Arial" w:cs="Arial"/>
        </w:rPr>
        <w:t xml:space="preserve"> provides that an authorised infringement notice officer may, if </w:t>
      </w:r>
      <w:r w:rsidR="00F73D0E">
        <w:rPr>
          <w:rFonts w:ascii="Arial" w:hAnsi="Arial" w:cs="Arial"/>
        </w:rPr>
        <w:t>they have</w:t>
      </w:r>
      <w:r w:rsidRPr="00302DB5">
        <w:rPr>
          <w:rFonts w:ascii="Arial" w:hAnsi="Arial" w:cs="Arial"/>
        </w:rPr>
        <w:t xml:space="preserve"> reasonable grounds to believe that a person has contravened a particular civil penalty provision, give the person an infringement notice relating to the contravention. If the person pays the penalty specified in the infringement notice within 28 days (or such longer period allowed by the ACMA) and the infringement notice is not withdrawn by the ACMA, any liability of the person for the contravention alleged in the infringement notice is discharged and civil penalty proceedings may not be brought against the person for the alleged contravention (section 572J). </w:t>
      </w:r>
    </w:p>
    <w:p w14:paraId="09C4542A" w14:textId="77777777" w:rsidR="00EA75A5" w:rsidRPr="00302DB5" w:rsidRDefault="00634BDF" w:rsidP="006C6A35">
      <w:pPr>
        <w:spacing w:line="257" w:lineRule="auto"/>
        <w:rPr>
          <w:rFonts w:ascii="Arial" w:hAnsi="Arial" w:cs="Arial"/>
        </w:rPr>
      </w:pPr>
      <w:r w:rsidRPr="00302DB5">
        <w:rPr>
          <w:rFonts w:ascii="Arial" w:hAnsi="Arial" w:cs="Arial"/>
        </w:rPr>
        <w:t xml:space="preserve">As such, the infringement notice scheme is intended to provide a more efficient means of dealing with contraventions of certain civil penalty provisions as an alternative to instituting civil penalty proceedings. </w:t>
      </w:r>
    </w:p>
    <w:p w14:paraId="0B54DED4" w14:textId="0E5414CC" w:rsidR="00EA75A5" w:rsidRPr="00302DB5" w:rsidRDefault="00634BDF" w:rsidP="006C6A35">
      <w:pPr>
        <w:spacing w:line="257" w:lineRule="auto"/>
        <w:rPr>
          <w:rFonts w:ascii="Arial" w:hAnsi="Arial" w:cs="Arial"/>
        </w:rPr>
      </w:pPr>
      <w:r w:rsidRPr="00302DB5">
        <w:rPr>
          <w:rFonts w:ascii="Arial" w:hAnsi="Arial" w:cs="Arial"/>
        </w:rPr>
        <w:t>In the case of</w:t>
      </w:r>
      <w:r w:rsidR="006D5C01">
        <w:rPr>
          <w:rFonts w:ascii="Arial" w:hAnsi="Arial" w:cs="Arial"/>
        </w:rPr>
        <w:t xml:space="preserve"> contravention</w:t>
      </w:r>
      <w:r w:rsidR="00CB3D77">
        <w:rPr>
          <w:rFonts w:ascii="Arial" w:hAnsi="Arial" w:cs="Arial"/>
        </w:rPr>
        <w:t>s</w:t>
      </w:r>
      <w:r w:rsidRPr="00302DB5">
        <w:rPr>
          <w:rFonts w:ascii="Arial" w:hAnsi="Arial" w:cs="Arial"/>
        </w:rPr>
        <w:t xml:space="preserve"> of sections 68 </w:t>
      </w:r>
      <w:r w:rsidR="00F75E29">
        <w:rPr>
          <w:rFonts w:ascii="Arial" w:hAnsi="Arial" w:cs="Arial"/>
        </w:rPr>
        <w:t>or</w:t>
      </w:r>
      <w:r w:rsidRPr="00302DB5">
        <w:rPr>
          <w:rFonts w:ascii="Arial" w:hAnsi="Arial" w:cs="Arial"/>
        </w:rPr>
        <w:t xml:space="preserve"> 101 of </w:t>
      </w:r>
      <w:r w:rsidR="00E11923">
        <w:rPr>
          <w:rFonts w:ascii="Arial" w:hAnsi="Arial" w:cs="Arial"/>
        </w:rPr>
        <w:t>the Act</w:t>
      </w:r>
      <w:r w:rsidRPr="00302DB5">
        <w:rPr>
          <w:rFonts w:ascii="Arial" w:hAnsi="Arial" w:cs="Arial"/>
        </w:rPr>
        <w:t xml:space="preserve">, </w:t>
      </w:r>
      <w:r w:rsidR="006D5C01">
        <w:rPr>
          <w:rFonts w:ascii="Arial" w:hAnsi="Arial" w:cs="Arial"/>
        </w:rPr>
        <w:t xml:space="preserve">where that contravention consists of a contravention of another provision of the Act, </w:t>
      </w:r>
      <w:r w:rsidRPr="00302DB5">
        <w:rPr>
          <w:rFonts w:ascii="Arial" w:hAnsi="Arial" w:cs="Arial"/>
        </w:rPr>
        <w:t xml:space="preserve">an infringement notice may only be given in relation to </w:t>
      </w:r>
      <w:r w:rsidR="006D5C01">
        <w:rPr>
          <w:rFonts w:ascii="Arial" w:hAnsi="Arial" w:cs="Arial"/>
        </w:rPr>
        <w:t xml:space="preserve">a </w:t>
      </w:r>
      <w:r w:rsidRPr="00302DB5">
        <w:rPr>
          <w:rFonts w:ascii="Arial" w:hAnsi="Arial" w:cs="Arial"/>
        </w:rPr>
        <w:t xml:space="preserve">contravention of </w:t>
      </w:r>
      <w:r w:rsidR="006D5C01">
        <w:rPr>
          <w:rFonts w:ascii="Arial" w:hAnsi="Arial" w:cs="Arial"/>
        </w:rPr>
        <w:t xml:space="preserve">a </w:t>
      </w:r>
      <w:r w:rsidRPr="00302DB5">
        <w:rPr>
          <w:rFonts w:ascii="Arial" w:hAnsi="Arial" w:cs="Arial"/>
        </w:rPr>
        <w:t xml:space="preserve">provision which </w:t>
      </w:r>
      <w:r w:rsidR="006D5C01">
        <w:rPr>
          <w:rFonts w:ascii="Arial" w:hAnsi="Arial" w:cs="Arial"/>
        </w:rPr>
        <w:t>is</w:t>
      </w:r>
      <w:r w:rsidRPr="00302DB5">
        <w:rPr>
          <w:rFonts w:ascii="Arial" w:hAnsi="Arial" w:cs="Arial"/>
        </w:rPr>
        <w:t xml:space="preserve"> </w:t>
      </w:r>
      <w:r w:rsidR="00F73025">
        <w:rPr>
          <w:rFonts w:ascii="Arial" w:hAnsi="Arial" w:cs="Arial"/>
        </w:rPr>
        <w:t>declared</w:t>
      </w:r>
      <w:r w:rsidR="00F73025" w:rsidRPr="00302DB5">
        <w:rPr>
          <w:rFonts w:ascii="Arial" w:hAnsi="Arial" w:cs="Arial"/>
        </w:rPr>
        <w:t xml:space="preserve"> </w:t>
      </w:r>
      <w:r w:rsidRPr="00302DB5">
        <w:rPr>
          <w:rFonts w:ascii="Arial" w:hAnsi="Arial" w:cs="Arial"/>
        </w:rPr>
        <w:t>by the ACMA</w:t>
      </w:r>
      <w:r w:rsidR="00F73025">
        <w:rPr>
          <w:rFonts w:ascii="Arial" w:hAnsi="Arial" w:cs="Arial"/>
        </w:rPr>
        <w:t xml:space="preserve"> to be listed infringement notice provisions</w:t>
      </w:r>
      <w:r w:rsidR="006D5C01">
        <w:rPr>
          <w:rFonts w:ascii="Arial" w:hAnsi="Arial" w:cs="Arial"/>
        </w:rPr>
        <w:t xml:space="preserve"> (subsections 572</w:t>
      </w:r>
      <w:proofErr w:type="gramStart"/>
      <w:r w:rsidR="006D5C01">
        <w:rPr>
          <w:rFonts w:ascii="Arial" w:hAnsi="Arial" w:cs="Arial"/>
        </w:rPr>
        <w:t>E(</w:t>
      </w:r>
      <w:proofErr w:type="gramEnd"/>
      <w:r w:rsidR="006D5C01">
        <w:rPr>
          <w:rFonts w:ascii="Arial" w:hAnsi="Arial" w:cs="Arial"/>
        </w:rPr>
        <w:t>5) and (6)</w:t>
      </w:r>
      <w:r w:rsidR="00CB3D77">
        <w:rPr>
          <w:rFonts w:ascii="Arial" w:hAnsi="Arial" w:cs="Arial"/>
        </w:rPr>
        <w:t>)</w:t>
      </w:r>
      <w:r w:rsidRPr="00302DB5">
        <w:rPr>
          <w:rFonts w:ascii="Arial" w:hAnsi="Arial" w:cs="Arial"/>
        </w:rPr>
        <w:t xml:space="preserve">. </w:t>
      </w:r>
    </w:p>
    <w:p w14:paraId="41CB0E87" w14:textId="363C6707" w:rsidR="00EA75A5" w:rsidRPr="00302DB5" w:rsidRDefault="00634BDF" w:rsidP="006C6A35">
      <w:pPr>
        <w:spacing w:line="257" w:lineRule="auto"/>
        <w:rPr>
          <w:rFonts w:ascii="Arial" w:hAnsi="Arial" w:cs="Arial"/>
        </w:rPr>
      </w:pPr>
      <w:r w:rsidRPr="00302DB5">
        <w:rPr>
          <w:rFonts w:ascii="Arial" w:hAnsi="Arial" w:cs="Arial"/>
        </w:rPr>
        <w:t xml:space="preserve">Section 68 of </w:t>
      </w:r>
      <w:r w:rsidR="00E11923">
        <w:rPr>
          <w:rFonts w:ascii="Arial" w:hAnsi="Arial" w:cs="Arial"/>
        </w:rPr>
        <w:t>the Act</w:t>
      </w:r>
      <w:r w:rsidRPr="00302DB5">
        <w:rPr>
          <w:rFonts w:ascii="Arial" w:hAnsi="Arial" w:cs="Arial"/>
        </w:rPr>
        <w:t xml:space="preserve"> provides, among other things, that a carrier must not contravene a condition of the carrier licence held by the carrier. Carrier licence conditions are set out in Schedule 1 to </w:t>
      </w:r>
      <w:r w:rsidR="00E11923">
        <w:rPr>
          <w:rFonts w:ascii="Arial" w:hAnsi="Arial" w:cs="Arial"/>
        </w:rPr>
        <w:t>the Act</w:t>
      </w:r>
      <w:r w:rsidRPr="00302DB5">
        <w:rPr>
          <w:rFonts w:ascii="Arial" w:hAnsi="Arial" w:cs="Arial"/>
        </w:rPr>
        <w:t xml:space="preserve"> and in Ministerial declarations made under section 63 of </w:t>
      </w:r>
      <w:r w:rsidR="00E11923">
        <w:rPr>
          <w:rFonts w:ascii="Arial" w:hAnsi="Arial" w:cs="Arial"/>
        </w:rPr>
        <w:t>the Act</w:t>
      </w:r>
      <w:r w:rsidRPr="00302DB5">
        <w:rPr>
          <w:rFonts w:ascii="Arial" w:hAnsi="Arial" w:cs="Arial"/>
        </w:rPr>
        <w:t xml:space="preserve">. </w:t>
      </w:r>
      <w:r w:rsidR="007A2DED">
        <w:rPr>
          <w:rFonts w:ascii="Arial" w:hAnsi="Arial" w:cs="Arial"/>
        </w:rPr>
        <w:t>Clause 1 of Sc</w:t>
      </w:r>
      <w:r w:rsidR="00B954D4">
        <w:rPr>
          <w:rFonts w:ascii="Arial" w:hAnsi="Arial" w:cs="Arial"/>
        </w:rPr>
        <w:t xml:space="preserve">hedule 1 </w:t>
      </w:r>
      <w:r w:rsidR="00527BAE">
        <w:rPr>
          <w:rFonts w:ascii="Arial" w:hAnsi="Arial" w:cs="Arial"/>
        </w:rPr>
        <w:t xml:space="preserve">to the Act </w:t>
      </w:r>
      <w:r w:rsidR="00B954D4">
        <w:rPr>
          <w:rFonts w:ascii="Arial" w:hAnsi="Arial" w:cs="Arial"/>
        </w:rPr>
        <w:t>provides that</w:t>
      </w:r>
      <w:r w:rsidRPr="00302DB5">
        <w:rPr>
          <w:rFonts w:ascii="Arial" w:hAnsi="Arial" w:cs="Arial"/>
        </w:rPr>
        <w:t xml:space="preserve"> a carrier must comply with </w:t>
      </w:r>
      <w:r w:rsidR="00E11923">
        <w:rPr>
          <w:rFonts w:ascii="Arial" w:hAnsi="Arial" w:cs="Arial"/>
        </w:rPr>
        <w:t>the Act</w:t>
      </w:r>
      <w:r w:rsidRPr="00302DB5">
        <w:rPr>
          <w:rFonts w:ascii="Arial" w:hAnsi="Arial" w:cs="Arial"/>
        </w:rPr>
        <w:t xml:space="preserve">, the TCPSS Act and regulations </w:t>
      </w:r>
      <w:r w:rsidR="003D69B6">
        <w:rPr>
          <w:rFonts w:ascii="Arial" w:hAnsi="Arial" w:cs="Arial"/>
        </w:rPr>
        <w:t xml:space="preserve">under that Act, </w:t>
      </w:r>
      <w:r w:rsidRPr="00302DB5">
        <w:rPr>
          <w:rFonts w:ascii="Arial" w:hAnsi="Arial" w:cs="Arial"/>
        </w:rPr>
        <w:t xml:space="preserve">and Chapter 5 of the TIA Act. </w:t>
      </w:r>
    </w:p>
    <w:p w14:paraId="5BCFE28C" w14:textId="53DC7DE0" w:rsidR="00F93715" w:rsidRPr="00302DB5" w:rsidRDefault="00634BDF" w:rsidP="006C6A35">
      <w:pPr>
        <w:spacing w:line="257" w:lineRule="auto"/>
        <w:rPr>
          <w:rFonts w:ascii="Arial" w:hAnsi="Arial" w:cs="Arial"/>
        </w:rPr>
      </w:pPr>
      <w:r w:rsidRPr="00302DB5">
        <w:rPr>
          <w:rFonts w:ascii="Arial" w:hAnsi="Arial" w:cs="Arial"/>
        </w:rPr>
        <w:t xml:space="preserve">Similarly, section 101 of </w:t>
      </w:r>
      <w:r w:rsidR="00E11923">
        <w:rPr>
          <w:rFonts w:ascii="Arial" w:hAnsi="Arial" w:cs="Arial"/>
        </w:rPr>
        <w:t>the Act</w:t>
      </w:r>
      <w:r w:rsidRPr="00302DB5">
        <w:rPr>
          <w:rFonts w:ascii="Arial" w:hAnsi="Arial" w:cs="Arial"/>
        </w:rPr>
        <w:t xml:space="preserve"> provides, amongst other things, that “service providers” (namely </w:t>
      </w:r>
      <w:r w:rsidR="000E592B">
        <w:rPr>
          <w:rFonts w:ascii="Arial" w:hAnsi="Arial" w:cs="Arial"/>
        </w:rPr>
        <w:t xml:space="preserve">CSPs </w:t>
      </w:r>
      <w:r w:rsidRPr="00302DB5">
        <w:rPr>
          <w:rFonts w:ascii="Arial" w:hAnsi="Arial" w:cs="Arial"/>
        </w:rPr>
        <w:t xml:space="preserve">and content service providers) must comply with the service provider rules that apply to the provider. Service provider rules are set out in Schedule 2 to </w:t>
      </w:r>
      <w:r w:rsidR="00E11923">
        <w:rPr>
          <w:rFonts w:ascii="Arial" w:hAnsi="Arial" w:cs="Arial"/>
        </w:rPr>
        <w:t>the Act</w:t>
      </w:r>
      <w:r w:rsidRPr="00302DB5">
        <w:rPr>
          <w:rFonts w:ascii="Arial" w:hAnsi="Arial" w:cs="Arial"/>
        </w:rPr>
        <w:t xml:space="preserve"> and in service provider determinations made by the ACMA</w:t>
      </w:r>
      <w:r w:rsidR="006F279A">
        <w:rPr>
          <w:rFonts w:ascii="Arial" w:hAnsi="Arial" w:cs="Arial"/>
        </w:rPr>
        <w:t>,</w:t>
      </w:r>
      <w:r w:rsidRPr="00302DB5">
        <w:rPr>
          <w:rFonts w:ascii="Arial" w:hAnsi="Arial" w:cs="Arial"/>
        </w:rPr>
        <w:t xml:space="preserve"> </w:t>
      </w:r>
      <w:r w:rsidR="00BB34EF">
        <w:rPr>
          <w:rFonts w:ascii="Arial" w:hAnsi="Arial" w:cs="Arial"/>
        </w:rPr>
        <w:t>or the Minister</w:t>
      </w:r>
      <w:r w:rsidR="006F279A">
        <w:rPr>
          <w:rFonts w:ascii="Arial" w:hAnsi="Arial" w:cs="Arial"/>
        </w:rPr>
        <w:t>,</w:t>
      </w:r>
      <w:r w:rsidR="00BB34EF">
        <w:rPr>
          <w:rFonts w:ascii="Arial" w:hAnsi="Arial" w:cs="Arial"/>
        </w:rPr>
        <w:t xml:space="preserve"> </w:t>
      </w:r>
      <w:r w:rsidRPr="00302DB5">
        <w:rPr>
          <w:rFonts w:ascii="Arial" w:hAnsi="Arial" w:cs="Arial"/>
        </w:rPr>
        <w:t xml:space="preserve">under section 99 of </w:t>
      </w:r>
      <w:r w:rsidR="00E11923">
        <w:rPr>
          <w:rFonts w:ascii="Arial" w:hAnsi="Arial" w:cs="Arial"/>
        </w:rPr>
        <w:t>the Act</w:t>
      </w:r>
      <w:r w:rsidRPr="00302DB5">
        <w:rPr>
          <w:rFonts w:ascii="Arial" w:hAnsi="Arial" w:cs="Arial"/>
        </w:rPr>
        <w:t xml:space="preserve">. </w:t>
      </w:r>
      <w:r w:rsidR="00E944FE">
        <w:rPr>
          <w:rFonts w:ascii="Arial" w:hAnsi="Arial" w:cs="Arial"/>
        </w:rPr>
        <w:t>Clause 1 of Schedule 2</w:t>
      </w:r>
      <w:r w:rsidR="00527BAE">
        <w:rPr>
          <w:rFonts w:ascii="Arial" w:hAnsi="Arial" w:cs="Arial"/>
        </w:rPr>
        <w:t xml:space="preserve"> to the Act</w:t>
      </w:r>
      <w:r w:rsidR="00E944FE">
        <w:rPr>
          <w:rFonts w:ascii="Arial" w:hAnsi="Arial" w:cs="Arial"/>
        </w:rPr>
        <w:t xml:space="preserve"> provides</w:t>
      </w:r>
      <w:r w:rsidRPr="00302DB5">
        <w:rPr>
          <w:rFonts w:ascii="Arial" w:hAnsi="Arial" w:cs="Arial"/>
        </w:rPr>
        <w:t xml:space="preserve"> that a service provider must comply with </w:t>
      </w:r>
      <w:r w:rsidR="00E11923">
        <w:rPr>
          <w:rFonts w:ascii="Arial" w:hAnsi="Arial" w:cs="Arial"/>
        </w:rPr>
        <w:t>the Act</w:t>
      </w:r>
      <w:r w:rsidR="00527BAE">
        <w:rPr>
          <w:rFonts w:ascii="Arial" w:hAnsi="Arial" w:cs="Arial"/>
        </w:rPr>
        <w:t>,</w:t>
      </w:r>
      <w:r w:rsidRPr="00302DB5">
        <w:rPr>
          <w:rFonts w:ascii="Arial" w:hAnsi="Arial" w:cs="Arial"/>
        </w:rPr>
        <w:t xml:space="preserve"> the TCPSS Act and regulations </w:t>
      </w:r>
      <w:r w:rsidR="00A7155D">
        <w:rPr>
          <w:rFonts w:ascii="Arial" w:hAnsi="Arial" w:cs="Arial"/>
        </w:rPr>
        <w:t xml:space="preserve">made under that Act, </w:t>
      </w:r>
      <w:r w:rsidRPr="00302DB5">
        <w:rPr>
          <w:rFonts w:ascii="Arial" w:hAnsi="Arial" w:cs="Arial"/>
        </w:rPr>
        <w:t>and Chapter 5 of the TIA Act.</w:t>
      </w:r>
    </w:p>
    <w:p w14:paraId="5E351DE7" w14:textId="1CF41ED0" w:rsidR="00EA75A5" w:rsidRPr="00302DB5" w:rsidRDefault="00DA7900" w:rsidP="006C6A35">
      <w:pPr>
        <w:spacing w:line="257" w:lineRule="auto"/>
        <w:rPr>
          <w:rFonts w:ascii="Arial" w:hAnsi="Arial" w:cs="Arial"/>
        </w:rPr>
      </w:pPr>
      <w:r w:rsidRPr="00302DB5">
        <w:rPr>
          <w:rFonts w:ascii="Arial" w:hAnsi="Arial" w:cs="Arial"/>
        </w:rPr>
        <w:t>Subsections 572</w:t>
      </w:r>
      <w:proofErr w:type="gramStart"/>
      <w:r w:rsidRPr="00302DB5">
        <w:rPr>
          <w:rFonts w:ascii="Arial" w:hAnsi="Arial" w:cs="Arial"/>
        </w:rPr>
        <w:t>E(</w:t>
      </w:r>
      <w:proofErr w:type="gramEnd"/>
      <w:r w:rsidRPr="00302DB5">
        <w:rPr>
          <w:rFonts w:ascii="Arial" w:hAnsi="Arial" w:cs="Arial"/>
        </w:rPr>
        <w:t xml:space="preserve">5) and (6) provide that an infringement notice may only be given in respect of a contravention of section 68 or 101 if the alleged contravention consists of a breach of a provision that is a </w:t>
      </w:r>
      <w:r w:rsidR="001B532C">
        <w:rPr>
          <w:rFonts w:ascii="Arial" w:hAnsi="Arial" w:cs="Arial"/>
        </w:rPr>
        <w:t>“</w:t>
      </w:r>
      <w:r w:rsidRPr="00302DB5">
        <w:rPr>
          <w:rFonts w:ascii="Arial" w:hAnsi="Arial" w:cs="Arial"/>
        </w:rPr>
        <w:t>listed infringement notice provision</w:t>
      </w:r>
      <w:r w:rsidR="000744DD">
        <w:rPr>
          <w:rFonts w:ascii="Arial" w:hAnsi="Arial" w:cs="Arial"/>
        </w:rPr>
        <w:t>”</w:t>
      </w:r>
      <w:r w:rsidRPr="00302DB5">
        <w:rPr>
          <w:rFonts w:ascii="Arial" w:hAnsi="Arial" w:cs="Arial"/>
        </w:rPr>
        <w:t xml:space="preserve"> and has been a listed infringement notice provision for at least 3 months prior to the date of the alleged contravention. </w:t>
      </w:r>
    </w:p>
    <w:p w14:paraId="3EE2DD1A" w14:textId="7C07C6C7" w:rsidR="00DA7900" w:rsidRPr="00302DB5" w:rsidRDefault="00DA7900" w:rsidP="006C6A35">
      <w:pPr>
        <w:spacing w:line="257" w:lineRule="auto"/>
        <w:rPr>
          <w:rFonts w:ascii="Arial" w:hAnsi="Arial" w:cs="Arial"/>
        </w:rPr>
      </w:pPr>
      <w:r w:rsidRPr="00302DB5">
        <w:rPr>
          <w:rFonts w:ascii="Arial" w:hAnsi="Arial" w:cs="Arial"/>
        </w:rPr>
        <w:t xml:space="preserve">The ACMA </w:t>
      </w:r>
      <w:r w:rsidR="00CA59E4">
        <w:rPr>
          <w:rFonts w:ascii="Arial" w:hAnsi="Arial" w:cs="Arial"/>
        </w:rPr>
        <w:t>has made the</w:t>
      </w:r>
      <w:r w:rsidRPr="00302DB5">
        <w:rPr>
          <w:rFonts w:ascii="Arial" w:hAnsi="Arial" w:cs="Arial"/>
        </w:rPr>
        <w:t xml:space="preserve"> Declaration under subsection 572</w:t>
      </w:r>
      <w:proofErr w:type="gramStart"/>
      <w:r w:rsidRPr="00302DB5">
        <w:rPr>
          <w:rFonts w:ascii="Arial" w:hAnsi="Arial" w:cs="Arial"/>
        </w:rPr>
        <w:t>E(</w:t>
      </w:r>
      <w:proofErr w:type="gramEnd"/>
      <w:r w:rsidRPr="00302DB5">
        <w:rPr>
          <w:rFonts w:ascii="Arial" w:hAnsi="Arial" w:cs="Arial"/>
        </w:rPr>
        <w:t xml:space="preserve">7) of </w:t>
      </w:r>
      <w:r w:rsidR="00E11923">
        <w:rPr>
          <w:rFonts w:ascii="Arial" w:hAnsi="Arial" w:cs="Arial"/>
        </w:rPr>
        <w:t>the Act</w:t>
      </w:r>
      <w:r w:rsidRPr="00302DB5">
        <w:rPr>
          <w:rFonts w:ascii="Arial" w:hAnsi="Arial" w:cs="Arial"/>
        </w:rPr>
        <w:t xml:space="preserve"> in order to specify those provisions that are listed infringement notice provisions for the purposes of section 572E.</w:t>
      </w:r>
    </w:p>
    <w:p w14:paraId="6D8C9C98" w14:textId="77777777" w:rsidR="00017AE6" w:rsidRPr="00302DB5" w:rsidRDefault="00017AE6" w:rsidP="00DE1C37">
      <w:pPr>
        <w:keepNext/>
        <w:spacing w:line="257" w:lineRule="auto"/>
        <w:rPr>
          <w:rFonts w:ascii="Arial" w:hAnsi="Arial" w:cs="Arial"/>
          <w:b/>
          <w:bCs/>
        </w:rPr>
      </w:pPr>
      <w:r w:rsidRPr="00302DB5">
        <w:rPr>
          <w:rFonts w:ascii="Arial" w:hAnsi="Arial" w:cs="Arial"/>
          <w:b/>
          <w:bCs/>
        </w:rPr>
        <w:lastRenderedPageBreak/>
        <w:t xml:space="preserve">Background </w:t>
      </w:r>
    </w:p>
    <w:p w14:paraId="4D94E084" w14:textId="05D507E9" w:rsidR="00017AE6" w:rsidRPr="00302DB5" w:rsidRDefault="00017AE6" w:rsidP="006C6A35">
      <w:pPr>
        <w:spacing w:line="257" w:lineRule="auto"/>
        <w:rPr>
          <w:rFonts w:ascii="Arial" w:hAnsi="Arial" w:cs="Arial"/>
        </w:rPr>
      </w:pPr>
      <w:r w:rsidRPr="00302DB5">
        <w:rPr>
          <w:rFonts w:ascii="Arial" w:hAnsi="Arial" w:cs="Arial"/>
        </w:rPr>
        <w:t xml:space="preserve">Part 31B was inserted into </w:t>
      </w:r>
      <w:r w:rsidR="00E11923">
        <w:rPr>
          <w:rFonts w:ascii="Arial" w:hAnsi="Arial" w:cs="Arial"/>
        </w:rPr>
        <w:t>the Act</w:t>
      </w:r>
      <w:r w:rsidRPr="00302DB5">
        <w:rPr>
          <w:rFonts w:ascii="Arial" w:hAnsi="Arial" w:cs="Arial"/>
        </w:rPr>
        <w:t xml:space="preserve"> as part of a package of legislative reforms contained in the </w:t>
      </w:r>
      <w:r w:rsidRPr="00B16A08">
        <w:rPr>
          <w:rFonts w:ascii="Arial" w:hAnsi="Arial" w:cs="Arial"/>
          <w:i/>
        </w:rPr>
        <w:t>Telecommunications Legislation Amendment (Competition and Consumer Safeguards) Act 2010</w:t>
      </w:r>
      <w:r w:rsidRPr="00302DB5">
        <w:rPr>
          <w:rFonts w:ascii="Arial" w:hAnsi="Arial" w:cs="Arial"/>
        </w:rPr>
        <w:t>. Th</w:t>
      </w:r>
      <w:r w:rsidR="00DE5B9F">
        <w:rPr>
          <w:rFonts w:ascii="Arial" w:hAnsi="Arial" w:cs="Arial"/>
        </w:rPr>
        <w:t>o</w:t>
      </w:r>
      <w:r w:rsidRPr="00302DB5">
        <w:rPr>
          <w:rFonts w:ascii="Arial" w:hAnsi="Arial" w:cs="Arial"/>
        </w:rPr>
        <w:t xml:space="preserve">se reforms </w:t>
      </w:r>
      <w:r w:rsidR="00DE5B9F">
        <w:rPr>
          <w:rFonts w:ascii="Arial" w:hAnsi="Arial" w:cs="Arial"/>
        </w:rPr>
        <w:t>sought</w:t>
      </w:r>
      <w:r w:rsidRPr="00302DB5">
        <w:rPr>
          <w:rFonts w:ascii="Arial" w:hAnsi="Arial" w:cs="Arial"/>
        </w:rPr>
        <w:t xml:space="preserve"> to enhance competitive outcomes in the telecommunications industry and strengthen consumer safeguards relating to the universal service obligation (</w:t>
      </w:r>
      <w:r w:rsidRPr="007818DA">
        <w:rPr>
          <w:rFonts w:ascii="Arial" w:hAnsi="Arial" w:cs="Arial"/>
          <w:b/>
          <w:bCs/>
        </w:rPr>
        <w:t>USO</w:t>
      </w:r>
      <w:r w:rsidRPr="00302DB5">
        <w:rPr>
          <w:rFonts w:ascii="Arial" w:hAnsi="Arial" w:cs="Arial"/>
        </w:rPr>
        <w:t>) and the customer service guarantee (</w:t>
      </w:r>
      <w:r w:rsidRPr="007818DA">
        <w:rPr>
          <w:rFonts w:ascii="Arial" w:hAnsi="Arial" w:cs="Arial"/>
          <w:b/>
          <w:bCs/>
        </w:rPr>
        <w:t>CSG</w:t>
      </w:r>
      <w:r w:rsidRPr="00302DB5">
        <w:rPr>
          <w:rFonts w:ascii="Arial" w:hAnsi="Arial" w:cs="Arial"/>
        </w:rPr>
        <w:t xml:space="preserve">) by ensuring consumers </w:t>
      </w:r>
      <w:r w:rsidR="00DE5B9F">
        <w:rPr>
          <w:rFonts w:ascii="Arial" w:hAnsi="Arial" w:cs="Arial"/>
        </w:rPr>
        <w:t>we</w:t>
      </w:r>
      <w:r w:rsidRPr="00302DB5">
        <w:rPr>
          <w:rFonts w:ascii="Arial" w:hAnsi="Arial" w:cs="Arial"/>
        </w:rPr>
        <w:t xml:space="preserve">re protected and service standards </w:t>
      </w:r>
      <w:r w:rsidR="00A85595">
        <w:rPr>
          <w:rFonts w:ascii="Arial" w:hAnsi="Arial" w:cs="Arial"/>
        </w:rPr>
        <w:t>we</w:t>
      </w:r>
      <w:r w:rsidRPr="00302DB5">
        <w:rPr>
          <w:rFonts w:ascii="Arial" w:hAnsi="Arial" w:cs="Arial"/>
        </w:rPr>
        <w:t xml:space="preserve">re maintained in the transition to the National Broadband Network. </w:t>
      </w:r>
    </w:p>
    <w:p w14:paraId="6851A19E" w14:textId="1F22C8BD" w:rsidR="00E81C0B" w:rsidRPr="00302DB5" w:rsidRDefault="00017AE6" w:rsidP="006C6A35">
      <w:pPr>
        <w:spacing w:line="257" w:lineRule="auto"/>
        <w:rPr>
          <w:rFonts w:ascii="Arial" w:hAnsi="Arial" w:cs="Arial"/>
        </w:rPr>
      </w:pPr>
      <w:r w:rsidRPr="00302DB5">
        <w:rPr>
          <w:rFonts w:ascii="Arial" w:hAnsi="Arial" w:cs="Arial"/>
        </w:rPr>
        <w:t>The ACMA</w:t>
      </w:r>
      <w:r w:rsidR="00816F93">
        <w:rPr>
          <w:rFonts w:ascii="Arial" w:hAnsi="Arial" w:cs="Arial"/>
        </w:rPr>
        <w:t>’</w:t>
      </w:r>
      <w:r w:rsidRPr="00302DB5">
        <w:rPr>
          <w:rFonts w:ascii="Arial" w:hAnsi="Arial" w:cs="Arial"/>
        </w:rPr>
        <w:t xml:space="preserve">s power to give infringement notices </w:t>
      </w:r>
      <w:r w:rsidR="00EF59B0">
        <w:rPr>
          <w:rFonts w:ascii="Arial" w:hAnsi="Arial" w:cs="Arial"/>
        </w:rPr>
        <w:t>assists</w:t>
      </w:r>
      <w:r w:rsidRPr="00302DB5">
        <w:rPr>
          <w:rFonts w:ascii="Arial" w:hAnsi="Arial" w:cs="Arial"/>
        </w:rPr>
        <w:t xml:space="preserve"> the ACMA in enforcing compliance with </w:t>
      </w:r>
      <w:r w:rsidR="000B17B0">
        <w:rPr>
          <w:rFonts w:ascii="Arial" w:hAnsi="Arial" w:cs="Arial"/>
        </w:rPr>
        <w:t xml:space="preserve">these </w:t>
      </w:r>
      <w:r w:rsidRPr="00302DB5">
        <w:rPr>
          <w:rFonts w:ascii="Arial" w:hAnsi="Arial" w:cs="Arial"/>
        </w:rPr>
        <w:t>service performance standards and benchmarks imposed as part of those consumer safeguards. In addition, these powers enable the ACMA to take regulatory action for breaches of civil penalty provisions across the broader telecommunications regime by issuing infringement notices.</w:t>
      </w:r>
    </w:p>
    <w:p w14:paraId="17EEE999" w14:textId="77777777" w:rsidR="00281B4F" w:rsidRPr="00767D51" w:rsidRDefault="00281B4F" w:rsidP="006C6A35">
      <w:pPr>
        <w:spacing w:line="257" w:lineRule="auto"/>
        <w:rPr>
          <w:rFonts w:ascii="Arial" w:hAnsi="Arial" w:cs="Arial"/>
          <w:b/>
          <w:bCs/>
        </w:rPr>
      </w:pPr>
      <w:r w:rsidRPr="00767D51">
        <w:rPr>
          <w:rFonts w:ascii="Arial" w:hAnsi="Arial" w:cs="Arial"/>
          <w:b/>
          <w:bCs/>
        </w:rPr>
        <w:t xml:space="preserve">Listed infringement notice provisions </w:t>
      </w:r>
    </w:p>
    <w:p w14:paraId="436BF1BA" w14:textId="2239AB9D" w:rsidR="006412C7" w:rsidRDefault="006412C7" w:rsidP="006C6A35">
      <w:pPr>
        <w:spacing w:line="257" w:lineRule="auto"/>
        <w:rPr>
          <w:rFonts w:ascii="Arial" w:hAnsi="Arial" w:cs="Arial"/>
        </w:rPr>
      </w:pPr>
      <w:r>
        <w:rPr>
          <w:rFonts w:ascii="Arial" w:hAnsi="Arial" w:cs="Arial"/>
        </w:rPr>
        <w:t>In making th</w:t>
      </w:r>
      <w:r w:rsidR="00A85595">
        <w:rPr>
          <w:rFonts w:ascii="Arial" w:hAnsi="Arial" w:cs="Arial"/>
        </w:rPr>
        <w:t>e</w:t>
      </w:r>
      <w:r>
        <w:rPr>
          <w:rFonts w:ascii="Arial" w:hAnsi="Arial" w:cs="Arial"/>
        </w:rPr>
        <w:t xml:space="preserve"> Declaration, the ACMA has </w:t>
      </w:r>
      <w:r w:rsidRPr="00E91E64">
        <w:rPr>
          <w:rFonts w:ascii="Arial" w:hAnsi="Arial" w:cs="Arial"/>
        </w:rPr>
        <w:t>includ</w:t>
      </w:r>
      <w:r>
        <w:rPr>
          <w:rFonts w:ascii="Arial" w:hAnsi="Arial" w:cs="Arial"/>
        </w:rPr>
        <w:t>ed provisions that were previously listed</w:t>
      </w:r>
      <w:r w:rsidR="002A124C">
        <w:rPr>
          <w:rFonts w:ascii="Arial" w:hAnsi="Arial" w:cs="Arial"/>
        </w:rPr>
        <w:t xml:space="preserve"> in the 2011 Declaration</w:t>
      </w:r>
      <w:r w:rsidR="00135BB3">
        <w:rPr>
          <w:rFonts w:ascii="Arial" w:hAnsi="Arial" w:cs="Arial"/>
        </w:rPr>
        <w:t>, excepting provisions that</w:t>
      </w:r>
      <w:r w:rsidR="00A85595">
        <w:rPr>
          <w:rFonts w:ascii="Arial" w:hAnsi="Arial" w:cs="Arial"/>
        </w:rPr>
        <w:t xml:space="preserve"> no longer exist</w:t>
      </w:r>
      <w:r w:rsidR="00096B1F">
        <w:rPr>
          <w:rFonts w:ascii="Arial" w:hAnsi="Arial" w:cs="Arial"/>
        </w:rPr>
        <w:t xml:space="preserve">. </w:t>
      </w:r>
      <w:r w:rsidR="00422803">
        <w:rPr>
          <w:rFonts w:ascii="Arial" w:hAnsi="Arial" w:cs="Arial"/>
        </w:rPr>
        <w:t xml:space="preserve">The ACMA </w:t>
      </w:r>
      <w:r w:rsidR="00096B1F">
        <w:rPr>
          <w:rFonts w:ascii="Arial" w:hAnsi="Arial" w:cs="Arial"/>
        </w:rPr>
        <w:t xml:space="preserve">has </w:t>
      </w:r>
      <w:r w:rsidR="00536280">
        <w:rPr>
          <w:rFonts w:ascii="Arial" w:hAnsi="Arial" w:cs="Arial"/>
        </w:rPr>
        <w:t>also identified</w:t>
      </w:r>
      <w:r>
        <w:rPr>
          <w:rFonts w:ascii="Arial" w:hAnsi="Arial" w:cs="Arial"/>
        </w:rPr>
        <w:t xml:space="preserve"> </w:t>
      </w:r>
      <w:r w:rsidR="00422803">
        <w:rPr>
          <w:rFonts w:ascii="Arial" w:hAnsi="Arial" w:cs="Arial"/>
        </w:rPr>
        <w:t xml:space="preserve">some </w:t>
      </w:r>
      <w:r w:rsidR="0010118B">
        <w:rPr>
          <w:rFonts w:ascii="Arial" w:hAnsi="Arial" w:cs="Arial"/>
        </w:rPr>
        <w:t>other</w:t>
      </w:r>
      <w:r w:rsidRPr="00E91E64">
        <w:rPr>
          <w:rFonts w:ascii="Arial" w:hAnsi="Arial" w:cs="Arial"/>
        </w:rPr>
        <w:t xml:space="preserve"> provisions</w:t>
      </w:r>
      <w:r>
        <w:rPr>
          <w:rFonts w:ascii="Arial" w:hAnsi="Arial" w:cs="Arial"/>
        </w:rPr>
        <w:t xml:space="preserve"> </w:t>
      </w:r>
      <w:r w:rsidRPr="001473E5">
        <w:rPr>
          <w:rFonts w:ascii="Arial" w:hAnsi="Arial" w:cs="Arial"/>
        </w:rPr>
        <w:t>drawn from</w:t>
      </w:r>
      <w:r w:rsidR="00536280">
        <w:rPr>
          <w:rFonts w:ascii="Arial" w:hAnsi="Arial" w:cs="Arial"/>
        </w:rPr>
        <w:t xml:space="preserve"> primary and subordinate legislation </w:t>
      </w:r>
      <w:r w:rsidR="007C34CD">
        <w:rPr>
          <w:rFonts w:ascii="Arial" w:hAnsi="Arial" w:cs="Arial"/>
        </w:rPr>
        <w:t xml:space="preserve">as </w:t>
      </w:r>
      <w:r w:rsidR="00C029E9">
        <w:rPr>
          <w:rFonts w:ascii="Arial" w:hAnsi="Arial" w:cs="Arial"/>
        </w:rPr>
        <w:t>s</w:t>
      </w:r>
      <w:r w:rsidR="007C34CD">
        <w:rPr>
          <w:rFonts w:ascii="Arial" w:hAnsi="Arial" w:cs="Arial"/>
        </w:rPr>
        <w:t>uitable to include in the Declaration</w:t>
      </w:r>
      <w:r w:rsidR="005B6900">
        <w:rPr>
          <w:rFonts w:ascii="Arial" w:hAnsi="Arial" w:cs="Arial"/>
        </w:rPr>
        <w:t xml:space="preserve">, </w:t>
      </w:r>
      <w:r w:rsidR="00F5142A">
        <w:rPr>
          <w:rFonts w:ascii="Arial" w:hAnsi="Arial" w:cs="Arial"/>
        </w:rPr>
        <w:t>including</w:t>
      </w:r>
      <w:r w:rsidR="00FA2DCE">
        <w:rPr>
          <w:rFonts w:ascii="Arial" w:hAnsi="Arial" w:cs="Arial"/>
        </w:rPr>
        <w:t xml:space="preserve"> certain provisions of</w:t>
      </w:r>
      <w:r w:rsidRPr="001473E5">
        <w:rPr>
          <w:rFonts w:ascii="Arial" w:hAnsi="Arial" w:cs="Arial"/>
        </w:rPr>
        <w:t>:</w:t>
      </w:r>
    </w:p>
    <w:p w14:paraId="72AF2B76" w14:textId="67744F20" w:rsidR="006412C7" w:rsidRDefault="006412C7" w:rsidP="000D6A09">
      <w:pPr>
        <w:pStyle w:val="ACMANumberedList"/>
        <w:numPr>
          <w:ilvl w:val="0"/>
          <w:numId w:val="35"/>
        </w:numPr>
        <w:spacing w:before="0" w:after="160" w:line="257" w:lineRule="auto"/>
        <w:contextualSpacing/>
        <w:rPr>
          <w:rFonts w:ascii="Arial" w:hAnsi="Arial" w:cs="Arial"/>
          <w:sz w:val="22"/>
          <w:szCs w:val="22"/>
        </w:rPr>
      </w:pPr>
      <w:r>
        <w:rPr>
          <w:rFonts w:ascii="Arial" w:hAnsi="Arial" w:cs="Arial"/>
          <w:sz w:val="22"/>
          <w:szCs w:val="22"/>
        </w:rPr>
        <w:t xml:space="preserve">Part </w:t>
      </w:r>
      <w:r w:rsidRPr="001473E5">
        <w:rPr>
          <w:rFonts w:ascii="Arial" w:hAnsi="Arial" w:cs="Arial"/>
          <w:sz w:val="22"/>
          <w:szCs w:val="22"/>
        </w:rPr>
        <w:t xml:space="preserve">19 of the Act which established the Statutory Infrastructure Provider </w:t>
      </w:r>
      <w:r w:rsidR="005C1A18">
        <w:rPr>
          <w:rFonts w:ascii="Arial" w:hAnsi="Arial" w:cs="Arial"/>
          <w:sz w:val="22"/>
          <w:szCs w:val="22"/>
        </w:rPr>
        <w:t xml:space="preserve">(SIP) </w:t>
      </w:r>
      <w:r w:rsidRPr="001473E5">
        <w:rPr>
          <w:rFonts w:ascii="Arial" w:hAnsi="Arial" w:cs="Arial"/>
          <w:sz w:val="22"/>
          <w:szCs w:val="22"/>
        </w:rPr>
        <w:t xml:space="preserve">regime to ensure that all Australians can access broadband </w:t>
      </w:r>
      <w:proofErr w:type="gramStart"/>
      <w:r w:rsidRPr="001473E5">
        <w:rPr>
          <w:rFonts w:ascii="Arial" w:hAnsi="Arial" w:cs="Arial"/>
          <w:sz w:val="22"/>
          <w:szCs w:val="22"/>
        </w:rPr>
        <w:t>services</w:t>
      </w:r>
      <w:r>
        <w:rPr>
          <w:rFonts w:ascii="Arial" w:hAnsi="Arial" w:cs="Arial"/>
          <w:sz w:val="22"/>
          <w:szCs w:val="22"/>
        </w:rPr>
        <w:t>;</w:t>
      </w:r>
      <w:proofErr w:type="gramEnd"/>
    </w:p>
    <w:p w14:paraId="45234D8C" w14:textId="77777777" w:rsidR="006412C7" w:rsidRDefault="006412C7" w:rsidP="000D6A09">
      <w:pPr>
        <w:pStyle w:val="ACMANumberedList"/>
        <w:numPr>
          <w:ilvl w:val="0"/>
          <w:numId w:val="35"/>
        </w:numPr>
        <w:spacing w:before="0" w:after="160" w:line="257" w:lineRule="auto"/>
        <w:contextualSpacing/>
        <w:rPr>
          <w:rFonts w:ascii="Arial" w:hAnsi="Arial" w:cs="Arial"/>
          <w:sz w:val="22"/>
          <w:szCs w:val="22"/>
        </w:rPr>
      </w:pPr>
      <w:r w:rsidRPr="001473E5">
        <w:rPr>
          <w:rFonts w:ascii="Arial" w:hAnsi="Arial" w:cs="Arial"/>
          <w:sz w:val="22"/>
          <w:szCs w:val="22"/>
        </w:rPr>
        <w:t xml:space="preserve">the </w:t>
      </w:r>
      <w:r w:rsidRPr="00CE7C02">
        <w:rPr>
          <w:rFonts w:ascii="Arial" w:hAnsi="Arial" w:cs="Arial"/>
          <w:i/>
          <w:iCs/>
          <w:sz w:val="22"/>
          <w:szCs w:val="22"/>
        </w:rPr>
        <w:t>Telecommunications (Interception and Access) Act 1979</w:t>
      </w:r>
      <w:r>
        <w:rPr>
          <w:rFonts w:ascii="Arial" w:hAnsi="Arial" w:cs="Arial"/>
          <w:sz w:val="22"/>
          <w:szCs w:val="22"/>
        </w:rPr>
        <w:t>; and</w:t>
      </w:r>
    </w:p>
    <w:p w14:paraId="7662BB1D" w14:textId="77777777" w:rsidR="006412C7" w:rsidRPr="001473E5" w:rsidRDefault="006412C7" w:rsidP="000D6A09">
      <w:pPr>
        <w:pStyle w:val="ACMANumberedList"/>
        <w:numPr>
          <w:ilvl w:val="0"/>
          <w:numId w:val="35"/>
        </w:numPr>
        <w:spacing w:before="0" w:after="160" w:line="257" w:lineRule="auto"/>
        <w:contextualSpacing/>
        <w:rPr>
          <w:rFonts w:ascii="Arial" w:hAnsi="Arial" w:cs="Arial"/>
          <w:sz w:val="22"/>
          <w:szCs w:val="22"/>
        </w:rPr>
      </w:pPr>
      <w:r w:rsidRPr="001473E5">
        <w:rPr>
          <w:rFonts w:ascii="Arial" w:hAnsi="Arial" w:cs="Arial"/>
          <w:sz w:val="22"/>
          <w:szCs w:val="22"/>
        </w:rPr>
        <w:t xml:space="preserve">the </w:t>
      </w:r>
      <w:r w:rsidRPr="00CE7C02">
        <w:rPr>
          <w:rFonts w:ascii="Arial" w:hAnsi="Arial" w:cs="Arial"/>
          <w:i/>
          <w:iCs/>
          <w:sz w:val="22"/>
          <w:szCs w:val="22"/>
        </w:rPr>
        <w:t>Telecommunications (Service Provider – Identity Checks for Prepaid Mobile Carriage Services) Determination 2017</w:t>
      </w:r>
      <w:r>
        <w:rPr>
          <w:rFonts w:ascii="Arial" w:hAnsi="Arial" w:cs="Arial"/>
          <w:sz w:val="22"/>
          <w:szCs w:val="22"/>
        </w:rPr>
        <w:t>.</w:t>
      </w:r>
    </w:p>
    <w:p w14:paraId="6D289D63" w14:textId="5F6328A6" w:rsidR="006412C7" w:rsidRPr="00241BBE" w:rsidRDefault="00536280" w:rsidP="006C6A35">
      <w:pPr>
        <w:spacing w:line="257" w:lineRule="auto"/>
        <w:rPr>
          <w:rFonts w:ascii="Arial" w:hAnsi="Arial" w:cs="Arial"/>
        </w:rPr>
      </w:pPr>
      <w:r>
        <w:rPr>
          <w:rFonts w:ascii="Arial" w:hAnsi="Arial" w:cs="Arial"/>
        </w:rPr>
        <w:t xml:space="preserve">Details of new and continued provisions are at </w:t>
      </w:r>
      <w:r w:rsidRPr="00F27202">
        <w:rPr>
          <w:rFonts w:ascii="Arial" w:hAnsi="Arial" w:cs="Arial"/>
          <w:b/>
        </w:rPr>
        <w:t>Attachment B</w:t>
      </w:r>
      <w:r>
        <w:rPr>
          <w:rFonts w:ascii="Arial" w:hAnsi="Arial" w:cs="Arial"/>
        </w:rPr>
        <w:t>.</w:t>
      </w:r>
    </w:p>
    <w:p w14:paraId="14B675BB" w14:textId="7A1B4E0E" w:rsidR="00017AE6" w:rsidRPr="00302DB5" w:rsidRDefault="00281B4F" w:rsidP="006C6A35">
      <w:pPr>
        <w:spacing w:line="257" w:lineRule="auto"/>
        <w:rPr>
          <w:rFonts w:ascii="Arial" w:hAnsi="Arial" w:cs="Arial"/>
        </w:rPr>
      </w:pPr>
      <w:r w:rsidRPr="00302DB5">
        <w:rPr>
          <w:rFonts w:ascii="Arial" w:hAnsi="Arial" w:cs="Arial"/>
        </w:rPr>
        <w:t xml:space="preserve">In selecting appropriate provisions to be listed, the ACMA consulted with the Department of </w:t>
      </w:r>
      <w:r w:rsidR="0041173A">
        <w:rPr>
          <w:rFonts w:ascii="Arial" w:hAnsi="Arial" w:cs="Arial"/>
        </w:rPr>
        <w:t>Infrastructure, Transport, Regional Development and</w:t>
      </w:r>
      <w:r w:rsidRPr="00302DB5">
        <w:rPr>
          <w:rFonts w:ascii="Arial" w:hAnsi="Arial" w:cs="Arial"/>
        </w:rPr>
        <w:t xml:space="preserve"> Communications and the Attorney General</w:t>
      </w:r>
      <w:r w:rsidR="003C77ED">
        <w:rPr>
          <w:rFonts w:ascii="Arial" w:hAnsi="Arial" w:cs="Arial"/>
        </w:rPr>
        <w:t>’</w:t>
      </w:r>
      <w:r w:rsidRPr="00302DB5">
        <w:rPr>
          <w:rFonts w:ascii="Arial" w:hAnsi="Arial" w:cs="Arial"/>
        </w:rPr>
        <w:t xml:space="preserve">s Department and </w:t>
      </w:r>
      <w:proofErr w:type="gramStart"/>
      <w:r w:rsidRPr="00302DB5">
        <w:rPr>
          <w:rFonts w:ascii="Arial" w:hAnsi="Arial" w:cs="Arial"/>
        </w:rPr>
        <w:t>gave consideration to</w:t>
      </w:r>
      <w:proofErr w:type="gramEnd"/>
      <w:r w:rsidRPr="00302DB5">
        <w:rPr>
          <w:rFonts w:ascii="Arial" w:hAnsi="Arial" w:cs="Arial"/>
        </w:rPr>
        <w:t xml:space="preserve"> the relevant criteria drawn from the Guide to Framing Commonwealth Offences, Civil Penalties and Enforcement Powers 20</w:t>
      </w:r>
      <w:r w:rsidR="00816F93">
        <w:rPr>
          <w:rFonts w:ascii="Arial" w:hAnsi="Arial" w:cs="Arial"/>
        </w:rPr>
        <w:t>11</w:t>
      </w:r>
      <w:r w:rsidRPr="00302DB5">
        <w:rPr>
          <w:rFonts w:ascii="Arial" w:hAnsi="Arial" w:cs="Arial"/>
        </w:rPr>
        <w:t xml:space="preserve"> which provide</w:t>
      </w:r>
      <w:r w:rsidR="00AB6F19">
        <w:rPr>
          <w:rFonts w:ascii="Arial" w:hAnsi="Arial" w:cs="Arial"/>
        </w:rPr>
        <w:t>s</w:t>
      </w:r>
      <w:r w:rsidRPr="00302DB5">
        <w:rPr>
          <w:rFonts w:ascii="Arial" w:hAnsi="Arial" w:cs="Arial"/>
        </w:rPr>
        <w:t xml:space="preserve"> that infringement notices may be appropriate:</w:t>
      </w:r>
    </w:p>
    <w:p w14:paraId="509CA8F3" w14:textId="5C24AE9A" w:rsidR="00281B4F" w:rsidRPr="00B66132" w:rsidRDefault="00281B4F" w:rsidP="006C6A35">
      <w:pPr>
        <w:pStyle w:val="ListParagraph"/>
        <w:numPr>
          <w:ilvl w:val="0"/>
          <w:numId w:val="19"/>
        </w:numPr>
        <w:spacing w:line="257" w:lineRule="auto"/>
        <w:ind w:left="714" w:hanging="357"/>
        <w:rPr>
          <w:rFonts w:ascii="Arial" w:hAnsi="Arial" w:cs="Arial"/>
        </w:rPr>
      </w:pPr>
      <w:r w:rsidRPr="00B66132">
        <w:rPr>
          <w:rFonts w:ascii="Arial" w:hAnsi="Arial" w:cs="Arial"/>
        </w:rPr>
        <w:t xml:space="preserve">for strict or absolute liability offences/civil </w:t>
      </w:r>
      <w:proofErr w:type="gramStart"/>
      <w:r w:rsidRPr="00B66132">
        <w:rPr>
          <w:rFonts w:ascii="Arial" w:hAnsi="Arial" w:cs="Arial"/>
        </w:rPr>
        <w:t>penalties;</w:t>
      </w:r>
      <w:proofErr w:type="gramEnd"/>
      <w:r w:rsidRPr="00B66132">
        <w:rPr>
          <w:rFonts w:ascii="Arial" w:hAnsi="Arial" w:cs="Arial"/>
        </w:rPr>
        <w:t xml:space="preserve"> </w:t>
      </w:r>
    </w:p>
    <w:p w14:paraId="16171815" w14:textId="2B7CF172" w:rsidR="00281B4F" w:rsidRPr="00B66132" w:rsidRDefault="00281B4F" w:rsidP="006C6A35">
      <w:pPr>
        <w:pStyle w:val="ListParagraph"/>
        <w:numPr>
          <w:ilvl w:val="0"/>
          <w:numId w:val="19"/>
        </w:numPr>
        <w:spacing w:line="257" w:lineRule="auto"/>
        <w:ind w:left="714" w:hanging="357"/>
        <w:rPr>
          <w:rFonts w:ascii="Arial" w:hAnsi="Arial" w:cs="Arial"/>
        </w:rPr>
      </w:pPr>
      <w:r w:rsidRPr="00B66132">
        <w:rPr>
          <w:rFonts w:ascii="Arial" w:hAnsi="Arial" w:cs="Arial"/>
        </w:rPr>
        <w:t xml:space="preserve">where the physical elements of an offence/contravention are clear cut—for example, breaches do not involve significant forensic enquiry or subjective elements such as state of mind or </w:t>
      </w:r>
      <w:proofErr w:type="gramStart"/>
      <w:r w:rsidRPr="00B66132">
        <w:rPr>
          <w:rFonts w:ascii="Arial" w:hAnsi="Arial" w:cs="Arial"/>
        </w:rPr>
        <w:t>fault;</w:t>
      </w:r>
      <w:proofErr w:type="gramEnd"/>
      <w:r w:rsidRPr="00B66132">
        <w:rPr>
          <w:rFonts w:ascii="Arial" w:hAnsi="Arial" w:cs="Arial"/>
        </w:rPr>
        <w:t xml:space="preserve"> </w:t>
      </w:r>
    </w:p>
    <w:p w14:paraId="1A0A4624" w14:textId="21430263" w:rsidR="00281B4F" w:rsidRPr="00B66132" w:rsidRDefault="00281B4F" w:rsidP="006C6A35">
      <w:pPr>
        <w:pStyle w:val="ListParagraph"/>
        <w:numPr>
          <w:ilvl w:val="0"/>
          <w:numId w:val="19"/>
        </w:numPr>
        <w:spacing w:line="257" w:lineRule="auto"/>
        <w:ind w:left="714" w:hanging="357"/>
        <w:rPr>
          <w:rFonts w:ascii="Arial" w:hAnsi="Arial" w:cs="Arial"/>
        </w:rPr>
      </w:pPr>
      <w:r w:rsidRPr="00B66132">
        <w:rPr>
          <w:rFonts w:ascii="Arial" w:hAnsi="Arial" w:cs="Arial"/>
        </w:rPr>
        <w:t>for relatively minor offences/</w:t>
      </w:r>
      <w:proofErr w:type="gramStart"/>
      <w:r w:rsidRPr="00B66132">
        <w:rPr>
          <w:rFonts w:ascii="Arial" w:hAnsi="Arial" w:cs="Arial"/>
        </w:rPr>
        <w:t>contraventions;</w:t>
      </w:r>
      <w:proofErr w:type="gramEnd"/>
      <w:r w:rsidRPr="00B66132">
        <w:rPr>
          <w:rFonts w:ascii="Arial" w:hAnsi="Arial" w:cs="Arial"/>
        </w:rPr>
        <w:t xml:space="preserve"> </w:t>
      </w:r>
    </w:p>
    <w:p w14:paraId="66A1321A" w14:textId="00748E98" w:rsidR="00281B4F" w:rsidRPr="00B66132" w:rsidRDefault="00281B4F" w:rsidP="006C6A35">
      <w:pPr>
        <w:pStyle w:val="ListParagraph"/>
        <w:numPr>
          <w:ilvl w:val="0"/>
          <w:numId w:val="19"/>
        </w:numPr>
        <w:spacing w:line="257" w:lineRule="auto"/>
        <w:ind w:left="714" w:hanging="357"/>
        <w:rPr>
          <w:rFonts w:ascii="Arial" w:hAnsi="Arial" w:cs="Arial"/>
        </w:rPr>
      </w:pPr>
      <w:r w:rsidRPr="00B66132">
        <w:rPr>
          <w:rFonts w:ascii="Arial" w:hAnsi="Arial" w:cs="Arial"/>
        </w:rPr>
        <w:t xml:space="preserve">where there has been a high number of contraventions; or </w:t>
      </w:r>
    </w:p>
    <w:p w14:paraId="55D28FB6" w14:textId="6A3E5B1E" w:rsidR="00281B4F" w:rsidRPr="00B66132" w:rsidRDefault="00281B4F" w:rsidP="006C6A35">
      <w:pPr>
        <w:pStyle w:val="ListParagraph"/>
        <w:numPr>
          <w:ilvl w:val="0"/>
          <w:numId w:val="19"/>
        </w:numPr>
        <w:spacing w:line="257" w:lineRule="auto"/>
        <w:ind w:left="714" w:hanging="357"/>
        <w:rPr>
          <w:rFonts w:ascii="Arial" w:hAnsi="Arial" w:cs="Arial"/>
        </w:rPr>
      </w:pPr>
      <w:r w:rsidRPr="00B66132">
        <w:rPr>
          <w:rFonts w:ascii="Arial" w:hAnsi="Arial" w:cs="Arial"/>
        </w:rPr>
        <w:t xml:space="preserve">where a penalty must be imposed immediately to be effective. </w:t>
      </w:r>
    </w:p>
    <w:p w14:paraId="2708B65D" w14:textId="514A1E6F" w:rsidR="00096B1F" w:rsidRDefault="00096B1F" w:rsidP="006C6A35">
      <w:pPr>
        <w:spacing w:line="257" w:lineRule="auto"/>
        <w:rPr>
          <w:rFonts w:ascii="Arial" w:hAnsi="Arial" w:cs="Arial"/>
        </w:rPr>
      </w:pPr>
      <w:r w:rsidRPr="00302DB5">
        <w:rPr>
          <w:rFonts w:ascii="Arial" w:hAnsi="Arial" w:cs="Arial"/>
        </w:rPr>
        <w:t xml:space="preserve">The ACMA </w:t>
      </w:r>
      <w:r>
        <w:rPr>
          <w:rFonts w:ascii="Arial" w:hAnsi="Arial" w:cs="Arial"/>
        </w:rPr>
        <w:t>considers that</w:t>
      </w:r>
      <w:r w:rsidR="00995C8F">
        <w:rPr>
          <w:rFonts w:ascii="Arial" w:hAnsi="Arial" w:cs="Arial"/>
        </w:rPr>
        <w:t xml:space="preserve"> </w:t>
      </w:r>
      <w:r>
        <w:rPr>
          <w:rFonts w:ascii="Arial" w:hAnsi="Arial" w:cs="Arial"/>
        </w:rPr>
        <w:t>each of the identified obligations</w:t>
      </w:r>
      <w:r w:rsidRPr="00302DB5">
        <w:rPr>
          <w:rFonts w:ascii="Arial" w:hAnsi="Arial" w:cs="Arial"/>
        </w:rPr>
        <w:t xml:space="preserve"> </w:t>
      </w:r>
      <w:r w:rsidR="00FF44DF">
        <w:rPr>
          <w:rFonts w:ascii="Arial" w:hAnsi="Arial" w:cs="Arial"/>
        </w:rPr>
        <w:t>is</w:t>
      </w:r>
      <w:r w:rsidRPr="00302DB5">
        <w:rPr>
          <w:rFonts w:ascii="Arial" w:hAnsi="Arial" w:cs="Arial"/>
        </w:rPr>
        <w:t xml:space="preserve"> suitable for enforcement via the infringement notice regime</w:t>
      </w:r>
      <w:r w:rsidRPr="002B78D5">
        <w:rPr>
          <w:rFonts w:ascii="Arial" w:hAnsi="Arial" w:cs="Arial"/>
          <w:color w:val="000000"/>
        </w:rPr>
        <w:t xml:space="preserve"> under this Declaration because the physical elements of the contraventions are considered to be clear cut, and compliance is readily ascertainable</w:t>
      </w:r>
      <w:r>
        <w:rPr>
          <w:rFonts w:ascii="Arial" w:hAnsi="Arial" w:cs="Arial"/>
          <w:color w:val="000000"/>
        </w:rPr>
        <w:t>.</w:t>
      </w:r>
    </w:p>
    <w:p w14:paraId="4740BF70" w14:textId="237E5F78" w:rsidR="00281B4F" w:rsidRPr="00302DB5" w:rsidRDefault="00281B4F" w:rsidP="006C6A35">
      <w:pPr>
        <w:spacing w:line="257" w:lineRule="auto"/>
        <w:rPr>
          <w:rFonts w:ascii="Arial" w:hAnsi="Arial" w:cs="Arial"/>
        </w:rPr>
      </w:pPr>
      <w:r w:rsidRPr="00302DB5">
        <w:rPr>
          <w:rFonts w:ascii="Arial" w:hAnsi="Arial" w:cs="Arial"/>
        </w:rPr>
        <w:t xml:space="preserve">The provisions </w:t>
      </w:r>
      <w:r w:rsidR="009D6C87">
        <w:rPr>
          <w:rFonts w:ascii="Arial" w:hAnsi="Arial" w:cs="Arial"/>
        </w:rPr>
        <w:t>now</w:t>
      </w:r>
      <w:r w:rsidRPr="00302DB5">
        <w:rPr>
          <w:rFonts w:ascii="Arial" w:hAnsi="Arial" w:cs="Arial"/>
        </w:rPr>
        <w:t xml:space="preserve"> included in the Declaration are discussed below:</w:t>
      </w:r>
    </w:p>
    <w:p w14:paraId="56E1D660" w14:textId="1A07FDD9" w:rsidR="00115525" w:rsidRPr="007042E0" w:rsidRDefault="00115525" w:rsidP="006C6A35">
      <w:pPr>
        <w:spacing w:line="257" w:lineRule="auto"/>
        <w:rPr>
          <w:rFonts w:ascii="Arial" w:hAnsi="Arial" w:cs="Arial"/>
          <w:b/>
          <w:bCs/>
        </w:rPr>
      </w:pPr>
      <w:r w:rsidRPr="007042E0">
        <w:rPr>
          <w:rFonts w:ascii="Arial" w:hAnsi="Arial" w:cs="Arial"/>
          <w:b/>
          <w:bCs/>
        </w:rPr>
        <w:t xml:space="preserve">Provisions of the </w:t>
      </w:r>
      <w:r w:rsidRPr="0046005E">
        <w:rPr>
          <w:rFonts w:ascii="Arial" w:hAnsi="Arial" w:cs="Arial"/>
          <w:b/>
          <w:bCs/>
          <w:i/>
          <w:iCs/>
        </w:rPr>
        <w:t>Telecommunications Act 1997</w:t>
      </w:r>
    </w:p>
    <w:p w14:paraId="3344CDE1" w14:textId="445AA0D2" w:rsidR="00CE1A14" w:rsidRPr="00302DB5" w:rsidRDefault="00CE1A14" w:rsidP="006C6A35">
      <w:pPr>
        <w:spacing w:line="257" w:lineRule="auto"/>
        <w:rPr>
          <w:rFonts w:ascii="Arial" w:hAnsi="Arial" w:cs="Arial"/>
          <w:u w:val="single"/>
        </w:rPr>
      </w:pPr>
      <w:r w:rsidRPr="00302DB5">
        <w:rPr>
          <w:rFonts w:ascii="Arial" w:hAnsi="Arial" w:cs="Arial"/>
          <w:u w:val="single"/>
        </w:rPr>
        <w:lastRenderedPageBreak/>
        <w:t>Contravention of a remedial direction – subsection</w:t>
      </w:r>
      <w:r w:rsidR="00322CA6">
        <w:rPr>
          <w:rFonts w:ascii="Arial" w:hAnsi="Arial" w:cs="Arial"/>
          <w:u w:val="single"/>
        </w:rPr>
        <w:t>s 69(4) and</w:t>
      </w:r>
      <w:r w:rsidRPr="00302DB5">
        <w:rPr>
          <w:rFonts w:ascii="Arial" w:hAnsi="Arial" w:cs="Arial"/>
          <w:u w:val="single"/>
        </w:rPr>
        <w:t xml:space="preserve"> 102(4) of </w:t>
      </w:r>
      <w:r>
        <w:rPr>
          <w:rFonts w:ascii="Arial" w:hAnsi="Arial" w:cs="Arial"/>
          <w:u w:val="single"/>
        </w:rPr>
        <w:t>the Act</w:t>
      </w:r>
      <w:r w:rsidRPr="00302DB5">
        <w:rPr>
          <w:rFonts w:ascii="Arial" w:hAnsi="Arial" w:cs="Arial"/>
          <w:u w:val="single"/>
        </w:rPr>
        <w:t xml:space="preserve"> </w:t>
      </w:r>
    </w:p>
    <w:p w14:paraId="719AF359" w14:textId="36BF8254" w:rsidR="00CE1A14" w:rsidRDefault="00CE1A14" w:rsidP="006C6A35">
      <w:pPr>
        <w:spacing w:line="257" w:lineRule="auto"/>
        <w:rPr>
          <w:rFonts w:ascii="Arial" w:hAnsi="Arial" w:cs="Arial"/>
        </w:rPr>
      </w:pPr>
      <w:r w:rsidRPr="00302DB5">
        <w:rPr>
          <w:rFonts w:ascii="Arial" w:hAnsi="Arial" w:cs="Arial"/>
        </w:rPr>
        <w:t>The ACMA may issue a remedial direction to a</w:t>
      </w:r>
      <w:r w:rsidR="00C67481">
        <w:rPr>
          <w:rFonts w:ascii="Arial" w:hAnsi="Arial" w:cs="Arial"/>
        </w:rPr>
        <w:t xml:space="preserve"> carrier or a</w:t>
      </w:r>
      <w:r w:rsidRPr="00302DB5">
        <w:rPr>
          <w:rFonts w:ascii="Arial" w:hAnsi="Arial" w:cs="Arial"/>
        </w:rPr>
        <w:t xml:space="preserve"> service provider in circumstances where that </w:t>
      </w:r>
      <w:r w:rsidR="00FE7533">
        <w:rPr>
          <w:rFonts w:ascii="Arial" w:hAnsi="Arial" w:cs="Arial"/>
        </w:rPr>
        <w:t xml:space="preserve">carrier or </w:t>
      </w:r>
      <w:r w:rsidRPr="00302DB5">
        <w:rPr>
          <w:rFonts w:ascii="Arial" w:hAnsi="Arial" w:cs="Arial"/>
        </w:rPr>
        <w:t>provider has contravened, or is contravening, a</w:t>
      </w:r>
      <w:r w:rsidR="00A17298">
        <w:rPr>
          <w:rFonts w:ascii="Arial" w:hAnsi="Arial" w:cs="Arial"/>
        </w:rPr>
        <w:t xml:space="preserve"> carrier li</w:t>
      </w:r>
      <w:r w:rsidR="002A43F8">
        <w:rPr>
          <w:rFonts w:ascii="Arial" w:hAnsi="Arial" w:cs="Arial"/>
        </w:rPr>
        <w:t>cence condition or a</w:t>
      </w:r>
      <w:r w:rsidRPr="00302DB5">
        <w:rPr>
          <w:rFonts w:ascii="Arial" w:hAnsi="Arial" w:cs="Arial"/>
        </w:rPr>
        <w:t xml:space="preserve"> service provider rule</w:t>
      </w:r>
      <w:r w:rsidR="00C92E6B">
        <w:rPr>
          <w:rFonts w:ascii="Arial" w:hAnsi="Arial" w:cs="Arial"/>
        </w:rPr>
        <w:t>, respectively.</w:t>
      </w:r>
      <w:r w:rsidRPr="00302DB5">
        <w:rPr>
          <w:rFonts w:ascii="Arial" w:hAnsi="Arial" w:cs="Arial"/>
        </w:rPr>
        <w:t xml:space="preserve"> </w:t>
      </w:r>
    </w:p>
    <w:p w14:paraId="60768987" w14:textId="281065C1" w:rsidR="00CE1A14" w:rsidRPr="00302DB5" w:rsidRDefault="00D93310" w:rsidP="006C6A35">
      <w:pPr>
        <w:spacing w:line="257" w:lineRule="auto"/>
        <w:rPr>
          <w:rFonts w:ascii="Arial" w:hAnsi="Arial" w:cs="Arial"/>
        </w:rPr>
      </w:pPr>
      <w:r>
        <w:rPr>
          <w:rFonts w:ascii="Arial" w:hAnsi="Arial" w:cs="Arial"/>
        </w:rPr>
        <w:t>T</w:t>
      </w:r>
      <w:r w:rsidR="00CE1A14" w:rsidRPr="00302DB5">
        <w:rPr>
          <w:rFonts w:ascii="Arial" w:hAnsi="Arial" w:cs="Arial"/>
        </w:rPr>
        <w:t xml:space="preserve">he ACMA may give the </w:t>
      </w:r>
      <w:r w:rsidR="00465D06">
        <w:rPr>
          <w:rFonts w:ascii="Arial" w:hAnsi="Arial" w:cs="Arial"/>
        </w:rPr>
        <w:t xml:space="preserve">carrier or </w:t>
      </w:r>
      <w:r w:rsidR="00CE1A14" w:rsidRPr="00302DB5">
        <w:rPr>
          <w:rFonts w:ascii="Arial" w:hAnsi="Arial" w:cs="Arial"/>
        </w:rPr>
        <w:t xml:space="preserve">provider a written direction requiring the </w:t>
      </w:r>
      <w:r w:rsidR="00090685">
        <w:rPr>
          <w:rFonts w:ascii="Arial" w:hAnsi="Arial" w:cs="Arial"/>
        </w:rPr>
        <w:t xml:space="preserve">licensee or </w:t>
      </w:r>
      <w:r w:rsidR="00CE1A14" w:rsidRPr="00302DB5">
        <w:rPr>
          <w:rFonts w:ascii="Arial" w:hAnsi="Arial" w:cs="Arial"/>
        </w:rPr>
        <w:t>provider to take specified action directed towards ensuring that the</w:t>
      </w:r>
      <w:r w:rsidR="00090685">
        <w:rPr>
          <w:rFonts w:ascii="Arial" w:hAnsi="Arial" w:cs="Arial"/>
        </w:rPr>
        <w:t xml:space="preserve"> licensee or</w:t>
      </w:r>
      <w:r w:rsidR="00CE1A14" w:rsidRPr="00302DB5">
        <w:rPr>
          <w:rFonts w:ascii="Arial" w:hAnsi="Arial" w:cs="Arial"/>
        </w:rPr>
        <w:t xml:space="preserve"> provider does not contravene the </w:t>
      </w:r>
      <w:r w:rsidR="00FA1809">
        <w:rPr>
          <w:rFonts w:ascii="Arial" w:hAnsi="Arial" w:cs="Arial"/>
        </w:rPr>
        <w:t xml:space="preserve">licence condition or </w:t>
      </w:r>
      <w:r w:rsidR="00A8760C">
        <w:rPr>
          <w:rFonts w:ascii="Arial" w:hAnsi="Arial" w:cs="Arial"/>
        </w:rPr>
        <w:t xml:space="preserve">service provider </w:t>
      </w:r>
      <w:proofErr w:type="gramStart"/>
      <w:r w:rsidR="00CE1A14" w:rsidRPr="00302DB5">
        <w:rPr>
          <w:rFonts w:ascii="Arial" w:hAnsi="Arial" w:cs="Arial"/>
        </w:rPr>
        <w:t>rule, or</w:t>
      </w:r>
      <w:proofErr w:type="gramEnd"/>
      <w:r w:rsidR="00CE1A14" w:rsidRPr="00302DB5">
        <w:rPr>
          <w:rFonts w:ascii="Arial" w:hAnsi="Arial" w:cs="Arial"/>
        </w:rPr>
        <w:t xml:space="preserve"> is unlikely to contravene the </w:t>
      </w:r>
      <w:r w:rsidR="00A8760C">
        <w:rPr>
          <w:rFonts w:ascii="Arial" w:hAnsi="Arial" w:cs="Arial"/>
        </w:rPr>
        <w:t xml:space="preserve">licence condition or service provider </w:t>
      </w:r>
      <w:r w:rsidR="00CE1A14" w:rsidRPr="00302DB5">
        <w:rPr>
          <w:rFonts w:ascii="Arial" w:hAnsi="Arial" w:cs="Arial"/>
        </w:rPr>
        <w:t xml:space="preserve">rule, in the future. </w:t>
      </w:r>
      <w:r w:rsidR="00DE1C37">
        <w:rPr>
          <w:rFonts w:ascii="Arial" w:hAnsi="Arial" w:cs="Arial"/>
        </w:rPr>
        <w:t>For example</w:t>
      </w:r>
      <w:r w:rsidR="00CE1A14" w:rsidRPr="00302DB5">
        <w:rPr>
          <w:rFonts w:ascii="Arial" w:hAnsi="Arial" w:cs="Arial"/>
        </w:rPr>
        <w:t>, the ACMA may issue a remedial direction to an</w:t>
      </w:r>
      <w:r w:rsidR="00DE1C37">
        <w:rPr>
          <w:rFonts w:ascii="Arial" w:hAnsi="Arial" w:cs="Arial"/>
        </w:rPr>
        <w:t xml:space="preserve"> eligible </w:t>
      </w:r>
      <w:r w:rsidR="00296BCB">
        <w:rPr>
          <w:rFonts w:ascii="Arial" w:hAnsi="Arial" w:cs="Arial"/>
        </w:rPr>
        <w:t>CSP</w:t>
      </w:r>
      <w:r w:rsidR="00CE1A14" w:rsidRPr="00302DB5">
        <w:rPr>
          <w:rFonts w:ascii="Arial" w:hAnsi="Arial" w:cs="Arial"/>
        </w:rPr>
        <w:t xml:space="preserve"> who has not joined the </w:t>
      </w:r>
      <w:r w:rsidR="009D6686">
        <w:rPr>
          <w:rFonts w:ascii="Arial" w:hAnsi="Arial" w:cs="Arial"/>
        </w:rPr>
        <w:t>Telecommunications Industry Ombudsman</w:t>
      </w:r>
      <w:r w:rsidR="009D6686" w:rsidRPr="00302DB5">
        <w:rPr>
          <w:rFonts w:ascii="Arial" w:hAnsi="Arial" w:cs="Arial"/>
        </w:rPr>
        <w:t xml:space="preserve"> </w:t>
      </w:r>
      <w:r w:rsidR="00CE1A14" w:rsidRPr="00302DB5">
        <w:rPr>
          <w:rFonts w:ascii="Arial" w:hAnsi="Arial" w:cs="Arial"/>
        </w:rPr>
        <w:t>scheme</w:t>
      </w:r>
      <w:r w:rsidR="00090685">
        <w:rPr>
          <w:rFonts w:ascii="Arial" w:hAnsi="Arial" w:cs="Arial"/>
        </w:rPr>
        <w:t xml:space="preserve"> (</w:t>
      </w:r>
      <w:r w:rsidR="00090685" w:rsidRPr="0046005E">
        <w:rPr>
          <w:rFonts w:ascii="Arial" w:hAnsi="Arial" w:cs="Arial"/>
          <w:b/>
          <w:bCs/>
        </w:rPr>
        <w:t>the TIO Scheme</w:t>
      </w:r>
      <w:r w:rsidR="00090685">
        <w:rPr>
          <w:rFonts w:ascii="Arial" w:hAnsi="Arial" w:cs="Arial"/>
        </w:rPr>
        <w:t>)</w:t>
      </w:r>
      <w:r w:rsidR="00CE1A14" w:rsidRPr="00302DB5">
        <w:rPr>
          <w:rFonts w:ascii="Arial" w:hAnsi="Arial" w:cs="Arial"/>
        </w:rPr>
        <w:t xml:space="preserve">, contrary to the requirement in subsection 128(1) of the TCPSS Act, directing the provider to join the TIO scheme. </w:t>
      </w:r>
    </w:p>
    <w:p w14:paraId="7D30C2B8" w14:textId="29F4E688" w:rsidR="003030B0" w:rsidRPr="00302DB5" w:rsidRDefault="003030B0" w:rsidP="006C6A35">
      <w:pPr>
        <w:spacing w:line="257" w:lineRule="auto"/>
        <w:rPr>
          <w:rFonts w:ascii="Arial" w:hAnsi="Arial" w:cs="Arial"/>
        </w:rPr>
      </w:pPr>
      <w:r w:rsidRPr="00302DB5">
        <w:rPr>
          <w:rFonts w:ascii="Arial" w:hAnsi="Arial" w:cs="Arial"/>
        </w:rPr>
        <w:t xml:space="preserve">Subsection </w:t>
      </w:r>
      <w:r>
        <w:rPr>
          <w:rFonts w:ascii="Arial" w:hAnsi="Arial" w:cs="Arial"/>
        </w:rPr>
        <w:t>69</w:t>
      </w:r>
      <w:r w:rsidRPr="00302DB5">
        <w:rPr>
          <w:rFonts w:ascii="Arial" w:hAnsi="Arial" w:cs="Arial"/>
        </w:rPr>
        <w:t>(4) provides that a</w:t>
      </w:r>
      <w:r w:rsidR="00C67481">
        <w:rPr>
          <w:rFonts w:ascii="Arial" w:hAnsi="Arial" w:cs="Arial"/>
        </w:rPr>
        <w:t xml:space="preserve"> carrier </w:t>
      </w:r>
      <w:r w:rsidRPr="00302DB5">
        <w:rPr>
          <w:rFonts w:ascii="Arial" w:hAnsi="Arial" w:cs="Arial"/>
        </w:rPr>
        <w:t xml:space="preserve">must not contravene a direction given by the ACMA under subsection </w:t>
      </w:r>
      <w:r w:rsidR="00C67481">
        <w:rPr>
          <w:rFonts w:ascii="Arial" w:hAnsi="Arial" w:cs="Arial"/>
        </w:rPr>
        <w:t>69</w:t>
      </w:r>
      <w:r w:rsidRPr="00302DB5">
        <w:rPr>
          <w:rFonts w:ascii="Arial" w:hAnsi="Arial" w:cs="Arial"/>
        </w:rPr>
        <w:t xml:space="preserve">(2). </w:t>
      </w:r>
    </w:p>
    <w:p w14:paraId="3AC053F6" w14:textId="133471E5" w:rsidR="000F3B35" w:rsidRDefault="00CE1A14" w:rsidP="006C6A35">
      <w:pPr>
        <w:spacing w:line="257" w:lineRule="auto"/>
        <w:rPr>
          <w:rFonts w:ascii="Arial" w:hAnsi="Arial" w:cs="Arial"/>
        </w:rPr>
      </w:pPr>
      <w:r w:rsidRPr="00302DB5">
        <w:rPr>
          <w:rFonts w:ascii="Arial" w:hAnsi="Arial" w:cs="Arial"/>
        </w:rPr>
        <w:t xml:space="preserve">Subsection 102(4) provides that a service provider must not contravene a direction given by the ACMA under subsection 102(2). </w:t>
      </w:r>
    </w:p>
    <w:p w14:paraId="1CDD85FB" w14:textId="52503FD9" w:rsidR="00601E52" w:rsidRPr="001B5DD5" w:rsidRDefault="00601E52" w:rsidP="006C6A35">
      <w:pPr>
        <w:spacing w:line="257" w:lineRule="auto"/>
        <w:rPr>
          <w:rFonts w:ascii="Arial" w:hAnsi="Arial" w:cs="Arial"/>
          <w:u w:val="single"/>
        </w:rPr>
      </w:pPr>
      <w:bookmarkStart w:id="1" w:name="_Toc95899087"/>
      <w:r w:rsidRPr="001B5DD5">
        <w:rPr>
          <w:rFonts w:ascii="Arial" w:hAnsi="Arial" w:cs="Arial"/>
          <w:color w:val="000000"/>
          <w:u w:val="single"/>
          <w:shd w:val="clear" w:color="auto" w:fill="FFFFFF"/>
        </w:rPr>
        <w:t xml:space="preserve">Annual reports to the ACMA by carriers, </w:t>
      </w:r>
      <w:r w:rsidR="00296BCB">
        <w:rPr>
          <w:rFonts w:ascii="Arial" w:hAnsi="Arial" w:cs="Arial"/>
          <w:color w:val="000000"/>
          <w:u w:val="single"/>
          <w:shd w:val="clear" w:color="auto" w:fill="FFFFFF"/>
        </w:rPr>
        <w:t>CSP</w:t>
      </w:r>
      <w:r w:rsidRPr="001B5DD5">
        <w:rPr>
          <w:rFonts w:ascii="Arial" w:hAnsi="Arial" w:cs="Arial"/>
          <w:color w:val="000000"/>
          <w:u w:val="single"/>
          <w:shd w:val="clear" w:color="auto" w:fill="FFFFFF"/>
        </w:rPr>
        <w:t xml:space="preserve"> or number</w:t>
      </w:r>
      <w:r w:rsidRPr="001B5DD5">
        <w:rPr>
          <w:rFonts w:ascii="Arial" w:hAnsi="Arial" w:cs="Arial"/>
          <w:color w:val="000000"/>
          <w:u w:val="single"/>
          <w:shd w:val="clear" w:color="auto" w:fill="FFFFFF"/>
        </w:rPr>
        <w:noBreakHyphen/>
        <w:t>database operators</w:t>
      </w:r>
      <w:bookmarkEnd w:id="1"/>
    </w:p>
    <w:p w14:paraId="562962A6" w14:textId="28A3505E" w:rsidR="00852371" w:rsidRPr="00302DB5" w:rsidRDefault="00934A12" w:rsidP="006C6A35">
      <w:pPr>
        <w:spacing w:line="257" w:lineRule="auto"/>
        <w:rPr>
          <w:rFonts w:ascii="Arial" w:hAnsi="Arial" w:cs="Arial"/>
        </w:rPr>
      </w:pPr>
      <w:r w:rsidRPr="00302DB5">
        <w:rPr>
          <w:rFonts w:ascii="Arial" w:hAnsi="Arial" w:cs="Arial"/>
        </w:rPr>
        <w:t xml:space="preserve">Section 308 of </w:t>
      </w:r>
      <w:r w:rsidR="00E11923">
        <w:rPr>
          <w:rFonts w:ascii="Arial" w:hAnsi="Arial" w:cs="Arial"/>
        </w:rPr>
        <w:t>the Act</w:t>
      </w:r>
      <w:r w:rsidRPr="00302DB5">
        <w:rPr>
          <w:rFonts w:ascii="Arial" w:hAnsi="Arial" w:cs="Arial"/>
        </w:rPr>
        <w:t xml:space="preserve"> requires that carriers, </w:t>
      </w:r>
      <w:r w:rsidR="00296BCB">
        <w:rPr>
          <w:rFonts w:ascii="Arial" w:hAnsi="Arial" w:cs="Arial"/>
        </w:rPr>
        <w:t>CSP</w:t>
      </w:r>
      <w:r w:rsidRPr="00302DB5">
        <w:rPr>
          <w:rFonts w:ascii="Arial" w:hAnsi="Arial" w:cs="Arial"/>
        </w:rPr>
        <w:t xml:space="preserve"> and number data base operators must within 2 months after the end of the financial year give the ACMA a report on the disclosure of information. </w:t>
      </w:r>
    </w:p>
    <w:p w14:paraId="4201B1F9" w14:textId="77777777" w:rsidR="00D31195" w:rsidRPr="00D056E5" w:rsidRDefault="00D31195" w:rsidP="006C6A35">
      <w:pPr>
        <w:spacing w:line="257" w:lineRule="auto"/>
        <w:rPr>
          <w:rFonts w:ascii="Arial" w:hAnsi="Arial" w:cs="Arial"/>
          <w:u w:val="single"/>
        </w:rPr>
      </w:pPr>
      <w:r w:rsidRPr="00406409">
        <w:rPr>
          <w:rFonts w:ascii="Arial" w:hAnsi="Arial" w:cs="Arial"/>
          <w:u w:val="single"/>
        </w:rPr>
        <w:t>Provisions in Part 19 relating to obligations under the Statutory Infrastructure Provider regime</w:t>
      </w:r>
      <w:r w:rsidRPr="00D056E5">
        <w:rPr>
          <w:rFonts w:ascii="Arial" w:hAnsi="Arial" w:cs="Arial"/>
          <w:u w:val="single"/>
        </w:rPr>
        <w:t xml:space="preserve"> </w:t>
      </w:r>
    </w:p>
    <w:p w14:paraId="561575B9" w14:textId="69C33A68" w:rsidR="00D31195" w:rsidRDefault="00D31195" w:rsidP="006C6A35">
      <w:pPr>
        <w:spacing w:line="257" w:lineRule="auto"/>
        <w:rPr>
          <w:rFonts w:ascii="Arial" w:hAnsi="Arial" w:cs="Arial"/>
          <w:color w:val="000000"/>
          <w:shd w:val="clear" w:color="auto" w:fill="FFFFFF"/>
        </w:rPr>
      </w:pPr>
      <w:r>
        <w:rPr>
          <w:rFonts w:ascii="Arial" w:hAnsi="Arial" w:cs="Arial"/>
          <w:color w:val="000000"/>
          <w:shd w:val="clear" w:color="auto" w:fill="FFFFFF"/>
        </w:rPr>
        <w:t>Part 19 was added to the Act to ensure that consumers in all premises around Australia can be connect</w:t>
      </w:r>
      <w:r w:rsidR="001556B4">
        <w:rPr>
          <w:rFonts w:ascii="Arial" w:hAnsi="Arial" w:cs="Arial"/>
          <w:color w:val="000000"/>
          <w:shd w:val="clear" w:color="auto" w:fill="FFFFFF"/>
        </w:rPr>
        <w:t>ed</w:t>
      </w:r>
      <w:r>
        <w:rPr>
          <w:rFonts w:ascii="Arial" w:hAnsi="Arial" w:cs="Arial"/>
          <w:color w:val="000000"/>
          <w:shd w:val="clear" w:color="auto" w:fill="FFFFFF"/>
        </w:rPr>
        <w:t xml:space="preserve"> to a </w:t>
      </w:r>
      <w:r w:rsidRPr="00783963">
        <w:rPr>
          <w:rFonts w:ascii="Arial" w:hAnsi="Arial" w:cs="Arial"/>
          <w:color w:val="000000"/>
          <w:shd w:val="clear" w:color="auto" w:fill="FFFFFF"/>
        </w:rPr>
        <w:t xml:space="preserve">superfast broadband service over </w:t>
      </w:r>
      <w:r>
        <w:rPr>
          <w:rFonts w:ascii="Arial" w:hAnsi="Arial" w:cs="Arial"/>
          <w:color w:val="000000"/>
          <w:shd w:val="clear" w:color="auto" w:fill="FFFFFF"/>
        </w:rPr>
        <w:t xml:space="preserve">a fixed line </w:t>
      </w:r>
      <w:r w:rsidRPr="00783963">
        <w:rPr>
          <w:rFonts w:ascii="Arial" w:hAnsi="Arial" w:cs="Arial"/>
          <w:color w:val="000000"/>
          <w:shd w:val="clear" w:color="auto" w:fill="FFFFFF"/>
        </w:rPr>
        <w:t xml:space="preserve">network </w:t>
      </w:r>
      <w:r>
        <w:rPr>
          <w:rFonts w:ascii="Arial" w:hAnsi="Arial" w:cs="Arial"/>
          <w:color w:val="000000"/>
          <w:shd w:val="clear" w:color="auto" w:fill="FFFFFF"/>
        </w:rPr>
        <w:t xml:space="preserve">(in most cases), or over fixed wireless or satellite networks outside the fixed line network footprint. </w:t>
      </w:r>
      <w:r w:rsidRPr="006138C8">
        <w:rPr>
          <w:rFonts w:ascii="Arial" w:hAnsi="Arial" w:cs="Arial"/>
          <w:color w:val="000000"/>
          <w:shd w:val="clear" w:color="auto" w:fill="FFFFFF"/>
        </w:rPr>
        <w:t xml:space="preserve">The </w:t>
      </w:r>
      <w:r w:rsidRPr="007818DA">
        <w:rPr>
          <w:rFonts w:ascii="Arial" w:hAnsi="Arial" w:cs="Arial"/>
          <w:color w:val="000000"/>
          <w:shd w:val="clear" w:color="auto" w:fill="FFFFFF"/>
        </w:rPr>
        <w:t>SIP</w:t>
      </w:r>
      <w:r>
        <w:rPr>
          <w:rFonts w:ascii="Arial" w:hAnsi="Arial" w:cs="Arial"/>
          <w:color w:val="000000"/>
          <w:shd w:val="clear" w:color="auto" w:fill="FFFFFF"/>
        </w:rPr>
        <w:t xml:space="preserve"> </w:t>
      </w:r>
      <w:r w:rsidRPr="006138C8">
        <w:rPr>
          <w:rFonts w:ascii="Arial" w:hAnsi="Arial" w:cs="Arial"/>
          <w:color w:val="000000"/>
          <w:shd w:val="clear" w:color="auto" w:fill="FFFFFF"/>
        </w:rPr>
        <w:t xml:space="preserve">for a service area must, on reasonable request by a </w:t>
      </w:r>
      <w:r w:rsidR="00296BCB">
        <w:rPr>
          <w:rFonts w:ascii="Arial" w:hAnsi="Arial" w:cs="Arial"/>
          <w:color w:val="000000"/>
          <w:shd w:val="clear" w:color="auto" w:fill="FFFFFF"/>
        </w:rPr>
        <w:t>CSP</w:t>
      </w:r>
      <w:r w:rsidRPr="006138C8">
        <w:rPr>
          <w:rFonts w:ascii="Arial" w:hAnsi="Arial" w:cs="Arial"/>
          <w:color w:val="000000"/>
          <w:shd w:val="clear" w:color="auto" w:fill="FFFFFF"/>
        </w:rPr>
        <w:t xml:space="preserve"> on behalf of an end</w:t>
      </w:r>
      <w:r w:rsidRPr="006138C8">
        <w:rPr>
          <w:rFonts w:ascii="Arial" w:hAnsi="Arial" w:cs="Arial"/>
          <w:color w:val="000000"/>
          <w:shd w:val="clear" w:color="auto" w:fill="FFFFFF"/>
        </w:rPr>
        <w:noBreakHyphen/>
        <w:t xml:space="preserve">user at premises in the service area, connect the premises to a qualifying telecommunications network in order </w:t>
      </w:r>
      <w:r w:rsidR="00E0064E">
        <w:rPr>
          <w:rFonts w:ascii="Arial" w:hAnsi="Arial" w:cs="Arial"/>
          <w:color w:val="000000"/>
          <w:shd w:val="clear" w:color="auto" w:fill="FFFFFF"/>
        </w:rPr>
        <w:t>for</w:t>
      </w:r>
      <w:r w:rsidRPr="006138C8">
        <w:rPr>
          <w:rFonts w:ascii="Arial" w:hAnsi="Arial" w:cs="Arial"/>
          <w:color w:val="000000"/>
          <w:shd w:val="clear" w:color="auto" w:fill="FFFFFF"/>
        </w:rPr>
        <w:t xml:space="preserve"> the </w:t>
      </w:r>
      <w:r w:rsidR="00296BCB">
        <w:rPr>
          <w:rFonts w:ascii="Arial" w:hAnsi="Arial" w:cs="Arial"/>
          <w:color w:val="000000"/>
          <w:shd w:val="clear" w:color="auto" w:fill="FFFFFF"/>
        </w:rPr>
        <w:t>CSP</w:t>
      </w:r>
      <w:r w:rsidRPr="006138C8">
        <w:rPr>
          <w:rFonts w:ascii="Arial" w:hAnsi="Arial" w:cs="Arial"/>
          <w:color w:val="000000"/>
          <w:shd w:val="clear" w:color="auto" w:fill="FFFFFF"/>
        </w:rPr>
        <w:t xml:space="preserve"> </w:t>
      </w:r>
      <w:r w:rsidR="00E0064E">
        <w:rPr>
          <w:rFonts w:ascii="Arial" w:hAnsi="Arial" w:cs="Arial"/>
          <w:color w:val="000000"/>
          <w:shd w:val="clear" w:color="auto" w:fill="FFFFFF"/>
        </w:rPr>
        <w:t>to</w:t>
      </w:r>
      <w:r w:rsidRPr="006138C8">
        <w:rPr>
          <w:rFonts w:ascii="Arial" w:hAnsi="Arial" w:cs="Arial"/>
          <w:color w:val="000000"/>
          <w:shd w:val="clear" w:color="auto" w:fill="FFFFFF"/>
        </w:rPr>
        <w:t xml:space="preserve"> provide qualifying carriage services to the end</w:t>
      </w:r>
      <w:r w:rsidRPr="006138C8">
        <w:rPr>
          <w:rFonts w:ascii="Arial" w:hAnsi="Arial" w:cs="Arial"/>
          <w:color w:val="000000"/>
          <w:shd w:val="clear" w:color="auto" w:fill="FFFFFF"/>
        </w:rPr>
        <w:noBreakHyphen/>
        <w:t>user at the premises.</w:t>
      </w:r>
    </w:p>
    <w:p w14:paraId="10521300" w14:textId="42213B96" w:rsidR="00D31195" w:rsidRDefault="00D31195" w:rsidP="006C6A35">
      <w:pPr>
        <w:spacing w:line="257" w:lineRule="auto"/>
        <w:rPr>
          <w:rFonts w:ascii="Arial" w:hAnsi="Arial" w:cs="Arial"/>
          <w:color w:val="000000"/>
          <w:shd w:val="clear" w:color="auto" w:fill="FFFFFF"/>
        </w:rPr>
      </w:pPr>
      <w:r w:rsidRPr="006D2183">
        <w:rPr>
          <w:rFonts w:ascii="Arial" w:hAnsi="Arial" w:cs="Arial"/>
          <w:color w:val="000000"/>
          <w:shd w:val="clear" w:color="auto" w:fill="FFFFFF"/>
        </w:rPr>
        <w:t>SIPs are telecommunications carriers that are obliged to provide baseline wholesale broadband services in the areas that they service</w:t>
      </w:r>
      <w:r w:rsidR="0006517C">
        <w:rPr>
          <w:rFonts w:ascii="Arial" w:hAnsi="Arial" w:cs="Arial"/>
          <w:color w:val="000000"/>
          <w:shd w:val="clear" w:color="auto" w:fill="FFFFFF"/>
        </w:rPr>
        <w:t>,</w:t>
      </w:r>
      <w:r w:rsidRPr="006D2183">
        <w:rPr>
          <w:rFonts w:ascii="Arial" w:hAnsi="Arial" w:cs="Arial"/>
          <w:color w:val="000000"/>
          <w:shd w:val="clear" w:color="auto" w:fill="FFFFFF"/>
        </w:rPr>
        <w:t xml:space="preserve"> and support voice services where they operate fixed line and fixed wireless networks.</w:t>
      </w:r>
      <w:r>
        <w:rPr>
          <w:rFonts w:ascii="Arial" w:hAnsi="Arial" w:cs="Arial"/>
          <w:color w:val="000000"/>
          <w:shd w:val="clear" w:color="auto" w:fill="FFFFFF"/>
        </w:rPr>
        <w:t xml:space="preserve"> NBN Co is the default SIP across Australia, however carriers other than NBN Co</w:t>
      </w:r>
      <w:r w:rsidR="00107A01">
        <w:rPr>
          <w:rFonts w:ascii="Arial" w:hAnsi="Arial" w:cs="Arial"/>
          <w:color w:val="000000"/>
          <w:shd w:val="clear" w:color="auto" w:fill="FFFFFF"/>
        </w:rPr>
        <w:t>,</w:t>
      </w:r>
      <w:r>
        <w:rPr>
          <w:rFonts w:ascii="Arial" w:hAnsi="Arial" w:cs="Arial"/>
          <w:color w:val="000000"/>
          <w:shd w:val="clear" w:color="auto" w:fill="FFFFFF"/>
        </w:rPr>
        <w:t xml:space="preserve"> wh</w:t>
      </w:r>
      <w:r w:rsidR="009D6C87">
        <w:rPr>
          <w:rFonts w:ascii="Arial" w:hAnsi="Arial" w:cs="Arial"/>
          <w:color w:val="000000"/>
          <w:shd w:val="clear" w:color="auto" w:fill="FFFFFF"/>
        </w:rPr>
        <w:t>ich</w:t>
      </w:r>
      <w:r>
        <w:rPr>
          <w:rFonts w:ascii="Arial" w:hAnsi="Arial" w:cs="Arial"/>
          <w:color w:val="000000"/>
          <w:shd w:val="clear" w:color="auto" w:fill="FFFFFF"/>
        </w:rPr>
        <w:t xml:space="preserve"> install telecommunications network infrastructure in real estate developments or building redevelopment project areas</w:t>
      </w:r>
      <w:r w:rsidR="00107A01">
        <w:rPr>
          <w:rFonts w:ascii="Arial" w:hAnsi="Arial" w:cs="Arial"/>
          <w:color w:val="000000"/>
          <w:shd w:val="clear" w:color="auto" w:fill="FFFFFF"/>
        </w:rPr>
        <w:t>,</w:t>
      </w:r>
      <w:r>
        <w:rPr>
          <w:rFonts w:ascii="Arial" w:hAnsi="Arial" w:cs="Arial"/>
          <w:color w:val="000000"/>
          <w:shd w:val="clear" w:color="auto" w:fill="FFFFFF"/>
        </w:rPr>
        <w:t xml:space="preserve"> have obligations to declare these areas</w:t>
      </w:r>
      <w:r w:rsidR="001B51EF">
        <w:rPr>
          <w:rFonts w:ascii="Arial" w:hAnsi="Arial" w:cs="Arial"/>
          <w:color w:val="000000"/>
          <w:shd w:val="clear" w:color="auto" w:fill="FFFFFF"/>
        </w:rPr>
        <w:t xml:space="preserve"> (as discussed below)</w:t>
      </w:r>
      <w:r>
        <w:rPr>
          <w:rFonts w:ascii="Arial" w:hAnsi="Arial" w:cs="Arial"/>
          <w:color w:val="000000"/>
          <w:shd w:val="clear" w:color="auto" w:fill="FFFFFF"/>
        </w:rPr>
        <w:t xml:space="preserve"> and make this known publicly and to the ACMA.</w:t>
      </w:r>
    </w:p>
    <w:p w14:paraId="2009737A" w14:textId="31EA49C5" w:rsidR="00AC7D9F" w:rsidRDefault="00D31195" w:rsidP="006C6A35">
      <w:pPr>
        <w:spacing w:line="257" w:lineRule="auto"/>
        <w:rPr>
          <w:rFonts w:ascii="Arial" w:hAnsi="Arial" w:cs="Arial"/>
          <w:color w:val="000000"/>
          <w:shd w:val="clear" w:color="auto" w:fill="FFFFFF"/>
        </w:rPr>
      </w:pPr>
      <w:r>
        <w:rPr>
          <w:rFonts w:ascii="Arial" w:hAnsi="Arial" w:cs="Arial"/>
          <w:color w:val="000000"/>
          <w:shd w:val="clear" w:color="auto" w:fill="FFFFFF"/>
        </w:rPr>
        <w:t>Such carrier declarations are used by the ACMA to fulfil a legislative requirement to maintain a register of SIPs and the areas in which they operate. The ACMA also administers compliance with the SIP regime.</w:t>
      </w:r>
    </w:p>
    <w:p w14:paraId="2E03B15B" w14:textId="3D9E4542" w:rsidR="00E17F83" w:rsidRPr="00E17F83" w:rsidRDefault="00E17F83" w:rsidP="006C6A35">
      <w:pPr>
        <w:spacing w:line="257" w:lineRule="auto"/>
        <w:rPr>
          <w:rFonts w:ascii="Arial" w:hAnsi="Arial" w:cs="Arial"/>
          <w:color w:val="000000"/>
          <w:shd w:val="clear" w:color="auto" w:fill="FFFFFF"/>
        </w:rPr>
      </w:pPr>
      <w:r w:rsidRPr="00E17F83">
        <w:rPr>
          <w:rFonts w:ascii="Arial" w:hAnsi="Arial" w:cs="Arial"/>
          <w:color w:val="000000"/>
          <w:shd w:val="clear" w:color="auto" w:fill="FFFFFF"/>
        </w:rPr>
        <w:t xml:space="preserve">There are a number of provisions under Part 19 of the Act that have been selected to be included as listed infringement notice provisions in Schedule 1 to the Declaration. These include requirements for SIPs to make written declarations within specified timeframes, to publish documents on their website, to provide documents to the ACMA, the Department and CSPs, to </w:t>
      </w:r>
      <w:proofErr w:type="gramStart"/>
      <w:r w:rsidRPr="00E17F83">
        <w:rPr>
          <w:rFonts w:ascii="Arial" w:hAnsi="Arial" w:cs="Arial"/>
          <w:color w:val="000000"/>
          <w:shd w:val="clear" w:color="auto" w:fill="FFFFFF"/>
        </w:rPr>
        <w:t>take action</w:t>
      </w:r>
      <w:proofErr w:type="gramEnd"/>
      <w:r w:rsidRPr="00E17F83">
        <w:rPr>
          <w:rFonts w:ascii="Arial" w:hAnsi="Arial" w:cs="Arial"/>
          <w:color w:val="000000"/>
          <w:shd w:val="clear" w:color="auto" w:fill="FFFFFF"/>
        </w:rPr>
        <w:t xml:space="preserve"> such as connecting or supplying premises and to comply with their </w:t>
      </w:r>
      <w:r w:rsidRPr="00E17F83">
        <w:rPr>
          <w:rFonts w:ascii="Arial" w:hAnsi="Arial" w:cs="Arial"/>
          <w:color w:val="000000"/>
          <w:shd w:val="clear" w:color="auto" w:fill="FFFFFF"/>
        </w:rPr>
        <w:lastRenderedPageBreak/>
        <w:t xml:space="preserve">published terms and conditions. Each of these provisions </w:t>
      </w:r>
      <w:r w:rsidR="009D6C87">
        <w:rPr>
          <w:rFonts w:ascii="Arial" w:hAnsi="Arial" w:cs="Arial"/>
          <w:color w:val="000000"/>
          <w:shd w:val="clear" w:color="auto" w:fill="FFFFFF"/>
        </w:rPr>
        <w:t>is</w:t>
      </w:r>
      <w:r w:rsidRPr="00E17F83">
        <w:rPr>
          <w:rFonts w:ascii="Arial" w:hAnsi="Arial" w:cs="Arial"/>
          <w:color w:val="000000"/>
          <w:shd w:val="clear" w:color="auto" w:fill="FFFFFF"/>
        </w:rPr>
        <w:t xml:space="preserve"> considered suitable to be included as </w:t>
      </w:r>
      <w:r w:rsidR="00457EF6">
        <w:rPr>
          <w:rFonts w:ascii="Arial" w:hAnsi="Arial" w:cs="Arial"/>
          <w:color w:val="000000"/>
          <w:shd w:val="clear" w:color="auto" w:fill="FFFFFF"/>
        </w:rPr>
        <w:t xml:space="preserve">an </w:t>
      </w:r>
      <w:r w:rsidRPr="00E17F83">
        <w:rPr>
          <w:rFonts w:ascii="Arial" w:hAnsi="Arial" w:cs="Arial"/>
          <w:color w:val="000000"/>
          <w:shd w:val="clear" w:color="auto" w:fill="FFFFFF"/>
        </w:rPr>
        <w:t xml:space="preserve">infringement notice provision because </w:t>
      </w:r>
      <w:r w:rsidR="00457EF6">
        <w:rPr>
          <w:rFonts w:ascii="Arial" w:hAnsi="Arial" w:cs="Arial"/>
          <w:color w:val="000000"/>
          <w:shd w:val="clear" w:color="auto" w:fill="FFFFFF"/>
        </w:rPr>
        <w:t>it is</w:t>
      </w:r>
      <w:r w:rsidRPr="00E17F83">
        <w:rPr>
          <w:rFonts w:ascii="Arial" w:hAnsi="Arial" w:cs="Arial"/>
          <w:color w:val="000000"/>
          <w:shd w:val="clear" w:color="auto" w:fill="FFFFFF"/>
        </w:rPr>
        <w:t xml:space="preserve"> considered </w:t>
      </w:r>
      <w:r w:rsidR="00B41E84">
        <w:rPr>
          <w:rFonts w:ascii="Arial" w:hAnsi="Arial" w:cs="Arial"/>
          <w:color w:val="000000"/>
          <w:shd w:val="clear" w:color="auto" w:fill="FFFFFF"/>
        </w:rPr>
        <w:t xml:space="preserve">that compliance with the provision will be a matter that </w:t>
      </w:r>
      <w:r w:rsidR="00C61F82">
        <w:rPr>
          <w:rFonts w:ascii="Arial" w:hAnsi="Arial" w:cs="Arial"/>
          <w:color w:val="000000"/>
          <w:shd w:val="clear" w:color="auto" w:fill="FFFFFF"/>
        </w:rPr>
        <w:t xml:space="preserve">is relatively </w:t>
      </w:r>
      <w:r w:rsidRPr="00E17F83">
        <w:rPr>
          <w:rFonts w:ascii="Arial" w:hAnsi="Arial" w:cs="Arial"/>
          <w:color w:val="000000"/>
          <w:shd w:val="clear" w:color="auto" w:fill="FFFFFF"/>
        </w:rPr>
        <w:t>clear cut and readily ascertainable. The following is a summary of the requirements for each of the provisions from Part 19 of the Act, that have been included in Schedule 1 to the Declaration:</w:t>
      </w:r>
    </w:p>
    <w:p w14:paraId="682D5BD3" w14:textId="26D755CF" w:rsidR="00D31195" w:rsidRPr="00734D83" w:rsidRDefault="00952CC6" w:rsidP="006C6A35">
      <w:pPr>
        <w:pStyle w:val="pf0"/>
        <w:spacing w:before="0" w:beforeAutospacing="0" w:after="160" w:afterAutospacing="0" w:line="257" w:lineRule="auto"/>
        <w:rPr>
          <w:rFonts w:ascii="Arial" w:hAnsi="Arial" w:cs="Arial"/>
          <w:color w:val="000000"/>
          <w:shd w:val="clear" w:color="auto" w:fill="FFFFFF"/>
        </w:rPr>
      </w:pPr>
      <w:r>
        <w:rPr>
          <w:rFonts w:ascii="Arial" w:eastAsiaTheme="minorHAnsi" w:hAnsi="Arial" w:cs="Arial"/>
          <w:color w:val="000000"/>
          <w:sz w:val="22"/>
          <w:szCs w:val="22"/>
          <w:lang w:eastAsia="en-US"/>
        </w:rPr>
        <w:t>Subsections 360</w:t>
      </w:r>
      <w:proofErr w:type="gramStart"/>
      <w:r>
        <w:rPr>
          <w:rFonts w:ascii="Arial" w:eastAsiaTheme="minorHAnsi" w:hAnsi="Arial" w:cs="Arial"/>
          <w:color w:val="000000"/>
          <w:sz w:val="22"/>
          <w:szCs w:val="22"/>
          <w:lang w:eastAsia="en-US"/>
        </w:rPr>
        <w:t>H(</w:t>
      </w:r>
      <w:proofErr w:type="gramEnd"/>
      <w:r>
        <w:rPr>
          <w:rFonts w:ascii="Arial" w:eastAsiaTheme="minorHAnsi" w:hAnsi="Arial" w:cs="Arial"/>
          <w:color w:val="000000"/>
          <w:sz w:val="22"/>
          <w:szCs w:val="22"/>
          <w:lang w:eastAsia="en-US"/>
        </w:rPr>
        <w:t>2) an</w:t>
      </w:r>
      <w:r w:rsidR="00772DF7">
        <w:rPr>
          <w:rFonts w:ascii="Arial" w:eastAsiaTheme="minorHAnsi" w:hAnsi="Arial" w:cs="Arial"/>
          <w:color w:val="000000"/>
          <w:sz w:val="22"/>
          <w:szCs w:val="22"/>
          <w:lang w:eastAsia="en-US"/>
        </w:rPr>
        <w:t>d</w:t>
      </w:r>
      <w:r w:rsidR="003D50E1">
        <w:rPr>
          <w:rFonts w:ascii="Arial" w:eastAsiaTheme="minorHAnsi" w:hAnsi="Arial" w:cs="Arial"/>
          <w:color w:val="000000"/>
          <w:sz w:val="22"/>
          <w:szCs w:val="22"/>
          <w:lang w:eastAsia="en-US"/>
        </w:rPr>
        <w:t xml:space="preserve"> (4) set out avenues by which carriers nominate service areas, and themselves as SIPs for those areas.</w:t>
      </w:r>
      <w:r w:rsidR="00B63CFB">
        <w:rPr>
          <w:rFonts w:ascii="Arial" w:eastAsiaTheme="minorHAnsi" w:hAnsi="Arial" w:cs="Arial"/>
          <w:color w:val="000000"/>
          <w:sz w:val="22"/>
          <w:szCs w:val="22"/>
          <w:lang w:eastAsia="en-US"/>
        </w:rPr>
        <w:t xml:space="preserve"> </w:t>
      </w:r>
      <w:r w:rsidR="00B63CFB">
        <w:rPr>
          <w:rFonts w:ascii="Arial" w:hAnsi="Arial" w:cs="Arial"/>
          <w:color w:val="000000"/>
          <w:sz w:val="22"/>
          <w:szCs w:val="22"/>
          <w:shd w:val="clear" w:color="auto" w:fill="FFFFFF"/>
        </w:rPr>
        <w:t>W</w:t>
      </w:r>
      <w:r w:rsidR="00D31195" w:rsidRPr="007818DA">
        <w:rPr>
          <w:rFonts w:ascii="Arial" w:hAnsi="Arial" w:cs="Arial"/>
          <w:color w:val="000000"/>
          <w:sz w:val="22"/>
          <w:szCs w:val="22"/>
          <w:shd w:val="clear" w:color="auto" w:fill="FFFFFF"/>
        </w:rPr>
        <w:t>hen a carrier</w:t>
      </w:r>
      <w:r w:rsidR="002A48D6">
        <w:rPr>
          <w:rFonts w:ascii="Arial" w:hAnsi="Arial" w:cs="Arial"/>
          <w:color w:val="000000"/>
          <w:sz w:val="22"/>
          <w:szCs w:val="22"/>
          <w:shd w:val="clear" w:color="auto" w:fill="FFFFFF"/>
        </w:rPr>
        <w:t>,</w:t>
      </w:r>
      <w:r w:rsidR="00D31195" w:rsidRPr="007818DA">
        <w:rPr>
          <w:rFonts w:ascii="Arial" w:hAnsi="Arial" w:cs="Arial"/>
          <w:color w:val="000000"/>
          <w:sz w:val="22"/>
          <w:szCs w:val="22"/>
          <w:shd w:val="clear" w:color="auto" w:fill="FFFFFF"/>
        </w:rPr>
        <w:t xml:space="preserve"> other than NBN Co</w:t>
      </w:r>
      <w:r w:rsidR="002A48D6">
        <w:rPr>
          <w:rFonts w:ascii="Arial" w:hAnsi="Arial" w:cs="Arial"/>
          <w:color w:val="000000"/>
          <w:sz w:val="22"/>
          <w:szCs w:val="22"/>
          <w:shd w:val="clear" w:color="auto" w:fill="FFFFFF"/>
        </w:rPr>
        <w:t>,</w:t>
      </w:r>
      <w:r w:rsidR="00D31195" w:rsidRPr="007818DA">
        <w:rPr>
          <w:rFonts w:ascii="Arial" w:hAnsi="Arial" w:cs="Arial"/>
          <w:color w:val="000000"/>
          <w:sz w:val="22"/>
          <w:szCs w:val="22"/>
          <w:shd w:val="clear" w:color="auto" w:fill="FFFFFF"/>
        </w:rPr>
        <w:t xml:space="preserve"> installs telecommunications network infrastructure under </w:t>
      </w:r>
      <w:r w:rsidR="004C618E" w:rsidRPr="007818DA">
        <w:rPr>
          <w:rFonts w:ascii="Arial" w:hAnsi="Arial" w:cs="Arial"/>
          <w:color w:val="000000"/>
          <w:sz w:val="22"/>
          <w:szCs w:val="22"/>
          <w:shd w:val="clear" w:color="auto" w:fill="FFFFFF"/>
        </w:rPr>
        <w:t xml:space="preserve">a </w:t>
      </w:r>
      <w:r w:rsidR="00D31195" w:rsidRPr="007818DA">
        <w:rPr>
          <w:rFonts w:ascii="Arial" w:hAnsi="Arial" w:cs="Arial"/>
          <w:color w:val="000000"/>
          <w:sz w:val="22"/>
          <w:szCs w:val="22"/>
          <w:shd w:val="clear" w:color="auto" w:fill="FFFFFF"/>
        </w:rPr>
        <w:t>contract that will enable the supply of eligible services to premises in the whole of the project area of a real estate development project</w:t>
      </w:r>
      <w:r w:rsidR="00F37AB1" w:rsidRPr="007818DA">
        <w:rPr>
          <w:rFonts w:ascii="Arial" w:hAnsi="Arial" w:cs="Arial"/>
          <w:color w:val="000000"/>
          <w:sz w:val="22"/>
          <w:szCs w:val="22"/>
          <w:shd w:val="clear" w:color="auto" w:fill="FFFFFF"/>
        </w:rPr>
        <w:t xml:space="preserve"> or a building redevelopment project</w:t>
      </w:r>
      <w:r w:rsidR="0026159E" w:rsidRPr="007818DA">
        <w:rPr>
          <w:rFonts w:ascii="Arial" w:hAnsi="Arial" w:cs="Arial"/>
          <w:color w:val="000000"/>
          <w:sz w:val="22"/>
          <w:szCs w:val="22"/>
          <w:shd w:val="clear" w:color="auto" w:fill="FFFFFF"/>
        </w:rPr>
        <w:t xml:space="preserve">, </w:t>
      </w:r>
      <w:r w:rsidR="00D31195" w:rsidRPr="007818DA">
        <w:rPr>
          <w:rFonts w:ascii="Arial" w:hAnsi="Arial" w:cs="Arial"/>
          <w:color w:val="000000"/>
          <w:sz w:val="22"/>
          <w:szCs w:val="22"/>
          <w:shd w:val="clear" w:color="auto" w:fill="FFFFFF"/>
        </w:rPr>
        <w:t xml:space="preserve">the carrier must declare that the whole of the real estate development project </w:t>
      </w:r>
      <w:r w:rsidR="00F37AB1" w:rsidRPr="007818DA">
        <w:rPr>
          <w:rFonts w:ascii="Arial" w:hAnsi="Arial" w:cs="Arial"/>
          <w:color w:val="000000"/>
          <w:sz w:val="22"/>
          <w:szCs w:val="22"/>
          <w:shd w:val="clear" w:color="auto" w:fill="FFFFFF"/>
        </w:rPr>
        <w:t xml:space="preserve">or a building redevelopment project </w:t>
      </w:r>
      <w:r w:rsidR="00D31195" w:rsidRPr="007818DA">
        <w:rPr>
          <w:rFonts w:ascii="Arial" w:hAnsi="Arial" w:cs="Arial"/>
          <w:color w:val="000000"/>
          <w:sz w:val="22"/>
          <w:szCs w:val="22"/>
          <w:shd w:val="clear" w:color="auto" w:fill="FFFFFF"/>
        </w:rPr>
        <w:t>area is a provisional nominated service area</w:t>
      </w:r>
      <w:r w:rsidR="00D33A0E">
        <w:rPr>
          <w:rFonts w:ascii="Arial" w:hAnsi="Arial" w:cs="Arial"/>
          <w:color w:val="000000"/>
          <w:sz w:val="22"/>
          <w:szCs w:val="22"/>
          <w:shd w:val="clear" w:color="auto" w:fill="FFFFFF"/>
        </w:rPr>
        <w:t xml:space="preserve"> (paragraphs 360H</w:t>
      </w:r>
      <w:r w:rsidR="000F720D">
        <w:rPr>
          <w:rFonts w:ascii="Arial" w:hAnsi="Arial" w:cs="Arial"/>
          <w:color w:val="000000"/>
          <w:sz w:val="22"/>
          <w:szCs w:val="22"/>
          <w:shd w:val="clear" w:color="auto" w:fill="FFFFFF"/>
        </w:rPr>
        <w:t>(2)</w:t>
      </w:r>
      <w:r w:rsidR="00D33A0E">
        <w:rPr>
          <w:rFonts w:ascii="Arial" w:hAnsi="Arial" w:cs="Arial"/>
          <w:color w:val="000000"/>
          <w:sz w:val="22"/>
          <w:szCs w:val="22"/>
          <w:shd w:val="clear" w:color="auto" w:fill="FFFFFF"/>
        </w:rPr>
        <w:t>(d)</w:t>
      </w:r>
      <w:r w:rsidR="000F720D">
        <w:rPr>
          <w:rFonts w:ascii="Arial" w:hAnsi="Arial" w:cs="Arial"/>
          <w:color w:val="000000"/>
          <w:sz w:val="22"/>
          <w:szCs w:val="22"/>
          <w:shd w:val="clear" w:color="auto" w:fill="FFFFFF"/>
        </w:rPr>
        <w:t xml:space="preserve"> and 360H(4)(d))</w:t>
      </w:r>
      <w:r w:rsidR="00D31195" w:rsidRPr="007818DA">
        <w:rPr>
          <w:rFonts w:ascii="Arial" w:hAnsi="Arial" w:cs="Arial"/>
          <w:color w:val="000000"/>
          <w:sz w:val="22"/>
          <w:szCs w:val="22"/>
          <w:shd w:val="clear" w:color="auto" w:fill="FFFFFF"/>
        </w:rPr>
        <w:t xml:space="preserve">. </w:t>
      </w:r>
      <w:r w:rsidR="00D33A0E">
        <w:rPr>
          <w:rFonts w:ascii="Arial" w:hAnsi="Arial" w:cs="Arial"/>
          <w:color w:val="000000"/>
          <w:sz w:val="22"/>
          <w:szCs w:val="22"/>
          <w:shd w:val="clear" w:color="auto" w:fill="FFFFFF"/>
        </w:rPr>
        <w:t>T</w:t>
      </w:r>
      <w:r w:rsidR="00864C36" w:rsidRPr="007818DA">
        <w:rPr>
          <w:rFonts w:ascii="Arial" w:hAnsi="Arial" w:cs="Arial"/>
          <w:color w:val="000000"/>
          <w:sz w:val="22"/>
          <w:szCs w:val="22"/>
          <w:shd w:val="clear" w:color="auto" w:fill="FFFFFF"/>
        </w:rPr>
        <w:t>h</w:t>
      </w:r>
      <w:r w:rsidR="00D31195" w:rsidRPr="007818DA">
        <w:rPr>
          <w:rFonts w:ascii="Arial" w:hAnsi="Arial" w:cs="Arial"/>
          <w:color w:val="000000"/>
          <w:sz w:val="22"/>
          <w:szCs w:val="22"/>
          <w:shd w:val="clear" w:color="auto" w:fill="FFFFFF"/>
        </w:rPr>
        <w:t>e declaration must be made in writing</w:t>
      </w:r>
      <w:r w:rsidR="00F37AB1" w:rsidRPr="007818DA">
        <w:rPr>
          <w:rFonts w:ascii="Arial" w:hAnsi="Arial" w:cs="Arial"/>
          <w:color w:val="000000"/>
          <w:sz w:val="22"/>
          <w:szCs w:val="22"/>
          <w:shd w:val="clear" w:color="auto" w:fill="FFFFFF"/>
        </w:rPr>
        <w:t xml:space="preserve"> within 10 days</w:t>
      </w:r>
      <w:r w:rsidR="000F720D">
        <w:rPr>
          <w:rFonts w:ascii="Arial" w:hAnsi="Arial" w:cs="Arial"/>
          <w:color w:val="000000"/>
          <w:sz w:val="22"/>
          <w:szCs w:val="22"/>
          <w:shd w:val="clear" w:color="auto" w:fill="FFFFFF"/>
        </w:rPr>
        <w:t xml:space="preserve"> </w:t>
      </w:r>
      <w:r w:rsidR="003F52F4">
        <w:rPr>
          <w:rFonts w:ascii="Arial" w:hAnsi="Arial" w:cs="Arial"/>
          <w:color w:val="000000"/>
          <w:sz w:val="22"/>
          <w:szCs w:val="22"/>
          <w:shd w:val="clear" w:color="auto" w:fill="FFFFFF"/>
        </w:rPr>
        <w:t xml:space="preserve">of completing the installation </w:t>
      </w:r>
      <w:r w:rsidR="000F720D">
        <w:rPr>
          <w:rFonts w:ascii="Arial" w:hAnsi="Arial" w:cs="Arial"/>
          <w:color w:val="000000"/>
          <w:sz w:val="22"/>
          <w:szCs w:val="22"/>
          <w:shd w:val="clear" w:color="auto" w:fill="FFFFFF"/>
        </w:rPr>
        <w:t>(paragraphs 360H(2)(</w:t>
      </w:r>
      <w:r w:rsidR="00E96373">
        <w:rPr>
          <w:rFonts w:ascii="Arial" w:hAnsi="Arial" w:cs="Arial"/>
          <w:color w:val="000000"/>
          <w:sz w:val="22"/>
          <w:szCs w:val="22"/>
          <w:shd w:val="clear" w:color="auto" w:fill="FFFFFF"/>
        </w:rPr>
        <w:t>e) and 360H(4)(e))</w:t>
      </w:r>
      <w:r w:rsidR="00D31195" w:rsidRPr="007818DA">
        <w:rPr>
          <w:rFonts w:ascii="Arial" w:hAnsi="Arial" w:cs="Arial"/>
          <w:color w:val="000000"/>
          <w:sz w:val="22"/>
          <w:szCs w:val="22"/>
          <w:shd w:val="clear" w:color="auto" w:fill="FFFFFF"/>
        </w:rPr>
        <w:t>.</w:t>
      </w:r>
    </w:p>
    <w:p w14:paraId="1B39A05E" w14:textId="47DC82DF" w:rsidR="00864C36" w:rsidRDefault="00D31195" w:rsidP="006C6A35">
      <w:pPr>
        <w:spacing w:line="257" w:lineRule="auto"/>
        <w:rPr>
          <w:rFonts w:ascii="Arial" w:hAnsi="Arial" w:cs="Arial"/>
          <w:color w:val="000000"/>
          <w:shd w:val="clear" w:color="auto" w:fill="FFFFFF"/>
        </w:rPr>
      </w:pPr>
      <w:r w:rsidRPr="002A6079">
        <w:rPr>
          <w:rFonts w:ascii="Arial" w:hAnsi="Arial" w:cs="Arial"/>
          <w:color w:val="000000"/>
          <w:shd w:val="clear" w:color="auto" w:fill="FFFFFF"/>
        </w:rPr>
        <w:t>Subsection 360</w:t>
      </w:r>
      <w:proofErr w:type="gramStart"/>
      <w:r w:rsidRPr="002A6079">
        <w:rPr>
          <w:rFonts w:ascii="Arial" w:hAnsi="Arial" w:cs="Arial"/>
          <w:color w:val="000000"/>
          <w:shd w:val="clear" w:color="auto" w:fill="FFFFFF"/>
        </w:rPr>
        <w:t>H(</w:t>
      </w:r>
      <w:proofErr w:type="gramEnd"/>
      <w:r w:rsidRPr="002A6079">
        <w:rPr>
          <w:rFonts w:ascii="Arial" w:hAnsi="Arial" w:cs="Arial"/>
          <w:color w:val="000000"/>
          <w:shd w:val="clear" w:color="auto" w:fill="FFFFFF"/>
        </w:rPr>
        <w:t>8)</w:t>
      </w:r>
      <w:r>
        <w:rPr>
          <w:rFonts w:ascii="Arial" w:hAnsi="Arial" w:cs="Arial"/>
          <w:color w:val="000000"/>
          <w:shd w:val="clear" w:color="auto" w:fill="FFFFFF"/>
        </w:rPr>
        <w:t xml:space="preserve"> provides that a carrier </w:t>
      </w:r>
      <w:r w:rsidRPr="00F338F1">
        <w:rPr>
          <w:rFonts w:ascii="Arial" w:hAnsi="Arial" w:cs="Arial"/>
          <w:color w:val="000000"/>
          <w:shd w:val="clear" w:color="auto" w:fill="FFFFFF"/>
        </w:rPr>
        <w:t xml:space="preserve">must publish on its website a copy of a </w:t>
      </w:r>
      <w:r>
        <w:rPr>
          <w:rFonts w:ascii="Arial" w:hAnsi="Arial" w:cs="Arial"/>
          <w:color w:val="000000"/>
          <w:shd w:val="clear" w:color="auto" w:fill="FFFFFF"/>
        </w:rPr>
        <w:t>provision</w:t>
      </w:r>
      <w:r w:rsidR="00126E5A">
        <w:rPr>
          <w:rFonts w:ascii="Arial" w:hAnsi="Arial" w:cs="Arial"/>
          <w:color w:val="000000"/>
          <w:shd w:val="clear" w:color="auto" w:fill="FFFFFF"/>
        </w:rPr>
        <w:t>al</w:t>
      </w:r>
      <w:r>
        <w:rPr>
          <w:rFonts w:ascii="Arial" w:hAnsi="Arial" w:cs="Arial"/>
          <w:color w:val="000000"/>
          <w:shd w:val="clear" w:color="auto" w:fill="FFFFFF"/>
        </w:rPr>
        <w:t xml:space="preserve"> nominated service area </w:t>
      </w:r>
      <w:r w:rsidRPr="00F338F1">
        <w:rPr>
          <w:rFonts w:ascii="Arial" w:hAnsi="Arial" w:cs="Arial"/>
          <w:color w:val="000000"/>
          <w:shd w:val="clear" w:color="auto" w:fill="FFFFFF"/>
        </w:rPr>
        <w:t>declaration made under s</w:t>
      </w:r>
      <w:r>
        <w:rPr>
          <w:rFonts w:ascii="Arial" w:hAnsi="Arial" w:cs="Arial"/>
          <w:color w:val="000000"/>
          <w:shd w:val="clear" w:color="auto" w:fill="FFFFFF"/>
        </w:rPr>
        <w:t xml:space="preserve">ection </w:t>
      </w:r>
      <w:r w:rsidRPr="00F338F1">
        <w:rPr>
          <w:rFonts w:ascii="Arial" w:hAnsi="Arial" w:cs="Arial"/>
          <w:color w:val="000000"/>
          <w:shd w:val="clear" w:color="auto" w:fill="FFFFFF"/>
        </w:rPr>
        <w:t>360H</w:t>
      </w:r>
      <w:r w:rsidR="00EF6C79">
        <w:rPr>
          <w:rFonts w:ascii="Arial" w:hAnsi="Arial" w:cs="Arial"/>
          <w:color w:val="000000"/>
          <w:shd w:val="clear" w:color="auto" w:fill="FFFFFF"/>
        </w:rPr>
        <w:t xml:space="preserve"> </w:t>
      </w:r>
      <w:r w:rsidR="00931DF0">
        <w:rPr>
          <w:rFonts w:ascii="Arial" w:hAnsi="Arial" w:cs="Arial"/>
          <w:color w:val="000000"/>
          <w:shd w:val="clear" w:color="auto" w:fill="FFFFFF"/>
        </w:rPr>
        <w:t xml:space="preserve">and </w:t>
      </w:r>
      <w:r>
        <w:rPr>
          <w:rFonts w:ascii="Arial" w:hAnsi="Arial" w:cs="Arial"/>
          <w:color w:val="000000"/>
          <w:shd w:val="clear" w:color="auto" w:fill="FFFFFF"/>
        </w:rPr>
        <w:t>a ca</w:t>
      </w:r>
      <w:r w:rsidRPr="00852C95">
        <w:rPr>
          <w:rFonts w:ascii="Arial" w:hAnsi="Arial" w:cs="Arial"/>
          <w:color w:val="000000"/>
          <w:shd w:val="clear" w:color="auto" w:fill="FFFFFF"/>
        </w:rPr>
        <w:t>rrier must give a copy of a declaration made under s</w:t>
      </w:r>
      <w:r>
        <w:rPr>
          <w:rFonts w:ascii="Arial" w:hAnsi="Arial" w:cs="Arial"/>
          <w:color w:val="000000"/>
          <w:shd w:val="clear" w:color="auto" w:fill="FFFFFF"/>
        </w:rPr>
        <w:t xml:space="preserve">ection </w:t>
      </w:r>
      <w:r w:rsidRPr="00852C95">
        <w:rPr>
          <w:rFonts w:ascii="Arial" w:hAnsi="Arial" w:cs="Arial"/>
          <w:color w:val="000000"/>
          <w:shd w:val="clear" w:color="auto" w:fill="FFFFFF"/>
        </w:rPr>
        <w:t>360H to the ACMA</w:t>
      </w:r>
      <w:r w:rsidR="00EF6C79">
        <w:rPr>
          <w:rFonts w:ascii="Arial" w:hAnsi="Arial" w:cs="Arial"/>
          <w:color w:val="000000"/>
          <w:shd w:val="clear" w:color="auto" w:fill="FFFFFF"/>
        </w:rPr>
        <w:t xml:space="preserve"> (subsection 360H(9))</w:t>
      </w:r>
      <w:r w:rsidRPr="00852C95">
        <w:rPr>
          <w:rFonts w:ascii="Arial" w:hAnsi="Arial" w:cs="Arial"/>
          <w:color w:val="000000"/>
          <w:shd w:val="clear" w:color="auto" w:fill="FFFFFF"/>
        </w:rPr>
        <w:t>.</w:t>
      </w:r>
      <w:r w:rsidR="006B5F6E">
        <w:rPr>
          <w:rFonts w:ascii="Arial" w:hAnsi="Arial" w:cs="Arial"/>
          <w:color w:val="000000"/>
          <w:shd w:val="clear" w:color="auto" w:fill="FFFFFF"/>
        </w:rPr>
        <w:t xml:space="preserve"> </w:t>
      </w:r>
    </w:p>
    <w:p w14:paraId="1B2B3DC5" w14:textId="77777777" w:rsidR="00235C94" w:rsidRDefault="00B10BB6" w:rsidP="006C6A35">
      <w:pPr>
        <w:spacing w:line="257" w:lineRule="auto"/>
        <w:rPr>
          <w:rFonts w:ascii="Arial" w:hAnsi="Arial" w:cs="Arial"/>
          <w:color w:val="000000"/>
          <w:shd w:val="clear" w:color="auto" w:fill="FFFFFF"/>
        </w:rPr>
      </w:pPr>
      <w:r w:rsidRPr="00B10BB6">
        <w:rPr>
          <w:rFonts w:ascii="Arial" w:hAnsi="Arial" w:cs="Arial"/>
          <w:color w:val="000000"/>
          <w:shd w:val="clear" w:color="auto" w:fill="FFFFFF"/>
        </w:rPr>
        <w:t xml:space="preserve">Section 360HA sets out a process for carriers who enter into contracts for real estate development projects or building redevelopment projects to give notices to the ACMA about the contracts. </w:t>
      </w:r>
    </w:p>
    <w:p w14:paraId="09ADCEAD" w14:textId="1720486E" w:rsidR="00D31195" w:rsidRDefault="004B6ED0" w:rsidP="006C6A35">
      <w:pPr>
        <w:spacing w:line="257" w:lineRule="auto"/>
        <w:rPr>
          <w:rFonts w:ascii="Arial" w:hAnsi="Arial" w:cs="Arial"/>
          <w:color w:val="000000"/>
          <w:shd w:val="clear" w:color="auto" w:fill="FFFFFF"/>
        </w:rPr>
      </w:pPr>
      <w:r>
        <w:rPr>
          <w:rFonts w:ascii="Arial" w:hAnsi="Arial" w:cs="Arial"/>
          <w:color w:val="000000"/>
          <w:shd w:val="clear" w:color="auto" w:fill="FFFFFF"/>
        </w:rPr>
        <w:t>W</w:t>
      </w:r>
      <w:r w:rsidRPr="004B6ED0">
        <w:rPr>
          <w:rFonts w:ascii="Arial" w:hAnsi="Arial" w:cs="Arial"/>
          <w:color w:val="000000"/>
          <w:shd w:val="clear" w:color="auto" w:fill="FFFFFF"/>
        </w:rPr>
        <w:t xml:space="preserve">ithin 10 business days after entering the contract </w:t>
      </w:r>
      <w:r w:rsidR="00D31195" w:rsidRPr="00D100AC">
        <w:rPr>
          <w:rFonts w:ascii="Arial" w:hAnsi="Arial" w:cs="Arial"/>
          <w:color w:val="000000"/>
          <w:shd w:val="clear" w:color="auto" w:fill="FFFFFF"/>
        </w:rPr>
        <w:t>the carrier must</w:t>
      </w:r>
      <w:r w:rsidR="00D31195" w:rsidRPr="0046005E">
        <w:rPr>
          <w:rFonts w:ascii="Arial" w:hAnsi="Arial" w:cs="Arial"/>
          <w:shd w:val="clear" w:color="auto" w:fill="FFFFFF"/>
        </w:rPr>
        <w:t xml:space="preserve"> give the ACMA an anticipatory notice in writing, specifying that the carrier has entered into the contract, the project area, the telecommunications network infrastructure to be installed and the likely completion date</w:t>
      </w:r>
      <w:r w:rsidR="00177E1C">
        <w:rPr>
          <w:rFonts w:ascii="Arial" w:hAnsi="Arial" w:cs="Arial"/>
          <w:shd w:val="clear" w:color="auto" w:fill="FFFFFF"/>
        </w:rPr>
        <w:t xml:space="preserve"> (paragraphs 360HA(1)(c), (1)(d), </w:t>
      </w:r>
      <w:r w:rsidR="00A20439">
        <w:rPr>
          <w:rFonts w:ascii="Arial" w:hAnsi="Arial" w:cs="Arial"/>
          <w:shd w:val="clear" w:color="auto" w:fill="FFFFFF"/>
        </w:rPr>
        <w:t>(</w:t>
      </w:r>
      <w:r w:rsidR="00177E1C">
        <w:rPr>
          <w:rFonts w:ascii="Arial" w:hAnsi="Arial" w:cs="Arial"/>
          <w:shd w:val="clear" w:color="auto" w:fill="FFFFFF"/>
        </w:rPr>
        <w:t>3</w:t>
      </w:r>
      <w:r w:rsidR="00A20439">
        <w:rPr>
          <w:rFonts w:ascii="Arial" w:hAnsi="Arial" w:cs="Arial"/>
          <w:shd w:val="clear" w:color="auto" w:fill="FFFFFF"/>
        </w:rPr>
        <w:t>)</w:t>
      </w:r>
      <w:r w:rsidR="00177E1C">
        <w:rPr>
          <w:rFonts w:ascii="Arial" w:hAnsi="Arial" w:cs="Arial"/>
          <w:shd w:val="clear" w:color="auto" w:fill="FFFFFF"/>
        </w:rPr>
        <w:t xml:space="preserve">(c) and </w:t>
      </w:r>
      <w:r w:rsidR="00A20439">
        <w:rPr>
          <w:rFonts w:ascii="Arial" w:hAnsi="Arial" w:cs="Arial"/>
          <w:shd w:val="clear" w:color="auto" w:fill="FFFFFF"/>
        </w:rPr>
        <w:t>(3)(d))</w:t>
      </w:r>
      <w:r w:rsidR="00D31195" w:rsidRPr="007C425A">
        <w:rPr>
          <w:shd w:val="clear" w:color="auto" w:fill="FFFFFF"/>
        </w:rPr>
        <w:t>.</w:t>
      </w:r>
    </w:p>
    <w:p w14:paraId="74F44C8B" w14:textId="0BE848E7" w:rsidR="00ED6BC9" w:rsidRPr="00C16235" w:rsidRDefault="00ED6BC9" w:rsidP="006C6A35">
      <w:pPr>
        <w:spacing w:line="257" w:lineRule="auto"/>
        <w:rPr>
          <w:rFonts w:ascii="Arial" w:hAnsi="Arial" w:cs="Arial"/>
          <w:color w:val="000000"/>
          <w:shd w:val="clear" w:color="auto" w:fill="FFFFFF"/>
        </w:rPr>
      </w:pPr>
      <w:r w:rsidRPr="00C16235">
        <w:rPr>
          <w:rFonts w:ascii="Arial" w:hAnsi="Arial" w:cs="Arial"/>
          <w:color w:val="000000"/>
          <w:shd w:val="clear" w:color="auto" w:fill="FFFFFF"/>
        </w:rPr>
        <w:t>Subsection 360</w:t>
      </w:r>
      <w:proofErr w:type="gramStart"/>
      <w:r w:rsidRPr="00C16235">
        <w:rPr>
          <w:rFonts w:ascii="Arial" w:hAnsi="Arial" w:cs="Arial"/>
          <w:color w:val="000000"/>
          <w:shd w:val="clear" w:color="auto" w:fill="FFFFFF"/>
        </w:rPr>
        <w:t>LA(</w:t>
      </w:r>
      <w:proofErr w:type="gramEnd"/>
      <w:r w:rsidRPr="00C16235">
        <w:rPr>
          <w:rFonts w:ascii="Arial" w:hAnsi="Arial" w:cs="Arial"/>
          <w:color w:val="000000"/>
          <w:shd w:val="clear" w:color="auto" w:fill="FFFFFF"/>
        </w:rPr>
        <w:t>1)</w:t>
      </w:r>
      <w:r w:rsidR="001C00A4" w:rsidRPr="00C16235">
        <w:rPr>
          <w:rFonts w:ascii="Arial" w:hAnsi="Arial" w:cs="Arial"/>
          <w:color w:val="000000"/>
          <w:shd w:val="clear" w:color="auto" w:fill="FFFFFF"/>
        </w:rPr>
        <w:t xml:space="preserve"> and (2)</w:t>
      </w:r>
      <w:r w:rsidRPr="00C16235">
        <w:rPr>
          <w:rFonts w:ascii="Arial" w:hAnsi="Arial" w:cs="Arial"/>
          <w:color w:val="000000"/>
          <w:shd w:val="clear" w:color="auto" w:fill="FFFFFF"/>
        </w:rPr>
        <w:t xml:space="preserve"> provides that service areas</w:t>
      </w:r>
      <w:r w:rsidR="001C00A4" w:rsidRPr="00C16235">
        <w:rPr>
          <w:rFonts w:ascii="Arial" w:hAnsi="Arial" w:cs="Arial"/>
          <w:color w:val="000000"/>
          <w:shd w:val="clear" w:color="auto" w:fill="FFFFFF"/>
        </w:rPr>
        <w:t xml:space="preserve"> must be described by carriers</w:t>
      </w:r>
      <w:r w:rsidRPr="00C16235">
        <w:rPr>
          <w:rFonts w:ascii="Arial" w:hAnsi="Arial" w:cs="Arial"/>
          <w:color w:val="000000"/>
          <w:shd w:val="clear" w:color="auto" w:fill="FFFFFF"/>
        </w:rPr>
        <w:t xml:space="preserve"> in the </w:t>
      </w:r>
      <w:r w:rsidR="003F52F4">
        <w:rPr>
          <w:rFonts w:ascii="Arial" w:hAnsi="Arial" w:cs="Arial"/>
          <w:color w:val="000000"/>
          <w:shd w:val="clear" w:color="auto" w:fill="FFFFFF"/>
        </w:rPr>
        <w:t>specified</w:t>
      </w:r>
      <w:r w:rsidRPr="00C16235">
        <w:rPr>
          <w:rFonts w:ascii="Arial" w:hAnsi="Arial" w:cs="Arial"/>
          <w:color w:val="000000"/>
          <w:shd w:val="clear" w:color="auto" w:fill="FFFFFF"/>
        </w:rPr>
        <w:t xml:space="preserve"> format.</w:t>
      </w:r>
      <w:r w:rsidR="001C00A4" w:rsidRPr="00C16235">
        <w:rPr>
          <w:rFonts w:ascii="Arial" w:hAnsi="Arial" w:cs="Arial"/>
          <w:color w:val="000000"/>
          <w:shd w:val="clear" w:color="auto" w:fill="FFFFFF"/>
        </w:rPr>
        <w:t xml:space="preserve"> </w:t>
      </w:r>
    </w:p>
    <w:p w14:paraId="0FBD46C7" w14:textId="7BD3B8C9" w:rsidR="000A69C6" w:rsidRDefault="001C00A4" w:rsidP="006C6A35">
      <w:pPr>
        <w:spacing w:line="257" w:lineRule="auto"/>
        <w:rPr>
          <w:rFonts w:ascii="Arial" w:hAnsi="Arial" w:cs="Arial"/>
          <w:color w:val="000000"/>
          <w:shd w:val="clear" w:color="auto" w:fill="FFFFFF"/>
        </w:rPr>
      </w:pPr>
      <w:r w:rsidRPr="00C16235">
        <w:rPr>
          <w:rFonts w:ascii="Arial" w:hAnsi="Arial" w:cs="Arial"/>
          <w:color w:val="000000"/>
          <w:shd w:val="clear" w:color="auto" w:fill="FFFFFF"/>
        </w:rPr>
        <w:t>Subsection 360</w:t>
      </w:r>
      <w:proofErr w:type="gramStart"/>
      <w:r w:rsidRPr="00C16235">
        <w:rPr>
          <w:rFonts w:ascii="Arial" w:hAnsi="Arial" w:cs="Arial"/>
          <w:color w:val="000000"/>
          <w:shd w:val="clear" w:color="auto" w:fill="FFFFFF"/>
        </w:rPr>
        <w:t>P(</w:t>
      </w:r>
      <w:proofErr w:type="gramEnd"/>
      <w:r w:rsidRPr="00C16235">
        <w:rPr>
          <w:rFonts w:ascii="Arial" w:hAnsi="Arial" w:cs="Arial"/>
          <w:color w:val="000000"/>
          <w:shd w:val="clear" w:color="auto" w:fill="FFFFFF"/>
        </w:rPr>
        <w:t xml:space="preserve">1) provides that SIPs </w:t>
      </w:r>
      <w:r w:rsidR="0005321A">
        <w:rPr>
          <w:rFonts w:ascii="Arial" w:hAnsi="Arial" w:cs="Arial"/>
          <w:color w:val="000000"/>
          <w:shd w:val="clear" w:color="auto" w:fill="FFFFFF"/>
        </w:rPr>
        <w:t xml:space="preserve">have an obligation to </w:t>
      </w:r>
      <w:r w:rsidRPr="00C16235">
        <w:rPr>
          <w:rFonts w:ascii="Arial" w:hAnsi="Arial" w:cs="Arial"/>
          <w:color w:val="000000"/>
          <w:shd w:val="clear" w:color="auto" w:fill="FFFFFF"/>
        </w:rPr>
        <w:t xml:space="preserve">connect premises to </w:t>
      </w:r>
      <w:r w:rsidR="007B07E3">
        <w:rPr>
          <w:rFonts w:ascii="Arial" w:hAnsi="Arial" w:cs="Arial"/>
          <w:color w:val="000000"/>
          <w:shd w:val="clear" w:color="auto" w:fill="FFFFFF"/>
        </w:rPr>
        <w:t xml:space="preserve">a </w:t>
      </w:r>
      <w:r w:rsidRPr="00C16235">
        <w:rPr>
          <w:rFonts w:ascii="Arial" w:hAnsi="Arial" w:cs="Arial"/>
          <w:color w:val="000000"/>
          <w:shd w:val="clear" w:color="auto" w:fill="FFFFFF"/>
        </w:rPr>
        <w:t xml:space="preserve">qualifying network upon </w:t>
      </w:r>
      <w:r w:rsidR="009E6E6C">
        <w:rPr>
          <w:rFonts w:ascii="Arial" w:hAnsi="Arial" w:cs="Arial"/>
          <w:color w:val="000000"/>
          <w:shd w:val="clear" w:color="auto" w:fill="FFFFFF"/>
        </w:rPr>
        <w:t xml:space="preserve">a reasonable </w:t>
      </w:r>
      <w:r w:rsidRPr="00C16235">
        <w:rPr>
          <w:rFonts w:ascii="Arial" w:hAnsi="Arial" w:cs="Arial"/>
          <w:color w:val="000000"/>
          <w:shd w:val="clear" w:color="auto" w:fill="FFFFFF"/>
        </w:rPr>
        <w:t xml:space="preserve">request by a </w:t>
      </w:r>
      <w:r w:rsidR="00296BCB">
        <w:rPr>
          <w:rFonts w:ascii="Arial" w:hAnsi="Arial" w:cs="Arial"/>
          <w:color w:val="000000"/>
          <w:shd w:val="clear" w:color="auto" w:fill="FFFFFF"/>
        </w:rPr>
        <w:t>CSP</w:t>
      </w:r>
      <w:r w:rsidRPr="00C16235">
        <w:rPr>
          <w:rFonts w:ascii="Arial" w:hAnsi="Arial" w:cs="Arial"/>
          <w:color w:val="000000"/>
          <w:shd w:val="clear" w:color="auto" w:fill="FFFFFF"/>
        </w:rPr>
        <w:t xml:space="preserve">. </w:t>
      </w:r>
      <w:r w:rsidR="00884344" w:rsidRPr="00884344">
        <w:rPr>
          <w:rFonts w:ascii="Arial" w:hAnsi="Arial" w:cs="Arial"/>
          <w:color w:val="000000"/>
          <w:shd w:val="clear" w:color="auto" w:fill="FFFFFF"/>
        </w:rPr>
        <w:t>Subsection 360</w:t>
      </w:r>
      <w:proofErr w:type="gramStart"/>
      <w:r w:rsidR="00884344" w:rsidRPr="00884344">
        <w:rPr>
          <w:rFonts w:ascii="Arial" w:hAnsi="Arial" w:cs="Arial"/>
          <w:color w:val="000000"/>
          <w:shd w:val="clear" w:color="auto" w:fill="FFFFFF"/>
        </w:rPr>
        <w:t>P(</w:t>
      </w:r>
      <w:proofErr w:type="gramEnd"/>
      <w:r w:rsidR="00884344" w:rsidRPr="00884344">
        <w:rPr>
          <w:rFonts w:ascii="Arial" w:hAnsi="Arial" w:cs="Arial"/>
          <w:color w:val="000000"/>
          <w:shd w:val="clear" w:color="auto" w:fill="FFFFFF"/>
        </w:rPr>
        <w:t>8) provides clarity about terms and conditions in relation to the connection of premises in a service area. If a SIP has an obligation to connect the premises and has published on its website the terms and conditions on which it will do so, and a CSP requests connection on the published terms and conditions, then the SIP has an obligation to enter into an agreement on the same terms and conditions if requested to do so by the CSP. </w:t>
      </w:r>
      <w:r w:rsidR="003F2350">
        <w:rPr>
          <w:rFonts w:ascii="Arial" w:hAnsi="Arial" w:cs="Arial"/>
          <w:color w:val="000000"/>
          <w:shd w:val="clear" w:color="auto" w:fill="FFFFFF"/>
        </w:rPr>
        <w:t>When</w:t>
      </w:r>
      <w:r w:rsidR="009D78E2" w:rsidRPr="00C16235">
        <w:rPr>
          <w:rFonts w:ascii="Arial" w:hAnsi="Arial" w:cs="Arial"/>
          <w:color w:val="000000"/>
          <w:shd w:val="clear" w:color="auto" w:fill="FFFFFF"/>
        </w:rPr>
        <w:t xml:space="preserve"> there is no agreement between the parties, </w:t>
      </w:r>
      <w:r w:rsidR="009A6480" w:rsidRPr="00C16235">
        <w:rPr>
          <w:rFonts w:ascii="Arial" w:hAnsi="Arial" w:cs="Arial"/>
          <w:color w:val="000000"/>
          <w:shd w:val="clear" w:color="auto" w:fill="FFFFFF"/>
        </w:rPr>
        <w:t>s</w:t>
      </w:r>
      <w:r w:rsidR="009D78E2" w:rsidRPr="00C16235">
        <w:rPr>
          <w:rFonts w:ascii="Arial" w:hAnsi="Arial" w:cs="Arial"/>
          <w:color w:val="000000"/>
          <w:shd w:val="clear" w:color="auto" w:fill="FFFFFF"/>
        </w:rPr>
        <w:t>ubsection 360</w:t>
      </w:r>
      <w:proofErr w:type="gramStart"/>
      <w:r w:rsidR="009D78E2" w:rsidRPr="00C16235">
        <w:rPr>
          <w:rFonts w:ascii="Arial" w:hAnsi="Arial" w:cs="Arial"/>
          <w:color w:val="000000"/>
          <w:shd w:val="clear" w:color="auto" w:fill="FFFFFF"/>
        </w:rPr>
        <w:t>P(</w:t>
      </w:r>
      <w:proofErr w:type="gramEnd"/>
      <w:r w:rsidR="009D78E2" w:rsidRPr="00C16235">
        <w:rPr>
          <w:rFonts w:ascii="Arial" w:hAnsi="Arial" w:cs="Arial"/>
          <w:color w:val="000000"/>
          <w:shd w:val="clear" w:color="auto" w:fill="FFFFFF"/>
        </w:rPr>
        <w:t>9) requires a SIP</w:t>
      </w:r>
      <w:r w:rsidR="009A6480" w:rsidRPr="00C16235">
        <w:rPr>
          <w:rFonts w:ascii="Arial" w:hAnsi="Arial" w:cs="Arial"/>
          <w:color w:val="000000"/>
          <w:shd w:val="clear" w:color="auto" w:fill="FFFFFF"/>
        </w:rPr>
        <w:t xml:space="preserve"> to connect </w:t>
      </w:r>
      <w:r w:rsidR="00C61F82">
        <w:rPr>
          <w:rFonts w:ascii="Arial" w:hAnsi="Arial" w:cs="Arial"/>
          <w:color w:val="000000"/>
          <w:shd w:val="clear" w:color="auto" w:fill="FFFFFF"/>
        </w:rPr>
        <w:t>the</w:t>
      </w:r>
      <w:r w:rsidR="009A6480" w:rsidRPr="00C16235">
        <w:rPr>
          <w:rFonts w:ascii="Arial" w:hAnsi="Arial" w:cs="Arial"/>
          <w:color w:val="000000"/>
          <w:shd w:val="clear" w:color="auto" w:fill="FFFFFF"/>
        </w:rPr>
        <w:t xml:space="preserve"> premises</w:t>
      </w:r>
      <w:r w:rsidR="007141CA" w:rsidRPr="00C16235">
        <w:rPr>
          <w:rFonts w:ascii="Arial" w:hAnsi="Arial" w:cs="Arial"/>
          <w:color w:val="000000"/>
          <w:shd w:val="clear" w:color="auto" w:fill="FFFFFF"/>
        </w:rPr>
        <w:t xml:space="preserve"> on </w:t>
      </w:r>
      <w:r w:rsidR="0052221D">
        <w:rPr>
          <w:rFonts w:ascii="Arial" w:hAnsi="Arial" w:cs="Arial"/>
          <w:color w:val="000000"/>
          <w:shd w:val="clear" w:color="auto" w:fill="FFFFFF"/>
        </w:rPr>
        <w:t xml:space="preserve">the </w:t>
      </w:r>
      <w:r w:rsidR="007141CA" w:rsidRPr="00C16235">
        <w:rPr>
          <w:rFonts w:ascii="Arial" w:hAnsi="Arial" w:cs="Arial"/>
          <w:color w:val="000000"/>
          <w:shd w:val="clear" w:color="auto" w:fill="FFFFFF"/>
        </w:rPr>
        <w:t>same terms as the terms and conditions published on its website.</w:t>
      </w:r>
      <w:r w:rsidR="009D78E2" w:rsidRPr="00C16235">
        <w:rPr>
          <w:rFonts w:ascii="Arial" w:hAnsi="Arial" w:cs="Arial"/>
          <w:color w:val="000000"/>
          <w:shd w:val="clear" w:color="auto" w:fill="FFFFFF"/>
        </w:rPr>
        <w:t xml:space="preserve">  </w:t>
      </w:r>
    </w:p>
    <w:p w14:paraId="4CF69305" w14:textId="71214689" w:rsidR="007141CA" w:rsidRPr="00C16235" w:rsidRDefault="007141CA" w:rsidP="006C6A35">
      <w:pPr>
        <w:spacing w:line="257" w:lineRule="auto"/>
        <w:rPr>
          <w:rFonts w:ascii="Arial" w:hAnsi="Arial" w:cs="Arial"/>
          <w:color w:val="000000"/>
          <w:shd w:val="clear" w:color="auto" w:fill="FFFFFF"/>
        </w:rPr>
      </w:pPr>
      <w:r w:rsidRPr="00C16235">
        <w:rPr>
          <w:rFonts w:ascii="Arial" w:hAnsi="Arial" w:cs="Arial"/>
          <w:color w:val="000000"/>
          <w:shd w:val="clear" w:color="auto" w:fill="FFFFFF"/>
        </w:rPr>
        <w:t xml:space="preserve">Subsection 360P(11A) provides that </w:t>
      </w:r>
      <w:r w:rsidR="00EA4AB3">
        <w:rPr>
          <w:rFonts w:ascii="Arial" w:hAnsi="Arial" w:cs="Arial"/>
          <w:color w:val="000000"/>
          <w:shd w:val="clear" w:color="auto" w:fill="FFFFFF"/>
        </w:rPr>
        <w:t xml:space="preserve">a </w:t>
      </w:r>
      <w:r w:rsidRPr="00C16235">
        <w:rPr>
          <w:rFonts w:ascii="Arial" w:hAnsi="Arial" w:cs="Arial"/>
          <w:color w:val="000000"/>
          <w:shd w:val="clear" w:color="auto" w:fill="FFFFFF"/>
        </w:rPr>
        <w:t xml:space="preserve">SIP must respond to a </w:t>
      </w:r>
      <w:r w:rsidR="00296BCB">
        <w:rPr>
          <w:rFonts w:ascii="Arial" w:hAnsi="Arial" w:cs="Arial"/>
          <w:color w:val="000000"/>
          <w:shd w:val="clear" w:color="auto" w:fill="FFFFFF"/>
        </w:rPr>
        <w:t>CSP</w:t>
      </w:r>
      <w:r w:rsidR="005740F3" w:rsidRPr="00C16235">
        <w:rPr>
          <w:rFonts w:ascii="Arial" w:hAnsi="Arial" w:cs="Arial"/>
          <w:color w:val="000000"/>
          <w:shd w:val="clear" w:color="auto" w:fill="FFFFFF"/>
        </w:rPr>
        <w:t xml:space="preserve">’s </w:t>
      </w:r>
      <w:r w:rsidRPr="00C16235">
        <w:rPr>
          <w:rFonts w:ascii="Arial" w:hAnsi="Arial" w:cs="Arial"/>
          <w:color w:val="000000"/>
          <w:shd w:val="clear" w:color="auto" w:fill="FFFFFF"/>
        </w:rPr>
        <w:t xml:space="preserve">request to connect premises within 10 business days. </w:t>
      </w:r>
    </w:p>
    <w:p w14:paraId="5E4B03A0" w14:textId="2CE3A01E" w:rsidR="007141CA" w:rsidRPr="00C16235" w:rsidRDefault="0052221D" w:rsidP="006C6A35">
      <w:pPr>
        <w:spacing w:line="257" w:lineRule="auto"/>
        <w:rPr>
          <w:rFonts w:ascii="Arial" w:hAnsi="Arial" w:cs="Arial"/>
          <w:color w:val="000000"/>
          <w:shd w:val="clear" w:color="auto" w:fill="FFFFFF"/>
        </w:rPr>
      </w:pPr>
      <w:r>
        <w:rPr>
          <w:rFonts w:ascii="Arial" w:hAnsi="Arial" w:cs="Arial"/>
          <w:color w:val="000000"/>
          <w:shd w:val="clear" w:color="auto" w:fill="FFFFFF"/>
        </w:rPr>
        <w:t xml:space="preserve">Paragraphs </w:t>
      </w:r>
      <w:r w:rsidR="007141CA" w:rsidRPr="00C16235">
        <w:rPr>
          <w:rFonts w:ascii="Arial" w:hAnsi="Arial" w:cs="Arial"/>
          <w:color w:val="000000"/>
          <w:shd w:val="clear" w:color="auto" w:fill="FFFFFF"/>
        </w:rPr>
        <w:t>360P(12)</w:t>
      </w:r>
      <w:r w:rsidR="007141CA" w:rsidRPr="00C16235" w:rsidDel="00EA4AB3">
        <w:rPr>
          <w:rFonts w:ascii="Arial" w:hAnsi="Arial" w:cs="Arial"/>
          <w:color w:val="000000"/>
          <w:shd w:val="clear" w:color="auto" w:fill="FFFFFF"/>
        </w:rPr>
        <w:t>(c)</w:t>
      </w:r>
      <w:r w:rsidR="007141CA" w:rsidRPr="00C16235">
        <w:rPr>
          <w:rFonts w:ascii="Arial" w:hAnsi="Arial" w:cs="Arial"/>
          <w:color w:val="000000"/>
          <w:shd w:val="clear" w:color="auto" w:fill="FFFFFF"/>
        </w:rPr>
        <w:t xml:space="preserve"> and (d)</w:t>
      </w:r>
      <w:r w:rsidR="003238D3">
        <w:rPr>
          <w:rFonts w:ascii="Arial" w:hAnsi="Arial" w:cs="Arial"/>
          <w:color w:val="000000"/>
          <w:shd w:val="clear" w:color="auto" w:fill="FFFFFF"/>
        </w:rPr>
        <w:t xml:space="preserve"> provide</w:t>
      </w:r>
      <w:r w:rsidR="007141CA" w:rsidRPr="00C16235">
        <w:rPr>
          <w:rFonts w:ascii="Arial" w:hAnsi="Arial" w:cs="Arial"/>
          <w:color w:val="000000"/>
          <w:shd w:val="clear" w:color="auto" w:fill="FFFFFF"/>
        </w:rPr>
        <w:t xml:space="preserve">, respectively, that the SIP must provide written notice to </w:t>
      </w:r>
      <w:r w:rsidR="00EA4AB3">
        <w:rPr>
          <w:rFonts w:ascii="Arial" w:hAnsi="Arial" w:cs="Arial"/>
          <w:color w:val="000000"/>
          <w:shd w:val="clear" w:color="auto" w:fill="FFFFFF"/>
        </w:rPr>
        <w:t xml:space="preserve">a </w:t>
      </w:r>
      <w:r w:rsidR="00296BCB">
        <w:rPr>
          <w:rFonts w:ascii="Arial" w:hAnsi="Arial" w:cs="Arial"/>
          <w:color w:val="000000"/>
          <w:shd w:val="clear" w:color="auto" w:fill="FFFFFF"/>
        </w:rPr>
        <w:t>CSP</w:t>
      </w:r>
      <w:r w:rsidR="007141CA" w:rsidRPr="00C16235">
        <w:rPr>
          <w:rFonts w:ascii="Arial" w:hAnsi="Arial" w:cs="Arial"/>
          <w:color w:val="000000"/>
          <w:shd w:val="clear" w:color="auto" w:fill="FFFFFF"/>
        </w:rPr>
        <w:t xml:space="preserve"> of any refusal to connect the premises within </w:t>
      </w:r>
      <w:r w:rsidR="007305EC">
        <w:rPr>
          <w:rFonts w:ascii="Arial" w:hAnsi="Arial" w:cs="Arial"/>
          <w:color w:val="000000"/>
          <w:shd w:val="clear" w:color="auto" w:fill="FFFFFF"/>
        </w:rPr>
        <w:t>5</w:t>
      </w:r>
      <w:r w:rsidR="007141CA" w:rsidRPr="00C16235">
        <w:rPr>
          <w:rFonts w:ascii="Arial" w:hAnsi="Arial" w:cs="Arial"/>
          <w:color w:val="000000"/>
          <w:shd w:val="clear" w:color="auto" w:fill="FFFFFF"/>
        </w:rPr>
        <w:t xml:space="preserve"> days, and the CSP must provide </w:t>
      </w:r>
      <w:r w:rsidR="007305EC">
        <w:rPr>
          <w:rFonts w:ascii="Arial" w:hAnsi="Arial" w:cs="Arial"/>
          <w:color w:val="000000"/>
          <w:shd w:val="clear" w:color="auto" w:fill="FFFFFF"/>
        </w:rPr>
        <w:t xml:space="preserve">a copy of the </w:t>
      </w:r>
      <w:r w:rsidR="007141CA" w:rsidRPr="00C16235">
        <w:rPr>
          <w:rFonts w:ascii="Arial" w:hAnsi="Arial" w:cs="Arial"/>
          <w:color w:val="000000"/>
          <w:shd w:val="clear" w:color="auto" w:fill="FFFFFF"/>
        </w:rPr>
        <w:t xml:space="preserve">written notice to </w:t>
      </w:r>
      <w:r w:rsidR="00EA4AB3">
        <w:rPr>
          <w:rFonts w:ascii="Arial" w:hAnsi="Arial" w:cs="Arial"/>
          <w:color w:val="000000"/>
          <w:shd w:val="clear" w:color="auto" w:fill="FFFFFF"/>
        </w:rPr>
        <w:t xml:space="preserve">an </w:t>
      </w:r>
      <w:r w:rsidR="007141CA" w:rsidRPr="00C16235">
        <w:rPr>
          <w:rFonts w:ascii="Arial" w:hAnsi="Arial" w:cs="Arial"/>
          <w:color w:val="000000"/>
          <w:shd w:val="clear" w:color="auto" w:fill="FFFFFF"/>
        </w:rPr>
        <w:t>end-user within 5 days</w:t>
      </w:r>
      <w:r w:rsidR="007305EC">
        <w:rPr>
          <w:rFonts w:ascii="Arial" w:hAnsi="Arial" w:cs="Arial"/>
          <w:color w:val="000000"/>
          <w:shd w:val="clear" w:color="auto" w:fill="FFFFFF"/>
        </w:rPr>
        <w:t xml:space="preserve"> of receiving it</w:t>
      </w:r>
      <w:r w:rsidR="007141CA" w:rsidRPr="00C16235">
        <w:rPr>
          <w:rFonts w:ascii="Arial" w:hAnsi="Arial" w:cs="Arial"/>
          <w:color w:val="000000"/>
          <w:shd w:val="clear" w:color="auto" w:fill="FFFFFF"/>
        </w:rPr>
        <w:t>.</w:t>
      </w:r>
    </w:p>
    <w:p w14:paraId="187C76E1" w14:textId="6FD76169" w:rsidR="007141CA" w:rsidRPr="00C16235" w:rsidRDefault="007141CA" w:rsidP="006C6A35">
      <w:pPr>
        <w:spacing w:line="257" w:lineRule="auto"/>
        <w:rPr>
          <w:rFonts w:ascii="Arial" w:hAnsi="Arial" w:cs="Arial"/>
          <w:color w:val="000000"/>
          <w:shd w:val="clear" w:color="auto" w:fill="FFFFFF"/>
        </w:rPr>
      </w:pPr>
      <w:r w:rsidRPr="00C16235">
        <w:rPr>
          <w:rFonts w:ascii="Arial" w:hAnsi="Arial" w:cs="Arial"/>
          <w:color w:val="000000"/>
          <w:shd w:val="clear" w:color="auto" w:fill="FFFFFF"/>
        </w:rPr>
        <w:t>Subsection 360</w:t>
      </w:r>
      <w:proofErr w:type="gramStart"/>
      <w:r w:rsidRPr="00C16235">
        <w:rPr>
          <w:rFonts w:ascii="Arial" w:hAnsi="Arial" w:cs="Arial"/>
          <w:color w:val="000000"/>
          <w:shd w:val="clear" w:color="auto" w:fill="FFFFFF"/>
        </w:rPr>
        <w:t>Q(</w:t>
      </w:r>
      <w:proofErr w:type="gramEnd"/>
      <w:r w:rsidRPr="00C16235">
        <w:rPr>
          <w:rFonts w:ascii="Arial" w:hAnsi="Arial" w:cs="Arial"/>
          <w:color w:val="000000"/>
          <w:shd w:val="clear" w:color="auto" w:fill="FFFFFF"/>
        </w:rPr>
        <w:t xml:space="preserve">1) provides that SIPs </w:t>
      </w:r>
      <w:r w:rsidR="004C0D29">
        <w:rPr>
          <w:rFonts w:ascii="Arial" w:hAnsi="Arial" w:cs="Arial"/>
          <w:color w:val="000000"/>
          <w:shd w:val="clear" w:color="auto" w:fill="FFFFFF"/>
        </w:rPr>
        <w:t>have an obligation to</w:t>
      </w:r>
      <w:r w:rsidR="004C0D29" w:rsidRPr="00C16235">
        <w:rPr>
          <w:rFonts w:ascii="Arial" w:hAnsi="Arial" w:cs="Arial"/>
          <w:color w:val="000000"/>
          <w:shd w:val="clear" w:color="auto" w:fill="FFFFFF"/>
        </w:rPr>
        <w:t xml:space="preserve"> </w:t>
      </w:r>
      <w:r w:rsidRPr="00C16235">
        <w:rPr>
          <w:rFonts w:ascii="Arial" w:hAnsi="Arial" w:cs="Arial"/>
          <w:color w:val="000000"/>
          <w:shd w:val="clear" w:color="auto" w:fill="FFFFFF"/>
        </w:rPr>
        <w:t xml:space="preserve">supply eligible services upon </w:t>
      </w:r>
      <w:r w:rsidR="004C0D29">
        <w:rPr>
          <w:rFonts w:ascii="Arial" w:hAnsi="Arial" w:cs="Arial"/>
          <w:color w:val="000000"/>
          <w:shd w:val="clear" w:color="auto" w:fill="FFFFFF"/>
        </w:rPr>
        <w:t xml:space="preserve">a reasonable </w:t>
      </w:r>
      <w:r w:rsidRPr="00C16235">
        <w:rPr>
          <w:rFonts w:ascii="Arial" w:hAnsi="Arial" w:cs="Arial"/>
          <w:color w:val="000000"/>
          <w:shd w:val="clear" w:color="auto" w:fill="FFFFFF"/>
        </w:rPr>
        <w:t xml:space="preserve">request by a </w:t>
      </w:r>
      <w:r w:rsidR="00296BCB">
        <w:rPr>
          <w:rFonts w:ascii="Arial" w:hAnsi="Arial" w:cs="Arial"/>
          <w:color w:val="000000"/>
          <w:shd w:val="clear" w:color="auto" w:fill="FFFFFF"/>
        </w:rPr>
        <w:t>CSP</w:t>
      </w:r>
      <w:r w:rsidRPr="00C16235">
        <w:rPr>
          <w:rFonts w:ascii="Arial" w:hAnsi="Arial" w:cs="Arial"/>
          <w:color w:val="000000"/>
          <w:shd w:val="clear" w:color="auto" w:fill="FFFFFF"/>
        </w:rPr>
        <w:t xml:space="preserve">. </w:t>
      </w:r>
      <w:r w:rsidR="000E3CBE">
        <w:rPr>
          <w:rFonts w:ascii="Arial" w:hAnsi="Arial" w:cs="Arial"/>
          <w:color w:val="000000"/>
          <w:shd w:val="clear" w:color="auto" w:fill="FFFFFF"/>
        </w:rPr>
        <w:t>Subsection 360</w:t>
      </w:r>
      <w:proofErr w:type="gramStart"/>
      <w:r w:rsidR="000E3CBE">
        <w:rPr>
          <w:rFonts w:ascii="Arial" w:hAnsi="Arial" w:cs="Arial"/>
          <w:color w:val="000000"/>
          <w:shd w:val="clear" w:color="auto" w:fill="FFFFFF"/>
        </w:rPr>
        <w:t>Q(</w:t>
      </w:r>
      <w:proofErr w:type="gramEnd"/>
      <w:r w:rsidR="000E3CBE">
        <w:rPr>
          <w:rFonts w:ascii="Arial" w:hAnsi="Arial" w:cs="Arial"/>
          <w:color w:val="000000"/>
          <w:shd w:val="clear" w:color="auto" w:fill="FFFFFF"/>
        </w:rPr>
        <w:t>9) provides that where</w:t>
      </w:r>
      <w:r w:rsidR="000E3CBE" w:rsidRPr="000E3CBE">
        <w:rPr>
          <w:rFonts w:ascii="Arial" w:hAnsi="Arial" w:cs="Arial"/>
          <w:color w:val="000000"/>
          <w:shd w:val="clear" w:color="auto" w:fill="FFFFFF"/>
        </w:rPr>
        <w:t xml:space="preserve"> a SIP </w:t>
      </w:r>
      <w:r w:rsidR="00D05D78">
        <w:rPr>
          <w:rFonts w:ascii="Arial" w:hAnsi="Arial" w:cs="Arial"/>
          <w:color w:val="000000"/>
          <w:shd w:val="clear" w:color="auto" w:fill="FFFFFF"/>
        </w:rPr>
        <w:t>has</w:t>
      </w:r>
      <w:r w:rsidR="000E3CBE" w:rsidRPr="000E3CBE">
        <w:rPr>
          <w:rFonts w:ascii="Arial" w:hAnsi="Arial" w:cs="Arial"/>
          <w:color w:val="000000"/>
          <w:shd w:val="clear" w:color="auto" w:fill="FFFFFF"/>
        </w:rPr>
        <w:t xml:space="preserve"> published the terms and conditions of supply on its website and the SIP has an obligation to supply an </w:t>
      </w:r>
      <w:r w:rsidR="000E3CBE" w:rsidRPr="000E3CBE">
        <w:rPr>
          <w:rFonts w:ascii="Arial" w:hAnsi="Arial" w:cs="Arial"/>
          <w:color w:val="000000"/>
          <w:shd w:val="clear" w:color="auto" w:fill="FFFFFF"/>
        </w:rPr>
        <w:lastRenderedPageBreak/>
        <w:t>eligible service in response to a request from a CSP</w:t>
      </w:r>
      <w:r w:rsidR="000E3CBE">
        <w:rPr>
          <w:rFonts w:ascii="Arial" w:hAnsi="Arial" w:cs="Arial"/>
          <w:color w:val="000000"/>
          <w:shd w:val="clear" w:color="auto" w:fill="FFFFFF"/>
        </w:rPr>
        <w:t>,</w:t>
      </w:r>
      <w:r w:rsidR="000E3CBE" w:rsidRPr="000E3CBE">
        <w:rPr>
          <w:rFonts w:ascii="Arial" w:hAnsi="Arial" w:cs="Arial"/>
          <w:color w:val="000000"/>
          <w:shd w:val="clear" w:color="auto" w:fill="FFFFFF"/>
        </w:rPr>
        <w:t xml:space="preserve"> </w:t>
      </w:r>
      <w:r w:rsidR="00D05D78">
        <w:rPr>
          <w:rFonts w:ascii="Arial" w:hAnsi="Arial" w:cs="Arial"/>
          <w:color w:val="000000"/>
          <w:shd w:val="clear" w:color="auto" w:fill="FFFFFF"/>
        </w:rPr>
        <w:t>if</w:t>
      </w:r>
      <w:r w:rsidR="000E3CBE" w:rsidRPr="000E3CBE">
        <w:rPr>
          <w:rFonts w:ascii="Arial" w:hAnsi="Arial" w:cs="Arial"/>
          <w:color w:val="000000"/>
          <w:shd w:val="clear" w:color="auto" w:fill="FFFFFF"/>
        </w:rPr>
        <w:t xml:space="preserve"> a CSP asks the SIP to enter into an agreement that sets out terms and conditions that are the same as those published by the SIP, then the SIP must comply with the request.</w:t>
      </w:r>
      <w:r w:rsidRPr="00C16235">
        <w:rPr>
          <w:rFonts w:ascii="Arial" w:hAnsi="Arial" w:cs="Arial"/>
          <w:color w:val="000000"/>
          <w:shd w:val="clear" w:color="auto" w:fill="FFFFFF"/>
        </w:rPr>
        <w:t xml:space="preserve"> </w:t>
      </w:r>
      <w:r w:rsidR="00913381">
        <w:rPr>
          <w:rFonts w:ascii="Arial" w:hAnsi="Arial" w:cs="Arial"/>
          <w:color w:val="000000"/>
          <w:shd w:val="clear" w:color="auto" w:fill="FFFFFF"/>
        </w:rPr>
        <w:t>I</w:t>
      </w:r>
      <w:r w:rsidR="00913381" w:rsidRPr="00913381">
        <w:rPr>
          <w:rFonts w:ascii="Arial" w:hAnsi="Arial" w:cs="Arial"/>
          <w:color w:val="000000"/>
          <w:shd w:val="clear" w:color="auto" w:fill="FFFFFF"/>
        </w:rPr>
        <w:t>f the supply of the eligible service is not covered by an agreement between the SIP and the CSP</w:t>
      </w:r>
      <w:r w:rsidR="00913381">
        <w:rPr>
          <w:rFonts w:ascii="Arial" w:hAnsi="Arial" w:cs="Arial"/>
          <w:color w:val="000000"/>
          <w:shd w:val="clear" w:color="auto" w:fill="FFFFFF"/>
        </w:rPr>
        <w:t>, s</w:t>
      </w:r>
      <w:r w:rsidRPr="00C16235">
        <w:rPr>
          <w:rFonts w:ascii="Arial" w:hAnsi="Arial" w:cs="Arial"/>
          <w:color w:val="000000"/>
          <w:shd w:val="clear" w:color="auto" w:fill="FFFFFF"/>
        </w:rPr>
        <w:t>ubsection 360</w:t>
      </w:r>
      <w:proofErr w:type="gramStart"/>
      <w:r w:rsidR="008C55C9" w:rsidRPr="00C16235">
        <w:rPr>
          <w:rFonts w:ascii="Arial" w:hAnsi="Arial" w:cs="Arial"/>
          <w:color w:val="000000"/>
          <w:shd w:val="clear" w:color="auto" w:fill="FFFFFF"/>
        </w:rPr>
        <w:t>Q</w:t>
      </w:r>
      <w:r w:rsidRPr="00C16235">
        <w:rPr>
          <w:rFonts w:ascii="Arial" w:hAnsi="Arial" w:cs="Arial"/>
          <w:color w:val="000000"/>
          <w:shd w:val="clear" w:color="auto" w:fill="FFFFFF"/>
        </w:rPr>
        <w:t>(</w:t>
      </w:r>
      <w:proofErr w:type="gramEnd"/>
      <w:r w:rsidR="008C55C9" w:rsidRPr="00C16235">
        <w:rPr>
          <w:rFonts w:ascii="Arial" w:hAnsi="Arial" w:cs="Arial"/>
          <w:color w:val="000000"/>
          <w:shd w:val="clear" w:color="auto" w:fill="FFFFFF"/>
        </w:rPr>
        <w:t>10</w:t>
      </w:r>
      <w:r w:rsidRPr="00C16235">
        <w:rPr>
          <w:rFonts w:ascii="Arial" w:hAnsi="Arial" w:cs="Arial"/>
          <w:color w:val="000000"/>
          <w:shd w:val="clear" w:color="auto" w:fill="FFFFFF"/>
        </w:rPr>
        <w:t xml:space="preserve">) requires a SIP to </w:t>
      </w:r>
      <w:r w:rsidR="008C55C9" w:rsidRPr="00C16235">
        <w:rPr>
          <w:rFonts w:ascii="Arial" w:hAnsi="Arial" w:cs="Arial"/>
          <w:color w:val="000000"/>
          <w:shd w:val="clear" w:color="auto" w:fill="FFFFFF"/>
        </w:rPr>
        <w:t xml:space="preserve">supply eligible services </w:t>
      </w:r>
      <w:r w:rsidRPr="00C16235">
        <w:rPr>
          <w:rFonts w:ascii="Arial" w:hAnsi="Arial" w:cs="Arial"/>
          <w:color w:val="000000"/>
          <w:shd w:val="clear" w:color="auto" w:fill="FFFFFF"/>
        </w:rPr>
        <w:t xml:space="preserve">on </w:t>
      </w:r>
      <w:r w:rsidR="00E25168">
        <w:rPr>
          <w:rFonts w:ascii="Arial" w:hAnsi="Arial" w:cs="Arial"/>
          <w:color w:val="000000"/>
          <w:shd w:val="clear" w:color="auto" w:fill="FFFFFF"/>
        </w:rPr>
        <w:t xml:space="preserve">the </w:t>
      </w:r>
      <w:r w:rsidRPr="00C16235">
        <w:rPr>
          <w:rFonts w:ascii="Arial" w:hAnsi="Arial" w:cs="Arial"/>
          <w:color w:val="000000"/>
          <w:shd w:val="clear" w:color="auto" w:fill="FFFFFF"/>
        </w:rPr>
        <w:t>same terms as the terms and conditions published on its website</w:t>
      </w:r>
      <w:r w:rsidR="004D0508">
        <w:rPr>
          <w:rFonts w:ascii="Arial" w:hAnsi="Arial" w:cs="Arial"/>
          <w:color w:val="000000"/>
          <w:shd w:val="clear" w:color="auto" w:fill="FFFFFF"/>
        </w:rPr>
        <w:t xml:space="preserve"> at the time when the request was made</w:t>
      </w:r>
      <w:r w:rsidRPr="00C16235">
        <w:rPr>
          <w:rFonts w:ascii="Arial" w:hAnsi="Arial" w:cs="Arial"/>
          <w:color w:val="000000"/>
          <w:shd w:val="clear" w:color="auto" w:fill="FFFFFF"/>
        </w:rPr>
        <w:t xml:space="preserve">.  </w:t>
      </w:r>
    </w:p>
    <w:p w14:paraId="0751A5B5" w14:textId="34C0F680" w:rsidR="00C16235" w:rsidRPr="00406409" w:rsidRDefault="00C16235" w:rsidP="006C6A35">
      <w:pPr>
        <w:spacing w:line="257" w:lineRule="auto"/>
        <w:rPr>
          <w:rFonts w:ascii="Arial" w:hAnsi="Arial" w:cs="Arial"/>
        </w:rPr>
      </w:pPr>
      <w:r w:rsidRPr="00406409">
        <w:rPr>
          <w:rFonts w:ascii="Arial" w:hAnsi="Arial" w:cs="Arial"/>
        </w:rPr>
        <w:t>Subsection 360</w:t>
      </w:r>
      <w:proofErr w:type="gramStart"/>
      <w:r w:rsidRPr="00406409">
        <w:rPr>
          <w:rFonts w:ascii="Arial" w:hAnsi="Arial" w:cs="Arial"/>
        </w:rPr>
        <w:t>R(</w:t>
      </w:r>
      <w:proofErr w:type="gramEnd"/>
      <w:r w:rsidRPr="00406409">
        <w:rPr>
          <w:rFonts w:ascii="Arial" w:hAnsi="Arial" w:cs="Arial"/>
        </w:rPr>
        <w:t>2) provides</w:t>
      </w:r>
      <w:r w:rsidR="00851FB0">
        <w:rPr>
          <w:rFonts w:ascii="Arial" w:hAnsi="Arial" w:cs="Arial"/>
        </w:rPr>
        <w:t xml:space="preserve"> that where a carrier becomes aware that it will be </w:t>
      </w:r>
      <w:r w:rsidRPr="00406409">
        <w:rPr>
          <w:rFonts w:ascii="Arial" w:hAnsi="Arial" w:cs="Arial"/>
        </w:rPr>
        <w:t xml:space="preserve"> unable to fulfil its SIP obligations</w:t>
      </w:r>
      <w:r w:rsidR="00851FB0">
        <w:rPr>
          <w:rFonts w:ascii="Arial" w:hAnsi="Arial" w:cs="Arial"/>
        </w:rPr>
        <w:t xml:space="preserve"> under section 360P or 360Q, it must </w:t>
      </w:r>
      <w:r w:rsidR="00851FB0" w:rsidRPr="00406409">
        <w:rPr>
          <w:rFonts w:ascii="Arial" w:hAnsi="Arial" w:cs="Arial"/>
        </w:rPr>
        <w:t>give written notice to the ACMA and the Secretary of the Department</w:t>
      </w:r>
      <w:r w:rsidRPr="00406409">
        <w:rPr>
          <w:rFonts w:ascii="Arial" w:hAnsi="Arial" w:cs="Arial"/>
        </w:rPr>
        <w:t xml:space="preserve"> as soon as practicable after becoming aware.</w:t>
      </w:r>
    </w:p>
    <w:p w14:paraId="663BAB14" w14:textId="420D2486" w:rsidR="0061749E" w:rsidRPr="00406409" w:rsidRDefault="00C16235" w:rsidP="006C6A35">
      <w:pPr>
        <w:spacing w:line="257" w:lineRule="auto"/>
        <w:rPr>
          <w:rFonts w:ascii="Arial" w:hAnsi="Arial" w:cs="Arial"/>
        </w:rPr>
      </w:pPr>
      <w:r w:rsidRPr="00406409">
        <w:rPr>
          <w:rFonts w:ascii="Arial" w:hAnsi="Arial" w:cs="Arial"/>
        </w:rPr>
        <w:t>Subsection 360</w:t>
      </w:r>
      <w:proofErr w:type="gramStart"/>
      <w:r w:rsidRPr="00406409">
        <w:rPr>
          <w:rFonts w:ascii="Arial" w:hAnsi="Arial" w:cs="Arial"/>
        </w:rPr>
        <w:t>R(</w:t>
      </w:r>
      <w:proofErr w:type="gramEnd"/>
      <w:r w:rsidRPr="00406409">
        <w:rPr>
          <w:rFonts w:ascii="Arial" w:hAnsi="Arial" w:cs="Arial"/>
        </w:rPr>
        <w:t xml:space="preserve">3) provides that if a carrier becomes aware it is unable to fulfil its SIP obligations in accordance with subsection 360R(2) and knows that another carrier is willing to become the SIP for the area, it must give written notice of the matter to the ACMA and the Secretary of the Department. </w:t>
      </w:r>
    </w:p>
    <w:p w14:paraId="4C2F3EC4" w14:textId="17D26EFA" w:rsidR="00FC13BF" w:rsidRDefault="0061749E" w:rsidP="006C6A35">
      <w:pPr>
        <w:spacing w:line="257" w:lineRule="auto"/>
        <w:rPr>
          <w:rFonts w:ascii="Arial" w:hAnsi="Arial" w:cs="Arial"/>
        </w:rPr>
      </w:pPr>
      <w:r w:rsidRPr="00406409">
        <w:rPr>
          <w:rFonts w:ascii="Arial" w:hAnsi="Arial" w:cs="Arial"/>
        </w:rPr>
        <w:t>Subsection</w:t>
      </w:r>
      <w:r w:rsidR="00E25168">
        <w:rPr>
          <w:rFonts w:ascii="Arial" w:hAnsi="Arial" w:cs="Arial"/>
        </w:rPr>
        <w:t>s</w:t>
      </w:r>
      <w:r w:rsidRPr="00406409">
        <w:rPr>
          <w:rFonts w:ascii="Arial" w:hAnsi="Arial" w:cs="Arial"/>
        </w:rPr>
        <w:t xml:space="preserve"> 360</w:t>
      </w:r>
      <w:proofErr w:type="gramStart"/>
      <w:r w:rsidRPr="00406409">
        <w:rPr>
          <w:rFonts w:ascii="Arial" w:hAnsi="Arial" w:cs="Arial"/>
        </w:rPr>
        <w:t>W(</w:t>
      </w:r>
      <w:proofErr w:type="gramEnd"/>
      <w:r w:rsidRPr="00406409">
        <w:rPr>
          <w:rFonts w:ascii="Arial" w:hAnsi="Arial" w:cs="Arial"/>
        </w:rPr>
        <w:t xml:space="preserve">1) </w:t>
      </w:r>
      <w:r w:rsidR="00DF5F6F" w:rsidRPr="00406409">
        <w:rPr>
          <w:rFonts w:ascii="Arial" w:hAnsi="Arial" w:cs="Arial"/>
        </w:rPr>
        <w:t xml:space="preserve">and (2) </w:t>
      </w:r>
      <w:r w:rsidRPr="00406409">
        <w:rPr>
          <w:rFonts w:ascii="Arial" w:hAnsi="Arial" w:cs="Arial"/>
        </w:rPr>
        <w:t>provide that a SIP must publish</w:t>
      </w:r>
      <w:r w:rsidR="00DF5F6F" w:rsidRPr="00406409">
        <w:rPr>
          <w:rFonts w:ascii="Arial" w:hAnsi="Arial" w:cs="Arial"/>
        </w:rPr>
        <w:t xml:space="preserve"> the</w:t>
      </w:r>
      <w:r w:rsidRPr="00406409">
        <w:rPr>
          <w:rFonts w:ascii="Arial" w:hAnsi="Arial" w:cs="Arial"/>
        </w:rPr>
        <w:t xml:space="preserve"> terms and conditions</w:t>
      </w:r>
      <w:r w:rsidR="00DF5F6F" w:rsidRPr="00406409">
        <w:rPr>
          <w:rFonts w:ascii="Arial" w:hAnsi="Arial" w:cs="Arial"/>
        </w:rPr>
        <w:t xml:space="preserve"> on which it offers to connect premises on its website</w:t>
      </w:r>
      <w:r w:rsidRPr="00406409">
        <w:rPr>
          <w:rFonts w:ascii="Arial" w:hAnsi="Arial" w:cs="Arial"/>
        </w:rPr>
        <w:t xml:space="preserve">, including </w:t>
      </w:r>
      <w:r w:rsidR="00DF5F6F" w:rsidRPr="00406409">
        <w:rPr>
          <w:rFonts w:ascii="Arial" w:hAnsi="Arial" w:cs="Arial"/>
        </w:rPr>
        <w:t>terms relating</w:t>
      </w:r>
      <w:r w:rsidRPr="00406409">
        <w:rPr>
          <w:rFonts w:ascii="Arial" w:hAnsi="Arial" w:cs="Arial"/>
        </w:rPr>
        <w:t xml:space="preserve"> to price</w:t>
      </w:r>
      <w:r w:rsidR="00DF5F6F" w:rsidRPr="00406409">
        <w:rPr>
          <w:rFonts w:ascii="Arial" w:hAnsi="Arial" w:cs="Arial"/>
        </w:rPr>
        <w:t xml:space="preserve"> and maximum connection period.</w:t>
      </w:r>
      <w:r w:rsidRPr="00406409">
        <w:rPr>
          <w:rFonts w:ascii="Arial" w:hAnsi="Arial" w:cs="Arial"/>
        </w:rPr>
        <w:t xml:space="preserve"> </w:t>
      </w:r>
      <w:r w:rsidR="00DF5F6F" w:rsidRPr="00406409">
        <w:rPr>
          <w:rFonts w:ascii="Arial" w:hAnsi="Arial" w:cs="Arial"/>
        </w:rPr>
        <w:t>Subsection</w:t>
      </w:r>
      <w:r w:rsidR="00E25168">
        <w:rPr>
          <w:rFonts w:ascii="Arial" w:hAnsi="Arial" w:cs="Arial"/>
        </w:rPr>
        <w:t>s</w:t>
      </w:r>
      <w:r w:rsidR="00DF5F6F" w:rsidRPr="00406409">
        <w:rPr>
          <w:rFonts w:ascii="Arial" w:hAnsi="Arial" w:cs="Arial"/>
        </w:rPr>
        <w:t xml:space="preserve"> 360</w:t>
      </w:r>
      <w:proofErr w:type="gramStart"/>
      <w:r w:rsidR="00DF5F6F" w:rsidRPr="00406409">
        <w:rPr>
          <w:rFonts w:ascii="Arial" w:hAnsi="Arial" w:cs="Arial"/>
        </w:rPr>
        <w:t>X(</w:t>
      </w:r>
      <w:proofErr w:type="gramEnd"/>
      <w:r w:rsidR="00406409" w:rsidRPr="00406409">
        <w:rPr>
          <w:rFonts w:ascii="Arial" w:hAnsi="Arial" w:cs="Arial"/>
        </w:rPr>
        <w:t>1</w:t>
      </w:r>
      <w:r w:rsidR="00DF5F6F" w:rsidRPr="00406409">
        <w:rPr>
          <w:rFonts w:ascii="Arial" w:hAnsi="Arial" w:cs="Arial"/>
        </w:rPr>
        <w:t>)</w:t>
      </w:r>
      <w:r w:rsidR="00406409" w:rsidRPr="00406409">
        <w:rPr>
          <w:rFonts w:ascii="Arial" w:hAnsi="Arial" w:cs="Arial"/>
        </w:rPr>
        <w:t xml:space="preserve"> and (2)</w:t>
      </w:r>
      <w:r w:rsidR="00DF5F6F" w:rsidRPr="00406409">
        <w:rPr>
          <w:rFonts w:ascii="Arial" w:hAnsi="Arial" w:cs="Arial"/>
        </w:rPr>
        <w:t xml:space="preserve"> provide that a SIP must publish its wholesale terms and conditions on its website, including the maximum period to begin to supply services and rectify faults</w:t>
      </w:r>
      <w:r w:rsidR="00406409" w:rsidRPr="00406409">
        <w:rPr>
          <w:rFonts w:ascii="Arial" w:hAnsi="Arial" w:cs="Arial"/>
        </w:rPr>
        <w:t xml:space="preserve">. </w:t>
      </w:r>
    </w:p>
    <w:p w14:paraId="5383751B" w14:textId="76910265" w:rsidR="00C808E9" w:rsidRDefault="00C808E9" w:rsidP="00406409">
      <w:pPr>
        <w:keepNext/>
        <w:spacing w:line="257" w:lineRule="auto"/>
        <w:rPr>
          <w:rFonts w:ascii="Arial" w:hAnsi="Arial" w:cs="Arial"/>
          <w:u w:val="single"/>
        </w:rPr>
      </w:pPr>
      <w:bookmarkStart w:id="2" w:name="_Toc93589206"/>
      <w:r w:rsidRPr="00C808E9">
        <w:rPr>
          <w:rFonts w:ascii="Arial" w:hAnsi="Arial" w:cs="Arial"/>
          <w:u w:val="single"/>
        </w:rPr>
        <w:t>Compliance with the numbering plan</w:t>
      </w:r>
      <w:bookmarkEnd w:id="2"/>
    </w:p>
    <w:p w14:paraId="3415DEB1" w14:textId="1BA0BA36" w:rsidR="00C808E9" w:rsidRPr="004D0DD8" w:rsidRDefault="00C808E9" w:rsidP="006C6A35">
      <w:pPr>
        <w:spacing w:line="257" w:lineRule="auto"/>
        <w:rPr>
          <w:rFonts w:ascii="Arial" w:hAnsi="Arial" w:cs="Arial"/>
        </w:rPr>
      </w:pPr>
      <w:r>
        <w:rPr>
          <w:rFonts w:ascii="Arial" w:hAnsi="Arial" w:cs="Arial"/>
        </w:rPr>
        <w:t>The Act</w:t>
      </w:r>
      <w:r w:rsidRPr="00302DB5">
        <w:rPr>
          <w:rFonts w:ascii="Arial" w:hAnsi="Arial" w:cs="Arial"/>
        </w:rPr>
        <w:t xml:space="preserve"> sets out requirements for the availability, allocation and portability of telephone numbers in Australia (including their use, transfer and withdrawal), and the storage, maintenance and disclosure of all listed and unlisted public numbers. </w:t>
      </w:r>
      <w:r w:rsidR="00D23211">
        <w:rPr>
          <w:rFonts w:ascii="Arial" w:hAnsi="Arial" w:cs="Arial"/>
        </w:rPr>
        <w:t xml:space="preserve">The ACMA is required under section </w:t>
      </w:r>
      <w:r w:rsidR="00BA15A3">
        <w:rPr>
          <w:rFonts w:ascii="Arial" w:hAnsi="Arial" w:cs="Arial"/>
        </w:rPr>
        <w:t xml:space="preserve">455 of the Act to make an instrument </w:t>
      </w:r>
      <w:r w:rsidR="00695A65">
        <w:rPr>
          <w:rFonts w:ascii="Arial" w:hAnsi="Arial" w:cs="Arial"/>
        </w:rPr>
        <w:t xml:space="preserve">called the </w:t>
      </w:r>
      <w:r w:rsidR="001E1422">
        <w:rPr>
          <w:rFonts w:ascii="Arial" w:hAnsi="Arial" w:cs="Arial"/>
        </w:rPr>
        <w:t xml:space="preserve">numbering plan that deals with </w:t>
      </w:r>
      <w:r w:rsidR="00ED6529">
        <w:rPr>
          <w:rFonts w:ascii="Arial" w:hAnsi="Arial" w:cs="Arial"/>
        </w:rPr>
        <w:t>the numbering of carriage services in Australia and the use of numbers</w:t>
      </w:r>
      <w:r w:rsidR="00BE34BC">
        <w:rPr>
          <w:rFonts w:ascii="Arial" w:hAnsi="Arial" w:cs="Arial"/>
        </w:rPr>
        <w:t xml:space="preserve"> in connection with the use of those services. </w:t>
      </w:r>
      <w:r w:rsidRPr="00302DB5">
        <w:rPr>
          <w:rFonts w:ascii="Arial" w:hAnsi="Arial" w:cs="Arial"/>
        </w:rPr>
        <w:t xml:space="preserve">Subsection 462(1) requires compliance </w:t>
      </w:r>
      <w:r w:rsidR="005440AE">
        <w:rPr>
          <w:rFonts w:ascii="Arial" w:hAnsi="Arial" w:cs="Arial"/>
        </w:rPr>
        <w:t xml:space="preserve">by carriers and </w:t>
      </w:r>
      <w:r w:rsidR="0025371E">
        <w:rPr>
          <w:rFonts w:ascii="Arial" w:hAnsi="Arial" w:cs="Arial"/>
        </w:rPr>
        <w:t>CSP</w:t>
      </w:r>
      <w:r w:rsidR="005440AE">
        <w:rPr>
          <w:rFonts w:ascii="Arial" w:hAnsi="Arial" w:cs="Arial"/>
        </w:rPr>
        <w:t xml:space="preserve">s </w:t>
      </w:r>
      <w:r w:rsidRPr="00302DB5">
        <w:rPr>
          <w:rFonts w:ascii="Arial" w:hAnsi="Arial" w:cs="Arial"/>
        </w:rPr>
        <w:t xml:space="preserve">with the numbering plan. </w:t>
      </w:r>
    </w:p>
    <w:p w14:paraId="14D1E46B" w14:textId="33827212" w:rsidR="00BE0886" w:rsidRPr="001B5DD5" w:rsidRDefault="00BE0886" w:rsidP="00CC7FAA">
      <w:pPr>
        <w:keepNext/>
        <w:spacing w:line="257" w:lineRule="auto"/>
        <w:rPr>
          <w:rFonts w:ascii="Arial" w:hAnsi="Arial" w:cs="Arial"/>
          <w:u w:val="single"/>
        </w:rPr>
      </w:pPr>
      <w:r w:rsidRPr="001B5DD5">
        <w:rPr>
          <w:rFonts w:ascii="Arial" w:hAnsi="Arial" w:cs="Arial"/>
          <w:u w:val="single"/>
        </w:rPr>
        <w:t>Information gathering powers</w:t>
      </w:r>
      <w:r w:rsidR="00ED3218" w:rsidRPr="001B5DD5">
        <w:rPr>
          <w:rFonts w:ascii="Arial" w:hAnsi="Arial" w:cs="Arial"/>
          <w:u w:val="single"/>
        </w:rPr>
        <w:t xml:space="preserve"> and record</w:t>
      </w:r>
      <w:r w:rsidR="003238D3">
        <w:rPr>
          <w:rFonts w:ascii="Arial" w:hAnsi="Arial" w:cs="Arial"/>
          <w:u w:val="single"/>
        </w:rPr>
        <w:t>-</w:t>
      </w:r>
      <w:r w:rsidR="00ED3218" w:rsidRPr="001B5DD5">
        <w:rPr>
          <w:rFonts w:ascii="Arial" w:hAnsi="Arial" w:cs="Arial"/>
          <w:u w:val="single"/>
        </w:rPr>
        <w:t>keeping</w:t>
      </w:r>
    </w:p>
    <w:p w14:paraId="225EBA55" w14:textId="39051C59" w:rsidR="00BE0886" w:rsidRPr="00623121" w:rsidRDefault="00BE0886" w:rsidP="006C6A35">
      <w:pPr>
        <w:spacing w:line="257" w:lineRule="auto"/>
        <w:rPr>
          <w:rFonts w:ascii="Arial" w:hAnsi="Arial" w:cs="Arial"/>
          <w:szCs w:val="20"/>
        </w:rPr>
      </w:pPr>
      <w:r w:rsidRPr="008204CC">
        <w:rPr>
          <w:rFonts w:ascii="Arial" w:hAnsi="Arial" w:cs="Arial"/>
        </w:rPr>
        <w:t xml:space="preserve">Section 521 enables the ACMA to obtain information and documents from </w:t>
      </w:r>
      <w:r w:rsidR="00297B31">
        <w:rPr>
          <w:rFonts w:ascii="Arial" w:hAnsi="Arial" w:cs="Arial"/>
        </w:rPr>
        <w:t>c</w:t>
      </w:r>
      <w:r w:rsidRPr="008204CC">
        <w:rPr>
          <w:rFonts w:ascii="Arial" w:hAnsi="Arial" w:cs="Arial"/>
        </w:rPr>
        <w:t xml:space="preserve">arriers and services providers if the ACMA has reason to believe that the carrier or </w:t>
      </w:r>
      <w:r w:rsidR="003B0A7A">
        <w:rPr>
          <w:rFonts w:ascii="Arial" w:hAnsi="Arial" w:cs="Arial"/>
        </w:rPr>
        <w:t xml:space="preserve">service </w:t>
      </w:r>
      <w:r w:rsidRPr="008204CC">
        <w:rPr>
          <w:rFonts w:ascii="Arial" w:hAnsi="Arial" w:cs="Arial"/>
        </w:rPr>
        <w:t>provider has information relevant to its powers and functions. Subsection 521(2) enables the ACMA to specify the manner and time period within which information and documents must be provided.</w:t>
      </w:r>
      <w:r w:rsidR="00937E85" w:rsidRPr="00937E85">
        <w:rPr>
          <w:rFonts w:ascii="Arial" w:hAnsi="Arial" w:cs="Arial"/>
          <w:color w:val="000000"/>
        </w:rPr>
        <w:t xml:space="preserve"> </w:t>
      </w:r>
      <w:r w:rsidRPr="008204CC">
        <w:rPr>
          <w:rFonts w:ascii="Arial" w:hAnsi="Arial" w:cs="Arial"/>
        </w:rPr>
        <w:t xml:space="preserve">Subsection 521(3) provides that </w:t>
      </w:r>
      <w:r w:rsidRPr="00623121">
        <w:rPr>
          <w:rFonts w:ascii="Arial" w:hAnsi="Arial" w:cs="Arial"/>
          <w:szCs w:val="20"/>
        </w:rPr>
        <w:t>a carrier or service provider must comply with a requirement under subsection 521(2) to provide information and documents to the ACMA.</w:t>
      </w:r>
    </w:p>
    <w:p w14:paraId="5D0872EF" w14:textId="03D03600" w:rsidR="00ED3218" w:rsidRDefault="00ED3218" w:rsidP="006C6A35">
      <w:pPr>
        <w:spacing w:line="257" w:lineRule="auto"/>
        <w:rPr>
          <w:rFonts w:ascii="Arial" w:hAnsi="Arial" w:cs="Arial"/>
        </w:rPr>
      </w:pPr>
      <w:r>
        <w:rPr>
          <w:rFonts w:ascii="Arial" w:hAnsi="Arial" w:cs="Arial"/>
        </w:rPr>
        <w:t>The Act</w:t>
      </w:r>
      <w:r w:rsidRPr="00302DB5">
        <w:rPr>
          <w:rFonts w:ascii="Arial" w:hAnsi="Arial" w:cs="Arial"/>
        </w:rPr>
        <w:t xml:space="preserve"> also empowers the ACMA to make rules requiring specified carriers and </w:t>
      </w:r>
      <w:r w:rsidR="001C1E74">
        <w:rPr>
          <w:rFonts w:ascii="Arial" w:hAnsi="Arial" w:cs="Arial"/>
        </w:rPr>
        <w:t>CSPs</w:t>
      </w:r>
      <w:r w:rsidRPr="00302DB5">
        <w:rPr>
          <w:rFonts w:ascii="Arial" w:hAnsi="Arial" w:cs="Arial"/>
        </w:rPr>
        <w:t xml:space="preserve"> to keep and retain records. Section 530 re</w:t>
      </w:r>
      <w:r w:rsidR="008E1DC9">
        <w:rPr>
          <w:rFonts w:ascii="Arial" w:hAnsi="Arial" w:cs="Arial"/>
        </w:rPr>
        <w:t>quires</w:t>
      </w:r>
      <w:r w:rsidRPr="00302DB5">
        <w:rPr>
          <w:rFonts w:ascii="Arial" w:hAnsi="Arial" w:cs="Arial"/>
        </w:rPr>
        <w:t xml:space="preserve"> compliance with record</w:t>
      </w:r>
      <w:r w:rsidR="008E6A6F">
        <w:rPr>
          <w:rFonts w:ascii="Arial" w:hAnsi="Arial" w:cs="Arial"/>
        </w:rPr>
        <w:t>-</w:t>
      </w:r>
      <w:r w:rsidRPr="00302DB5">
        <w:rPr>
          <w:rFonts w:ascii="Arial" w:hAnsi="Arial" w:cs="Arial"/>
        </w:rPr>
        <w:t xml:space="preserve">keeping rules. </w:t>
      </w:r>
    </w:p>
    <w:p w14:paraId="3B5946A9" w14:textId="77777777" w:rsidR="00BD5FAA" w:rsidRPr="00ED5B3D" w:rsidRDefault="00BD5FAA" w:rsidP="006C6A35">
      <w:pPr>
        <w:keepNext/>
        <w:spacing w:line="257" w:lineRule="auto"/>
        <w:rPr>
          <w:rFonts w:ascii="Arial" w:hAnsi="Arial" w:cs="Arial"/>
          <w:u w:val="single"/>
        </w:rPr>
      </w:pPr>
      <w:r w:rsidRPr="00ED5B3D">
        <w:rPr>
          <w:rFonts w:ascii="Arial" w:hAnsi="Arial" w:cs="Arial"/>
          <w:u w:val="single"/>
        </w:rPr>
        <w:t>Provision of information to the Integrated Public Number Database</w:t>
      </w:r>
    </w:p>
    <w:p w14:paraId="6AF884E7" w14:textId="004C5D40" w:rsidR="00BD5FAA" w:rsidRPr="00164476" w:rsidRDefault="00BD5FAA" w:rsidP="006C6A35">
      <w:pPr>
        <w:spacing w:line="257" w:lineRule="auto"/>
        <w:rPr>
          <w:rFonts w:ascii="Arial" w:hAnsi="Arial" w:cs="Arial"/>
        </w:rPr>
      </w:pPr>
      <w:r w:rsidRPr="00164476">
        <w:rPr>
          <w:rFonts w:ascii="Arial" w:hAnsi="Arial" w:cs="Arial"/>
        </w:rPr>
        <w:t>Part 4 of Schedule 2 to the Act requires a</w:t>
      </w:r>
      <w:r w:rsidR="00785716">
        <w:rPr>
          <w:rFonts w:ascii="Arial" w:hAnsi="Arial" w:cs="Arial"/>
        </w:rPr>
        <w:t xml:space="preserve"> CSP</w:t>
      </w:r>
      <w:r w:rsidRPr="00164476">
        <w:rPr>
          <w:rFonts w:ascii="Arial" w:hAnsi="Arial" w:cs="Arial"/>
        </w:rPr>
        <w:t xml:space="preserve"> wh</w:t>
      </w:r>
      <w:r w:rsidR="008E6A6F">
        <w:rPr>
          <w:rFonts w:ascii="Arial" w:hAnsi="Arial" w:cs="Arial"/>
        </w:rPr>
        <w:t>ich</w:t>
      </w:r>
      <w:r w:rsidRPr="00164476">
        <w:rPr>
          <w:rFonts w:ascii="Arial" w:hAnsi="Arial" w:cs="Arial"/>
        </w:rPr>
        <w:t xml:space="preserve"> supplies a carriage service to an end user who has a public number to supply the Integrated Public Number Database (IPND) manager with such information as it reasonably requires to provide and maintain the IPND. </w:t>
      </w:r>
    </w:p>
    <w:p w14:paraId="5B0F8502" w14:textId="06E1A397" w:rsidR="00BD5FAA" w:rsidRDefault="00BD5FAA" w:rsidP="006C6A35">
      <w:pPr>
        <w:spacing w:line="257" w:lineRule="auto"/>
        <w:rPr>
          <w:rFonts w:ascii="Arial" w:hAnsi="Arial" w:cs="Arial"/>
        </w:rPr>
      </w:pPr>
      <w:r w:rsidRPr="00302DB5">
        <w:rPr>
          <w:rFonts w:ascii="Arial" w:hAnsi="Arial" w:cs="Arial"/>
        </w:rPr>
        <w:t>Subclause</w:t>
      </w:r>
      <w:r>
        <w:rPr>
          <w:rFonts w:ascii="Arial" w:hAnsi="Arial" w:cs="Arial"/>
        </w:rPr>
        <w:t xml:space="preserve"> 10(2) of Schedule 2 to the Act requires </w:t>
      </w:r>
      <w:r w:rsidRPr="00164476">
        <w:rPr>
          <w:rFonts w:ascii="Arial" w:hAnsi="Arial" w:cs="Arial"/>
        </w:rPr>
        <w:t xml:space="preserve">this information to be given to Telstra Corporation Limited if it is the IPND Manager, while </w:t>
      </w:r>
      <w:r w:rsidR="0029506D">
        <w:rPr>
          <w:rFonts w:ascii="Arial" w:hAnsi="Arial" w:cs="Arial"/>
        </w:rPr>
        <w:t>sub</w:t>
      </w:r>
      <w:r w:rsidRPr="00164476">
        <w:rPr>
          <w:rFonts w:ascii="Arial" w:hAnsi="Arial" w:cs="Arial"/>
        </w:rPr>
        <w:t xml:space="preserve">clause 11(2) requires the information to be given to another </w:t>
      </w:r>
      <w:proofErr w:type="gramStart"/>
      <w:r w:rsidRPr="00164476">
        <w:rPr>
          <w:rFonts w:ascii="Arial" w:hAnsi="Arial" w:cs="Arial"/>
        </w:rPr>
        <w:t>entity, if</w:t>
      </w:r>
      <w:proofErr w:type="gramEnd"/>
      <w:r w:rsidRPr="00164476">
        <w:rPr>
          <w:rFonts w:ascii="Arial" w:hAnsi="Arial" w:cs="Arial"/>
        </w:rPr>
        <w:t xml:space="preserve"> they are obliged to provide and maintain the IPND.</w:t>
      </w:r>
    </w:p>
    <w:p w14:paraId="7D517105" w14:textId="7EDA7C10" w:rsidR="006145DA" w:rsidRPr="0046005E" w:rsidRDefault="006145DA" w:rsidP="006C6A35">
      <w:pPr>
        <w:spacing w:line="257" w:lineRule="auto"/>
        <w:rPr>
          <w:rFonts w:ascii="Arial" w:hAnsi="Arial" w:cs="Arial"/>
          <w:b/>
          <w:bCs/>
          <w:i/>
          <w:iCs/>
        </w:rPr>
      </w:pPr>
      <w:r w:rsidRPr="006145DA">
        <w:rPr>
          <w:rFonts w:ascii="Arial" w:hAnsi="Arial" w:cs="Arial"/>
          <w:b/>
          <w:bCs/>
        </w:rPr>
        <w:lastRenderedPageBreak/>
        <w:t xml:space="preserve">Provisions of the </w:t>
      </w:r>
      <w:r w:rsidRPr="0046005E">
        <w:rPr>
          <w:rFonts w:ascii="Arial" w:hAnsi="Arial" w:cs="Arial"/>
          <w:b/>
          <w:bCs/>
          <w:i/>
          <w:iCs/>
        </w:rPr>
        <w:t>Telecommunications (Consumer Protection and Service Standards) Act 1999</w:t>
      </w:r>
    </w:p>
    <w:p w14:paraId="6BF608F1" w14:textId="242F3399" w:rsidR="00FD3A41" w:rsidRPr="00FD3A41" w:rsidRDefault="00FD3A41" w:rsidP="006C6A35">
      <w:pPr>
        <w:spacing w:line="257" w:lineRule="auto"/>
        <w:rPr>
          <w:rFonts w:ascii="Arial" w:hAnsi="Arial" w:cs="Arial"/>
          <w:u w:val="single"/>
        </w:rPr>
      </w:pPr>
      <w:r w:rsidRPr="00FD3A41">
        <w:rPr>
          <w:rFonts w:ascii="Arial" w:hAnsi="Arial" w:cs="Arial"/>
          <w:u w:val="single"/>
        </w:rPr>
        <w:t>Lodgement of returns of eligible revenue</w:t>
      </w:r>
    </w:p>
    <w:p w14:paraId="1CC70C56" w14:textId="0CA20C29" w:rsidR="0029263D" w:rsidRDefault="0029263D" w:rsidP="006C6A35">
      <w:pPr>
        <w:spacing w:line="257" w:lineRule="auto"/>
        <w:rPr>
          <w:rFonts w:ascii="Arial" w:hAnsi="Arial" w:cs="Arial"/>
        </w:rPr>
      </w:pPr>
      <w:r>
        <w:rPr>
          <w:rFonts w:ascii="Arial" w:hAnsi="Arial" w:cs="Arial"/>
        </w:rPr>
        <w:t xml:space="preserve">Subsection 43(1) </w:t>
      </w:r>
      <w:r w:rsidR="00C06C45">
        <w:rPr>
          <w:rFonts w:ascii="Arial" w:hAnsi="Arial" w:cs="Arial"/>
        </w:rPr>
        <w:t xml:space="preserve">of the TCPSS Act </w:t>
      </w:r>
      <w:r>
        <w:rPr>
          <w:rFonts w:ascii="Arial" w:hAnsi="Arial" w:cs="Arial"/>
        </w:rPr>
        <w:t xml:space="preserve">requires that a participating person must lodge a return of the person’s eligible revenue within the period specified in </w:t>
      </w:r>
      <w:r w:rsidR="00B611C7">
        <w:rPr>
          <w:rFonts w:ascii="Arial" w:hAnsi="Arial" w:cs="Arial"/>
        </w:rPr>
        <w:t>an</w:t>
      </w:r>
      <w:r>
        <w:rPr>
          <w:rFonts w:ascii="Arial" w:hAnsi="Arial" w:cs="Arial"/>
        </w:rPr>
        <w:t xml:space="preserve"> instrument</w:t>
      </w:r>
      <w:r w:rsidR="00B611C7">
        <w:rPr>
          <w:rFonts w:ascii="Arial" w:hAnsi="Arial" w:cs="Arial"/>
        </w:rPr>
        <w:t xml:space="preserve"> made under subsection 43(5)</w:t>
      </w:r>
      <w:r>
        <w:rPr>
          <w:rFonts w:ascii="Arial" w:hAnsi="Arial" w:cs="Arial"/>
        </w:rPr>
        <w:t>.</w:t>
      </w:r>
      <w:r w:rsidR="00C07DE4">
        <w:rPr>
          <w:rStyle w:val="FootnoteReference"/>
          <w:rFonts w:ascii="Arial" w:hAnsi="Arial" w:cs="Arial"/>
        </w:rPr>
        <w:footnoteReference w:id="2"/>
      </w:r>
    </w:p>
    <w:p w14:paraId="69C220B1" w14:textId="5C41D0FE" w:rsidR="00FD3A41" w:rsidRPr="00FD3A41" w:rsidRDefault="00FD3A41" w:rsidP="006C6A35">
      <w:pPr>
        <w:spacing w:line="257" w:lineRule="auto"/>
        <w:rPr>
          <w:rFonts w:ascii="Arial" w:hAnsi="Arial" w:cs="Arial"/>
          <w:u w:val="single"/>
        </w:rPr>
      </w:pPr>
      <w:r w:rsidRPr="00FD3A41">
        <w:rPr>
          <w:rFonts w:ascii="Arial" w:hAnsi="Arial" w:cs="Arial"/>
          <w:u w:val="single"/>
        </w:rPr>
        <w:t>Consumer Service Guarantee and Universal Service Obligation</w:t>
      </w:r>
    </w:p>
    <w:p w14:paraId="040574E2" w14:textId="4CB96DC1" w:rsidR="00DB3975" w:rsidRPr="00302DB5" w:rsidRDefault="00DB3975" w:rsidP="006C6A35">
      <w:pPr>
        <w:spacing w:line="257" w:lineRule="auto"/>
        <w:rPr>
          <w:rFonts w:ascii="Arial" w:hAnsi="Arial" w:cs="Arial"/>
        </w:rPr>
      </w:pPr>
      <w:r w:rsidRPr="00302DB5">
        <w:rPr>
          <w:rFonts w:ascii="Arial" w:hAnsi="Arial" w:cs="Arial"/>
        </w:rPr>
        <w:t xml:space="preserve">The TCPSS Act enables the Minister for </w:t>
      </w:r>
      <w:r>
        <w:rPr>
          <w:rFonts w:ascii="Arial" w:hAnsi="Arial" w:cs="Arial"/>
        </w:rPr>
        <w:t>Infrastructure, Transport, Regional Development and</w:t>
      </w:r>
      <w:r w:rsidRPr="00302DB5">
        <w:rPr>
          <w:rFonts w:ascii="Arial" w:hAnsi="Arial" w:cs="Arial"/>
        </w:rPr>
        <w:t xml:space="preserve"> Communications (</w:t>
      </w:r>
      <w:r w:rsidRPr="0046005E">
        <w:rPr>
          <w:rFonts w:ascii="Arial" w:hAnsi="Arial" w:cs="Arial"/>
          <w:b/>
          <w:bCs/>
        </w:rPr>
        <w:t xml:space="preserve">the </w:t>
      </w:r>
      <w:r w:rsidR="00C154E6">
        <w:rPr>
          <w:rFonts w:ascii="Arial" w:hAnsi="Arial" w:cs="Arial"/>
          <w:b/>
          <w:bCs/>
        </w:rPr>
        <w:t>M</w:t>
      </w:r>
      <w:r w:rsidRPr="0046005E">
        <w:rPr>
          <w:rFonts w:ascii="Arial" w:hAnsi="Arial" w:cs="Arial"/>
          <w:b/>
          <w:bCs/>
        </w:rPr>
        <w:t>inister</w:t>
      </w:r>
      <w:r w:rsidRPr="00302DB5">
        <w:rPr>
          <w:rFonts w:ascii="Arial" w:hAnsi="Arial" w:cs="Arial"/>
        </w:rPr>
        <w:t xml:space="preserve">) to determine performance standards and benchmarks for services covered by the CSG and the provision of services under the USO. </w:t>
      </w:r>
      <w:r>
        <w:rPr>
          <w:rFonts w:ascii="Arial" w:hAnsi="Arial" w:cs="Arial"/>
        </w:rPr>
        <w:t xml:space="preserve"> </w:t>
      </w:r>
    </w:p>
    <w:p w14:paraId="6061AB76" w14:textId="74395E60" w:rsidR="00DB3975" w:rsidRDefault="00DB3975" w:rsidP="006C6A35">
      <w:pPr>
        <w:spacing w:line="257" w:lineRule="auto"/>
        <w:rPr>
          <w:rFonts w:ascii="Arial" w:hAnsi="Arial" w:cs="Arial"/>
        </w:rPr>
      </w:pPr>
      <w:r w:rsidRPr="00302DB5">
        <w:rPr>
          <w:rFonts w:ascii="Arial" w:hAnsi="Arial" w:cs="Arial"/>
        </w:rPr>
        <w:t xml:space="preserve">The annual performance benchmarks and standards set requirements for connections, fault repairs, appointments and reliability of services under the CSG standard and the USO. Enforceable benchmarks and standards are intended to provide additional incentives for carriers and </w:t>
      </w:r>
      <w:r w:rsidR="0098734B">
        <w:rPr>
          <w:rFonts w:ascii="Arial" w:hAnsi="Arial" w:cs="Arial"/>
        </w:rPr>
        <w:t>CSPs</w:t>
      </w:r>
      <w:r w:rsidRPr="00302DB5">
        <w:rPr>
          <w:rFonts w:ascii="Arial" w:hAnsi="Arial" w:cs="Arial"/>
        </w:rPr>
        <w:t xml:space="preserve"> to meet the CSG standard, and for the primary universal service provider to satisfy obligations under the USO. </w:t>
      </w:r>
    </w:p>
    <w:p w14:paraId="1DFBC8E4" w14:textId="504FC643" w:rsidR="00DB3975" w:rsidRPr="00302DB5" w:rsidRDefault="00DB3975" w:rsidP="006C6A35">
      <w:pPr>
        <w:spacing w:line="257" w:lineRule="auto"/>
        <w:rPr>
          <w:rFonts w:ascii="Arial" w:hAnsi="Arial" w:cs="Arial"/>
        </w:rPr>
      </w:pPr>
      <w:r w:rsidRPr="00302DB5">
        <w:rPr>
          <w:rFonts w:ascii="Arial" w:hAnsi="Arial" w:cs="Arial"/>
        </w:rPr>
        <w:t>Subsections 117</w:t>
      </w:r>
      <w:proofErr w:type="gramStart"/>
      <w:r w:rsidRPr="00302DB5">
        <w:rPr>
          <w:rFonts w:ascii="Arial" w:hAnsi="Arial" w:cs="Arial"/>
        </w:rPr>
        <w:t>C(</w:t>
      </w:r>
      <w:proofErr w:type="gramEnd"/>
      <w:r w:rsidRPr="00302DB5">
        <w:rPr>
          <w:rFonts w:ascii="Arial" w:hAnsi="Arial" w:cs="Arial"/>
        </w:rPr>
        <w:t>2), 117F(2), 12EB(4), 12EC(9), 12ED(4) and 12EE(9) relate to ministerial standards and benchmarks. Subsections 12</w:t>
      </w:r>
      <w:proofErr w:type="gramStart"/>
      <w:r w:rsidRPr="00302DB5">
        <w:rPr>
          <w:rFonts w:ascii="Arial" w:hAnsi="Arial" w:cs="Arial"/>
        </w:rPr>
        <w:t>EF(</w:t>
      </w:r>
      <w:proofErr w:type="gramEnd"/>
      <w:r w:rsidRPr="00302DB5">
        <w:rPr>
          <w:rFonts w:ascii="Arial" w:hAnsi="Arial" w:cs="Arial"/>
        </w:rPr>
        <w:t>2), 12EG(3), 12EH(2) and 12EI(6) relate to obligations on the primary universal service provider relating to the location, removal and complaints handling in the provision of payphone service</w:t>
      </w:r>
      <w:r w:rsidR="00407E0E">
        <w:rPr>
          <w:rFonts w:ascii="Arial" w:hAnsi="Arial" w:cs="Arial"/>
        </w:rPr>
        <w:t>s</w:t>
      </w:r>
      <w:r w:rsidRPr="00302DB5">
        <w:rPr>
          <w:rFonts w:ascii="Arial" w:hAnsi="Arial" w:cs="Arial"/>
        </w:rPr>
        <w:t xml:space="preserve"> and empower</w:t>
      </w:r>
      <w:r w:rsidR="00407E0E">
        <w:rPr>
          <w:rFonts w:ascii="Arial" w:hAnsi="Arial" w:cs="Arial"/>
        </w:rPr>
        <w:t>s</w:t>
      </w:r>
      <w:r w:rsidRPr="00302DB5">
        <w:rPr>
          <w:rFonts w:ascii="Arial" w:hAnsi="Arial" w:cs="Arial"/>
        </w:rPr>
        <w:t xml:space="preserve"> the ACMA to direct the primary universal service provider not to reinstall or remove payphones.</w:t>
      </w:r>
      <w:r>
        <w:rPr>
          <w:rFonts w:ascii="Arial" w:hAnsi="Arial" w:cs="Arial"/>
        </w:rPr>
        <w:t xml:space="preserve"> Subsections 117</w:t>
      </w:r>
      <w:proofErr w:type="gramStart"/>
      <w:r>
        <w:rPr>
          <w:rFonts w:ascii="Arial" w:hAnsi="Arial" w:cs="Arial"/>
        </w:rPr>
        <w:t>A(</w:t>
      </w:r>
      <w:proofErr w:type="gramEnd"/>
      <w:r>
        <w:rPr>
          <w:rFonts w:ascii="Arial" w:hAnsi="Arial" w:cs="Arial"/>
        </w:rPr>
        <w:t>1), 117A(3), 117A(4) and 117</w:t>
      </w:r>
      <w:r w:rsidR="002317BD">
        <w:rPr>
          <w:rFonts w:ascii="Arial" w:hAnsi="Arial" w:cs="Arial"/>
        </w:rPr>
        <w:t>A</w:t>
      </w:r>
      <w:r>
        <w:rPr>
          <w:rFonts w:ascii="Arial" w:hAnsi="Arial" w:cs="Arial"/>
        </w:rPr>
        <w:t xml:space="preserve">(5) relate to </w:t>
      </w:r>
      <w:r w:rsidRPr="009C7BC3">
        <w:rPr>
          <w:rFonts w:ascii="Arial" w:hAnsi="Arial" w:cs="Arial"/>
        </w:rPr>
        <w:t>timeframes for payment of damages for breach of performance standards</w:t>
      </w:r>
      <w:r>
        <w:rPr>
          <w:rFonts w:ascii="Arial" w:hAnsi="Arial" w:cs="Arial"/>
        </w:rPr>
        <w:t>.</w:t>
      </w:r>
    </w:p>
    <w:p w14:paraId="0FFA62CE" w14:textId="2A65CF11" w:rsidR="004A4D45" w:rsidRPr="00302DB5" w:rsidRDefault="00D92D77" w:rsidP="006C6A35">
      <w:pPr>
        <w:spacing w:line="257" w:lineRule="auto"/>
        <w:rPr>
          <w:rFonts w:ascii="Arial" w:hAnsi="Arial" w:cs="Arial"/>
          <w:u w:val="single"/>
        </w:rPr>
      </w:pPr>
      <w:r>
        <w:rPr>
          <w:rFonts w:ascii="Arial" w:hAnsi="Arial" w:cs="Arial"/>
          <w:u w:val="single"/>
        </w:rPr>
        <w:t>T</w:t>
      </w:r>
      <w:r w:rsidR="004A4D45" w:rsidRPr="00302DB5">
        <w:rPr>
          <w:rFonts w:ascii="Arial" w:hAnsi="Arial" w:cs="Arial"/>
          <w:u w:val="single"/>
        </w:rPr>
        <w:t xml:space="preserve">he TIO scheme </w:t>
      </w:r>
    </w:p>
    <w:p w14:paraId="7432544F" w14:textId="77777777" w:rsidR="00BB2243" w:rsidRPr="00302DB5" w:rsidRDefault="004A4D45" w:rsidP="006C6A35">
      <w:pPr>
        <w:spacing w:line="257" w:lineRule="auto"/>
        <w:rPr>
          <w:rFonts w:ascii="Arial" w:hAnsi="Arial" w:cs="Arial"/>
        </w:rPr>
      </w:pPr>
      <w:r w:rsidRPr="00302DB5">
        <w:rPr>
          <w:rFonts w:ascii="Arial" w:hAnsi="Arial" w:cs="Arial"/>
        </w:rPr>
        <w:t xml:space="preserve">The TIO scheme is a free and independent alternative dispute resolution scheme for consumers in Australia who have complaints about their telephone or internet services. Subsection 128(4) of the TCPSS Act states that the TIO scheme must provide for the TIO to (a) investigate; (b) make determinations relating to; and (c) give directions relating to; complaints about carriage services by end-users of those services. </w:t>
      </w:r>
    </w:p>
    <w:p w14:paraId="2E4B3DA1" w14:textId="18BDD1BE" w:rsidR="00BB2243" w:rsidRPr="00302DB5" w:rsidRDefault="004A4D45" w:rsidP="006C6A35">
      <w:pPr>
        <w:spacing w:line="257" w:lineRule="auto"/>
        <w:rPr>
          <w:rFonts w:ascii="Arial" w:hAnsi="Arial" w:cs="Arial"/>
        </w:rPr>
      </w:pPr>
      <w:r w:rsidRPr="00302DB5">
        <w:rPr>
          <w:rFonts w:ascii="Arial" w:hAnsi="Arial" w:cs="Arial"/>
        </w:rPr>
        <w:t xml:space="preserve">Subsection 128(1) of the TCPSS Act requires each carrier (as defined in section 7 of </w:t>
      </w:r>
      <w:r w:rsidR="00E11923">
        <w:rPr>
          <w:rFonts w:ascii="Arial" w:hAnsi="Arial" w:cs="Arial"/>
        </w:rPr>
        <w:t>the Act</w:t>
      </w:r>
      <w:r w:rsidRPr="00302DB5">
        <w:rPr>
          <w:rFonts w:ascii="Arial" w:hAnsi="Arial" w:cs="Arial"/>
        </w:rPr>
        <w:t xml:space="preserve">) and each eligible </w:t>
      </w:r>
      <w:r w:rsidR="00F46678">
        <w:rPr>
          <w:rFonts w:ascii="Arial" w:hAnsi="Arial" w:cs="Arial"/>
        </w:rPr>
        <w:t>CSP</w:t>
      </w:r>
      <w:r w:rsidRPr="00302DB5">
        <w:rPr>
          <w:rFonts w:ascii="Arial" w:hAnsi="Arial" w:cs="Arial"/>
        </w:rPr>
        <w:t xml:space="preserve"> (as defined in section 127 of the TCPSS Act), in association with other carriers and other </w:t>
      </w:r>
      <w:r w:rsidR="005740F3">
        <w:rPr>
          <w:rFonts w:ascii="Arial" w:hAnsi="Arial" w:cs="Arial"/>
          <w:color w:val="000000"/>
          <w:shd w:val="clear" w:color="auto" w:fill="FFFFFF"/>
        </w:rPr>
        <w:t xml:space="preserve">eligible </w:t>
      </w:r>
      <w:r w:rsidR="00A41A30">
        <w:rPr>
          <w:rFonts w:ascii="Arial" w:hAnsi="Arial" w:cs="Arial"/>
          <w:color w:val="000000"/>
          <w:shd w:val="clear" w:color="auto" w:fill="FFFFFF"/>
        </w:rPr>
        <w:t>CSP</w:t>
      </w:r>
      <w:r w:rsidRPr="00302DB5">
        <w:rPr>
          <w:rFonts w:ascii="Arial" w:hAnsi="Arial" w:cs="Arial"/>
        </w:rPr>
        <w:t xml:space="preserve">s, to enter into a scheme providing for a TIO. </w:t>
      </w:r>
    </w:p>
    <w:p w14:paraId="5867B13C" w14:textId="0465ABC9" w:rsidR="00BB2243" w:rsidRPr="00302DB5" w:rsidRDefault="004A4D45" w:rsidP="006C6A35">
      <w:pPr>
        <w:spacing w:line="257" w:lineRule="auto"/>
        <w:rPr>
          <w:rFonts w:ascii="Arial" w:hAnsi="Arial" w:cs="Arial"/>
        </w:rPr>
      </w:pPr>
      <w:r w:rsidRPr="00302DB5">
        <w:rPr>
          <w:rFonts w:ascii="Arial" w:hAnsi="Arial" w:cs="Arial"/>
        </w:rPr>
        <w:t>Subsection 130(1) provides that the ACMA may give a</w:t>
      </w:r>
      <w:r w:rsidR="000B2B4E">
        <w:rPr>
          <w:rFonts w:ascii="Arial" w:hAnsi="Arial" w:cs="Arial"/>
        </w:rPr>
        <w:t xml:space="preserve"> CSP</w:t>
      </w:r>
      <w:r w:rsidRPr="00302DB5">
        <w:rPr>
          <w:rFonts w:ascii="Arial" w:hAnsi="Arial" w:cs="Arial"/>
        </w:rPr>
        <w:t xml:space="preserve"> a written notice directing the provider to enter into the TIO scheme. This section applies to </w:t>
      </w:r>
      <w:r w:rsidR="00010BF4">
        <w:rPr>
          <w:rFonts w:ascii="Arial" w:hAnsi="Arial" w:cs="Arial"/>
        </w:rPr>
        <w:t>CSPs</w:t>
      </w:r>
      <w:r w:rsidRPr="00302DB5">
        <w:rPr>
          <w:rFonts w:ascii="Arial" w:hAnsi="Arial" w:cs="Arial"/>
        </w:rPr>
        <w:t xml:space="preserve"> that are not </w:t>
      </w:r>
      <w:r w:rsidR="005740F3" w:rsidRPr="002C7504">
        <w:rPr>
          <w:rFonts w:ascii="Arial" w:hAnsi="Arial" w:cs="Arial"/>
          <w:color w:val="000000"/>
          <w:shd w:val="clear" w:color="auto" w:fill="FFFFFF"/>
        </w:rPr>
        <w:t xml:space="preserve">eligible </w:t>
      </w:r>
      <w:r w:rsidR="002C7504">
        <w:rPr>
          <w:rFonts w:ascii="Arial" w:hAnsi="Arial" w:cs="Arial"/>
          <w:color w:val="000000"/>
          <w:shd w:val="clear" w:color="auto" w:fill="FFFFFF"/>
        </w:rPr>
        <w:t>CSPs</w:t>
      </w:r>
      <w:r w:rsidRPr="00302DB5">
        <w:rPr>
          <w:rFonts w:ascii="Arial" w:hAnsi="Arial" w:cs="Arial"/>
        </w:rPr>
        <w:t xml:space="preserve">. Subsection 130(2), which is declared in </w:t>
      </w:r>
      <w:r w:rsidR="00C9205B">
        <w:rPr>
          <w:rFonts w:ascii="Arial" w:hAnsi="Arial" w:cs="Arial"/>
        </w:rPr>
        <w:t>th</w:t>
      </w:r>
      <w:r w:rsidR="00234657">
        <w:rPr>
          <w:rFonts w:ascii="Arial" w:hAnsi="Arial" w:cs="Arial"/>
        </w:rPr>
        <w:t>e</w:t>
      </w:r>
      <w:r w:rsidR="00C9205B" w:rsidRPr="00302DB5">
        <w:rPr>
          <w:rFonts w:ascii="Arial" w:hAnsi="Arial" w:cs="Arial"/>
        </w:rPr>
        <w:t xml:space="preserve"> </w:t>
      </w:r>
      <w:r w:rsidRPr="00302DB5">
        <w:rPr>
          <w:rFonts w:ascii="Arial" w:hAnsi="Arial" w:cs="Arial"/>
        </w:rPr>
        <w:t xml:space="preserve">Declaration to be a listed infringement notice provision, states that a provider must comply with a direction under </w:t>
      </w:r>
      <w:r w:rsidR="00DE0989">
        <w:rPr>
          <w:rFonts w:ascii="Arial" w:hAnsi="Arial" w:cs="Arial"/>
        </w:rPr>
        <w:t xml:space="preserve">subsection </w:t>
      </w:r>
      <w:r w:rsidRPr="00302DB5">
        <w:rPr>
          <w:rFonts w:ascii="Arial" w:hAnsi="Arial" w:cs="Arial"/>
        </w:rPr>
        <w:t>130(2) to enter into the TIO</w:t>
      </w:r>
      <w:r w:rsidR="00591DD4">
        <w:rPr>
          <w:rFonts w:ascii="Arial" w:hAnsi="Arial" w:cs="Arial"/>
        </w:rPr>
        <w:t xml:space="preserve"> sche</w:t>
      </w:r>
      <w:r w:rsidR="00DE0989">
        <w:rPr>
          <w:rFonts w:ascii="Arial" w:hAnsi="Arial" w:cs="Arial"/>
        </w:rPr>
        <w:t>me</w:t>
      </w:r>
      <w:r w:rsidRPr="00302DB5">
        <w:rPr>
          <w:rFonts w:ascii="Arial" w:hAnsi="Arial" w:cs="Arial"/>
        </w:rPr>
        <w:t xml:space="preserve">. </w:t>
      </w:r>
    </w:p>
    <w:p w14:paraId="594E7EB2" w14:textId="3016ED0F" w:rsidR="00542148" w:rsidRPr="00302DB5" w:rsidRDefault="00633B13" w:rsidP="006C6A35">
      <w:pPr>
        <w:spacing w:line="257" w:lineRule="auto"/>
        <w:rPr>
          <w:rFonts w:ascii="Arial" w:hAnsi="Arial" w:cs="Arial"/>
        </w:rPr>
      </w:pPr>
      <w:r w:rsidRPr="00302DB5">
        <w:rPr>
          <w:rFonts w:ascii="Arial" w:hAnsi="Arial" w:cs="Arial"/>
        </w:rPr>
        <w:t xml:space="preserve">Section 132 </w:t>
      </w:r>
      <w:r w:rsidR="00D92D77">
        <w:rPr>
          <w:rFonts w:ascii="Arial" w:hAnsi="Arial" w:cs="Arial"/>
        </w:rPr>
        <w:t xml:space="preserve">requires </w:t>
      </w:r>
      <w:r w:rsidR="00847447">
        <w:rPr>
          <w:rFonts w:ascii="Arial" w:hAnsi="Arial" w:cs="Arial"/>
        </w:rPr>
        <w:t xml:space="preserve">providers </w:t>
      </w:r>
      <w:r w:rsidR="00847447" w:rsidRPr="00302DB5">
        <w:rPr>
          <w:rFonts w:ascii="Arial" w:hAnsi="Arial" w:cs="Arial"/>
        </w:rPr>
        <w:t>to</w:t>
      </w:r>
      <w:r w:rsidRPr="00302DB5">
        <w:rPr>
          <w:rFonts w:ascii="Arial" w:hAnsi="Arial" w:cs="Arial"/>
        </w:rPr>
        <w:t xml:space="preserve"> compl</w:t>
      </w:r>
      <w:r w:rsidR="00D92D77">
        <w:rPr>
          <w:rFonts w:ascii="Arial" w:hAnsi="Arial" w:cs="Arial"/>
        </w:rPr>
        <w:t xml:space="preserve">y </w:t>
      </w:r>
      <w:r w:rsidRPr="00302DB5">
        <w:rPr>
          <w:rFonts w:ascii="Arial" w:hAnsi="Arial" w:cs="Arial"/>
        </w:rPr>
        <w:t xml:space="preserve">with the TIO scheme. </w:t>
      </w:r>
    </w:p>
    <w:p w14:paraId="580E952D" w14:textId="6D4ABC43" w:rsidR="00EA6658" w:rsidRPr="007042E0" w:rsidRDefault="00434BB8" w:rsidP="006C6A35">
      <w:pPr>
        <w:spacing w:line="257" w:lineRule="auto"/>
        <w:rPr>
          <w:rFonts w:ascii="Arial" w:hAnsi="Arial" w:cs="Arial"/>
          <w:b/>
          <w:bCs/>
        </w:rPr>
      </w:pPr>
      <w:r w:rsidRPr="007042E0">
        <w:rPr>
          <w:rFonts w:ascii="Arial" w:hAnsi="Arial" w:cs="Arial"/>
          <w:b/>
          <w:bCs/>
        </w:rPr>
        <w:t xml:space="preserve">Provisions of the </w:t>
      </w:r>
      <w:r w:rsidR="00B55D93" w:rsidRPr="0046005E">
        <w:rPr>
          <w:rFonts w:ascii="Arial" w:hAnsi="Arial" w:cs="Arial"/>
          <w:b/>
          <w:bCs/>
          <w:i/>
          <w:iCs/>
        </w:rPr>
        <w:t>Telecommunications (Interception and Access) Act 1979</w:t>
      </w:r>
    </w:p>
    <w:p w14:paraId="4F5D3DE8" w14:textId="77777777" w:rsidR="0068191D" w:rsidRPr="0038596D" w:rsidRDefault="00EB3A69" w:rsidP="006C6A35">
      <w:pPr>
        <w:spacing w:line="257" w:lineRule="auto"/>
        <w:rPr>
          <w:rFonts w:ascii="Arial" w:hAnsi="Arial" w:cs="Arial"/>
        </w:rPr>
      </w:pPr>
      <w:r w:rsidRPr="0038596D">
        <w:rPr>
          <w:rFonts w:ascii="Arial" w:hAnsi="Arial" w:cs="Arial"/>
        </w:rPr>
        <w:lastRenderedPageBreak/>
        <w:t>The TIA Act sets out requirements relating to the interception of communications.</w:t>
      </w:r>
    </w:p>
    <w:p w14:paraId="24330EAC" w14:textId="2883CCFD" w:rsidR="00221C05" w:rsidRPr="0038596D" w:rsidRDefault="001B0AF8" w:rsidP="006C6A35">
      <w:pPr>
        <w:keepNext/>
        <w:keepLines/>
        <w:spacing w:line="257" w:lineRule="auto"/>
        <w:rPr>
          <w:rFonts w:ascii="Arial" w:hAnsi="Arial" w:cs="Arial"/>
          <w:szCs w:val="20"/>
        </w:rPr>
      </w:pPr>
      <w:r w:rsidRPr="0038596D">
        <w:rPr>
          <w:rFonts w:ascii="Arial" w:hAnsi="Arial" w:cs="Arial"/>
        </w:rPr>
        <w:t>Subsection 187</w:t>
      </w:r>
      <w:proofErr w:type="gramStart"/>
      <w:r w:rsidRPr="0038596D">
        <w:rPr>
          <w:rFonts w:ascii="Arial" w:hAnsi="Arial" w:cs="Arial"/>
        </w:rPr>
        <w:t>A(</w:t>
      </w:r>
      <w:proofErr w:type="gramEnd"/>
      <w:r w:rsidRPr="0038596D">
        <w:rPr>
          <w:rFonts w:ascii="Arial" w:hAnsi="Arial" w:cs="Arial"/>
        </w:rPr>
        <w:t xml:space="preserve">1) </w:t>
      </w:r>
      <w:r w:rsidR="002E51E3">
        <w:rPr>
          <w:rFonts w:ascii="Arial" w:hAnsi="Arial" w:cs="Arial"/>
        </w:rPr>
        <w:t xml:space="preserve">of the TIA Act </w:t>
      </w:r>
      <w:r w:rsidR="00336EED" w:rsidRPr="0038596D">
        <w:rPr>
          <w:rFonts w:ascii="Arial" w:hAnsi="Arial" w:cs="Arial"/>
          <w:szCs w:val="20"/>
        </w:rPr>
        <w:t xml:space="preserve">requires </w:t>
      </w:r>
      <w:r w:rsidR="0038596D">
        <w:rPr>
          <w:rFonts w:ascii="Arial" w:hAnsi="Arial" w:cs="Arial"/>
          <w:szCs w:val="20"/>
        </w:rPr>
        <w:t xml:space="preserve">that </w:t>
      </w:r>
      <w:r w:rsidR="00336EED" w:rsidRPr="0038596D">
        <w:rPr>
          <w:rFonts w:ascii="Arial" w:hAnsi="Arial" w:cs="Arial"/>
          <w:szCs w:val="20"/>
        </w:rPr>
        <w:t xml:space="preserve">service providers keep certain information and documents.  </w:t>
      </w:r>
    </w:p>
    <w:p w14:paraId="77D7A5CF" w14:textId="3D46001D" w:rsidR="00EB3A69" w:rsidRPr="00347B55" w:rsidRDefault="00351E91" w:rsidP="006C6A35">
      <w:pPr>
        <w:spacing w:line="257" w:lineRule="auto"/>
        <w:rPr>
          <w:rFonts w:ascii="Arial" w:hAnsi="Arial" w:cs="Arial"/>
          <w:szCs w:val="20"/>
        </w:rPr>
      </w:pPr>
      <w:r w:rsidRPr="0038596D">
        <w:rPr>
          <w:rFonts w:ascii="Arial" w:hAnsi="Arial" w:cs="Arial"/>
          <w:szCs w:val="20"/>
        </w:rPr>
        <w:t>Subsection</w:t>
      </w:r>
      <w:r w:rsidR="00243F4E">
        <w:rPr>
          <w:rFonts w:ascii="Arial" w:hAnsi="Arial" w:cs="Arial"/>
          <w:szCs w:val="20"/>
        </w:rPr>
        <w:t>s</w:t>
      </w:r>
      <w:r w:rsidRPr="0038596D">
        <w:rPr>
          <w:rFonts w:ascii="Arial" w:hAnsi="Arial" w:cs="Arial"/>
          <w:szCs w:val="20"/>
        </w:rPr>
        <w:t xml:space="preserve"> 196(1)</w:t>
      </w:r>
      <w:r w:rsidR="000E3A6B" w:rsidRPr="0038596D">
        <w:rPr>
          <w:rFonts w:ascii="Arial" w:hAnsi="Arial" w:cs="Arial"/>
          <w:szCs w:val="20"/>
        </w:rPr>
        <w:t xml:space="preserve"> </w:t>
      </w:r>
      <w:r w:rsidR="00243F4E">
        <w:rPr>
          <w:rFonts w:ascii="Arial" w:hAnsi="Arial" w:cs="Arial"/>
          <w:szCs w:val="20"/>
        </w:rPr>
        <w:t>and</w:t>
      </w:r>
      <w:r w:rsidR="00243F4E" w:rsidRPr="0038596D">
        <w:rPr>
          <w:rFonts w:ascii="Arial" w:hAnsi="Arial" w:cs="Arial"/>
          <w:szCs w:val="20"/>
        </w:rPr>
        <w:t xml:space="preserve"> 196(3) </w:t>
      </w:r>
      <w:r w:rsidR="0075080F">
        <w:rPr>
          <w:rFonts w:ascii="Arial" w:hAnsi="Arial" w:cs="Arial"/>
          <w:szCs w:val="20"/>
        </w:rPr>
        <w:t>specif</w:t>
      </w:r>
      <w:r w:rsidR="00014D29">
        <w:rPr>
          <w:rFonts w:ascii="Arial" w:hAnsi="Arial" w:cs="Arial"/>
          <w:szCs w:val="20"/>
        </w:rPr>
        <w:t>y</w:t>
      </w:r>
      <w:r w:rsidR="0075080F">
        <w:rPr>
          <w:rFonts w:ascii="Arial" w:hAnsi="Arial" w:cs="Arial"/>
          <w:szCs w:val="20"/>
        </w:rPr>
        <w:t xml:space="preserve"> </w:t>
      </w:r>
      <w:r w:rsidR="00243F4E">
        <w:rPr>
          <w:rFonts w:ascii="Arial" w:hAnsi="Arial" w:cs="Arial"/>
          <w:szCs w:val="20"/>
        </w:rPr>
        <w:t>when</w:t>
      </w:r>
      <w:r w:rsidR="0075080F">
        <w:rPr>
          <w:rFonts w:ascii="Arial" w:hAnsi="Arial" w:cs="Arial"/>
          <w:szCs w:val="20"/>
        </w:rPr>
        <w:t xml:space="preserve"> a carrier</w:t>
      </w:r>
      <w:r w:rsidR="000E3A6B" w:rsidRPr="0038596D">
        <w:rPr>
          <w:rFonts w:ascii="Arial" w:hAnsi="Arial" w:cs="Arial"/>
          <w:szCs w:val="20"/>
        </w:rPr>
        <w:t xml:space="preserve"> </w:t>
      </w:r>
      <w:r w:rsidR="00243F4E">
        <w:rPr>
          <w:rFonts w:ascii="Arial" w:hAnsi="Arial" w:cs="Arial"/>
          <w:szCs w:val="20"/>
        </w:rPr>
        <w:t>must give</w:t>
      </w:r>
      <w:r w:rsidR="000E3A6B" w:rsidRPr="0038596D">
        <w:rPr>
          <w:rFonts w:ascii="Arial" w:hAnsi="Arial" w:cs="Arial"/>
          <w:szCs w:val="20"/>
        </w:rPr>
        <w:t xml:space="preserve"> an Interception Capability Plan (ICP) to </w:t>
      </w:r>
      <w:r w:rsidR="00014D29">
        <w:rPr>
          <w:rFonts w:ascii="Arial" w:hAnsi="Arial" w:cs="Arial"/>
          <w:szCs w:val="20"/>
        </w:rPr>
        <w:t xml:space="preserve">the </w:t>
      </w:r>
      <w:r w:rsidR="000E3A6B" w:rsidRPr="0038596D">
        <w:rPr>
          <w:rFonts w:ascii="Arial" w:hAnsi="Arial" w:cs="Arial"/>
          <w:szCs w:val="20"/>
        </w:rPr>
        <w:t>Communications Access Co-ordinator (CAC)</w:t>
      </w:r>
      <w:r w:rsidR="00014D29">
        <w:rPr>
          <w:rFonts w:ascii="Arial" w:hAnsi="Arial" w:cs="Arial"/>
          <w:szCs w:val="20"/>
        </w:rPr>
        <w:t>,</w:t>
      </w:r>
      <w:r w:rsidR="00347B55">
        <w:rPr>
          <w:rFonts w:ascii="Arial" w:hAnsi="Arial" w:cs="Arial"/>
          <w:szCs w:val="20"/>
        </w:rPr>
        <w:t xml:space="preserve"> while </w:t>
      </w:r>
      <w:r w:rsidR="00347B55">
        <w:rPr>
          <w:rFonts w:ascii="Arial" w:hAnsi="Arial" w:cs="Arial"/>
        </w:rPr>
        <w:t>s</w:t>
      </w:r>
      <w:r w:rsidR="00EB3A69" w:rsidRPr="0038596D">
        <w:rPr>
          <w:rFonts w:ascii="Arial" w:hAnsi="Arial" w:cs="Arial"/>
        </w:rPr>
        <w:t xml:space="preserve">ubsections 197(1) and (3) </w:t>
      </w:r>
      <w:r w:rsidR="00347B55">
        <w:rPr>
          <w:rFonts w:ascii="Arial" w:hAnsi="Arial" w:cs="Arial"/>
        </w:rPr>
        <w:t xml:space="preserve">specify when </w:t>
      </w:r>
      <w:r w:rsidR="00B760A9">
        <w:rPr>
          <w:rFonts w:ascii="Arial" w:hAnsi="Arial" w:cs="Arial"/>
        </w:rPr>
        <w:t>those plans must be provided</w:t>
      </w:r>
      <w:r w:rsidR="003656F5">
        <w:rPr>
          <w:rFonts w:ascii="Arial" w:hAnsi="Arial" w:cs="Arial"/>
        </w:rPr>
        <w:t xml:space="preserve"> to the CAC</w:t>
      </w:r>
      <w:r w:rsidR="00B760A9">
        <w:rPr>
          <w:rFonts w:ascii="Arial" w:hAnsi="Arial" w:cs="Arial"/>
        </w:rPr>
        <w:t>.</w:t>
      </w:r>
      <w:r w:rsidR="00EB3A69" w:rsidRPr="0038596D">
        <w:rPr>
          <w:rFonts w:ascii="Arial" w:hAnsi="Arial" w:cs="Arial"/>
        </w:rPr>
        <w:t xml:space="preserve"> </w:t>
      </w:r>
    </w:p>
    <w:p w14:paraId="16B37553" w14:textId="1BEEC2E4" w:rsidR="008C127F" w:rsidRDefault="008246D3" w:rsidP="006C6A35">
      <w:pPr>
        <w:keepNext/>
        <w:keepLines/>
        <w:spacing w:line="257" w:lineRule="auto"/>
        <w:rPr>
          <w:rFonts w:ascii="Arial" w:hAnsi="Arial" w:cs="Arial"/>
          <w:szCs w:val="20"/>
        </w:rPr>
      </w:pPr>
      <w:r w:rsidRPr="0038596D">
        <w:rPr>
          <w:rFonts w:ascii="Arial" w:hAnsi="Arial" w:cs="Arial"/>
          <w:szCs w:val="20"/>
        </w:rPr>
        <w:t>Subsection</w:t>
      </w:r>
      <w:r w:rsidR="002775BD">
        <w:rPr>
          <w:rFonts w:ascii="Arial" w:hAnsi="Arial" w:cs="Arial"/>
          <w:szCs w:val="20"/>
        </w:rPr>
        <w:t>s</w:t>
      </w:r>
      <w:r w:rsidRPr="0038596D">
        <w:rPr>
          <w:rFonts w:ascii="Arial" w:hAnsi="Arial" w:cs="Arial"/>
          <w:szCs w:val="20"/>
        </w:rPr>
        <w:t xml:space="preserve"> 198(4)</w:t>
      </w:r>
      <w:r w:rsidR="00B760A9">
        <w:rPr>
          <w:rFonts w:ascii="Arial" w:hAnsi="Arial" w:cs="Arial"/>
          <w:szCs w:val="20"/>
        </w:rPr>
        <w:t xml:space="preserve"> and (7) relate to </w:t>
      </w:r>
      <w:r w:rsidR="00653091" w:rsidRPr="0038596D">
        <w:rPr>
          <w:rFonts w:ascii="Arial" w:hAnsi="Arial" w:cs="Arial"/>
          <w:szCs w:val="20"/>
        </w:rPr>
        <w:t>request</w:t>
      </w:r>
      <w:r w:rsidR="003D7136">
        <w:rPr>
          <w:rFonts w:ascii="Arial" w:hAnsi="Arial" w:cs="Arial"/>
          <w:szCs w:val="20"/>
        </w:rPr>
        <w:t>s</w:t>
      </w:r>
      <w:r w:rsidR="00653091" w:rsidRPr="0038596D">
        <w:rPr>
          <w:rFonts w:ascii="Arial" w:hAnsi="Arial" w:cs="Arial"/>
          <w:szCs w:val="20"/>
        </w:rPr>
        <w:t xml:space="preserve"> </w:t>
      </w:r>
      <w:r w:rsidR="003D7136">
        <w:rPr>
          <w:rFonts w:ascii="Arial" w:hAnsi="Arial" w:cs="Arial"/>
          <w:szCs w:val="20"/>
        </w:rPr>
        <w:t>to</w:t>
      </w:r>
      <w:r w:rsidR="00653091" w:rsidRPr="0038596D">
        <w:rPr>
          <w:rFonts w:ascii="Arial" w:hAnsi="Arial" w:cs="Arial"/>
          <w:szCs w:val="20"/>
        </w:rPr>
        <w:t xml:space="preserve"> amend plan</w:t>
      </w:r>
      <w:r w:rsidR="003D7136">
        <w:rPr>
          <w:rFonts w:ascii="Arial" w:hAnsi="Arial" w:cs="Arial"/>
          <w:szCs w:val="20"/>
        </w:rPr>
        <w:t>s</w:t>
      </w:r>
      <w:r w:rsidR="008E6692">
        <w:rPr>
          <w:rFonts w:ascii="Arial" w:hAnsi="Arial" w:cs="Arial"/>
          <w:szCs w:val="20"/>
        </w:rPr>
        <w:t xml:space="preserve"> and submission of those plans to the CAC</w:t>
      </w:r>
      <w:r w:rsidR="00653091" w:rsidRPr="0038596D">
        <w:rPr>
          <w:rFonts w:ascii="Arial" w:hAnsi="Arial" w:cs="Arial"/>
          <w:szCs w:val="20"/>
        </w:rPr>
        <w:t>.</w:t>
      </w:r>
    </w:p>
    <w:p w14:paraId="08D9C38C" w14:textId="641AD4E9" w:rsidR="00264A85" w:rsidRPr="007F446A" w:rsidRDefault="00264A85" w:rsidP="006C6A35">
      <w:pPr>
        <w:keepNext/>
        <w:keepLines/>
        <w:spacing w:line="257" w:lineRule="auto"/>
        <w:rPr>
          <w:rFonts w:ascii="Arial" w:hAnsi="Arial" w:cs="Arial"/>
          <w:szCs w:val="20"/>
        </w:rPr>
      </w:pPr>
      <w:r w:rsidRPr="0038596D">
        <w:rPr>
          <w:rFonts w:ascii="Arial" w:hAnsi="Arial" w:cs="Arial"/>
          <w:szCs w:val="20"/>
        </w:rPr>
        <w:t>Section 200</w:t>
      </w:r>
      <w:r w:rsidR="00ED18A1" w:rsidRPr="0038596D">
        <w:rPr>
          <w:rFonts w:ascii="Arial" w:hAnsi="Arial" w:cs="Arial"/>
          <w:szCs w:val="20"/>
        </w:rPr>
        <w:t xml:space="preserve"> </w:t>
      </w:r>
      <w:r w:rsidR="00043AED">
        <w:rPr>
          <w:rFonts w:ascii="Arial" w:hAnsi="Arial" w:cs="Arial"/>
          <w:szCs w:val="20"/>
        </w:rPr>
        <w:t xml:space="preserve">requires </w:t>
      </w:r>
      <w:r w:rsidR="00030D62">
        <w:rPr>
          <w:rFonts w:ascii="Arial" w:hAnsi="Arial" w:cs="Arial"/>
          <w:szCs w:val="20"/>
        </w:rPr>
        <w:t>a</w:t>
      </w:r>
      <w:r w:rsidR="00043AED">
        <w:rPr>
          <w:rFonts w:ascii="Arial" w:hAnsi="Arial" w:cs="Arial"/>
          <w:szCs w:val="20"/>
        </w:rPr>
        <w:t xml:space="preserve"> carrier </w:t>
      </w:r>
      <w:r w:rsidR="00030D62">
        <w:rPr>
          <w:rFonts w:ascii="Arial" w:hAnsi="Arial" w:cs="Arial"/>
          <w:szCs w:val="20"/>
        </w:rPr>
        <w:t xml:space="preserve">to </w:t>
      </w:r>
      <w:r w:rsidR="009B44AB">
        <w:rPr>
          <w:rFonts w:ascii="Arial" w:hAnsi="Arial" w:cs="Arial"/>
          <w:szCs w:val="20"/>
        </w:rPr>
        <w:t xml:space="preserve">ensure that </w:t>
      </w:r>
      <w:r w:rsidR="007D6BB2">
        <w:rPr>
          <w:rFonts w:ascii="Arial" w:hAnsi="Arial" w:cs="Arial"/>
          <w:szCs w:val="20"/>
        </w:rPr>
        <w:t>its</w:t>
      </w:r>
      <w:r w:rsidR="009B44AB">
        <w:rPr>
          <w:rFonts w:ascii="Arial" w:hAnsi="Arial" w:cs="Arial"/>
          <w:szCs w:val="20"/>
        </w:rPr>
        <w:t xml:space="preserve"> business activities are consistent with its </w:t>
      </w:r>
      <w:r w:rsidR="00ED18A1" w:rsidRPr="0038596D">
        <w:rPr>
          <w:rFonts w:ascii="Arial" w:hAnsi="Arial" w:cs="Arial"/>
          <w:szCs w:val="20"/>
        </w:rPr>
        <w:t>ICP</w:t>
      </w:r>
      <w:r w:rsidR="008C127F">
        <w:rPr>
          <w:rFonts w:ascii="Arial" w:hAnsi="Arial" w:cs="Arial"/>
          <w:szCs w:val="20"/>
        </w:rPr>
        <w:t xml:space="preserve"> and s</w:t>
      </w:r>
      <w:r w:rsidR="00907B14" w:rsidRPr="0038596D">
        <w:rPr>
          <w:rFonts w:ascii="Arial" w:hAnsi="Arial" w:cs="Arial"/>
          <w:szCs w:val="20"/>
        </w:rPr>
        <w:t>ubsection 201(1)</w:t>
      </w:r>
      <w:r w:rsidR="00434BB8" w:rsidRPr="0038596D">
        <w:rPr>
          <w:rFonts w:ascii="Arial" w:hAnsi="Arial" w:cs="Arial"/>
          <w:szCs w:val="20"/>
        </w:rPr>
        <w:t xml:space="preserve"> </w:t>
      </w:r>
      <w:r w:rsidR="00C341E3">
        <w:rPr>
          <w:rFonts w:ascii="Arial" w:hAnsi="Arial" w:cs="Arial"/>
          <w:szCs w:val="20"/>
        </w:rPr>
        <w:t>requires a carrier t</w:t>
      </w:r>
      <w:r w:rsidR="00434BB8" w:rsidRPr="0038596D">
        <w:rPr>
          <w:rFonts w:ascii="Arial" w:hAnsi="Arial" w:cs="Arial"/>
          <w:szCs w:val="20"/>
        </w:rPr>
        <w:t xml:space="preserve">o prepare a new ICP and submit </w:t>
      </w:r>
      <w:r w:rsidR="00C341E3">
        <w:rPr>
          <w:rFonts w:ascii="Arial" w:hAnsi="Arial" w:cs="Arial"/>
          <w:szCs w:val="20"/>
        </w:rPr>
        <w:t xml:space="preserve">it </w:t>
      </w:r>
      <w:r w:rsidR="00434BB8" w:rsidRPr="0038596D">
        <w:rPr>
          <w:rFonts w:ascii="Arial" w:hAnsi="Arial" w:cs="Arial"/>
          <w:szCs w:val="20"/>
        </w:rPr>
        <w:t>to the CAC if there are material changes to business plans.</w:t>
      </w:r>
      <w:r w:rsidR="00221C05" w:rsidRPr="00221C05">
        <w:rPr>
          <w:rFonts w:ascii="Arial" w:hAnsi="Arial" w:cs="Arial"/>
        </w:rPr>
        <w:t xml:space="preserve"> </w:t>
      </w:r>
    </w:p>
    <w:p w14:paraId="078E23C0" w14:textId="7466D119" w:rsidR="00B84C21" w:rsidRPr="0046005E" w:rsidRDefault="007042E0" w:rsidP="006C6A35">
      <w:pPr>
        <w:spacing w:line="257" w:lineRule="auto"/>
        <w:rPr>
          <w:rFonts w:ascii="Arial" w:hAnsi="Arial" w:cs="Arial"/>
          <w:b/>
          <w:bCs/>
          <w:i/>
          <w:iCs/>
        </w:rPr>
      </w:pPr>
      <w:r w:rsidRPr="007042E0">
        <w:rPr>
          <w:rFonts w:ascii="Arial" w:hAnsi="Arial" w:cs="Arial"/>
          <w:b/>
          <w:bCs/>
        </w:rPr>
        <w:t xml:space="preserve">Provisions of the </w:t>
      </w:r>
      <w:r w:rsidR="00B84C21" w:rsidRPr="0046005E">
        <w:rPr>
          <w:rFonts w:ascii="Arial" w:hAnsi="Arial" w:cs="Arial"/>
          <w:b/>
          <w:bCs/>
          <w:i/>
          <w:iCs/>
        </w:rPr>
        <w:t xml:space="preserve">Telecommunications (Service Provider – Identity Checks for </w:t>
      </w:r>
      <w:r w:rsidR="00793695">
        <w:rPr>
          <w:rFonts w:ascii="Arial" w:hAnsi="Arial" w:cs="Arial"/>
          <w:b/>
          <w:bCs/>
          <w:i/>
          <w:iCs/>
        </w:rPr>
        <w:t>P</w:t>
      </w:r>
      <w:r w:rsidR="00B84C21" w:rsidRPr="0046005E">
        <w:rPr>
          <w:rFonts w:ascii="Arial" w:hAnsi="Arial" w:cs="Arial"/>
          <w:b/>
          <w:bCs/>
          <w:i/>
          <w:iCs/>
        </w:rPr>
        <w:t>repaid Mobile Carriage Services) Determination 2017</w:t>
      </w:r>
    </w:p>
    <w:p w14:paraId="50E538B0" w14:textId="27709FD9" w:rsidR="000015DE" w:rsidRPr="000015DE" w:rsidRDefault="000015DE" w:rsidP="006C6A35">
      <w:pPr>
        <w:spacing w:line="257" w:lineRule="auto"/>
        <w:rPr>
          <w:rFonts w:ascii="Arial" w:hAnsi="Arial" w:cs="Arial"/>
        </w:rPr>
      </w:pPr>
      <w:r>
        <w:rPr>
          <w:rFonts w:ascii="Arial" w:hAnsi="Arial" w:cs="Arial"/>
        </w:rPr>
        <w:t xml:space="preserve">The </w:t>
      </w:r>
      <w:r w:rsidRPr="005C4EC1">
        <w:rPr>
          <w:rFonts w:ascii="Arial" w:hAnsi="Arial" w:cs="Arial"/>
          <w:i/>
          <w:iCs/>
        </w:rPr>
        <w:t xml:space="preserve">Telecommunications (Service Provider – Identity Checks for </w:t>
      </w:r>
      <w:r w:rsidR="007765F9">
        <w:rPr>
          <w:rFonts w:ascii="Arial" w:hAnsi="Arial" w:cs="Arial"/>
          <w:i/>
          <w:iCs/>
        </w:rPr>
        <w:t>P</w:t>
      </w:r>
      <w:r w:rsidRPr="005C4EC1">
        <w:rPr>
          <w:rFonts w:ascii="Arial" w:hAnsi="Arial" w:cs="Arial"/>
          <w:i/>
          <w:iCs/>
        </w:rPr>
        <w:t>repaid Mobile Carriage Services) Determination 2017</w:t>
      </w:r>
      <w:r>
        <w:rPr>
          <w:rFonts w:ascii="Arial" w:hAnsi="Arial" w:cs="Arial"/>
          <w:i/>
          <w:iCs/>
        </w:rPr>
        <w:t xml:space="preserve"> </w:t>
      </w:r>
      <w:r w:rsidRPr="0046005E">
        <w:rPr>
          <w:rFonts w:ascii="Arial" w:hAnsi="Arial" w:cs="Arial"/>
        </w:rPr>
        <w:t>(</w:t>
      </w:r>
      <w:r w:rsidR="00D72118" w:rsidRPr="0046005E">
        <w:rPr>
          <w:rFonts w:ascii="Arial" w:hAnsi="Arial" w:cs="Arial"/>
          <w:b/>
          <w:bCs/>
        </w:rPr>
        <w:t>the</w:t>
      </w:r>
      <w:r w:rsidR="00D72118">
        <w:rPr>
          <w:rFonts w:ascii="Arial" w:hAnsi="Arial" w:cs="Arial"/>
        </w:rPr>
        <w:t xml:space="preserve"> </w:t>
      </w:r>
      <w:r w:rsidRPr="0046005E">
        <w:rPr>
          <w:rFonts w:ascii="Arial" w:hAnsi="Arial" w:cs="Arial"/>
          <w:b/>
          <w:bCs/>
        </w:rPr>
        <w:t>Prepaid Determination</w:t>
      </w:r>
      <w:r w:rsidRPr="0046005E">
        <w:rPr>
          <w:rFonts w:ascii="Arial" w:hAnsi="Arial" w:cs="Arial"/>
        </w:rPr>
        <w:t xml:space="preserve">) </w:t>
      </w:r>
      <w:r w:rsidR="00C97632">
        <w:rPr>
          <w:rFonts w:ascii="Arial" w:hAnsi="Arial" w:cs="Arial"/>
        </w:rPr>
        <w:t xml:space="preserve">is made under section 99 of the Act and sets out service provider rules relating to the </w:t>
      </w:r>
      <w:r>
        <w:rPr>
          <w:rFonts w:ascii="Arial" w:hAnsi="Arial" w:cs="Arial"/>
        </w:rPr>
        <w:t xml:space="preserve">requirements that </w:t>
      </w:r>
      <w:r w:rsidR="002775BD">
        <w:rPr>
          <w:rFonts w:ascii="Arial" w:hAnsi="Arial" w:cs="Arial"/>
        </w:rPr>
        <w:t>CSPs</w:t>
      </w:r>
      <w:r>
        <w:rPr>
          <w:rFonts w:ascii="Arial" w:hAnsi="Arial" w:cs="Arial"/>
        </w:rPr>
        <w:t xml:space="preserve"> must follow when verifying the identity of a customer of a pre-paid mobile carriage service, prior to activating the service.</w:t>
      </w:r>
      <w:r>
        <w:rPr>
          <w:rFonts w:ascii="Arial" w:hAnsi="Arial" w:cs="Arial"/>
          <w:i/>
          <w:iCs/>
        </w:rPr>
        <w:t xml:space="preserve"> </w:t>
      </w:r>
    </w:p>
    <w:p w14:paraId="0E754E8A" w14:textId="58EF0942" w:rsidR="0017754D" w:rsidRPr="005C4EC1" w:rsidRDefault="00EF5FE8" w:rsidP="006C6A35">
      <w:pPr>
        <w:spacing w:line="257" w:lineRule="auto"/>
        <w:rPr>
          <w:rFonts w:ascii="Arial" w:hAnsi="Arial" w:cs="Arial"/>
        </w:rPr>
      </w:pPr>
      <w:r w:rsidRPr="005C4EC1">
        <w:rPr>
          <w:rFonts w:ascii="Arial" w:hAnsi="Arial" w:cs="Arial"/>
        </w:rPr>
        <w:t xml:space="preserve">Subsection 2.3(1) </w:t>
      </w:r>
      <w:bookmarkStart w:id="3" w:name="_Toc106004507"/>
      <w:r w:rsidR="004931B8">
        <w:rPr>
          <w:rFonts w:ascii="Arial" w:hAnsi="Arial" w:cs="Arial"/>
        </w:rPr>
        <w:t xml:space="preserve">of the </w:t>
      </w:r>
      <w:r w:rsidR="00C4023C">
        <w:rPr>
          <w:rFonts w:ascii="Arial" w:hAnsi="Arial" w:cs="Arial"/>
        </w:rPr>
        <w:t xml:space="preserve">Prepaid Determination </w:t>
      </w:r>
      <w:r w:rsidR="000015DE">
        <w:rPr>
          <w:rFonts w:ascii="Arial" w:hAnsi="Arial" w:cs="Arial"/>
        </w:rPr>
        <w:t xml:space="preserve">requires that </w:t>
      </w:r>
      <w:r w:rsidRPr="005C4EC1">
        <w:rPr>
          <w:rFonts w:ascii="Arial" w:hAnsi="Arial" w:cs="Arial"/>
        </w:rPr>
        <w:t>a prepaid mobile service must not be activated unless</w:t>
      </w:r>
      <w:r w:rsidR="000015DE">
        <w:rPr>
          <w:rFonts w:ascii="Arial" w:hAnsi="Arial" w:cs="Arial"/>
        </w:rPr>
        <w:t xml:space="preserve"> the customer’s identity has been verified</w:t>
      </w:r>
      <w:r w:rsidRPr="005C4EC1">
        <w:rPr>
          <w:rFonts w:ascii="Arial" w:hAnsi="Arial" w:cs="Arial"/>
        </w:rPr>
        <w:t xml:space="preserve"> </w:t>
      </w:r>
      <w:bookmarkEnd w:id="3"/>
      <w:r w:rsidR="000015DE">
        <w:rPr>
          <w:rFonts w:ascii="Arial" w:hAnsi="Arial" w:cs="Arial"/>
        </w:rPr>
        <w:t xml:space="preserve">in accordance with the </w:t>
      </w:r>
      <w:r w:rsidR="000015DE" w:rsidRPr="0046005E">
        <w:rPr>
          <w:rFonts w:ascii="Arial" w:hAnsi="Arial" w:cs="Arial"/>
        </w:rPr>
        <w:t>Pre-paid Determinatio</w:t>
      </w:r>
      <w:r w:rsidR="008B57EC" w:rsidRPr="0046005E">
        <w:rPr>
          <w:rFonts w:ascii="Arial" w:hAnsi="Arial" w:cs="Arial"/>
        </w:rPr>
        <w:t>n while</w:t>
      </w:r>
      <w:r w:rsidR="008B57EC">
        <w:rPr>
          <w:rFonts w:ascii="Arial" w:hAnsi="Arial" w:cs="Arial"/>
          <w:i/>
          <w:iCs/>
        </w:rPr>
        <w:t xml:space="preserve"> </w:t>
      </w:r>
      <w:r w:rsidR="008B57EC">
        <w:rPr>
          <w:rFonts w:ascii="Arial" w:hAnsi="Arial" w:cs="Arial"/>
        </w:rPr>
        <w:t>s</w:t>
      </w:r>
      <w:r w:rsidR="005C4EC1" w:rsidRPr="005C4EC1">
        <w:rPr>
          <w:rFonts w:ascii="Arial" w:hAnsi="Arial" w:cs="Arial"/>
        </w:rPr>
        <w:t xml:space="preserve">ubsections 6.1(1) and (2) require </w:t>
      </w:r>
      <w:r w:rsidR="009E234A">
        <w:rPr>
          <w:rFonts w:ascii="Arial" w:hAnsi="Arial" w:cs="Arial"/>
        </w:rPr>
        <w:t>CSPs</w:t>
      </w:r>
      <w:r w:rsidR="005C4EC1" w:rsidRPr="005C4EC1">
        <w:rPr>
          <w:rFonts w:ascii="Arial" w:hAnsi="Arial" w:cs="Arial"/>
        </w:rPr>
        <w:t xml:space="preserve"> to keep records that demonstrate </w:t>
      </w:r>
      <w:r w:rsidR="000015DE" w:rsidRPr="005C4EC1">
        <w:rPr>
          <w:rFonts w:ascii="Arial" w:hAnsi="Arial" w:cs="Arial"/>
        </w:rPr>
        <w:t>compliance</w:t>
      </w:r>
      <w:r w:rsidR="005C4EC1" w:rsidRPr="005C4EC1">
        <w:rPr>
          <w:rFonts w:ascii="Arial" w:hAnsi="Arial" w:cs="Arial"/>
        </w:rPr>
        <w:t xml:space="preserve"> with the </w:t>
      </w:r>
      <w:r w:rsidR="001F2710">
        <w:rPr>
          <w:rFonts w:ascii="Arial" w:hAnsi="Arial" w:cs="Arial"/>
        </w:rPr>
        <w:t>P</w:t>
      </w:r>
      <w:r w:rsidR="008B57EC">
        <w:rPr>
          <w:rFonts w:ascii="Arial" w:hAnsi="Arial" w:cs="Arial"/>
        </w:rPr>
        <w:t xml:space="preserve">repaid </w:t>
      </w:r>
      <w:r w:rsidR="001F2710">
        <w:rPr>
          <w:rFonts w:ascii="Arial" w:hAnsi="Arial" w:cs="Arial"/>
        </w:rPr>
        <w:t>D</w:t>
      </w:r>
      <w:r w:rsidR="000015DE" w:rsidRPr="005C4EC1">
        <w:rPr>
          <w:rFonts w:ascii="Arial" w:hAnsi="Arial" w:cs="Arial"/>
        </w:rPr>
        <w:t>etermination</w:t>
      </w:r>
      <w:r w:rsidR="005C4EC1" w:rsidRPr="005C4EC1">
        <w:rPr>
          <w:rFonts w:ascii="Arial" w:hAnsi="Arial" w:cs="Arial"/>
        </w:rPr>
        <w:t xml:space="preserve"> for as long as the service is activated</w:t>
      </w:r>
      <w:r w:rsidR="005C4EC1">
        <w:rPr>
          <w:rFonts w:ascii="Arial" w:hAnsi="Arial" w:cs="Arial"/>
        </w:rPr>
        <w:t>.</w:t>
      </w:r>
      <w:r w:rsidR="008B57EC">
        <w:rPr>
          <w:rFonts w:ascii="Arial" w:hAnsi="Arial" w:cs="Arial"/>
        </w:rPr>
        <w:t xml:space="preserve"> Further, </w:t>
      </w:r>
      <w:r w:rsidR="0017754D" w:rsidRPr="005C4EC1">
        <w:rPr>
          <w:rFonts w:ascii="Arial" w:hAnsi="Arial" w:cs="Arial"/>
        </w:rPr>
        <w:t>section 6.3</w:t>
      </w:r>
      <w:r w:rsidR="005C4EC1">
        <w:rPr>
          <w:rFonts w:ascii="Arial" w:hAnsi="Arial" w:cs="Arial"/>
        </w:rPr>
        <w:t xml:space="preserve"> requires that </w:t>
      </w:r>
      <w:r w:rsidR="00F91825">
        <w:rPr>
          <w:rFonts w:ascii="Arial" w:hAnsi="Arial" w:cs="Arial"/>
        </w:rPr>
        <w:t xml:space="preserve">a </w:t>
      </w:r>
      <w:r w:rsidR="005C4EC1">
        <w:rPr>
          <w:rFonts w:ascii="Arial" w:hAnsi="Arial" w:cs="Arial"/>
        </w:rPr>
        <w:t>CSP</w:t>
      </w:r>
      <w:r w:rsidR="00F91825">
        <w:rPr>
          <w:rFonts w:ascii="Arial" w:hAnsi="Arial" w:cs="Arial"/>
        </w:rPr>
        <w:t xml:space="preserve"> must</w:t>
      </w:r>
      <w:r w:rsidR="005C4EC1">
        <w:rPr>
          <w:rFonts w:ascii="Arial" w:hAnsi="Arial" w:cs="Arial"/>
        </w:rPr>
        <w:t xml:space="preserve"> </w:t>
      </w:r>
      <w:r w:rsidR="005C4EC1" w:rsidRPr="000015DE">
        <w:rPr>
          <w:rFonts w:ascii="Arial" w:hAnsi="Arial" w:cs="Arial"/>
        </w:rPr>
        <w:t>keep a written description of the arrangements that it has in place to comply</w:t>
      </w:r>
      <w:r w:rsidR="0054402B">
        <w:rPr>
          <w:rFonts w:ascii="Arial" w:hAnsi="Arial" w:cs="Arial"/>
        </w:rPr>
        <w:t xml:space="preserve"> with</w:t>
      </w:r>
      <w:r w:rsidR="005C4EC1" w:rsidRPr="000015DE">
        <w:rPr>
          <w:rFonts w:ascii="Arial" w:hAnsi="Arial" w:cs="Arial"/>
        </w:rPr>
        <w:t xml:space="preserve"> </w:t>
      </w:r>
      <w:r w:rsidR="008B57EC">
        <w:rPr>
          <w:rFonts w:ascii="Arial" w:hAnsi="Arial" w:cs="Arial"/>
        </w:rPr>
        <w:t xml:space="preserve">the </w:t>
      </w:r>
      <w:r w:rsidR="00972FA9">
        <w:rPr>
          <w:rFonts w:ascii="Arial" w:hAnsi="Arial" w:cs="Arial"/>
        </w:rPr>
        <w:t>D</w:t>
      </w:r>
      <w:r w:rsidR="005C4EC1" w:rsidRPr="000015DE">
        <w:rPr>
          <w:rFonts w:ascii="Arial" w:hAnsi="Arial" w:cs="Arial"/>
        </w:rPr>
        <w:t>etermination.</w:t>
      </w:r>
    </w:p>
    <w:p w14:paraId="4552BC67" w14:textId="653C4DB2" w:rsidR="0017754D" w:rsidRDefault="008B57EC" w:rsidP="006C6A35">
      <w:pPr>
        <w:spacing w:line="257" w:lineRule="auto"/>
        <w:rPr>
          <w:rFonts w:ascii="Arial" w:hAnsi="Arial" w:cs="Arial"/>
        </w:rPr>
      </w:pPr>
      <w:r>
        <w:rPr>
          <w:rFonts w:ascii="Arial" w:hAnsi="Arial" w:cs="Arial"/>
        </w:rPr>
        <w:t>S</w:t>
      </w:r>
      <w:r w:rsidR="0017754D" w:rsidRPr="005C4EC1">
        <w:rPr>
          <w:rFonts w:ascii="Arial" w:hAnsi="Arial" w:cs="Arial"/>
        </w:rPr>
        <w:t>ubsection</w:t>
      </w:r>
      <w:r>
        <w:rPr>
          <w:rFonts w:ascii="Arial" w:hAnsi="Arial" w:cs="Arial"/>
        </w:rPr>
        <w:t>s</w:t>
      </w:r>
      <w:r w:rsidR="0017754D" w:rsidRPr="005C4EC1">
        <w:rPr>
          <w:rFonts w:ascii="Arial" w:hAnsi="Arial" w:cs="Arial"/>
        </w:rPr>
        <w:t xml:space="preserve"> 6.4(1)</w:t>
      </w:r>
      <w:r w:rsidR="000015DE">
        <w:rPr>
          <w:rFonts w:ascii="Arial" w:hAnsi="Arial" w:cs="Arial"/>
        </w:rPr>
        <w:t xml:space="preserve"> and (4)</w:t>
      </w:r>
      <w:r w:rsidR="005C4EC1">
        <w:rPr>
          <w:rFonts w:ascii="Arial" w:hAnsi="Arial" w:cs="Arial"/>
        </w:rPr>
        <w:t xml:space="preserve"> </w:t>
      </w:r>
      <w:r w:rsidR="000015DE">
        <w:rPr>
          <w:rFonts w:ascii="Arial" w:hAnsi="Arial" w:cs="Arial"/>
        </w:rPr>
        <w:t>require</w:t>
      </w:r>
      <w:r w:rsidR="005C4EC1">
        <w:rPr>
          <w:rFonts w:ascii="Arial" w:hAnsi="Arial" w:cs="Arial"/>
        </w:rPr>
        <w:t xml:space="preserve"> that</w:t>
      </w:r>
      <w:r>
        <w:rPr>
          <w:rFonts w:ascii="Arial" w:hAnsi="Arial" w:cs="Arial"/>
        </w:rPr>
        <w:t xml:space="preserve">, when verifying the identity of a customer, the </w:t>
      </w:r>
      <w:r w:rsidR="00130BA1">
        <w:rPr>
          <w:rFonts w:ascii="Arial" w:hAnsi="Arial" w:cs="Arial"/>
        </w:rPr>
        <w:t>CSP</w:t>
      </w:r>
      <w:r w:rsidR="005C4EC1">
        <w:rPr>
          <w:rFonts w:ascii="Arial" w:hAnsi="Arial" w:cs="Arial"/>
        </w:rPr>
        <w:t xml:space="preserve"> must not record and kee</w:t>
      </w:r>
      <w:r>
        <w:rPr>
          <w:rFonts w:ascii="Arial" w:hAnsi="Arial" w:cs="Arial"/>
        </w:rPr>
        <w:t>p</w:t>
      </w:r>
      <w:r w:rsidR="005C4EC1" w:rsidRPr="000015DE">
        <w:rPr>
          <w:rFonts w:ascii="Arial" w:hAnsi="Arial" w:cs="Arial"/>
        </w:rPr>
        <w:t> the identifying number of a government document or </w:t>
      </w:r>
      <w:r w:rsidR="000015DE" w:rsidRPr="000015DE">
        <w:rPr>
          <w:rFonts w:ascii="Arial" w:hAnsi="Arial" w:cs="Arial"/>
        </w:rPr>
        <w:t>of</w:t>
      </w:r>
      <w:r w:rsidR="005C4EC1" w:rsidRPr="000015DE">
        <w:rPr>
          <w:rFonts w:ascii="Arial" w:hAnsi="Arial" w:cs="Arial"/>
        </w:rPr>
        <w:t> a category A or category B document</w:t>
      </w:r>
      <w:r w:rsidR="0054402B">
        <w:rPr>
          <w:rFonts w:ascii="Arial" w:hAnsi="Arial" w:cs="Arial"/>
        </w:rPr>
        <w:t>,</w:t>
      </w:r>
      <w:r w:rsidR="000015DE" w:rsidRPr="000015DE">
        <w:rPr>
          <w:rFonts w:ascii="Arial" w:hAnsi="Arial" w:cs="Arial"/>
        </w:rPr>
        <w:t xml:space="preserve"> nor </w:t>
      </w:r>
      <w:r>
        <w:rPr>
          <w:rFonts w:ascii="Arial" w:hAnsi="Arial" w:cs="Arial"/>
        </w:rPr>
        <w:t xml:space="preserve">should they </w:t>
      </w:r>
      <w:r w:rsidR="000015DE" w:rsidRPr="000015DE">
        <w:rPr>
          <w:rFonts w:ascii="Arial" w:hAnsi="Arial" w:cs="Arial"/>
        </w:rPr>
        <w:t>keep a copy or reproduction of those documents</w:t>
      </w:r>
      <w:r>
        <w:rPr>
          <w:rFonts w:ascii="Arial" w:hAnsi="Arial" w:cs="Arial"/>
        </w:rPr>
        <w:t>.</w:t>
      </w:r>
      <w:r w:rsidR="005C4EC1" w:rsidRPr="000015DE">
        <w:rPr>
          <w:rFonts w:ascii="Arial" w:hAnsi="Arial" w:cs="Arial"/>
        </w:rPr>
        <w:t> </w:t>
      </w:r>
    </w:p>
    <w:p w14:paraId="7A73A3F4" w14:textId="2F52F17B" w:rsidR="00DA3B2C" w:rsidRPr="007042E0" w:rsidRDefault="007042E0" w:rsidP="007042E0">
      <w:pPr>
        <w:keepNext/>
        <w:spacing w:line="257" w:lineRule="auto"/>
        <w:rPr>
          <w:rFonts w:ascii="Arial" w:hAnsi="Arial" w:cs="Arial"/>
          <w:b/>
          <w:bCs/>
        </w:rPr>
      </w:pPr>
      <w:r w:rsidRPr="007042E0">
        <w:rPr>
          <w:rFonts w:ascii="Arial" w:hAnsi="Arial" w:cs="Arial"/>
          <w:b/>
          <w:bCs/>
        </w:rPr>
        <w:t xml:space="preserve">Provisions of the </w:t>
      </w:r>
      <w:r w:rsidR="00910AAE" w:rsidRPr="0046005E">
        <w:rPr>
          <w:rFonts w:ascii="Arial" w:hAnsi="Arial" w:cs="Arial"/>
          <w:b/>
          <w:bCs/>
          <w:i/>
          <w:iCs/>
        </w:rPr>
        <w:t>Telecommunications Service Provider (NBN Service Migration) Determination 2018</w:t>
      </w:r>
    </w:p>
    <w:p w14:paraId="09AC29AA" w14:textId="0D2E6F47" w:rsidR="00817016" w:rsidRPr="00DA3B2C" w:rsidRDefault="00033A88" w:rsidP="006C6A35">
      <w:pPr>
        <w:spacing w:line="257" w:lineRule="auto"/>
        <w:rPr>
          <w:rFonts w:ascii="Arial" w:hAnsi="Arial" w:cs="Arial"/>
        </w:rPr>
      </w:pPr>
      <w:r>
        <w:rPr>
          <w:rFonts w:ascii="Arial" w:hAnsi="Arial" w:cs="Arial"/>
        </w:rPr>
        <w:t xml:space="preserve">The </w:t>
      </w:r>
      <w:r w:rsidR="00D72118" w:rsidRPr="0046005E">
        <w:rPr>
          <w:rFonts w:ascii="Arial" w:hAnsi="Arial" w:cs="Arial"/>
          <w:i/>
          <w:iCs/>
        </w:rPr>
        <w:t>Telecommunications Service Provider (NBN Service Migration) Determination 2018</w:t>
      </w:r>
      <w:r w:rsidR="00D72118">
        <w:rPr>
          <w:rFonts w:ascii="Arial" w:hAnsi="Arial" w:cs="Arial"/>
          <w:i/>
          <w:iCs/>
        </w:rPr>
        <w:t xml:space="preserve"> </w:t>
      </w:r>
      <w:r w:rsidR="00D72118">
        <w:rPr>
          <w:rFonts w:ascii="Arial" w:hAnsi="Arial" w:cs="Arial"/>
        </w:rPr>
        <w:t>(</w:t>
      </w:r>
      <w:r w:rsidR="00965612">
        <w:rPr>
          <w:rFonts w:ascii="Arial" w:hAnsi="Arial" w:cs="Arial"/>
          <w:b/>
          <w:bCs/>
        </w:rPr>
        <w:t>the</w:t>
      </w:r>
      <w:r w:rsidR="006824A7" w:rsidRPr="0046005E">
        <w:rPr>
          <w:rFonts w:ascii="Arial" w:hAnsi="Arial" w:cs="Arial"/>
          <w:b/>
          <w:bCs/>
        </w:rPr>
        <w:t xml:space="preserve"> Service Migration Determination</w:t>
      </w:r>
      <w:r w:rsidR="00D72118">
        <w:rPr>
          <w:rFonts w:ascii="Arial" w:hAnsi="Arial" w:cs="Arial"/>
        </w:rPr>
        <w:t>)</w:t>
      </w:r>
      <w:r w:rsidR="006824A7" w:rsidRPr="00DA3B2C">
        <w:rPr>
          <w:rFonts w:ascii="Arial" w:hAnsi="Arial" w:cs="Arial"/>
        </w:rPr>
        <w:t xml:space="preserve"> is part of a suite of ACMA regulatory measures, </w:t>
      </w:r>
      <w:r w:rsidR="00DA3B2C">
        <w:rPr>
          <w:rFonts w:ascii="Arial" w:hAnsi="Arial" w:cs="Arial"/>
        </w:rPr>
        <w:t>introduced</w:t>
      </w:r>
      <w:r w:rsidR="006824A7" w:rsidRPr="00DA3B2C">
        <w:rPr>
          <w:rFonts w:ascii="Arial" w:hAnsi="Arial" w:cs="Arial"/>
        </w:rPr>
        <w:t xml:space="preserve"> to improve</w:t>
      </w:r>
      <w:r w:rsidR="00817016" w:rsidRPr="00DA3B2C">
        <w:rPr>
          <w:rFonts w:ascii="Arial" w:hAnsi="Arial" w:cs="Arial"/>
        </w:rPr>
        <w:t xml:space="preserve"> the experience of consumers moving to and using the National Broadband Network (NBN). The other instruments made under the Act for this purpose are</w:t>
      </w:r>
      <w:r w:rsidR="002C458F">
        <w:rPr>
          <w:rFonts w:ascii="Arial" w:hAnsi="Arial" w:cs="Arial"/>
        </w:rPr>
        <w:t xml:space="preserve"> the</w:t>
      </w:r>
      <w:r w:rsidR="00817016" w:rsidRPr="00DA3B2C">
        <w:rPr>
          <w:rFonts w:ascii="Arial" w:hAnsi="Arial" w:cs="Arial"/>
        </w:rPr>
        <w:t xml:space="preserve">: </w:t>
      </w:r>
    </w:p>
    <w:p w14:paraId="6E523F9A" w14:textId="496FBCDA" w:rsidR="00817016" w:rsidRPr="00DA3B2C" w:rsidRDefault="00817016" w:rsidP="006C6A35">
      <w:pPr>
        <w:pStyle w:val="ListParagraph"/>
        <w:keepNext/>
        <w:numPr>
          <w:ilvl w:val="0"/>
          <w:numId w:val="21"/>
        </w:numPr>
        <w:spacing w:line="257" w:lineRule="auto"/>
        <w:ind w:left="714" w:hanging="357"/>
        <w:rPr>
          <w:rFonts w:ascii="Arial" w:hAnsi="Arial" w:cs="Arial"/>
        </w:rPr>
      </w:pPr>
      <w:r w:rsidRPr="0046005E">
        <w:rPr>
          <w:rFonts w:ascii="Arial" w:hAnsi="Arial" w:cs="Arial"/>
          <w:i/>
          <w:iCs/>
        </w:rPr>
        <w:t xml:space="preserve">Telecommunications (Consumer Complaints Handling) Industry Standard </w:t>
      </w:r>
      <w:proofErr w:type="gramStart"/>
      <w:r w:rsidRPr="0046005E">
        <w:rPr>
          <w:rFonts w:ascii="Arial" w:hAnsi="Arial" w:cs="Arial"/>
          <w:i/>
          <w:iCs/>
        </w:rPr>
        <w:t>2018</w:t>
      </w:r>
      <w:r w:rsidRPr="00DA3B2C">
        <w:rPr>
          <w:rFonts w:ascii="Arial" w:hAnsi="Arial" w:cs="Arial"/>
        </w:rPr>
        <w:t>;</w:t>
      </w:r>
      <w:proofErr w:type="gramEnd"/>
      <w:r w:rsidRPr="00DA3B2C">
        <w:rPr>
          <w:rFonts w:ascii="Arial" w:hAnsi="Arial" w:cs="Arial"/>
        </w:rPr>
        <w:t xml:space="preserve"> </w:t>
      </w:r>
    </w:p>
    <w:p w14:paraId="27621F67" w14:textId="5EACCAAA" w:rsidR="00817016" w:rsidRPr="00DA3B2C" w:rsidRDefault="00817016" w:rsidP="006C6A35">
      <w:pPr>
        <w:pStyle w:val="ListParagraph"/>
        <w:numPr>
          <w:ilvl w:val="0"/>
          <w:numId w:val="21"/>
        </w:numPr>
        <w:spacing w:line="257" w:lineRule="auto"/>
        <w:rPr>
          <w:rFonts w:ascii="Arial" w:hAnsi="Arial" w:cs="Arial"/>
        </w:rPr>
      </w:pPr>
      <w:r w:rsidRPr="0046005E">
        <w:rPr>
          <w:rFonts w:ascii="Arial" w:hAnsi="Arial" w:cs="Arial"/>
          <w:i/>
          <w:iCs/>
        </w:rPr>
        <w:t xml:space="preserve">Telecommunications (Consumer Complaints) Record-Keeping Rules </w:t>
      </w:r>
      <w:proofErr w:type="gramStart"/>
      <w:r w:rsidRPr="0046005E">
        <w:rPr>
          <w:rFonts w:ascii="Arial" w:hAnsi="Arial" w:cs="Arial"/>
          <w:i/>
          <w:iCs/>
        </w:rPr>
        <w:t>2018</w:t>
      </w:r>
      <w:r w:rsidRPr="00DA3B2C">
        <w:rPr>
          <w:rFonts w:ascii="Arial" w:hAnsi="Arial" w:cs="Arial"/>
        </w:rPr>
        <w:t>;</w:t>
      </w:r>
      <w:proofErr w:type="gramEnd"/>
      <w:r w:rsidRPr="00DA3B2C">
        <w:rPr>
          <w:rFonts w:ascii="Arial" w:hAnsi="Arial" w:cs="Arial"/>
        </w:rPr>
        <w:t xml:space="preserve"> </w:t>
      </w:r>
    </w:p>
    <w:p w14:paraId="21FE95BC" w14:textId="25E7C2F0" w:rsidR="00817016" w:rsidRPr="00DA3B2C" w:rsidRDefault="00817016" w:rsidP="006C6A35">
      <w:pPr>
        <w:pStyle w:val="ListParagraph"/>
        <w:numPr>
          <w:ilvl w:val="0"/>
          <w:numId w:val="21"/>
        </w:numPr>
        <w:spacing w:line="257" w:lineRule="auto"/>
        <w:rPr>
          <w:rFonts w:ascii="Arial" w:hAnsi="Arial" w:cs="Arial"/>
        </w:rPr>
      </w:pPr>
      <w:r w:rsidRPr="0046005E">
        <w:rPr>
          <w:rFonts w:ascii="Arial" w:hAnsi="Arial" w:cs="Arial"/>
          <w:i/>
          <w:iCs/>
        </w:rPr>
        <w:t>Telecommunications (NBN Continuity of Service) Industry Standard 2018</w:t>
      </w:r>
      <w:r w:rsidRPr="00DA3B2C">
        <w:rPr>
          <w:rFonts w:ascii="Arial" w:hAnsi="Arial" w:cs="Arial"/>
        </w:rPr>
        <w:t xml:space="preserve">; and </w:t>
      </w:r>
    </w:p>
    <w:p w14:paraId="59C80030" w14:textId="2C45078B" w:rsidR="00817016" w:rsidRPr="00DA3B2C" w:rsidRDefault="00817016" w:rsidP="006C6A35">
      <w:pPr>
        <w:pStyle w:val="ListParagraph"/>
        <w:numPr>
          <w:ilvl w:val="0"/>
          <w:numId w:val="21"/>
        </w:numPr>
        <w:spacing w:line="257" w:lineRule="auto"/>
        <w:rPr>
          <w:rFonts w:ascii="Arial" w:hAnsi="Arial" w:cs="Arial"/>
        </w:rPr>
      </w:pPr>
      <w:r w:rsidRPr="0046005E">
        <w:rPr>
          <w:rFonts w:ascii="Arial" w:hAnsi="Arial" w:cs="Arial"/>
          <w:i/>
          <w:iCs/>
        </w:rPr>
        <w:t>Telecommunications (NBN Consumer Information) Industry Standard 2018</w:t>
      </w:r>
      <w:r w:rsidRPr="00DA3B2C">
        <w:rPr>
          <w:rFonts w:ascii="Arial" w:hAnsi="Arial" w:cs="Arial"/>
        </w:rPr>
        <w:t xml:space="preserve">. </w:t>
      </w:r>
    </w:p>
    <w:p w14:paraId="11D2AB6A" w14:textId="77777777" w:rsidR="00817016" w:rsidRPr="00DA3B2C" w:rsidRDefault="00817016" w:rsidP="006C6A35">
      <w:pPr>
        <w:spacing w:line="257" w:lineRule="auto"/>
        <w:rPr>
          <w:rFonts w:ascii="Arial" w:hAnsi="Arial" w:cs="Arial"/>
        </w:rPr>
      </w:pPr>
      <w:r w:rsidRPr="00DA3B2C">
        <w:rPr>
          <w:rFonts w:ascii="Arial" w:hAnsi="Arial" w:cs="Arial"/>
        </w:rPr>
        <w:t xml:space="preserve">The enforcement options currently available to the ACMA in relation to contraventions of these instruments include: </w:t>
      </w:r>
    </w:p>
    <w:p w14:paraId="510BDA2E" w14:textId="1070F522" w:rsidR="00817016" w:rsidRPr="00DA3B2C" w:rsidRDefault="00817016" w:rsidP="006C6A35">
      <w:pPr>
        <w:pStyle w:val="ListParagraph"/>
        <w:numPr>
          <w:ilvl w:val="0"/>
          <w:numId w:val="23"/>
        </w:numPr>
        <w:spacing w:line="257" w:lineRule="auto"/>
        <w:ind w:left="714" w:hanging="357"/>
        <w:rPr>
          <w:rFonts w:ascii="Arial" w:hAnsi="Arial" w:cs="Arial"/>
        </w:rPr>
      </w:pPr>
      <w:r w:rsidRPr="00DA3B2C">
        <w:rPr>
          <w:rFonts w:ascii="Arial" w:hAnsi="Arial" w:cs="Arial"/>
        </w:rPr>
        <w:lastRenderedPageBreak/>
        <w:t xml:space="preserve">issuing formal </w:t>
      </w:r>
      <w:proofErr w:type="gramStart"/>
      <w:r w:rsidRPr="00DA3B2C">
        <w:rPr>
          <w:rFonts w:ascii="Arial" w:hAnsi="Arial" w:cs="Arial"/>
        </w:rPr>
        <w:t>warnings;</w:t>
      </w:r>
      <w:proofErr w:type="gramEnd"/>
      <w:r w:rsidRPr="00DA3B2C">
        <w:rPr>
          <w:rFonts w:ascii="Arial" w:hAnsi="Arial" w:cs="Arial"/>
        </w:rPr>
        <w:t xml:space="preserve"> </w:t>
      </w:r>
    </w:p>
    <w:p w14:paraId="68F2D52F" w14:textId="0A23B9A8" w:rsidR="00817016" w:rsidRPr="00DA3B2C" w:rsidRDefault="00817016" w:rsidP="006C6A35">
      <w:pPr>
        <w:pStyle w:val="ListParagraph"/>
        <w:numPr>
          <w:ilvl w:val="0"/>
          <w:numId w:val="23"/>
        </w:numPr>
        <w:spacing w:line="257" w:lineRule="auto"/>
        <w:ind w:left="714" w:hanging="357"/>
        <w:rPr>
          <w:rFonts w:ascii="Arial" w:hAnsi="Arial" w:cs="Arial"/>
        </w:rPr>
      </w:pPr>
      <w:r w:rsidRPr="00DA3B2C">
        <w:rPr>
          <w:rFonts w:ascii="Arial" w:hAnsi="Arial" w:cs="Arial"/>
        </w:rPr>
        <w:t xml:space="preserve">issuing remedial </w:t>
      </w:r>
      <w:proofErr w:type="gramStart"/>
      <w:r w:rsidRPr="00DA3B2C">
        <w:rPr>
          <w:rFonts w:ascii="Arial" w:hAnsi="Arial" w:cs="Arial"/>
        </w:rPr>
        <w:t>directions;</w:t>
      </w:r>
      <w:proofErr w:type="gramEnd"/>
      <w:r w:rsidRPr="00DA3B2C">
        <w:rPr>
          <w:rFonts w:ascii="Arial" w:hAnsi="Arial" w:cs="Arial"/>
        </w:rPr>
        <w:t xml:space="preserve"> </w:t>
      </w:r>
    </w:p>
    <w:p w14:paraId="01A14BDA" w14:textId="6B4F4021" w:rsidR="00817016" w:rsidRPr="00DA3B2C" w:rsidRDefault="00817016" w:rsidP="006C6A35">
      <w:pPr>
        <w:pStyle w:val="ListParagraph"/>
        <w:numPr>
          <w:ilvl w:val="0"/>
          <w:numId w:val="23"/>
        </w:numPr>
        <w:spacing w:line="257" w:lineRule="auto"/>
        <w:ind w:left="714" w:hanging="357"/>
        <w:rPr>
          <w:rFonts w:ascii="Arial" w:hAnsi="Arial" w:cs="Arial"/>
        </w:rPr>
      </w:pPr>
      <w:r w:rsidRPr="00DA3B2C">
        <w:rPr>
          <w:rFonts w:ascii="Arial" w:hAnsi="Arial" w:cs="Arial"/>
        </w:rPr>
        <w:t xml:space="preserve">accepting enforceable </w:t>
      </w:r>
      <w:proofErr w:type="gramStart"/>
      <w:r w:rsidRPr="00DA3B2C">
        <w:rPr>
          <w:rFonts w:ascii="Arial" w:hAnsi="Arial" w:cs="Arial"/>
        </w:rPr>
        <w:t>undertakings;</w:t>
      </w:r>
      <w:proofErr w:type="gramEnd"/>
      <w:r w:rsidRPr="00DA3B2C">
        <w:rPr>
          <w:rFonts w:ascii="Arial" w:hAnsi="Arial" w:cs="Arial"/>
        </w:rPr>
        <w:t xml:space="preserve"> </w:t>
      </w:r>
    </w:p>
    <w:p w14:paraId="0708E7A1" w14:textId="068403A4" w:rsidR="00817016" w:rsidRPr="00DA3B2C" w:rsidRDefault="00817016" w:rsidP="006C6A35">
      <w:pPr>
        <w:pStyle w:val="ListParagraph"/>
        <w:numPr>
          <w:ilvl w:val="0"/>
          <w:numId w:val="23"/>
        </w:numPr>
        <w:spacing w:line="257" w:lineRule="auto"/>
        <w:ind w:left="714" w:hanging="357"/>
        <w:rPr>
          <w:rFonts w:ascii="Arial" w:hAnsi="Arial" w:cs="Arial"/>
        </w:rPr>
      </w:pPr>
      <w:r w:rsidRPr="00DA3B2C">
        <w:rPr>
          <w:rFonts w:ascii="Arial" w:hAnsi="Arial" w:cs="Arial"/>
        </w:rPr>
        <w:t xml:space="preserve">in relation to most of the instruments, giving an infringement notice; and </w:t>
      </w:r>
    </w:p>
    <w:p w14:paraId="5E7741F8" w14:textId="1E33ED66" w:rsidR="00817016" w:rsidRPr="00DA3B2C" w:rsidRDefault="00817016" w:rsidP="006C6A35">
      <w:pPr>
        <w:pStyle w:val="ListParagraph"/>
        <w:numPr>
          <w:ilvl w:val="0"/>
          <w:numId w:val="23"/>
        </w:numPr>
        <w:spacing w:line="257" w:lineRule="auto"/>
        <w:ind w:left="714" w:hanging="357"/>
        <w:rPr>
          <w:rFonts w:ascii="Arial" w:hAnsi="Arial" w:cs="Arial"/>
        </w:rPr>
      </w:pPr>
      <w:r w:rsidRPr="00DA3B2C">
        <w:rPr>
          <w:rFonts w:ascii="Arial" w:hAnsi="Arial" w:cs="Arial"/>
        </w:rPr>
        <w:t xml:space="preserve">initiating civil penalty proceedings. </w:t>
      </w:r>
    </w:p>
    <w:p w14:paraId="7694FC8E" w14:textId="56BD3F8C" w:rsidR="00803D4B" w:rsidRDefault="00E81A8E" w:rsidP="006C6A35">
      <w:pPr>
        <w:spacing w:line="257" w:lineRule="auto"/>
        <w:rPr>
          <w:rFonts w:ascii="Arial" w:hAnsi="Arial" w:cs="Arial"/>
        </w:rPr>
      </w:pPr>
      <w:r>
        <w:rPr>
          <w:rFonts w:ascii="Arial" w:hAnsi="Arial" w:cs="Arial"/>
        </w:rPr>
        <w:t>B</w:t>
      </w:r>
      <w:r w:rsidR="00817016" w:rsidRPr="00DA3B2C">
        <w:rPr>
          <w:rFonts w:ascii="Arial" w:hAnsi="Arial" w:cs="Arial"/>
        </w:rPr>
        <w:t>y exercising its power under subsection 572</w:t>
      </w:r>
      <w:proofErr w:type="gramStart"/>
      <w:r w:rsidR="00817016" w:rsidRPr="00DA3B2C">
        <w:rPr>
          <w:rFonts w:ascii="Arial" w:hAnsi="Arial" w:cs="Arial"/>
        </w:rPr>
        <w:t>E(</w:t>
      </w:r>
      <w:proofErr w:type="gramEnd"/>
      <w:r w:rsidR="00817016" w:rsidRPr="00DA3B2C">
        <w:rPr>
          <w:rFonts w:ascii="Arial" w:hAnsi="Arial" w:cs="Arial"/>
        </w:rPr>
        <w:t>7) of the Act to include provisions of the Service Migration Determination as listed infringement notice provisions</w:t>
      </w:r>
      <w:r w:rsidR="008D4AA2">
        <w:rPr>
          <w:rFonts w:ascii="Arial" w:hAnsi="Arial" w:cs="Arial"/>
        </w:rPr>
        <w:t>, the ACMA is able to a</w:t>
      </w:r>
      <w:r w:rsidR="00817016" w:rsidRPr="00DA3B2C">
        <w:rPr>
          <w:rFonts w:ascii="Arial" w:hAnsi="Arial" w:cs="Arial"/>
        </w:rPr>
        <w:t>lign the enforcement options</w:t>
      </w:r>
      <w:r w:rsidR="00313250">
        <w:rPr>
          <w:rFonts w:ascii="Arial" w:hAnsi="Arial" w:cs="Arial"/>
        </w:rPr>
        <w:t xml:space="preserve"> across these instruments to</w:t>
      </w:r>
      <w:r w:rsidR="00817016" w:rsidRPr="00DA3B2C">
        <w:rPr>
          <w:rFonts w:ascii="Arial" w:hAnsi="Arial" w:cs="Arial"/>
        </w:rPr>
        <w:t xml:space="preserve"> ensure that there is a range of consistent remedies available </w:t>
      </w:r>
      <w:r w:rsidR="00DA3B2C">
        <w:rPr>
          <w:rFonts w:ascii="Arial" w:hAnsi="Arial" w:cs="Arial"/>
        </w:rPr>
        <w:t xml:space="preserve">and </w:t>
      </w:r>
      <w:r w:rsidR="00961E0B">
        <w:rPr>
          <w:rFonts w:ascii="Arial" w:hAnsi="Arial" w:cs="Arial"/>
        </w:rPr>
        <w:t xml:space="preserve">allows </w:t>
      </w:r>
      <w:r w:rsidR="00DA3B2C">
        <w:rPr>
          <w:rFonts w:ascii="Arial" w:hAnsi="Arial" w:cs="Arial"/>
        </w:rPr>
        <w:t>the ACMA</w:t>
      </w:r>
      <w:r w:rsidR="007237BD">
        <w:rPr>
          <w:rFonts w:ascii="Arial" w:hAnsi="Arial" w:cs="Arial"/>
        </w:rPr>
        <w:t xml:space="preserve"> to more fully assure improved </w:t>
      </w:r>
      <w:r w:rsidR="00DA3B2C">
        <w:rPr>
          <w:rFonts w:ascii="Arial" w:hAnsi="Arial" w:cs="Arial"/>
        </w:rPr>
        <w:t xml:space="preserve"> outcomes for consumers migrating to the NBN.</w:t>
      </w:r>
    </w:p>
    <w:p w14:paraId="2E7765E4" w14:textId="68E427A6" w:rsidR="00DD59B7" w:rsidRDefault="00DD59B7" w:rsidP="000D6A09">
      <w:pPr>
        <w:keepLines/>
        <w:spacing w:line="257" w:lineRule="auto"/>
        <w:rPr>
          <w:rFonts w:ascii="Arial" w:hAnsi="Arial" w:cs="Arial"/>
        </w:rPr>
      </w:pPr>
      <w:r>
        <w:rPr>
          <w:rFonts w:ascii="Arial" w:hAnsi="Arial" w:cs="Arial"/>
        </w:rPr>
        <w:t>S</w:t>
      </w:r>
      <w:r w:rsidRPr="00DD59B7">
        <w:rPr>
          <w:rFonts w:ascii="Arial" w:hAnsi="Arial" w:cs="Arial"/>
        </w:rPr>
        <w:t>ubsection</w:t>
      </w:r>
      <w:r>
        <w:rPr>
          <w:rFonts w:ascii="Arial" w:hAnsi="Arial" w:cs="Arial"/>
        </w:rPr>
        <w:t>s</w:t>
      </w:r>
      <w:r w:rsidRPr="00DD59B7">
        <w:rPr>
          <w:rFonts w:ascii="Arial" w:hAnsi="Arial" w:cs="Arial"/>
        </w:rPr>
        <w:t xml:space="preserve"> 7(2)</w:t>
      </w:r>
      <w:r>
        <w:rPr>
          <w:rFonts w:ascii="Arial" w:hAnsi="Arial" w:cs="Arial"/>
        </w:rPr>
        <w:t xml:space="preserve">, </w:t>
      </w:r>
      <w:r w:rsidRPr="00DD59B7">
        <w:rPr>
          <w:rFonts w:ascii="Arial" w:hAnsi="Arial" w:cs="Arial"/>
        </w:rPr>
        <w:t>(3)</w:t>
      </w:r>
      <w:r>
        <w:rPr>
          <w:rFonts w:ascii="Arial" w:hAnsi="Arial" w:cs="Arial"/>
        </w:rPr>
        <w:t xml:space="preserve"> and (4) </w:t>
      </w:r>
      <w:r w:rsidR="001627FD">
        <w:rPr>
          <w:rFonts w:ascii="Arial" w:hAnsi="Arial" w:cs="Arial"/>
        </w:rPr>
        <w:t xml:space="preserve">of the Service Migration Determination </w:t>
      </w:r>
      <w:r>
        <w:rPr>
          <w:rFonts w:ascii="Arial" w:hAnsi="Arial" w:cs="Arial"/>
        </w:rPr>
        <w:t>require service providers to test services that have been migrated to the NBN to ensure that they are operational, and if they are found not to be operational, to repeat that testing until they are.</w:t>
      </w:r>
    </w:p>
    <w:p w14:paraId="3DB08ABB" w14:textId="18F73E97" w:rsidR="005F350D" w:rsidRDefault="00DD59B7" w:rsidP="000D6A09">
      <w:pPr>
        <w:keepLines/>
        <w:spacing w:line="257" w:lineRule="auto"/>
        <w:rPr>
          <w:rFonts w:ascii="Arial" w:hAnsi="Arial" w:cs="Arial"/>
        </w:rPr>
      </w:pPr>
      <w:r>
        <w:rPr>
          <w:rFonts w:ascii="Arial" w:hAnsi="Arial" w:cs="Arial"/>
        </w:rPr>
        <w:t>S</w:t>
      </w:r>
      <w:r w:rsidRPr="00DD59B7">
        <w:rPr>
          <w:rFonts w:ascii="Arial" w:hAnsi="Arial" w:cs="Arial"/>
        </w:rPr>
        <w:t>ubsection</w:t>
      </w:r>
      <w:r>
        <w:rPr>
          <w:rFonts w:ascii="Arial" w:hAnsi="Arial" w:cs="Arial"/>
        </w:rPr>
        <w:t>s</w:t>
      </w:r>
      <w:r w:rsidRPr="00DD59B7">
        <w:rPr>
          <w:rFonts w:ascii="Arial" w:hAnsi="Arial" w:cs="Arial"/>
        </w:rPr>
        <w:t xml:space="preserve"> 9(1)</w:t>
      </w:r>
      <w:r>
        <w:rPr>
          <w:rFonts w:ascii="Arial" w:hAnsi="Arial" w:cs="Arial"/>
        </w:rPr>
        <w:t xml:space="preserve">, </w:t>
      </w:r>
      <w:r w:rsidRPr="00DD59B7">
        <w:rPr>
          <w:rFonts w:ascii="Arial" w:hAnsi="Arial" w:cs="Arial"/>
        </w:rPr>
        <w:t>10(1)</w:t>
      </w:r>
      <w:r>
        <w:rPr>
          <w:rFonts w:ascii="Arial" w:hAnsi="Arial" w:cs="Arial"/>
        </w:rPr>
        <w:t xml:space="preserve">, </w:t>
      </w:r>
      <w:r w:rsidRPr="00DD59B7">
        <w:rPr>
          <w:rFonts w:ascii="Arial" w:hAnsi="Arial" w:cs="Arial"/>
        </w:rPr>
        <w:t>10(2)</w:t>
      </w:r>
      <w:r w:rsidR="005F350D">
        <w:rPr>
          <w:rFonts w:ascii="Arial" w:hAnsi="Arial" w:cs="Arial"/>
        </w:rPr>
        <w:t>,</w:t>
      </w:r>
      <w:r>
        <w:rPr>
          <w:rFonts w:ascii="Arial" w:hAnsi="Arial" w:cs="Arial"/>
        </w:rPr>
        <w:t xml:space="preserve"> </w:t>
      </w:r>
      <w:r w:rsidRPr="00DD59B7">
        <w:rPr>
          <w:rFonts w:ascii="Arial" w:hAnsi="Arial" w:cs="Arial"/>
        </w:rPr>
        <w:t>10(3)</w:t>
      </w:r>
      <w:r w:rsidR="005F350D">
        <w:rPr>
          <w:rFonts w:ascii="Arial" w:hAnsi="Arial" w:cs="Arial"/>
        </w:rPr>
        <w:t xml:space="preserve"> and section 11</w:t>
      </w:r>
      <w:r>
        <w:rPr>
          <w:rFonts w:ascii="Arial" w:hAnsi="Arial" w:cs="Arial"/>
        </w:rPr>
        <w:t xml:space="preserve"> each relate to the provision of an interim service, in circumstances when a customer </w:t>
      </w:r>
      <w:r w:rsidR="004A7DF0">
        <w:rPr>
          <w:rFonts w:ascii="Arial" w:hAnsi="Arial" w:cs="Arial"/>
        </w:rPr>
        <w:t xml:space="preserve">is </w:t>
      </w:r>
      <w:r>
        <w:rPr>
          <w:rFonts w:ascii="Arial" w:hAnsi="Arial" w:cs="Arial"/>
        </w:rPr>
        <w:t>left without a working internet service. Subsection 9(1) specifies when a customer should be provided with the interim service while subsections 10(1) and (2) ensure that consumers are charged reasonably for interim services and that they operate as expected.</w:t>
      </w:r>
      <w:r w:rsidR="005F350D">
        <w:rPr>
          <w:rFonts w:ascii="Arial" w:hAnsi="Arial" w:cs="Arial"/>
        </w:rPr>
        <w:t xml:space="preserve"> Section 11 requires service providers to advise a customer about relevant performance details and the cost of using an interim service.</w:t>
      </w:r>
      <w:r>
        <w:rPr>
          <w:rFonts w:ascii="Arial" w:hAnsi="Arial" w:cs="Arial"/>
        </w:rPr>
        <w:t xml:space="preserve"> </w:t>
      </w:r>
    </w:p>
    <w:p w14:paraId="4FB8B93C" w14:textId="6028D622" w:rsidR="005F350D" w:rsidRDefault="005F350D" w:rsidP="000D6A09">
      <w:pPr>
        <w:keepLines/>
        <w:spacing w:line="257" w:lineRule="auto"/>
        <w:rPr>
          <w:rFonts w:ascii="Arial" w:hAnsi="Arial" w:cs="Arial"/>
        </w:rPr>
      </w:pPr>
      <w:r>
        <w:rPr>
          <w:rFonts w:ascii="Arial" w:hAnsi="Arial" w:cs="Arial"/>
        </w:rPr>
        <w:t>S</w:t>
      </w:r>
      <w:r w:rsidR="00DD59B7" w:rsidRPr="00DD59B7">
        <w:rPr>
          <w:rFonts w:ascii="Arial" w:hAnsi="Arial" w:cs="Arial"/>
        </w:rPr>
        <w:t>ubsection 12(1</w:t>
      </w:r>
      <w:r>
        <w:rPr>
          <w:rFonts w:ascii="Arial" w:hAnsi="Arial" w:cs="Arial"/>
        </w:rPr>
        <w:t xml:space="preserve">) and </w:t>
      </w:r>
      <w:r w:rsidR="00DD59B7" w:rsidRPr="00DD59B7">
        <w:rPr>
          <w:rFonts w:ascii="Arial" w:hAnsi="Arial" w:cs="Arial"/>
        </w:rPr>
        <w:t>section 13</w:t>
      </w:r>
      <w:r>
        <w:rPr>
          <w:rFonts w:ascii="Arial" w:hAnsi="Arial" w:cs="Arial"/>
        </w:rPr>
        <w:t xml:space="preserve"> detail the timeframes for the initial and continued supply of interim services to consumers, until such time as the NBN service is operational. </w:t>
      </w:r>
    </w:p>
    <w:p w14:paraId="60F91418" w14:textId="58E95BE7" w:rsidR="00DD59B7" w:rsidRPr="005F350D" w:rsidRDefault="0052064E" w:rsidP="000D6A09">
      <w:pPr>
        <w:keepLines/>
        <w:spacing w:line="257" w:lineRule="auto"/>
        <w:rPr>
          <w:rFonts w:ascii="Arial" w:hAnsi="Arial" w:cs="Arial"/>
          <w:b/>
          <w:bCs/>
        </w:rPr>
      </w:pPr>
      <w:r>
        <w:rPr>
          <w:rFonts w:ascii="Arial" w:hAnsi="Arial" w:cs="Arial"/>
        </w:rPr>
        <w:t>S</w:t>
      </w:r>
      <w:r w:rsidR="00DD59B7" w:rsidRPr="00DD59B7">
        <w:rPr>
          <w:rFonts w:ascii="Arial" w:hAnsi="Arial" w:cs="Arial"/>
        </w:rPr>
        <w:t>ubsection</w:t>
      </w:r>
      <w:r w:rsidR="005F350D">
        <w:rPr>
          <w:rFonts w:ascii="Arial" w:hAnsi="Arial" w:cs="Arial"/>
        </w:rPr>
        <w:t>s</w:t>
      </w:r>
      <w:r w:rsidR="00DD59B7" w:rsidRPr="00DD59B7">
        <w:rPr>
          <w:rFonts w:ascii="Arial" w:hAnsi="Arial" w:cs="Arial"/>
        </w:rPr>
        <w:t xml:space="preserve"> 14(2</w:t>
      </w:r>
      <w:r w:rsidR="005F350D">
        <w:rPr>
          <w:rFonts w:ascii="Arial" w:hAnsi="Arial" w:cs="Arial"/>
        </w:rPr>
        <w:t>) and</w:t>
      </w:r>
      <w:r w:rsidR="00DD59B7" w:rsidRPr="00DD59B7">
        <w:rPr>
          <w:rFonts w:ascii="Arial" w:hAnsi="Arial" w:cs="Arial"/>
        </w:rPr>
        <w:t xml:space="preserve"> (3)</w:t>
      </w:r>
      <w:r w:rsidR="005F350D">
        <w:rPr>
          <w:rFonts w:ascii="Arial" w:hAnsi="Arial" w:cs="Arial"/>
        </w:rPr>
        <w:t xml:space="preserve"> require service providers to assess the capability of a customer</w:t>
      </w:r>
      <w:r w:rsidR="00965612">
        <w:rPr>
          <w:rFonts w:ascii="Arial" w:hAnsi="Arial" w:cs="Arial"/>
        </w:rPr>
        <w:t>'</w:t>
      </w:r>
      <w:r w:rsidR="005F350D">
        <w:rPr>
          <w:rFonts w:ascii="Arial" w:hAnsi="Arial" w:cs="Arial"/>
        </w:rPr>
        <w:t xml:space="preserve">s NBN service and to advise that customer of that capability, within specified timeframes. Additionally, subsection 15(1) details the circumstances when a service provider must not charge a customer for an NBN service. </w:t>
      </w:r>
    </w:p>
    <w:p w14:paraId="5EC896C4" w14:textId="4F9B78D8" w:rsidR="00541A7E" w:rsidRDefault="005F350D" w:rsidP="000D6A09">
      <w:pPr>
        <w:keepLines/>
        <w:spacing w:line="257" w:lineRule="auto"/>
        <w:rPr>
          <w:rFonts w:ascii="Arial" w:hAnsi="Arial" w:cs="Arial"/>
        </w:rPr>
      </w:pPr>
      <w:r>
        <w:rPr>
          <w:rFonts w:ascii="Arial" w:hAnsi="Arial" w:cs="Arial"/>
        </w:rPr>
        <w:t>S</w:t>
      </w:r>
      <w:r w:rsidR="00DD59B7" w:rsidRPr="00DD59B7">
        <w:rPr>
          <w:rFonts w:ascii="Arial" w:hAnsi="Arial" w:cs="Arial"/>
        </w:rPr>
        <w:t>ubsection</w:t>
      </w:r>
      <w:r>
        <w:rPr>
          <w:rFonts w:ascii="Arial" w:hAnsi="Arial" w:cs="Arial"/>
        </w:rPr>
        <w:t>s</w:t>
      </w:r>
      <w:r w:rsidR="00DD59B7" w:rsidRPr="00DD59B7">
        <w:rPr>
          <w:rFonts w:ascii="Arial" w:hAnsi="Arial" w:cs="Arial"/>
        </w:rPr>
        <w:t xml:space="preserve"> 16(2)</w:t>
      </w:r>
      <w:r>
        <w:rPr>
          <w:rFonts w:ascii="Arial" w:hAnsi="Arial" w:cs="Arial"/>
        </w:rPr>
        <w:t>, (4), (5) and (6) deal with situations where a consumer has been left without a working NBN service for 23 days. In th</w:t>
      </w:r>
      <w:r w:rsidR="005253D2">
        <w:rPr>
          <w:rFonts w:ascii="Arial" w:hAnsi="Arial" w:cs="Arial"/>
        </w:rPr>
        <w:t>o</w:t>
      </w:r>
      <w:r>
        <w:rPr>
          <w:rFonts w:ascii="Arial" w:hAnsi="Arial" w:cs="Arial"/>
        </w:rPr>
        <w:t>s</w:t>
      </w:r>
      <w:r w:rsidR="00DD709B">
        <w:rPr>
          <w:rFonts w:ascii="Arial" w:hAnsi="Arial" w:cs="Arial"/>
        </w:rPr>
        <w:t>e</w:t>
      </w:r>
      <w:r>
        <w:rPr>
          <w:rFonts w:ascii="Arial" w:hAnsi="Arial" w:cs="Arial"/>
        </w:rPr>
        <w:t xml:space="preserve"> circumstance</w:t>
      </w:r>
      <w:r w:rsidR="00DD709B">
        <w:rPr>
          <w:rFonts w:ascii="Arial" w:hAnsi="Arial" w:cs="Arial"/>
        </w:rPr>
        <w:t>s</w:t>
      </w:r>
      <w:r>
        <w:rPr>
          <w:rFonts w:ascii="Arial" w:hAnsi="Arial" w:cs="Arial"/>
        </w:rPr>
        <w:t>, a provider must prepare a plan directed at providing the customer with an operational service and give the customer a copy of that plan.</w:t>
      </w:r>
      <w:r w:rsidR="006D3B25">
        <w:rPr>
          <w:rFonts w:ascii="Arial" w:hAnsi="Arial" w:cs="Arial"/>
        </w:rPr>
        <w:t xml:space="preserve"> The plan must contain information as specified in the </w:t>
      </w:r>
      <w:r w:rsidR="00614D9A">
        <w:rPr>
          <w:rFonts w:ascii="Arial" w:hAnsi="Arial" w:cs="Arial"/>
        </w:rPr>
        <w:t>Service Migration D</w:t>
      </w:r>
      <w:r w:rsidR="006D3B25">
        <w:rPr>
          <w:rFonts w:ascii="Arial" w:hAnsi="Arial" w:cs="Arial"/>
        </w:rPr>
        <w:t>etermination. If, after a further 20 days, the customer</w:t>
      </w:r>
      <w:r w:rsidR="00643599">
        <w:rPr>
          <w:rFonts w:ascii="Arial" w:hAnsi="Arial" w:cs="Arial"/>
        </w:rPr>
        <w:t>’</w:t>
      </w:r>
      <w:r w:rsidR="006D3B25">
        <w:rPr>
          <w:rFonts w:ascii="Arial" w:hAnsi="Arial" w:cs="Arial"/>
        </w:rPr>
        <w:t xml:space="preserve">s NBN service is not operational, the service provider must arrange a technical audit. </w:t>
      </w:r>
    </w:p>
    <w:p w14:paraId="3119536B" w14:textId="1A77DBA0" w:rsidR="00541A7E" w:rsidRDefault="00541A7E" w:rsidP="000D6A09">
      <w:pPr>
        <w:keepLines/>
        <w:spacing w:line="257" w:lineRule="auto"/>
        <w:rPr>
          <w:rFonts w:ascii="Arial" w:hAnsi="Arial" w:cs="Arial"/>
        </w:rPr>
      </w:pPr>
      <w:r>
        <w:rPr>
          <w:rFonts w:ascii="Arial" w:hAnsi="Arial" w:cs="Arial"/>
        </w:rPr>
        <w:t>S</w:t>
      </w:r>
      <w:r w:rsidR="00DD59B7" w:rsidRPr="00DD59B7">
        <w:rPr>
          <w:rFonts w:ascii="Arial" w:hAnsi="Arial" w:cs="Arial"/>
        </w:rPr>
        <w:t>ubsection</w:t>
      </w:r>
      <w:r w:rsidR="001B0812">
        <w:rPr>
          <w:rFonts w:ascii="Arial" w:hAnsi="Arial" w:cs="Arial"/>
        </w:rPr>
        <w:t>s</w:t>
      </w:r>
      <w:r w:rsidR="00DD59B7" w:rsidRPr="00DD59B7">
        <w:rPr>
          <w:rFonts w:ascii="Arial" w:hAnsi="Arial" w:cs="Arial"/>
        </w:rPr>
        <w:t xml:space="preserve"> 17(2)</w:t>
      </w:r>
      <w:r>
        <w:rPr>
          <w:rFonts w:ascii="Arial" w:hAnsi="Arial" w:cs="Arial"/>
        </w:rPr>
        <w:t xml:space="preserve"> and (3) detail information that must be provide</w:t>
      </w:r>
      <w:r w:rsidR="00643599">
        <w:rPr>
          <w:rFonts w:ascii="Arial" w:hAnsi="Arial" w:cs="Arial"/>
        </w:rPr>
        <w:t>d</w:t>
      </w:r>
      <w:r>
        <w:rPr>
          <w:rFonts w:ascii="Arial" w:hAnsi="Arial" w:cs="Arial"/>
        </w:rPr>
        <w:t xml:space="preserve"> to a customer who wishes to use a non-proprietary modem when connecting to the NBN. </w:t>
      </w:r>
    </w:p>
    <w:p w14:paraId="7034B818" w14:textId="015475F8" w:rsidR="00FA5608" w:rsidRDefault="00541A7E" w:rsidP="000D6A09">
      <w:pPr>
        <w:keepLines/>
        <w:spacing w:line="257" w:lineRule="auto"/>
        <w:rPr>
          <w:rFonts w:ascii="Arial" w:hAnsi="Arial" w:cs="Arial"/>
        </w:rPr>
      </w:pPr>
      <w:r>
        <w:rPr>
          <w:rFonts w:ascii="Arial" w:hAnsi="Arial" w:cs="Arial"/>
        </w:rPr>
        <w:t>S</w:t>
      </w:r>
      <w:r w:rsidR="00DD59B7" w:rsidRPr="00DD59B7">
        <w:rPr>
          <w:rFonts w:ascii="Arial" w:hAnsi="Arial" w:cs="Arial"/>
        </w:rPr>
        <w:t>ection 18</w:t>
      </w:r>
      <w:r>
        <w:rPr>
          <w:rFonts w:ascii="Arial" w:hAnsi="Arial" w:cs="Arial"/>
        </w:rPr>
        <w:t xml:space="preserve"> requires service providers to keep records demonstrating compliance with the </w:t>
      </w:r>
      <w:r w:rsidR="00643599">
        <w:rPr>
          <w:rFonts w:ascii="Arial" w:hAnsi="Arial" w:cs="Arial"/>
        </w:rPr>
        <w:t xml:space="preserve">Service Migration </w:t>
      </w:r>
      <w:r>
        <w:rPr>
          <w:rFonts w:ascii="Arial" w:hAnsi="Arial" w:cs="Arial"/>
        </w:rPr>
        <w:t>Determination and to provide those records to the ACMA</w:t>
      </w:r>
      <w:r w:rsidR="00FA5608">
        <w:rPr>
          <w:rFonts w:ascii="Arial" w:hAnsi="Arial" w:cs="Arial"/>
        </w:rPr>
        <w:t xml:space="preserve">. </w:t>
      </w:r>
    </w:p>
    <w:p w14:paraId="2B2CBBD1" w14:textId="45549DAA" w:rsidR="00FA5608" w:rsidRPr="00DD59B7" w:rsidRDefault="00FA5608" w:rsidP="000D6A09">
      <w:pPr>
        <w:keepLines/>
        <w:spacing w:line="257" w:lineRule="auto"/>
        <w:rPr>
          <w:rFonts w:ascii="Arial" w:hAnsi="Arial" w:cs="Arial"/>
        </w:rPr>
      </w:pPr>
      <w:r>
        <w:rPr>
          <w:rFonts w:ascii="Arial" w:hAnsi="Arial" w:cs="Arial"/>
        </w:rPr>
        <w:t>S</w:t>
      </w:r>
      <w:r w:rsidR="00DD59B7" w:rsidRPr="00DD59B7">
        <w:rPr>
          <w:rFonts w:ascii="Arial" w:hAnsi="Arial" w:cs="Arial"/>
        </w:rPr>
        <w:t>ubsection</w:t>
      </w:r>
      <w:r>
        <w:rPr>
          <w:rFonts w:ascii="Arial" w:hAnsi="Arial" w:cs="Arial"/>
        </w:rPr>
        <w:t>s</w:t>
      </w:r>
      <w:r w:rsidR="00DD59B7" w:rsidRPr="00DD59B7">
        <w:rPr>
          <w:rFonts w:ascii="Arial" w:hAnsi="Arial" w:cs="Arial"/>
        </w:rPr>
        <w:t xml:space="preserve"> 19(2)</w:t>
      </w:r>
      <w:r>
        <w:rPr>
          <w:rFonts w:ascii="Arial" w:hAnsi="Arial" w:cs="Arial"/>
        </w:rPr>
        <w:t xml:space="preserve">, </w:t>
      </w:r>
      <w:r w:rsidR="00DD59B7" w:rsidRPr="00DD59B7">
        <w:rPr>
          <w:rFonts w:ascii="Arial" w:hAnsi="Arial" w:cs="Arial"/>
        </w:rPr>
        <w:t>(3)</w:t>
      </w:r>
      <w:r>
        <w:rPr>
          <w:rFonts w:ascii="Arial" w:hAnsi="Arial" w:cs="Arial"/>
        </w:rPr>
        <w:t xml:space="preserve">, </w:t>
      </w:r>
      <w:r w:rsidR="00DD59B7" w:rsidRPr="00DD59B7">
        <w:rPr>
          <w:rFonts w:ascii="Arial" w:hAnsi="Arial" w:cs="Arial"/>
        </w:rPr>
        <w:t>(4)</w:t>
      </w:r>
      <w:r>
        <w:rPr>
          <w:rFonts w:ascii="Arial" w:hAnsi="Arial" w:cs="Arial"/>
        </w:rPr>
        <w:t xml:space="preserve">, </w:t>
      </w:r>
      <w:r w:rsidR="00DD59B7" w:rsidRPr="00DD59B7">
        <w:rPr>
          <w:rFonts w:ascii="Arial" w:hAnsi="Arial" w:cs="Arial"/>
        </w:rPr>
        <w:t>(5)</w:t>
      </w:r>
      <w:r>
        <w:rPr>
          <w:rFonts w:ascii="Arial" w:hAnsi="Arial" w:cs="Arial"/>
        </w:rPr>
        <w:t xml:space="preserve"> and </w:t>
      </w:r>
      <w:r w:rsidR="00DD59B7" w:rsidRPr="00DD59B7">
        <w:rPr>
          <w:rFonts w:ascii="Arial" w:hAnsi="Arial" w:cs="Arial"/>
        </w:rPr>
        <w:t>(6)</w:t>
      </w:r>
      <w:r>
        <w:rPr>
          <w:rFonts w:ascii="Arial" w:hAnsi="Arial" w:cs="Arial"/>
        </w:rPr>
        <w:t xml:space="preserve"> </w:t>
      </w:r>
      <w:r w:rsidR="0019730D">
        <w:rPr>
          <w:rFonts w:ascii="Arial" w:hAnsi="Arial" w:cs="Arial"/>
        </w:rPr>
        <w:t xml:space="preserve">each deal with the provision of reasonable assistance with regards to post-migration testing, the supply of interim services and line capability assessment. </w:t>
      </w:r>
    </w:p>
    <w:p w14:paraId="43B7A1C7" w14:textId="62B8935E" w:rsidR="00DD59B7" w:rsidRPr="00DD59B7" w:rsidRDefault="0019730D" w:rsidP="000D6A09">
      <w:pPr>
        <w:keepLines/>
        <w:spacing w:line="257" w:lineRule="auto"/>
        <w:rPr>
          <w:rFonts w:ascii="Arial" w:hAnsi="Arial" w:cs="Arial"/>
        </w:rPr>
      </w:pPr>
      <w:r>
        <w:rPr>
          <w:rFonts w:ascii="Arial" w:hAnsi="Arial" w:cs="Arial"/>
        </w:rPr>
        <w:t>S</w:t>
      </w:r>
      <w:r w:rsidR="00DD59B7" w:rsidRPr="00DD59B7">
        <w:rPr>
          <w:rFonts w:ascii="Arial" w:hAnsi="Arial" w:cs="Arial"/>
        </w:rPr>
        <w:t>ubsection 20(1)</w:t>
      </w:r>
      <w:r w:rsidR="0081500C">
        <w:rPr>
          <w:rFonts w:ascii="Arial" w:hAnsi="Arial" w:cs="Arial"/>
        </w:rPr>
        <w:t xml:space="preserve"> requires that service providers nominate a contact person responsible for ensuring the provision of reasonable assistance under the </w:t>
      </w:r>
      <w:r w:rsidR="00643599">
        <w:rPr>
          <w:rFonts w:ascii="Arial" w:hAnsi="Arial" w:cs="Arial"/>
        </w:rPr>
        <w:t xml:space="preserve">Service Migration </w:t>
      </w:r>
      <w:r w:rsidR="00642E56">
        <w:rPr>
          <w:rFonts w:ascii="Arial" w:hAnsi="Arial" w:cs="Arial"/>
        </w:rPr>
        <w:t>D</w:t>
      </w:r>
      <w:r w:rsidR="0081500C">
        <w:rPr>
          <w:rFonts w:ascii="Arial" w:hAnsi="Arial" w:cs="Arial"/>
        </w:rPr>
        <w:t xml:space="preserve">etermination. </w:t>
      </w:r>
    </w:p>
    <w:p w14:paraId="58ECF375" w14:textId="142AE365" w:rsidR="00A3700D" w:rsidRPr="0081500C" w:rsidRDefault="00634993" w:rsidP="006C6A35">
      <w:pPr>
        <w:spacing w:line="257" w:lineRule="auto"/>
        <w:rPr>
          <w:rFonts w:ascii="Arial" w:hAnsi="Arial" w:cs="Arial"/>
        </w:rPr>
      </w:pPr>
      <w:r>
        <w:rPr>
          <w:rFonts w:ascii="Arial" w:hAnsi="Arial" w:cs="Arial"/>
        </w:rPr>
        <w:lastRenderedPageBreak/>
        <w:t>B</w:t>
      </w:r>
      <w:r w:rsidR="00370169">
        <w:rPr>
          <w:rFonts w:ascii="Arial" w:hAnsi="Arial" w:cs="Arial"/>
        </w:rPr>
        <w:t>y i</w:t>
      </w:r>
      <w:r w:rsidR="00C653F2">
        <w:rPr>
          <w:rFonts w:ascii="Arial" w:hAnsi="Arial" w:cs="Arial"/>
        </w:rPr>
        <w:t>ncluding these provisions in the Declaration</w:t>
      </w:r>
      <w:r w:rsidR="00705E0F">
        <w:rPr>
          <w:rFonts w:ascii="Arial" w:hAnsi="Arial" w:cs="Arial"/>
        </w:rPr>
        <w:t>,</w:t>
      </w:r>
      <w:r w:rsidR="00C653F2">
        <w:rPr>
          <w:rFonts w:ascii="Arial" w:hAnsi="Arial" w:cs="Arial"/>
        </w:rPr>
        <w:t xml:space="preserve"> </w:t>
      </w:r>
      <w:r w:rsidR="0081500C" w:rsidRPr="008204CC">
        <w:rPr>
          <w:rFonts w:ascii="Arial" w:hAnsi="Arial" w:cs="Arial"/>
        </w:rPr>
        <w:t>the ACMA may</w:t>
      </w:r>
      <w:r w:rsidR="002D302F">
        <w:rPr>
          <w:rFonts w:ascii="Arial" w:hAnsi="Arial" w:cs="Arial"/>
        </w:rPr>
        <w:t>,</w:t>
      </w:r>
      <w:r w:rsidR="002D302F" w:rsidRPr="002D302F">
        <w:rPr>
          <w:rFonts w:ascii="Arial" w:hAnsi="Arial" w:cs="Arial"/>
        </w:rPr>
        <w:t xml:space="preserve"> </w:t>
      </w:r>
      <w:r w:rsidR="002D302F" w:rsidRPr="008204CC">
        <w:rPr>
          <w:rFonts w:ascii="Arial" w:hAnsi="Arial" w:cs="Arial"/>
        </w:rPr>
        <w:t>subject to Part 31B of the Act,</w:t>
      </w:r>
      <w:r w:rsidR="0081500C" w:rsidRPr="008204CC">
        <w:rPr>
          <w:rFonts w:ascii="Arial" w:hAnsi="Arial" w:cs="Arial"/>
        </w:rPr>
        <w:t xml:space="preserve"> give an infringement notice to a carrier or a service provider who does not comply with </w:t>
      </w:r>
      <w:r w:rsidR="0081500C">
        <w:rPr>
          <w:rFonts w:ascii="Arial" w:hAnsi="Arial" w:cs="Arial"/>
        </w:rPr>
        <w:t>the</w:t>
      </w:r>
      <w:r w:rsidR="00DD709B">
        <w:rPr>
          <w:rFonts w:ascii="Arial" w:hAnsi="Arial" w:cs="Arial"/>
        </w:rPr>
        <w:t>se</w:t>
      </w:r>
      <w:r w:rsidR="0081500C">
        <w:rPr>
          <w:rFonts w:ascii="Arial" w:hAnsi="Arial" w:cs="Arial"/>
        </w:rPr>
        <w:t xml:space="preserve"> provisions of the Service Migration Determination</w:t>
      </w:r>
      <w:r w:rsidR="0081500C" w:rsidRPr="008204CC">
        <w:rPr>
          <w:rFonts w:ascii="Arial" w:hAnsi="Arial" w:cs="Arial"/>
        </w:rPr>
        <w:t>.</w:t>
      </w:r>
      <w:r w:rsidR="0081500C">
        <w:rPr>
          <w:rFonts w:ascii="Arial" w:hAnsi="Arial" w:cs="Arial"/>
        </w:rPr>
        <w:t xml:space="preserve"> </w:t>
      </w:r>
    </w:p>
    <w:p w14:paraId="0C627C6A" w14:textId="3055716B" w:rsidR="004C58B9" w:rsidRPr="00302DB5" w:rsidRDefault="004C58B9" w:rsidP="006C6A35">
      <w:pPr>
        <w:spacing w:line="257" w:lineRule="auto"/>
        <w:rPr>
          <w:rFonts w:ascii="Arial" w:hAnsi="Arial" w:cs="Arial"/>
          <w:b/>
        </w:rPr>
      </w:pPr>
      <w:r w:rsidRPr="00302DB5">
        <w:rPr>
          <w:rFonts w:ascii="Arial" w:hAnsi="Arial" w:cs="Arial"/>
          <w:b/>
        </w:rPr>
        <w:t>Documents incorporated by reference</w:t>
      </w:r>
    </w:p>
    <w:p w14:paraId="3CD27221" w14:textId="666A7BB0" w:rsidR="002B525D" w:rsidRPr="002B525D" w:rsidRDefault="002B525D" w:rsidP="002B525D">
      <w:pPr>
        <w:spacing w:line="257" w:lineRule="auto"/>
        <w:rPr>
          <w:rFonts w:ascii="Arial" w:hAnsi="Arial" w:cs="Arial"/>
        </w:rPr>
      </w:pPr>
      <w:r w:rsidRPr="002B525D">
        <w:rPr>
          <w:rFonts w:ascii="Arial" w:hAnsi="Arial" w:cs="Arial"/>
        </w:rPr>
        <w:t xml:space="preserve">The </w:t>
      </w:r>
      <w:r w:rsidR="00157BBB">
        <w:rPr>
          <w:rFonts w:ascii="Arial" w:hAnsi="Arial" w:cs="Arial"/>
        </w:rPr>
        <w:t>Declaration</w:t>
      </w:r>
      <w:r w:rsidRPr="002B525D">
        <w:rPr>
          <w:rFonts w:ascii="Arial" w:hAnsi="Arial" w:cs="Arial"/>
        </w:rPr>
        <w:t xml:space="preserve"> incorporate</w:t>
      </w:r>
      <w:r w:rsidR="00EB1B4A">
        <w:rPr>
          <w:rFonts w:ascii="Arial" w:hAnsi="Arial" w:cs="Arial"/>
        </w:rPr>
        <w:t>s</w:t>
      </w:r>
      <w:r w:rsidRPr="002B525D">
        <w:rPr>
          <w:rFonts w:ascii="Arial" w:hAnsi="Arial" w:cs="Arial"/>
        </w:rPr>
        <w:t xml:space="preserve"> by reference the following Acts</w:t>
      </w:r>
      <w:r>
        <w:rPr>
          <w:rFonts w:ascii="Arial" w:hAnsi="Arial" w:cs="Arial"/>
        </w:rPr>
        <w:t xml:space="preserve"> and </w:t>
      </w:r>
      <w:r w:rsidR="00157BBB">
        <w:rPr>
          <w:rFonts w:ascii="Arial" w:hAnsi="Arial" w:cs="Arial"/>
        </w:rPr>
        <w:t>l</w:t>
      </w:r>
      <w:r>
        <w:rPr>
          <w:rFonts w:ascii="Arial" w:hAnsi="Arial" w:cs="Arial"/>
        </w:rPr>
        <w:t xml:space="preserve">egislative </w:t>
      </w:r>
      <w:r w:rsidR="00157BBB">
        <w:rPr>
          <w:rFonts w:ascii="Arial" w:hAnsi="Arial" w:cs="Arial"/>
        </w:rPr>
        <w:t>i</w:t>
      </w:r>
      <w:r>
        <w:rPr>
          <w:rFonts w:ascii="Arial" w:hAnsi="Arial" w:cs="Arial"/>
        </w:rPr>
        <w:t>nstruments</w:t>
      </w:r>
      <w:r w:rsidRPr="002B525D">
        <w:rPr>
          <w:rFonts w:ascii="Arial" w:hAnsi="Arial" w:cs="Arial"/>
        </w:rPr>
        <w:t>:</w:t>
      </w:r>
    </w:p>
    <w:p w14:paraId="707124E4" w14:textId="77777777" w:rsidR="002B525D" w:rsidRPr="002B525D" w:rsidRDefault="002B525D" w:rsidP="002B525D">
      <w:pPr>
        <w:numPr>
          <w:ilvl w:val="0"/>
          <w:numId w:val="36"/>
        </w:numPr>
        <w:spacing w:line="257" w:lineRule="auto"/>
        <w:rPr>
          <w:rFonts w:ascii="Arial" w:hAnsi="Arial" w:cs="Arial"/>
        </w:rPr>
      </w:pPr>
      <w:r w:rsidRPr="002B525D">
        <w:rPr>
          <w:rFonts w:ascii="Arial" w:hAnsi="Arial" w:cs="Arial"/>
        </w:rPr>
        <w:t xml:space="preserve">the Telecommunications </w:t>
      </w:r>
      <w:proofErr w:type="gramStart"/>
      <w:r w:rsidRPr="002B525D">
        <w:rPr>
          <w:rFonts w:ascii="Arial" w:hAnsi="Arial" w:cs="Arial"/>
        </w:rPr>
        <w:t>Act;</w:t>
      </w:r>
      <w:proofErr w:type="gramEnd"/>
    </w:p>
    <w:p w14:paraId="3FA134EA" w14:textId="77777777" w:rsidR="002B525D" w:rsidRPr="002B525D" w:rsidRDefault="002B525D" w:rsidP="002B525D">
      <w:pPr>
        <w:numPr>
          <w:ilvl w:val="0"/>
          <w:numId w:val="36"/>
        </w:numPr>
        <w:spacing w:line="257" w:lineRule="auto"/>
        <w:rPr>
          <w:rFonts w:ascii="Arial" w:hAnsi="Arial" w:cs="Arial"/>
        </w:rPr>
      </w:pPr>
      <w:r w:rsidRPr="002B525D">
        <w:rPr>
          <w:rFonts w:ascii="Arial" w:hAnsi="Arial" w:cs="Arial"/>
        </w:rPr>
        <w:t xml:space="preserve">the TCPSS </w:t>
      </w:r>
      <w:proofErr w:type="gramStart"/>
      <w:r w:rsidRPr="002B525D">
        <w:rPr>
          <w:rFonts w:ascii="Arial" w:hAnsi="Arial" w:cs="Arial"/>
        </w:rPr>
        <w:t>Act;</w:t>
      </w:r>
      <w:proofErr w:type="gramEnd"/>
    </w:p>
    <w:p w14:paraId="2677D90A" w14:textId="45D8198C" w:rsidR="002B525D" w:rsidRDefault="002B525D" w:rsidP="002B525D">
      <w:pPr>
        <w:numPr>
          <w:ilvl w:val="0"/>
          <w:numId w:val="36"/>
        </w:numPr>
        <w:spacing w:line="257" w:lineRule="auto"/>
        <w:rPr>
          <w:rFonts w:ascii="Arial" w:hAnsi="Arial" w:cs="Arial"/>
        </w:rPr>
      </w:pPr>
      <w:r w:rsidRPr="002B525D">
        <w:rPr>
          <w:rFonts w:ascii="Arial" w:hAnsi="Arial" w:cs="Arial"/>
        </w:rPr>
        <w:t xml:space="preserve">the TIA </w:t>
      </w:r>
      <w:proofErr w:type="gramStart"/>
      <w:r w:rsidRPr="002B525D">
        <w:rPr>
          <w:rFonts w:ascii="Arial" w:hAnsi="Arial" w:cs="Arial"/>
        </w:rPr>
        <w:t>Act</w:t>
      </w:r>
      <w:r>
        <w:rPr>
          <w:rFonts w:ascii="Arial" w:hAnsi="Arial" w:cs="Arial"/>
        </w:rPr>
        <w:t>;</w:t>
      </w:r>
      <w:proofErr w:type="gramEnd"/>
    </w:p>
    <w:p w14:paraId="0E58F012" w14:textId="084FD287" w:rsidR="00C25600" w:rsidRDefault="001A03B5" w:rsidP="002B525D">
      <w:pPr>
        <w:numPr>
          <w:ilvl w:val="0"/>
          <w:numId w:val="36"/>
        </w:numPr>
        <w:spacing w:line="257" w:lineRule="auto"/>
        <w:rPr>
          <w:rFonts w:ascii="Arial" w:hAnsi="Arial" w:cs="Arial"/>
        </w:rPr>
      </w:pPr>
      <w:r>
        <w:rPr>
          <w:rFonts w:ascii="Arial" w:hAnsi="Arial" w:cs="Arial"/>
        </w:rPr>
        <w:t xml:space="preserve">the Prepaid </w:t>
      </w:r>
      <w:proofErr w:type="gramStart"/>
      <w:r>
        <w:rPr>
          <w:rFonts w:ascii="Arial" w:hAnsi="Arial" w:cs="Arial"/>
        </w:rPr>
        <w:t>Determination;</w:t>
      </w:r>
      <w:proofErr w:type="gramEnd"/>
    </w:p>
    <w:p w14:paraId="5F63005D" w14:textId="480D25E1" w:rsidR="002B525D" w:rsidRPr="002B525D" w:rsidRDefault="00C25600" w:rsidP="002B525D">
      <w:pPr>
        <w:numPr>
          <w:ilvl w:val="0"/>
          <w:numId w:val="36"/>
        </w:numPr>
        <w:spacing w:line="257" w:lineRule="auto"/>
        <w:rPr>
          <w:rFonts w:ascii="Arial" w:hAnsi="Arial" w:cs="Arial"/>
        </w:rPr>
      </w:pPr>
      <w:r>
        <w:rPr>
          <w:rFonts w:ascii="Arial" w:hAnsi="Arial" w:cs="Arial"/>
        </w:rPr>
        <w:t xml:space="preserve">the Service Migration Determination. </w:t>
      </w:r>
    </w:p>
    <w:p w14:paraId="0438408C" w14:textId="68E17C3E" w:rsidR="0035488B" w:rsidRDefault="0035488B" w:rsidP="006C6A35">
      <w:pPr>
        <w:spacing w:line="257" w:lineRule="auto"/>
        <w:rPr>
          <w:rFonts w:ascii="Arial" w:hAnsi="Arial" w:cs="Arial"/>
        </w:rPr>
      </w:pPr>
      <w:r>
        <w:rPr>
          <w:rFonts w:ascii="Arial" w:hAnsi="Arial" w:cs="Arial"/>
        </w:rPr>
        <w:t xml:space="preserve">The Declaration </w:t>
      </w:r>
      <w:r w:rsidRPr="0035488B">
        <w:rPr>
          <w:rFonts w:ascii="Arial" w:hAnsi="Arial" w:cs="Arial"/>
        </w:rPr>
        <w:t>incorporate</w:t>
      </w:r>
      <w:r w:rsidR="00EB1B4A">
        <w:rPr>
          <w:rFonts w:ascii="Arial" w:hAnsi="Arial" w:cs="Arial"/>
        </w:rPr>
        <w:t>s</w:t>
      </w:r>
      <w:r w:rsidRPr="0035488B">
        <w:rPr>
          <w:rFonts w:ascii="Arial" w:hAnsi="Arial" w:cs="Arial"/>
        </w:rPr>
        <w:t xml:space="preserve"> those Acts</w:t>
      </w:r>
      <w:r>
        <w:rPr>
          <w:rFonts w:ascii="Arial" w:hAnsi="Arial" w:cs="Arial"/>
        </w:rPr>
        <w:t xml:space="preserve"> and legislative instruments</w:t>
      </w:r>
      <w:r w:rsidRPr="0035488B">
        <w:rPr>
          <w:rFonts w:ascii="Arial" w:hAnsi="Arial" w:cs="Arial"/>
        </w:rPr>
        <w:t xml:space="preserve"> as in force from time to time</w:t>
      </w:r>
      <w:r w:rsidR="00526445">
        <w:rPr>
          <w:rFonts w:ascii="Arial" w:hAnsi="Arial" w:cs="Arial"/>
        </w:rPr>
        <w:t>.</w:t>
      </w:r>
    </w:p>
    <w:p w14:paraId="0FE29163" w14:textId="721AABA8" w:rsidR="001D0E45" w:rsidRPr="00302DB5" w:rsidRDefault="002B525D" w:rsidP="006C6A35">
      <w:pPr>
        <w:spacing w:line="257" w:lineRule="auto"/>
        <w:rPr>
          <w:rFonts w:ascii="Arial" w:hAnsi="Arial" w:cs="Arial"/>
        </w:rPr>
      </w:pPr>
      <w:r w:rsidRPr="002B525D">
        <w:rPr>
          <w:rFonts w:ascii="Arial" w:hAnsi="Arial" w:cs="Arial"/>
        </w:rPr>
        <w:t>The Acts</w:t>
      </w:r>
      <w:r w:rsidR="009F5BBB">
        <w:rPr>
          <w:rFonts w:ascii="Arial" w:hAnsi="Arial" w:cs="Arial"/>
        </w:rPr>
        <w:t xml:space="preserve"> and legislative instruments</w:t>
      </w:r>
      <w:r w:rsidRPr="002B525D">
        <w:rPr>
          <w:rFonts w:ascii="Arial" w:hAnsi="Arial" w:cs="Arial"/>
        </w:rPr>
        <w:t xml:space="preserve"> listed above can be accessed, free of charge, from the Federal Register of Legislation:</w:t>
      </w:r>
      <w:r w:rsidRPr="00605DD3">
        <w:rPr>
          <w:rFonts w:ascii="Arial" w:hAnsi="Arial" w:cs="Arial"/>
          <w:i/>
          <w:iCs/>
        </w:rPr>
        <w:t> </w:t>
      </w:r>
      <w:hyperlink r:id="rId12" w:history="1">
        <w:r w:rsidRPr="00605DD3">
          <w:rPr>
            <w:rStyle w:val="Hyperlink"/>
            <w:rFonts w:ascii="Arial" w:hAnsi="Arial" w:cs="Arial"/>
            <w:i/>
            <w:iCs/>
          </w:rPr>
          <w:t>http://www.legislation.gov.au</w:t>
        </w:r>
      </w:hyperlink>
      <w:r w:rsidRPr="002B525D">
        <w:rPr>
          <w:rFonts w:ascii="Arial" w:hAnsi="Arial" w:cs="Arial"/>
          <w:u w:val="single"/>
        </w:rPr>
        <w:t>.</w:t>
      </w:r>
    </w:p>
    <w:p w14:paraId="2EFDFDBF" w14:textId="77777777" w:rsidR="004C58B9" w:rsidRPr="00302DB5" w:rsidRDefault="004C58B9" w:rsidP="006C6A35">
      <w:pPr>
        <w:spacing w:line="257" w:lineRule="auto"/>
        <w:rPr>
          <w:rFonts w:ascii="Arial" w:hAnsi="Arial" w:cs="Arial"/>
          <w:b/>
        </w:rPr>
      </w:pPr>
      <w:r w:rsidRPr="00302DB5">
        <w:rPr>
          <w:rFonts w:ascii="Arial" w:hAnsi="Arial" w:cs="Arial"/>
          <w:b/>
        </w:rPr>
        <w:t>Consultation</w:t>
      </w:r>
    </w:p>
    <w:p w14:paraId="5D110182" w14:textId="794C3FDC" w:rsidR="00EA2878" w:rsidRPr="00302DB5" w:rsidRDefault="00EA2878" w:rsidP="007042E0">
      <w:pPr>
        <w:spacing w:line="257" w:lineRule="auto"/>
        <w:rPr>
          <w:rFonts w:ascii="Arial" w:hAnsi="Arial" w:cs="Arial"/>
        </w:rPr>
      </w:pPr>
      <w:r w:rsidRPr="006E7928">
        <w:rPr>
          <w:rFonts w:ascii="Arial" w:hAnsi="Arial" w:cs="Arial"/>
        </w:rPr>
        <w:t>Subsection 572</w:t>
      </w:r>
      <w:proofErr w:type="gramStart"/>
      <w:r w:rsidRPr="006E7928">
        <w:rPr>
          <w:rFonts w:ascii="Arial" w:hAnsi="Arial" w:cs="Arial"/>
        </w:rPr>
        <w:t>E(</w:t>
      </w:r>
      <w:proofErr w:type="gramEnd"/>
      <w:r w:rsidRPr="006E7928">
        <w:rPr>
          <w:rFonts w:ascii="Arial" w:hAnsi="Arial" w:cs="Arial"/>
        </w:rPr>
        <w:t>8) of the Act sets out requirements for consultation to be undertaken by the ACMA prior to making a declaration under subsection 572E(7). In accordance with the requirements of subsection 572</w:t>
      </w:r>
      <w:proofErr w:type="gramStart"/>
      <w:r w:rsidRPr="006E7928">
        <w:rPr>
          <w:rFonts w:ascii="Arial" w:hAnsi="Arial" w:cs="Arial"/>
        </w:rPr>
        <w:t>E(</w:t>
      </w:r>
      <w:proofErr w:type="gramEnd"/>
      <w:r w:rsidRPr="006E7928">
        <w:rPr>
          <w:rFonts w:ascii="Arial" w:hAnsi="Arial" w:cs="Arial"/>
        </w:rPr>
        <w:t xml:space="preserve">8), on </w:t>
      </w:r>
      <w:r w:rsidR="00BA6222" w:rsidRPr="006E7928">
        <w:rPr>
          <w:rFonts w:ascii="Arial" w:hAnsi="Arial" w:cs="Arial"/>
        </w:rPr>
        <w:t>21 December</w:t>
      </w:r>
      <w:r w:rsidR="0038514E" w:rsidRPr="006E7928">
        <w:rPr>
          <w:rFonts w:ascii="Arial" w:hAnsi="Arial" w:cs="Arial"/>
        </w:rPr>
        <w:t xml:space="preserve"> 2021</w:t>
      </w:r>
      <w:r w:rsidRPr="006E7928">
        <w:rPr>
          <w:rFonts w:ascii="Arial" w:hAnsi="Arial" w:cs="Arial"/>
        </w:rPr>
        <w:t xml:space="preserve"> the ACMA published on its website a consultation paper outlining its proposal to make the instrument, and inviting persons to make submissions to the ACMA about the proposal (</w:t>
      </w:r>
      <w:r w:rsidR="006E7928" w:rsidRPr="006E7928">
        <w:rPr>
          <w:rFonts w:ascii="Arial" w:hAnsi="Arial" w:cs="Arial"/>
        </w:rPr>
        <w:t>consultation</w:t>
      </w:r>
      <w:r w:rsidRPr="006E7928">
        <w:rPr>
          <w:rFonts w:ascii="Arial" w:hAnsi="Arial" w:cs="Arial"/>
        </w:rPr>
        <w:t xml:space="preserve"> 4</w:t>
      </w:r>
      <w:r w:rsidR="0038514E" w:rsidRPr="006E7928">
        <w:rPr>
          <w:rFonts w:ascii="Arial" w:hAnsi="Arial" w:cs="Arial"/>
        </w:rPr>
        <w:t>7</w:t>
      </w:r>
      <w:r w:rsidRPr="006E7928">
        <w:rPr>
          <w:rFonts w:ascii="Arial" w:hAnsi="Arial" w:cs="Arial"/>
        </w:rPr>
        <w:t>/20</w:t>
      </w:r>
      <w:r w:rsidR="0038514E" w:rsidRPr="006E7928">
        <w:rPr>
          <w:rFonts w:ascii="Arial" w:hAnsi="Arial" w:cs="Arial"/>
        </w:rPr>
        <w:t>21</w:t>
      </w:r>
      <w:r w:rsidRPr="006E7928">
        <w:rPr>
          <w:rFonts w:ascii="Arial" w:hAnsi="Arial" w:cs="Arial"/>
        </w:rPr>
        <w:t xml:space="preserve">). Submissions closed on </w:t>
      </w:r>
      <w:r w:rsidR="006E7928" w:rsidRPr="006E7928">
        <w:rPr>
          <w:rFonts w:ascii="Arial" w:hAnsi="Arial" w:cs="Arial"/>
        </w:rPr>
        <w:t>31 January 202</w:t>
      </w:r>
      <w:r w:rsidR="00893246">
        <w:rPr>
          <w:rFonts w:ascii="Arial" w:hAnsi="Arial" w:cs="Arial"/>
        </w:rPr>
        <w:t>2</w:t>
      </w:r>
      <w:r w:rsidRPr="006E7928">
        <w:rPr>
          <w:rFonts w:ascii="Arial" w:hAnsi="Arial" w:cs="Arial"/>
        </w:rPr>
        <w:t>.</w:t>
      </w:r>
    </w:p>
    <w:p w14:paraId="7AF4341A" w14:textId="3016D9F2" w:rsidR="00197B11" w:rsidRPr="007042E0" w:rsidRDefault="00EA2878" w:rsidP="006C6A35">
      <w:pPr>
        <w:spacing w:line="257" w:lineRule="auto"/>
        <w:rPr>
          <w:rFonts w:ascii="Arial" w:hAnsi="Arial" w:cs="Arial"/>
        </w:rPr>
      </w:pPr>
      <w:r w:rsidRPr="007042E0">
        <w:rPr>
          <w:rFonts w:ascii="Arial" w:hAnsi="Arial" w:cs="Arial"/>
        </w:rPr>
        <w:t xml:space="preserve">The ACMA received feedback from </w:t>
      </w:r>
      <w:r w:rsidR="001E1E58">
        <w:rPr>
          <w:rFonts w:ascii="Arial" w:hAnsi="Arial" w:cs="Arial"/>
        </w:rPr>
        <w:t xml:space="preserve">the </w:t>
      </w:r>
      <w:r w:rsidRPr="007042E0">
        <w:rPr>
          <w:rFonts w:ascii="Arial" w:hAnsi="Arial" w:cs="Arial"/>
        </w:rPr>
        <w:t xml:space="preserve">Australian Communications Consumer Action Network </w:t>
      </w:r>
      <w:r w:rsidR="00197B11" w:rsidRPr="007042E0">
        <w:rPr>
          <w:rFonts w:ascii="Arial" w:hAnsi="Arial" w:cs="Arial"/>
        </w:rPr>
        <w:t>(</w:t>
      </w:r>
      <w:r w:rsidR="00197B11" w:rsidRPr="0046005E">
        <w:rPr>
          <w:rFonts w:ascii="Arial" w:hAnsi="Arial" w:cs="Arial"/>
          <w:b/>
          <w:bCs/>
        </w:rPr>
        <w:t>ACCAN</w:t>
      </w:r>
      <w:r w:rsidR="00197B11" w:rsidRPr="007042E0">
        <w:rPr>
          <w:rFonts w:ascii="Arial" w:hAnsi="Arial" w:cs="Arial"/>
        </w:rPr>
        <w:t xml:space="preserve">) in relation to the draft instrument. </w:t>
      </w:r>
      <w:r w:rsidR="00153D66" w:rsidRPr="007042E0">
        <w:rPr>
          <w:rFonts w:ascii="Arial" w:hAnsi="Arial" w:cs="Arial"/>
        </w:rPr>
        <w:t>ACCAN’s</w:t>
      </w:r>
      <w:r w:rsidR="00197B11" w:rsidRPr="007042E0">
        <w:rPr>
          <w:rFonts w:ascii="Arial" w:hAnsi="Arial" w:cs="Arial"/>
        </w:rPr>
        <w:t xml:space="preserve"> submission was endorsed by </w:t>
      </w:r>
      <w:r w:rsidR="00314977">
        <w:rPr>
          <w:rFonts w:ascii="Arial" w:hAnsi="Arial" w:cs="Arial"/>
        </w:rPr>
        <w:t xml:space="preserve">the </w:t>
      </w:r>
      <w:r w:rsidR="00197B11" w:rsidRPr="007042E0">
        <w:rPr>
          <w:rFonts w:ascii="Arial" w:hAnsi="Arial" w:cs="Arial"/>
        </w:rPr>
        <w:t>Consumer Action Law Centre, the Isolated Children’s Parents’ Association, and the Consumer Policy Research Centre. ACCAN was strongly supportive of the Declaration being remade. It raised a number of other issues for</w:t>
      </w:r>
      <w:r w:rsidR="00890E47" w:rsidRPr="007042E0">
        <w:rPr>
          <w:rFonts w:ascii="Arial" w:hAnsi="Arial" w:cs="Arial"/>
        </w:rPr>
        <w:t xml:space="preserve"> consideration, relating to expanding the </w:t>
      </w:r>
      <w:r w:rsidR="00973B39" w:rsidRPr="007042E0">
        <w:rPr>
          <w:rFonts w:ascii="Arial" w:hAnsi="Arial" w:cs="Arial"/>
        </w:rPr>
        <w:t xml:space="preserve">scope of the </w:t>
      </w:r>
      <w:r w:rsidR="000A5ED6">
        <w:rPr>
          <w:rFonts w:ascii="Arial" w:hAnsi="Arial" w:cs="Arial"/>
        </w:rPr>
        <w:t>D</w:t>
      </w:r>
      <w:r w:rsidR="00973B39" w:rsidRPr="007042E0">
        <w:rPr>
          <w:rFonts w:ascii="Arial" w:hAnsi="Arial" w:cs="Arial"/>
        </w:rPr>
        <w:t>eclaration</w:t>
      </w:r>
      <w:r w:rsidR="00DE5EFF" w:rsidRPr="007042E0">
        <w:rPr>
          <w:rStyle w:val="FootnoteReference"/>
          <w:rFonts w:ascii="Arial" w:hAnsi="Arial" w:cs="Arial"/>
        </w:rPr>
        <w:footnoteReference w:id="3"/>
      </w:r>
      <w:r w:rsidR="00973B39" w:rsidRPr="007042E0">
        <w:rPr>
          <w:rFonts w:ascii="Arial" w:hAnsi="Arial" w:cs="Arial"/>
        </w:rPr>
        <w:t xml:space="preserve"> and the </w:t>
      </w:r>
      <w:r w:rsidR="00575E03" w:rsidRPr="007042E0">
        <w:rPr>
          <w:rFonts w:ascii="Arial" w:hAnsi="Arial" w:cs="Arial"/>
        </w:rPr>
        <w:t xml:space="preserve">IN </w:t>
      </w:r>
      <w:r w:rsidR="00973B39" w:rsidRPr="007042E0">
        <w:rPr>
          <w:rFonts w:ascii="Arial" w:hAnsi="Arial" w:cs="Arial"/>
        </w:rPr>
        <w:t xml:space="preserve">scheme more broadly. </w:t>
      </w:r>
    </w:p>
    <w:p w14:paraId="1A89A815" w14:textId="63DDC33C" w:rsidR="004C58B9" w:rsidRPr="00302DB5" w:rsidRDefault="00EA2878" w:rsidP="006C6A35">
      <w:pPr>
        <w:spacing w:line="257" w:lineRule="auto"/>
        <w:rPr>
          <w:rFonts w:ascii="Arial" w:hAnsi="Arial" w:cs="Arial"/>
        </w:rPr>
      </w:pPr>
      <w:r w:rsidRPr="007042E0">
        <w:rPr>
          <w:rFonts w:ascii="Arial" w:hAnsi="Arial" w:cs="Arial"/>
        </w:rPr>
        <w:t>Communications Alliance Limited</w:t>
      </w:r>
      <w:r w:rsidR="00575E03" w:rsidRPr="007042E0">
        <w:rPr>
          <w:rFonts w:ascii="Arial" w:hAnsi="Arial" w:cs="Arial"/>
        </w:rPr>
        <w:t xml:space="preserve"> </w:t>
      </w:r>
      <w:r w:rsidR="00A75A86" w:rsidRPr="007042E0">
        <w:rPr>
          <w:rFonts w:ascii="Arial" w:hAnsi="Arial" w:cs="Arial"/>
        </w:rPr>
        <w:t xml:space="preserve">provided feedback on </w:t>
      </w:r>
      <w:r w:rsidR="00646BBF">
        <w:rPr>
          <w:rFonts w:ascii="Arial" w:hAnsi="Arial" w:cs="Arial"/>
        </w:rPr>
        <w:t>a</w:t>
      </w:r>
      <w:r w:rsidR="00A75A86" w:rsidRPr="007042E0">
        <w:rPr>
          <w:rFonts w:ascii="Arial" w:hAnsi="Arial" w:cs="Arial"/>
        </w:rPr>
        <w:t xml:space="preserve"> </w:t>
      </w:r>
      <w:r w:rsidR="00CC7FAA">
        <w:rPr>
          <w:rFonts w:ascii="Arial" w:hAnsi="Arial" w:cs="Arial"/>
        </w:rPr>
        <w:t xml:space="preserve">proposal </w:t>
      </w:r>
      <w:r w:rsidR="00203AA3">
        <w:rPr>
          <w:rFonts w:ascii="Arial" w:hAnsi="Arial" w:cs="Arial"/>
        </w:rPr>
        <w:t xml:space="preserve">in the consultation paper </w:t>
      </w:r>
      <w:r w:rsidR="00CC7FAA">
        <w:rPr>
          <w:rFonts w:ascii="Arial" w:hAnsi="Arial" w:cs="Arial"/>
        </w:rPr>
        <w:t xml:space="preserve">to </w:t>
      </w:r>
      <w:r w:rsidR="00A75A86" w:rsidRPr="007042E0">
        <w:rPr>
          <w:rFonts w:ascii="Arial" w:hAnsi="Arial" w:cs="Arial"/>
        </w:rPr>
        <w:t>inclu</w:t>
      </w:r>
      <w:r w:rsidR="00CC7FAA">
        <w:rPr>
          <w:rFonts w:ascii="Arial" w:hAnsi="Arial" w:cs="Arial"/>
        </w:rPr>
        <w:t>de</w:t>
      </w:r>
      <w:r w:rsidR="00A75A86" w:rsidRPr="007042E0">
        <w:rPr>
          <w:rFonts w:ascii="Arial" w:hAnsi="Arial" w:cs="Arial"/>
        </w:rPr>
        <w:t xml:space="preserve"> provisions </w:t>
      </w:r>
      <w:r w:rsidR="0095145D">
        <w:rPr>
          <w:rFonts w:ascii="Arial" w:hAnsi="Arial" w:cs="Arial"/>
        </w:rPr>
        <w:t xml:space="preserve">from </w:t>
      </w:r>
      <w:r w:rsidR="00CC7FAA">
        <w:rPr>
          <w:rFonts w:ascii="Arial" w:hAnsi="Arial" w:cs="Arial"/>
        </w:rPr>
        <w:t xml:space="preserve">the draft </w:t>
      </w:r>
      <w:r w:rsidR="00CC7FAA" w:rsidRPr="00CC7FAA">
        <w:rPr>
          <w:rFonts w:ascii="Arial" w:hAnsi="Arial" w:cs="Arial"/>
          <w:i/>
          <w:iCs/>
        </w:rPr>
        <w:t>Telecommunications Service Provider (Customer Identity Verification) Determination 2022</w:t>
      </w:r>
      <w:r w:rsidR="00B93571">
        <w:rPr>
          <w:rFonts w:ascii="Arial" w:hAnsi="Arial" w:cs="Arial"/>
        </w:rPr>
        <w:t>,</w:t>
      </w:r>
      <w:r w:rsidR="00A75A86" w:rsidRPr="007042E0">
        <w:rPr>
          <w:rFonts w:ascii="Arial" w:hAnsi="Arial" w:cs="Arial"/>
        </w:rPr>
        <w:t xml:space="preserve"> which, at the time of consultation, had not been finalised.</w:t>
      </w:r>
      <w:r w:rsidR="008152AF" w:rsidRPr="007042E0">
        <w:rPr>
          <w:rFonts w:ascii="Arial" w:hAnsi="Arial" w:cs="Arial"/>
        </w:rPr>
        <w:t xml:space="preserve"> </w:t>
      </w:r>
      <w:r w:rsidR="00CA77B6">
        <w:rPr>
          <w:rFonts w:ascii="Arial" w:hAnsi="Arial" w:cs="Arial"/>
        </w:rPr>
        <w:t xml:space="preserve">That proposed instrument is </w:t>
      </w:r>
      <w:r w:rsidR="00FB2F9A">
        <w:rPr>
          <w:rFonts w:ascii="Arial" w:hAnsi="Arial" w:cs="Arial"/>
        </w:rPr>
        <w:t xml:space="preserve">as yet not made and so it </w:t>
      </w:r>
      <w:r w:rsidR="00EA3B68">
        <w:rPr>
          <w:rFonts w:ascii="Arial" w:hAnsi="Arial" w:cs="Arial"/>
        </w:rPr>
        <w:t xml:space="preserve">does not feature in the </w:t>
      </w:r>
      <w:r w:rsidR="00FF3D7E">
        <w:rPr>
          <w:rFonts w:ascii="Arial" w:hAnsi="Arial" w:cs="Arial"/>
        </w:rPr>
        <w:t xml:space="preserve">final </w:t>
      </w:r>
      <w:r w:rsidR="00EA3B68">
        <w:rPr>
          <w:rFonts w:ascii="Arial" w:hAnsi="Arial" w:cs="Arial"/>
        </w:rPr>
        <w:t>Declaration</w:t>
      </w:r>
      <w:r w:rsidR="00FF3D7E">
        <w:rPr>
          <w:rFonts w:ascii="Arial" w:hAnsi="Arial" w:cs="Arial"/>
        </w:rPr>
        <w:t xml:space="preserve"> that has been made.</w:t>
      </w:r>
      <w:r w:rsidR="008152AF" w:rsidRPr="007042E0">
        <w:rPr>
          <w:rFonts w:ascii="Arial" w:hAnsi="Arial" w:cs="Arial"/>
        </w:rPr>
        <w:t xml:space="preserve"> </w:t>
      </w:r>
      <w:r w:rsidR="00A75A86" w:rsidRPr="007042E0">
        <w:rPr>
          <w:rFonts w:ascii="Arial" w:hAnsi="Arial" w:cs="Arial"/>
        </w:rPr>
        <w:t xml:space="preserve"> </w:t>
      </w:r>
      <w:r w:rsidR="00575E03" w:rsidRPr="007042E0">
        <w:rPr>
          <w:rFonts w:ascii="Arial" w:hAnsi="Arial" w:cs="Arial"/>
        </w:rPr>
        <w:t xml:space="preserve"> </w:t>
      </w:r>
      <w:r w:rsidR="00197B11" w:rsidRPr="007042E0">
        <w:rPr>
          <w:rFonts w:ascii="Arial" w:hAnsi="Arial" w:cs="Arial"/>
        </w:rPr>
        <w:t xml:space="preserve"> </w:t>
      </w:r>
      <w:r w:rsidRPr="007042E0">
        <w:rPr>
          <w:rFonts w:ascii="Arial" w:hAnsi="Arial" w:cs="Arial"/>
        </w:rPr>
        <w:t xml:space="preserve"> </w:t>
      </w:r>
    </w:p>
    <w:p w14:paraId="171A6C0D" w14:textId="77777777" w:rsidR="00663F60" w:rsidRPr="006E7928" w:rsidRDefault="00663F60" w:rsidP="006C6A35">
      <w:pPr>
        <w:spacing w:line="257" w:lineRule="auto"/>
        <w:rPr>
          <w:rFonts w:ascii="Arial" w:hAnsi="Arial" w:cs="Arial"/>
        </w:rPr>
      </w:pPr>
      <w:r w:rsidRPr="006E7928">
        <w:rPr>
          <w:rFonts w:ascii="Arial" w:hAnsi="Arial" w:cs="Arial"/>
        </w:rPr>
        <w:t>Before the instrument was made, the ACMA was satisfied that consultation was undertaken to the extent appropriate and reasonably practicable, in accordance with section 17 of the LA.</w:t>
      </w:r>
    </w:p>
    <w:p w14:paraId="2E01E108" w14:textId="77777777" w:rsidR="004C58B9" w:rsidRPr="00CC3535" w:rsidRDefault="004C58B9" w:rsidP="008A0671">
      <w:pPr>
        <w:keepNext/>
        <w:spacing w:line="257" w:lineRule="auto"/>
        <w:rPr>
          <w:rFonts w:ascii="Arial" w:hAnsi="Arial" w:cs="Arial"/>
          <w:b/>
        </w:rPr>
      </w:pPr>
      <w:r w:rsidRPr="00CC3535">
        <w:rPr>
          <w:rFonts w:ascii="Arial" w:hAnsi="Arial" w:cs="Arial"/>
          <w:b/>
        </w:rPr>
        <w:lastRenderedPageBreak/>
        <w:t>Regulatory impact assessment</w:t>
      </w:r>
    </w:p>
    <w:p w14:paraId="7FC2E0DC" w14:textId="77777777" w:rsidR="00593D07" w:rsidRPr="00CC3535" w:rsidRDefault="00A256E9" w:rsidP="006C6A35">
      <w:pPr>
        <w:spacing w:line="257" w:lineRule="auto"/>
        <w:rPr>
          <w:rFonts w:ascii="Arial" w:hAnsi="Arial" w:cs="Arial"/>
        </w:rPr>
      </w:pPr>
      <w:r w:rsidRPr="00CC3535">
        <w:rPr>
          <w:rFonts w:ascii="Arial" w:hAnsi="Arial" w:cs="Arial"/>
        </w:rPr>
        <w:t>The Office of Best Practice Regulation (</w:t>
      </w:r>
      <w:r w:rsidRPr="00CC3535">
        <w:rPr>
          <w:rFonts w:ascii="Arial" w:hAnsi="Arial" w:cs="Arial"/>
          <w:b/>
        </w:rPr>
        <w:t>OBPR</w:t>
      </w:r>
      <w:r w:rsidRPr="00CC3535">
        <w:rPr>
          <w:rFonts w:ascii="Arial" w:hAnsi="Arial" w:cs="Arial"/>
        </w:rPr>
        <w:t xml:space="preserve">) has considered the matter and formed an opinion that the regulatory changes arising from the Declaration are minor in nature and that no further regulatory impact analysis is required. </w:t>
      </w:r>
    </w:p>
    <w:p w14:paraId="19D6AAD3" w14:textId="0FE062A1" w:rsidR="00A256E9" w:rsidRPr="00302DB5" w:rsidRDefault="00A256E9" w:rsidP="006C6A35">
      <w:pPr>
        <w:spacing w:line="257" w:lineRule="auto"/>
        <w:rPr>
          <w:rFonts w:ascii="Arial" w:hAnsi="Arial" w:cs="Arial"/>
        </w:rPr>
      </w:pPr>
      <w:r w:rsidRPr="00302DB5">
        <w:rPr>
          <w:rFonts w:ascii="Arial" w:hAnsi="Arial" w:cs="Arial"/>
        </w:rPr>
        <w:t xml:space="preserve">The OBPR </w:t>
      </w:r>
      <w:r w:rsidR="007A6962">
        <w:rPr>
          <w:rFonts w:ascii="Arial" w:hAnsi="Arial" w:cs="Arial"/>
        </w:rPr>
        <w:t xml:space="preserve">reference </w:t>
      </w:r>
      <w:r w:rsidRPr="00302DB5">
        <w:rPr>
          <w:rFonts w:ascii="Arial" w:hAnsi="Arial" w:cs="Arial"/>
        </w:rPr>
        <w:t>number is</w:t>
      </w:r>
      <w:r w:rsidR="000018B0">
        <w:rPr>
          <w:rFonts w:ascii="Arial" w:hAnsi="Arial" w:cs="Arial"/>
        </w:rPr>
        <w:t xml:space="preserve"> </w:t>
      </w:r>
      <w:r w:rsidR="000018B0" w:rsidRPr="000018B0">
        <w:rPr>
          <w:rFonts w:ascii="Arial" w:hAnsi="Arial" w:cs="Arial"/>
        </w:rPr>
        <w:t>OBPR</w:t>
      </w:r>
      <w:r w:rsidR="00A86645">
        <w:rPr>
          <w:rFonts w:ascii="Arial" w:hAnsi="Arial" w:cs="Arial"/>
        </w:rPr>
        <w:t xml:space="preserve"> </w:t>
      </w:r>
      <w:r w:rsidR="000018B0" w:rsidRPr="000018B0">
        <w:rPr>
          <w:rFonts w:ascii="Arial" w:hAnsi="Arial" w:cs="Arial"/>
        </w:rPr>
        <w:t>22-01411</w:t>
      </w:r>
      <w:r w:rsidRPr="00302DB5">
        <w:rPr>
          <w:rFonts w:ascii="Arial" w:hAnsi="Arial" w:cs="Arial"/>
        </w:rPr>
        <w:t>.</w:t>
      </w:r>
    </w:p>
    <w:p w14:paraId="645DD02E" w14:textId="77777777" w:rsidR="004C58B9" w:rsidRPr="00302DB5" w:rsidRDefault="004C58B9" w:rsidP="006C6A35">
      <w:pPr>
        <w:spacing w:line="257" w:lineRule="auto"/>
        <w:rPr>
          <w:rFonts w:ascii="Arial" w:hAnsi="Arial" w:cs="Arial"/>
          <w:b/>
        </w:rPr>
      </w:pPr>
      <w:r w:rsidRPr="00302DB5">
        <w:rPr>
          <w:rFonts w:ascii="Arial" w:hAnsi="Arial" w:cs="Arial"/>
          <w:b/>
        </w:rPr>
        <w:t>Statement of compatibility with human rights</w:t>
      </w:r>
    </w:p>
    <w:p w14:paraId="3110C8D8" w14:textId="14F1D0B5" w:rsidR="0011137C" w:rsidRPr="0011137C" w:rsidRDefault="0011137C" w:rsidP="006C6A35">
      <w:pPr>
        <w:spacing w:line="257" w:lineRule="auto"/>
        <w:rPr>
          <w:rFonts w:ascii="Arial" w:hAnsi="Arial" w:cs="Arial"/>
        </w:rPr>
      </w:pPr>
      <w:r w:rsidRPr="0011137C">
        <w:rPr>
          <w:rFonts w:ascii="Arial" w:hAnsi="Arial" w:cs="Arial"/>
        </w:rPr>
        <w:t xml:space="preserve">Subsection 9(1) of the </w:t>
      </w:r>
      <w:r w:rsidRPr="0011137C">
        <w:rPr>
          <w:rFonts w:ascii="Arial" w:hAnsi="Arial" w:cs="Arial"/>
          <w:i/>
        </w:rPr>
        <w:t>Human Rights (Parliamentary Scrutiny) Act 2011</w:t>
      </w:r>
      <w:r w:rsidRPr="0011137C">
        <w:rPr>
          <w:rFonts w:ascii="Arial" w:hAnsi="Arial" w:cs="Arial"/>
        </w:rPr>
        <w:t xml:space="preserve"> requires the rule-maker in relation to a legislative instrument to which section 42 (disallowance) of the </w:t>
      </w:r>
      <w:r w:rsidR="00030CA7">
        <w:rPr>
          <w:rFonts w:ascii="Arial" w:hAnsi="Arial" w:cs="Arial"/>
          <w:i/>
          <w:iCs/>
        </w:rPr>
        <w:t xml:space="preserve">Legislation Act 2003 </w:t>
      </w:r>
      <w:r w:rsidRPr="0011137C">
        <w:rPr>
          <w:rFonts w:ascii="Arial" w:hAnsi="Arial" w:cs="Arial"/>
        </w:rPr>
        <w:t xml:space="preserve">applies to cause a statement of compatibility with human rights to be prepared in respect of that legislative instrument.  </w:t>
      </w:r>
    </w:p>
    <w:p w14:paraId="6BF5CCAD" w14:textId="77777777" w:rsidR="0011137C" w:rsidRPr="0011137C" w:rsidRDefault="0011137C" w:rsidP="006C6A35">
      <w:pPr>
        <w:spacing w:line="257" w:lineRule="auto"/>
        <w:rPr>
          <w:rFonts w:ascii="Arial" w:hAnsi="Arial" w:cs="Arial"/>
        </w:rPr>
      </w:pPr>
      <w:r w:rsidRPr="0011137C">
        <w:rPr>
          <w:rFonts w:ascii="Arial" w:hAnsi="Arial" w:cs="Arial"/>
        </w:rPr>
        <w:t>The statement of compatibility set out below has been prepared to meet that requirement.</w:t>
      </w:r>
    </w:p>
    <w:p w14:paraId="5887E420" w14:textId="77777777" w:rsidR="00475CD3" w:rsidRPr="00475CD3" w:rsidRDefault="00475CD3" w:rsidP="006C6A35">
      <w:pPr>
        <w:spacing w:line="257" w:lineRule="auto"/>
        <w:rPr>
          <w:rFonts w:ascii="Arial" w:hAnsi="Arial" w:cs="Arial"/>
          <w:b/>
          <w:i/>
        </w:rPr>
      </w:pPr>
      <w:r w:rsidRPr="00475CD3">
        <w:rPr>
          <w:rFonts w:ascii="Arial" w:hAnsi="Arial" w:cs="Arial"/>
          <w:b/>
          <w:i/>
        </w:rPr>
        <w:t>Overview of the instrument</w:t>
      </w:r>
    </w:p>
    <w:p w14:paraId="6CF823CB" w14:textId="3F21BD37" w:rsidR="00582A60" w:rsidRDefault="00FB0D4F" w:rsidP="006C6A35">
      <w:pPr>
        <w:spacing w:line="257" w:lineRule="auto"/>
        <w:rPr>
          <w:rFonts w:ascii="Arial" w:hAnsi="Arial" w:cs="Arial"/>
        </w:rPr>
      </w:pPr>
      <w:r>
        <w:rPr>
          <w:rFonts w:ascii="Arial" w:hAnsi="Arial" w:cs="Arial"/>
        </w:rPr>
        <w:t xml:space="preserve">The </w:t>
      </w:r>
      <w:r w:rsidR="004224C5">
        <w:rPr>
          <w:rFonts w:ascii="Arial" w:hAnsi="Arial" w:cs="Arial"/>
          <w:i/>
          <w:iCs/>
        </w:rPr>
        <w:t xml:space="preserve">Telecommunications (Listed Infringement Notice Provisions) Declaration 2022 </w:t>
      </w:r>
      <w:r w:rsidR="004224C5">
        <w:rPr>
          <w:rFonts w:ascii="Arial" w:hAnsi="Arial" w:cs="Arial"/>
        </w:rPr>
        <w:t>(</w:t>
      </w:r>
      <w:r w:rsidR="004224C5">
        <w:rPr>
          <w:rFonts w:ascii="Arial" w:hAnsi="Arial" w:cs="Arial"/>
          <w:b/>
          <w:bCs/>
        </w:rPr>
        <w:t xml:space="preserve">the </w:t>
      </w:r>
      <w:r w:rsidRPr="0046005E">
        <w:rPr>
          <w:rFonts w:ascii="Arial" w:hAnsi="Arial" w:cs="Arial"/>
          <w:b/>
          <w:bCs/>
        </w:rPr>
        <w:t>Declaration</w:t>
      </w:r>
      <w:r w:rsidR="004224C5">
        <w:rPr>
          <w:rFonts w:ascii="Arial" w:hAnsi="Arial" w:cs="Arial"/>
        </w:rPr>
        <w:t>)</w:t>
      </w:r>
      <w:r w:rsidR="002A7CAB" w:rsidRPr="002A7CAB">
        <w:rPr>
          <w:rFonts w:ascii="Arial" w:hAnsi="Arial" w:cs="Arial"/>
        </w:rPr>
        <w:t xml:space="preserve"> </w:t>
      </w:r>
      <w:r>
        <w:rPr>
          <w:rFonts w:ascii="Arial" w:hAnsi="Arial" w:cs="Arial"/>
        </w:rPr>
        <w:t xml:space="preserve">is made under </w:t>
      </w:r>
      <w:r w:rsidR="004224C5">
        <w:rPr>
          <w:rFonts w:ascii="Arial" w:hAnsi="Arial" w:cs="Arial"/>
        </w:rPr>
        <w:t>subsection 572</w:t>
      </w:r>
      <w:proofErr w:type="gramStart"/>
      <w:r w:rsidR="004224C5">
        <w:rPr>
          <w:rFonts w:ascii="Arial" w:hAnsi="Arial" w:cs="Arial"/>
        </w:rPr>
        <w:t>E(</w:t>
      </w:r>
      <w:proofErr w:type="gramEnd"/>
      <w:r w:rsidR="00B5302D">
        <w:rPr>
          <w:rFonts w:ascii="Arial" w:hAnsi="Arial" w:cs="Arial"/>
        </w:rPr>
        <w:t>7</w:t>
      </w:r>
      <w:r w:rsidR="004224C5">
        <w:rPr>
          <w:rFonts w:ascii="Arial" w:hAnsi="Arial" w:cs="Arial"/>
        </w:rPr>
        <w:t>)</w:t>
      </w:r>
      <w:r w:rsidR="00B5302D">
        <w:rPr>
          <w:rFonts w:ascii="Arial" w:hAnsi="Arial" w:cs="Arial"/>
        </w:rPr>
        <w:t xml:space="preserve"> of the </w:t>
      </w:r>
      <w:r w:rsidR="00B5302D">
        <w:rPr>
          <w:rFonts w:ascii="Arial" w:hAnsi="Arial" w:cs="Arial"/>
          <w:i/>
          <w:iCs/>
        </w:rPr>
        <w:t xml:space="preserve">Telecommunications Act 1997 </w:t>
      </w:r>
      <w:r w:rsidR="00B5302D">
        <w:rPr>
          <w:rFonts w:ascii="Arial" w:hAnsi="Arial" w:cs="Arial"/>
        </w:rPr>
        <w:t>(</w:t>
      </w:r>
      <w:r w:rsidR="00B5302D">
        <w:rPr>
          <w:rFonts w:ascii="Arial" w:hAnsi="Arial" w:cs="Arial"/>
          <w:b/>
          <w:bCs/>
        </w:rPr>
        <w:t>the Act</w:t>
      </w:r>
      <w:r w:rsidR="00B5302D">
        <w:rPr>
          <w:rFonts w:ascii="Arial" w:hAnsi="Arial" w:cs="Arial"/>
        </w:rPr>
        <w:t xml:space="preserve">). </w:t>
      </w:r>
      <w:r w:rsidRPr="002A7CAB">
        <w:rPr>
          <w:rFonts w:ascii="Arial" w:hAnsi="Arial" w:cs="Arial"/>
        </w:rPr>
        <w:t xml:space="preserve"> </w:t>
      </w:r>
    </w:p>
    <w:p w14:paraId="6FCDB7D2" w14:textId="0DE1EA8D" w:rsidR="00582A60" w:rsidRPr="00582A60" w:rsidRDefault="00582A60" w:rsidP="006C6A35">
      <w:pPr>
        <w:spacing w:line="257" w:lineRule="auto"/>
        <w:rPr>
          <w:rFonts w:ascii="Arial" w:hAnsi="Arial" w:cs="Arial"/>
        </w:rPr>
      </w:pPr>
      <w:r w:rsidRPr="00582A60">
        <w:rPr>
          <w:rFonts w:ascii="Arial" w:hAnsi="Arial" w:cs="Arial"/>
        </w:rPr>
        <w:t xml:space="preserve">Section 572E allows the ACMA to give an infringement notice in relation to a contravention of a civil penalty provision.  </w:t>
      </w:r>
      <w:r w:rsidR="00603D63">
        <w:rPr>
          <w:rFonts w:ascii="Arial" w:hAnsi="Arial" w:cs="Arial"/>
        </w:rPr>
        <w:t>S</w:t>
      </w:r>
      <w:r w:rsidRPr="00582A60">
        <w:rPr>
          <w:rFonts w:ascii="Arial" w:hAnsi="Arial" w:cs="Arial"/>
        </w:rPr>
        <w:t>ections 68 and 101 of the Act</w:t>
      </w:r>
      <w:r w:rsidR="00603D63">
        <w:rPr>
          <w:rFonts w:ascii="Arial" w:hAnsi="Arial" w:cs="Arial"/>
        </w:rPr>
        <w:t xml:space="preserve"> require carriers and carriage service providers to comply with licence conditions and service provider rules, respectively,</w:t>
      </w:r>
      <w:r w:rsidRPr="00582A60">
        <w:rPr>
          <w:rFonts w:ascii="Arial" w:hAnsi="Arial" w:cs="Arial"/>
        </w:rPr>
        <w:t xml:space="preserve"> </w:t>
      </w:r>
      <w:r w:rsidR="00603D63">
        <w:rPr>
          <w:rFonts w:ascii="Arial" w:hAnsi="Arial" w:cs="Arial"/>
        </w:rPr>
        <w:t xml:space="preserve">and </w:t>
      </w:r>
      <w:r w:rsidRPr="00582A60">
        <w:rPr>
          <w:rFonts w:ascii="Arial" w:hAnsi="Arial" w:cs="Arial"/>
        </w:rPr>
        <w:t xml:space="preserve">include civil penalty provisions that </w:t>
      </w:r>
      <w:r w:rsidR="00603D63">
        <w:rPr>
          <w:rFonts w:ascii="Arial" w:hAnsi="Arial" w:cs="Arial"/>
        </w:rPr>
        <w:t>apply to a carrier or carriage service provider</w:t>
      </w:r>
      <w:r w:rsidR="003D52F8">
        <w:rPr>
          <w:rFonts w:ascii="Arial" w:hAnsi="Arial" w:cs="Arial"/>
        </w:rPr>
        <w:t xml:space="preserve"> that</w:t>
      </w:r>
      <w:r w:rsidRPr="00582A60">
        <w:rPr>
          <w:rFonts w:ascii="Arial" w:hAnsi="Arial" w:cs="Arial"/>
        </w:rPr>
        <w:t xml:space="preserve"> contravene</w:t>
      </w:r>
      <w:r w:rsidR="003D52F8">
        <w:rPr>
          <w:rFonts w:ascii="Arial" w:hAnsi="Arial" w:cs="Arial"/>
        </w:rPr>
        <w:t>s</w:t>
      </w:r>
      <w:r w:rsidRPr="00670E56">
        <w:rPr>
          <w:rFonts w:ascii="Arial" w:hAnsi="Arial" w:cs="Arial"/>
        </w:rPr>
        <w:t xml:space="preserve"> </w:t>
      </w:r>
      <w:r w:rsidR="003D52F8">
        <w:rPr>
          <w:rFonts w:ascii="Arial" w:hAnsi="Arial" w:cs="Arial"/>
          <w:u w:val="single"/>
        </w:rPr>
        <w:t>another</w:t>
      </w:r>
      <w:r w:rsidRPr="00582A60">
        <w:rPr>
          <w:rFonts w:ascii="Arial" w:hAnsi="Arial" w:cs="Arial"/>
        </w:rPr>
        <w:t xml:space="preserve"> provision of the Act.  </w:t>
      </w:r>
      <w:r w:rsidR="003D52F8">
        <w:rPr>
          <w:rFonts w:ascii="Arial" w:hAnsi="Arial" w:cs="Arial"/>
        </w:rPr>
        <w:t>S</w:t>
      </w:r>
      <w:r w:rsidRPr="00582A60">
        <w:rPr>
          <w:rFonts w:ascii="Arial" w:hAnsi="Arial" w:cs="Arial"/>
        </w:rPr>
        <w:t>ubsection</w:t>
      </w:r>
      <w:r w:rsidR="006B749B">
        <w:rPr>
          <w:rFonts w:ascii="Arial" w:hAnsi="Arial" w:cs="Arial"/>
        </w:rPr>
        <w:t>s</w:t>
      </w:r>
      <w:r w:rsidRPr="00582A60">
        <w:rPr>
          <w:rFonts w:ascii="Arial" w:hAnsi="Arial" w:cs="Arial"/>
        </w:rPr>
        <w:t xml:space="preserve"> 572</w:t>
      </w:r>
      <w:proofErr w:type="gramStart"/>
      <w:r w:rsidRPr="00582A60">
        <w:rPr>
          <w:rFonts w:ascii="Arial" w:hAnsi="Arial" w:cs="Arial"/>
        </w:rPr>
        <w:t>E</w:t>
      </w:r>
      <w:r w:rsidR="006B749B">
        <w:rPr>
          <w:rFonts w:ascii="Arial" w:hAnsi="Arial" w:cs="Arial"/>
        </w:rPr>
        <w:t>(</w:t>
      </w:r>
      <w:proofErr w:type="gramEnd"/>
      <w:r w:rsidR="006B749B">
        <w:rPr>
          <w:rFonts w:ascii="Arial" w:hAnsi="Arial" w:cs="Arial"/>
        </w:rPr>
        <w:t xml:space="preserve">5) and </w:t>
      </w:r>
      <w:r w:rsidRPr="00582A60">
        <w:rPr>
          <w:rFonts w:ascii="Arial" w:hAnsi="Arial" w:cs="Arial"/>
        </w:rPr>
        <w:t xml:space="preserve">(6) </w:t>
      </w:r>
      <w:r w:rsidR="003D52F8">
        <w:rPr>
          <w:rFonts w:ascii="Arial" w:hAnsi="Arial" w:cs="Arial"/>
        </w:rPr>
        <w:t xml:space="preserve">provide </w:t>
      </w:r>
      <w:r w:rsidRPr="00582A60">
        <w:rPr>
          <w:rFonts w:ascii="Arial" w:hAnsi="Arial" w:cs="Arial"/>
        </w:rPr>
        <w:t xml:space="preserve">that an infringement notice may only be given in relation to a contravention of section 68 or 101 of the Act if the other provision </w:t>
      </w:r>
      <w:r w:rsidR="003D52F8">
        <w:rPr>
          <w:rFonts w:ascii="Arial" w:hAnsi="Arial" w:cs="Arial"/>
        </w:rPr>
        <w:t xml:space="preserve">contravened </w:t>
      </w:r>
      <w:r w:rsidRPr="00582A60">
        <w:rPr>
          <w:rFonts w:ascii="Arial" w:hAnsi="Arial" w:cs="Arial"/>
        </w:rPr>
        <w:t xml:space="preserve">is listed in </w:t>
      </w:r>
      <w:r w:rsidR="00CD0FC1">
        <w:rPr>
          <w:rFonts w:ascii="Arial" w:hAnsi="Arial" w:cs="Arial"/>
        </w:rPr>
        <w:t>a</w:t>
      </w:r>
      <w:r w:rsidRPr="00582A60">
        <w:rPr>
          <w:rFonts w:ascii="Arial" w:hAnsi="Arial" w:cs="Arial"/>
        </w:rPr>
        <w:t xml:space="preserve"> legislative instrument made under subsection 572E(7) of the Act, and has been so listed for at least three months before the alleged contravening conduct takes place.</w:t>
      </w:r>
    </w:p>
    <w:p w14:paraId="1FC0FE88" w14:textId="05ABBCE1" w:rsidR="002A7CAB" w:rsidRPr="002A7CAB" w:rsidRDefault="00A94B35" w:rsidP="006C6A35">
      <w:pPr>
        <w:spacing w:line="257" w:lineRule="auto"/>
        <w:rPr>
          <w:rFonts w:ascii="Arial" w:hAnsi="Arial" w:cs="Arial"/>
        </w:rPr>
      </w:pPr>
      <w:r>
        <w:rPr>
          <w:rFonts w:ascii="Arial" w:hAnsi="Arial" w:cs="Arial"/>
        </w:rPr>
        <w:t>The purpose of th</w:t>
      </w:r>
      <w:r w:rsidR="0052753E">
        <w:rPr>
          <w:rFonts w:ascii="Arial" w:hAnsi="Arial" w:cs="Arial"/>
        </w:rPr>
        <w:t>e</w:t>
      </w:r>
      <w:r>
        <w:rPr>
          <w:rFonts w:ascii="Arial" w:hAnsi="Arial" w:cs="Arial"/>
        </w:rPr>
        <w:t xml:space="preserve"> Declaration is to </w:t>
      </w:r>
      <w:r w:rsidR="009751D3">
        <w:rPr>
          <w:rFonts w:ascii="Arial" w:hAnsi="Arial" w:cs="Arial"/>
        </w:rPr>
        <w:t xml:space="preserve">declare that </w:t>
      </w:r>
      <w:r w:rsidR="002A7CAB" w:rsidRPr="002A7CAB">
        <w:rPr>
          <w:rFonts w:ascii="Arial" w:hAnsi="Arial" w:cs="Arial"/>
        </w:rPr>
        <w:t xml:space="preserve">certain provisions </w:t>
      </w:r>
      <w:r w:rsidR="009751D3">
        <w:rPr>
          <w:rFonts w:ascii="Arial" w:hAnsi="Arial" w:cs="Arial"/>
        </w:rPr>
        <w:t xml:space="preserve">are </w:t>
      </w:r>
      <w:r w:rsidR="002A7CAB" w:rsidRPr="002A7CAB">
        <w:rPr>
          <w:rFonts w:ascii="Arial" w:hAnsi="Arial" w:cs="Arial"/>
        </w:rPr>
        <w:t xml:space="preserve">to be </w:t>
      </w:r>
      <w:r w:rsidR="00227A57">
        <w:rPr>
          <w:rFonts w:ascii="Arial" w:hAnsi="Arial" w:cs="Arial"/>
        </w:rPr>
        <w:t>'</w:t>
      </w:r>
      <w:r w:rsidR="002A7CAB" w:rsidRPr="002A7CAB">
        <w:rPr>
          <w:rFonts w:ascii="Arial" w:hAnsi="Arial" w:cs="Arial"/>
        </w:rPr>
        <w:t xml:space="preserve">listed infringement notice provisions’ </w:t>
      </w:r>
      <w:r w:rsidR="009751D3">
        <w:rPr>
          <w:rFonts w:ascii="Arial" w:hAnsi="Arial" w:cs="Arial"/>
        </w:rPr>
        <w:t xml:space="preserve">for the purposes of </w:t>
      </w:r>
      <w:r w:rsidR="002A7CAB" w:rsidRPr="002A7CAB">
        <w:rPr>
          <w:rFonts w:ascii="Arial" w:hAnsi="Arial" w:cs="Arial"/>
        </w:rPr>
        <w:t>section 572E of the Act, thereby enabling the ACMA to give an infringement notice for a contravention of those provisions.  The giving of an infringement notice is an alternative to instituting civil penalty provisions in the Federal Court. There is no requirement that a person pay an infringement notice</w:t>
      </w:r>
      <w:r w:rsidR="00DE0A62">
        <w:rPr>
          <w:rFonts w:ascii="Arial" w:hAnsi="Arial" w:cs="Arial"/>
        </w:rPr>
        <w:t>. The recipient of suc</w:t>
      </w:r>
      <w:r w:rsidR="0063781B">
        <w:rPr>
          <w:rFonts w:ascii="Arial" w:hAnsi="Arial" w:cs="Arial"/>
        </w:rPr>
        <w:t>h</w:t>
      </w:r>
      <w:r w:rsidR="00DE0A62">
        <w:rPr>
          <w:rFonts w:ascii="Arial" w:hAnsi="Arial" w:cs="Arial"/>
        </w:rPr>
        <w:t xml:space="preserve"> a notice</w:t>
      </w:r>
      <w:r w:rsidR="0063781B">
        <w:rPr>
          <w:rFonts w:ascii="Arial" w:hAnsi="Arial" w:cs="Arial"/>
        </w:rPr>
        <w:t xml:space="preserve"> acquires an option which they would not otherwise have.  If they choose to pay the notice, </w:t>
      </w:r>
      <w:r w:rsidR="008110DD">
        <w:rPr>
          <w:rFonts w:ascii="Arial" w:hAnsi="Arial" w:cs="Arial"/>
        </w:rPr>
        <w:t>any</w:t>
      </w:r>
      <w:r w:rsidR="009E473C">
        <w:rPr>
          <w:rFonts w:ascii="Arial" w:hAnsi="Arial" w:cs="Arial"/>
        </w:rPr>
        <w:t xml:space="preserve"> liability </w:t>
      </w:r>
      <w:r w:rsidR="008110DD">
        <w:rPr>
          <w:rFonts w:ascii="Arial" w:hAnsi="Arial" w:cs="Arial"/>
        </w:rPr>
        <w:t xml:space="preserve">they might otherwise have </w:t>
      </w:r>
      <w:r w:rsidR="009E473C">
        <w:rPr>
          <w:rFonts w:ascii="Arial" w:hAnsi="Arial" w:cs="Arial"/>
        </w:rPr>
        <w:t xml:space="preserve">for the </w:t>
      </w:r>
      <w:r w:rsidR="009501CA">
        <w:rPr>
          <w:rFonts w:ascii="Arial" w:hAnsi="Arial" w:cs="Arial"/>
        </w:rPr>
        <w:t xml:space="preserve">alleged </w:t>
      </w:r>
      <w:r w:rsidR="009E473C">
        <w:rPr>
          <w:rFonts w:ascii="Arial" w:hAnsi="Arial" w:cs="Arial"/>
        </w:rPr>
        <w:t>contra</w:t>
      </w:r>
      <w:r w:rsidR="009501CA">
        <w:rPr>
          <w:rFonts w:ascii="Arial" w:hAnsi="Arial" w:cs="Arial"/>
        </w:rPr>
        <w:t>vention</w:t>
      </w:r>
      <w:r w:rsidR="008110DD">
        <w:rPr>
          <w:rFonts w:ascii="Arial" w:hAnsi="Arial" w:cs="Arial"/>
        </w:rPr>
        <w:t xml:space="preserve"> is discharged</w:t>
      </w:r>
      <w:r w:rsidR="00D72E99">
        <w:rPr>
          <w:rFonts w:ascii="Arial" w:hAnsi="Arial" w:cs="Arial"/>
        </w:rPr>
        <w:t xml:space="preserve">.  So, for example the matter cannot be </w:t>
      </w:r>
      <w:r w:rsidR="002A7CAB" w:rsidRPr="002A7CAB">
        <w:rPr>
          <w:rFonts w:ascii="Arial" w:hAnsi="Arial" w:cs="Arial"/>
        </w:rPr>
        <w:t xml:space="preserve">pursued in the Federal Court. Having a range of enforcement tools available, particularly ones that may avoid the need for lengthy and expensive court proceedings, is considered desirable. </w:t>
      </w:r>
    </w:p>
    <w:p w14:paraId="4D8B6701" w14:textId="77777777" w:rsidR="002A7CAB" w:rsidRPr="002A7CAB" w:rsidRDefault="002A7CAB" w:rsidP="006C6A35">
      <w:pPr>
        <w:spacing w:line="257" w:lineRule="auto"/>
        <w:rPr>
          <w:rFonts w:ascii="Arial" w:hAnsi="Arial" w:cs="Arial"/>
          <w:b/>
        </w:rPr>
      </w:pPr>
      <w:r w:rsidRPr="002A7CAB">
        <w:rPr>
          <w:rFonts w:ascii="Arial" w:hAnsi="Arial" w:cs="Arial"/>
          <w:b/>
        </w:rPr>
        <w:t>Human rights implications</w:t>
      </w:r>
    </w:p>
    <w:p w14:paraId="77FB61AF" w14:textId="77777777" w:rsidR="002A7CAB" w:rsidRPr="002A7CAB" w:rsidRDefault="002A7CAB" w:rsidP="006C6A35">
      <w:pPr>
        <w:spacing w:line="257" w:lineRule="auto"/>
        <w:rPr>
          <w:rFonts w:ascii="Arial" w:hAnsi="Arial" w:cs="Arial"/>
        </w:rPr>
      </w:pPr>
      <w:r w:rsidRPr="002A7CAB">
        <w:rPr>
          <w:rFonts w:ascii="Arial" w:hAnsi="Arial" w:cs="Arial"/>
        </w:rPr>
        <w:t xml:space="preserve">The ACMA has assessed whether the instrument is compatible with human rights, being the rights and freedoms recognised or declared by the international instruments listed in subsection 3(1) of the </w:t>
      </w:r>
      <w:r w:rsidRPr="0046005E">
        <w:rPr>
          <w:rFonts w:ascii="Arial" w:hAnsi="Arial" w:cs="Arial"/>
          <w:i/>
          <w:iCs/>
        </w:rPr>
        <w:t>Human Rights (Parliamentary Scrutiny) Act 2011</w:t>
      </w:r>
      <w:r w:rsidRPr="002A7CAB">
        <w:rPr>
          <w:rFonts w:ascii="Arial" w:hAnsi="Arial" w:cs="Arial"/>
        </w:rPr>
        <w:t xml:space="preserve"> as they apply to Australia. </w:t>
      </w:r>
    </w:p>
    <w:p w14:paraId="01DF6BFE" w14:textId="77777777" w:rsidR="002A7CAB" w:rsidRPr="002A7CAB" w:rsidRDefault="002A7CAB" w:rsidP="006C6A35">
      <w:pPr>
        <w:spacing w:line="257" w:lineRule="auto"/>
        <w:rPr>
          <w:rFonts w:ascii="Arial" w:hAnsi="Arial" w:cs="Arial"/>
        </w:rPr>
      </w:pPr>
      <w:r w:rsidRPr="002A7CAB">
        <w:rPr>
          <w:rFonts w:ascii="Arial" w:hAnsi="Arial" w:cs="Arial"/>
        </w:rPr>
        <w:lastRenderedPageBreak/>
        <w:t xml:space="preserve">Having considered the likely impact of the instrument and the nature of the applicable rights and freedoms, the ACMA has formed the view that the instrument does not engage any of those rights or freedoms.  </w:t>
      </w:r>
    </w:p>
    <w:p w14:paraId="733E94A9" w14:textId="77777777" w:rsidR="002A7CAB" w:rsidRPr="002A7CAB" w:rsidRDefault="002A7CAB" w:rsidP="007042E0">
      <w:pPr>
        <w:keepNext/>
        <w:spacing w:line="257" w:lineRule="auto"/>
        <w:rPr>
          <w:rFonts w:ascii="Arial" w:hAnsi="Arial" w:cs="Arial"/>
          <w:b/>
        </w:rPr>
      </w:pPr>
      <w:r w:rsidRPr="002A7CAB">
        <w:rPr>
          <w:rFonts w:ascii="Arial" w:hAnsi="Arial" w:cs="Arial"/>
          <w:b/>
        </w:rPr>
        <w:t>Conclusion</w:t>
      </w:r>
    </w:p>
    <w:p w14:paraId="0761EB7B" w14:textId="7CA80290" w:rsidR="004C58B9" w:rsidRPr="00302DB5" w:rsidRDefault="002A7CAB" w:rsidP="006C6A35">
      <w:pPr>
        <w:spacing w:line="257" w:lineRule="auto"/>
        <w:rPr>
          <w:rFonts w:ascii="Arial" w:hAnsi="Arial" w:cs="Arial"/>
        </w:rPr>
      </w:pPr>
      <w:r w:rsidRPr="002A7CAB">
        <w:rPr>
          <w:rFonts w:ascii="Arial" w:hAnsi="Arial" w:cs="Arial"/>
        </w:rPr>
        <w:t>The instrument is compatible with human rights as it does not raise any human rights issues.</w:t>
      </w:r>
    </w:p>
    <w:p w14:paraId="6D776D2D" w14:textId="7D3D6A38" w:rsidR="00F44731" w:rsidRPr="00AD0F23" w:rsidRDefault="004C58B9" w:rsidP="00AD0F23">
      <w:pPr>
        <w:rPr>
          <w:rFonts w:ascii="Arial" w:hAnsi="Arial" w:cs="Arial"/>
          <w:b/>
        </w:rPr>
      </w:pPr>
      <w:r w:rsidRPr="00302DB5">
        <w:rPr>
          <w:rFonts w:ascii="Arial" w:hAnsi="Arial" w:cs="Arial"/>
          <w:b/>
        </w:rPr>
        <w:br w:type="page"/>
      </w:r>
    </w:p>
    <w:p w14:paraId="7C3F63E9" w14:textId="3E6C1721" w:rsidR="00F44731" w:rsidRPr="00302DB5" w:rsidRDefault="00F44731" w:rsidP="00F44731">
      <w:pPr>
        <w:jc w:val="right"/>
        <w:rPr>
          <w:rFonts w:ascii="Arial" w:hAnsi="Arial" w:cs="Arial"/>
          <w:b/>
          <w:sz w:val="28"/>
          <w:szCs w:val="28"/>
        </w:rPr>
      </w:pPr>
      <w:r w:rsidRPr="00302DB5">
        <w:rPr>
          <w:rFonts w:ascii="Arial" w:hAnsi="Arial" w:cs="Arial"/>
          <w:b/>
          <w:sz w:val="28"/>
          <w:szCs w:val="28"/>
        </w:rPr>
        <w:lastRenderedPageBreak/>
        <w:t xml:space="preserve">Attachment </w:t>
      </w:r>
      <w:r w:rsidR="00AD0F23">
        <w:rPr>
          <w:rFonts w:ascii="Arial" w:hAnsi="Arial" w:cs="Arial"/>
          <w:b/>
          <w:sz w:val="28"/>
          <w:szCs w:val="28"/>
        </w:rPr>
        <w:t>A</w:t>
      </w:r>
    </w:p>
    <w:p w14:paraId="7907E720" w14:textId="123BA9F1" w:rsidR="003573FB" w:rsidRPr="00302DB5" w:rsidRDefault="004C58B9" w:rsidP="003573FB">
      <w:pPr>
        <w:pStyle w:val="Heading1"/>
        <w:jc w:val="center"/>
        <w:rPr>
          <w:i/>
          <w:sz w:val="22"/>
          <w:szCs w:val="22"/>
        </w:rPr>
      </w:pPr>
      <w:r w:rsidRPr="00302DB5">
        <w:rPr>
          <w:sz w:val="28"/>
          <w:szCs w:val="28"/>
        </w:rPr>
        <w:t xml:space="preserve">Notes to the </w:t>
      </w:r>
      <w:r w:rsidR="003573FB" w:rsidRPr="002904CF">
        <w:rPr>
          <w:i/>
          <w:sz w:val="28"/>
          <w:szCs w:val="28"/>
        </w:rPr>
        <w:t>Telecommunications (Listed Infringement Notice Provisions) Declaration 2022</w:t>
      </w:r>
    </w:p>
    <w:p w14:paraId="2CC48905" w14:textId="3F3A9F73" w:rsidR="004C58B9" w:rsidRPr="00302DB5" w:rsidRDefault="004C58B9" w:rsidP="004C58B9">
      <w:pPr>
        <w:jc w:val="center"/>
        <w:rPr>
          <w:rFonts w:ascii="Arial" w:hAnsi="Arial" w:cs="Arial"/>
          <w:b/>
          <w:sz w:val="28"/>
          <w:szCs w:val="28"/>
        </w:rPr>
      </w:pPr>
    </w:p>
    <w:p w14:paraId="0AC960E9" w14:textId="77777777" w:rsidR="004C58B9" w:rsidRPr="00302DB5" w:rsidRDefault="004C58B9" w:rsidP="004C58B9">
      <w:pPr>
        <w:spacing w:before="280"/>
        <w:rPr>
          <w:rFonts w:ascii="Arial" w:hAnsi="Arial" w:cs="Arial"/>
          <w:b/>
        </w:rPr>
      </w:pPr>
      <w:r w:rsidRPr="00302DB5">
        <w:rPr>
          <w:rFonts w:ascii="Arial" w:hAnsi="Arial" w:cs="Arial"/>
          <w:b/>
        </w:rPr>
        <w:t>Part 1–Preliminary</w:t>
      </w:r>
    </w:p>
    <w:p w14:paraId="6A976F35" w14:textId="77777777" w:rsidR="004C58B9" w:rsidRPr="00302DB5" w:rsidRDefault="004C58B9" w:rsidP="004C58B9">
      <w:pPr>
        <w:rPr>
          <w:rFonts w:ascii="Arial" w:hAnsi="Arial" w:cs="Arial"/>
          <w:b/>
        </w:rPr>
      </w:pPr>
      <w:r w:rsidRPr="00302DB5">
        <w:rPr>
          <w:rFonts w:ascii="Arial" w:hAnsi="Arial" w:cs="Arial"/>
          <w:b/>
        </w:rPr>
        <w:t>Section 1</w:t>
      </w:r>
      <w:r w:rsidRPr="00302DB5">
        <w:rPr>
          <w:rFonts w:ascii="Arial" w:hAnsi="Arial" w:cs="Arial"/>
          <w:b/>
        </w:rPr>
        <w:tab/>
        <w:t>Name</w:t>
      </w:r>
    </w:p>
    <w:p w14:paraId="4E9236AB" w14:textId="35BACDB5" w:rsidR="004C58B9" w:rsidRPr="00302DB5" w:rsidRDefault="004C58B9" w:rsidP="004C58B9">
      <w:pPr>
        <w:rPr>
          <w:rFonts w:ascii="Arial" w:hAnsi="Arial" w:cs="Arial"/>
        </w:rPr>
      </w:pPr>
      <w:r w:rsidRPr="00302DB5">
        <w:rPr>
          <w:rFonts w:ascii="Arial" w:hAnsi="Arial" w:cs="Arial"/>
        </w:rPr>
        <w:t xml:space="preserve">This section provides for the instrument to be cited as the </w:t>
      </w:r>
      <w:r w:rsidR="007B1242" w:rsidRPr="0046005E">
        <w:rPr>
          <w:rFonts w:ascii="Arial" w:hAnsi="Arial" w:cs="Arial"/>
          <w:i/>
          <w:iCs/>
        </w:rPr>
        <w:t>Telecommunications (Listed Infringement Notice Provisions) Declaration 2022</w:t>
      </w:r>
      <w:r w:rsidRPr="00302DB5">
        <w:rPr>
          <w:rFonts w:ascii="Arial" w:hAnsi="Arial" w:cs="Arial"/>
        </w:rPr>
        <w:t>.</w:t>
      </w:r>
    </w:p>
    <w:p w14:paraId="5A4825F8" w14:textId="77777777" w:rsidR="004C58B9" w:rsidRPr="00302DB5" w:rsidRDefault="004C58B9" w:rsidP="004C58B9">
      <w:pPr>
        <w:rPr>
          <w:rFonts w:ascii="Arial" w:hAnsi="Arial" w:cs="Arial"/>
          <w:b/>
        </w:rPr>
      </w:pPr>
      <w:r w:rsidRPr="00302DB5">
        <w:rPr>
          <w:rFonts w:ascii="Arial" w:hAnsi="Arial" w:cs="Arial"/>
          <w:b/>
        </w:rPr>
        <w:t>Section 2</w:t>
      </w:r>
      <w:r w:rsidRPr="00302DB5">
        <w:rPr>
          <w:rFonts w:ascii="Arial" w:hAnsi="Arial" w:cs="Arial"/>
          <w:b/>
        </w:rPr>
        <w:tab/>
        <w:t>Commencement</w:t>
      </w:r>
    </w:p>
    <w:p w14:paraId="1CE591DC" w14:textId="77777777" w:rsidR="004C58B9" w:rsidRPr="00302DB5" w:rsidRDefault="004C58B9" w:rsidP="004C58B9">
      <w:pPr>
        <w:rPr>
          <w:rFonts w:ascii="Arial" w:hAnsi="Arial" w:cs="Arial"/>
        </w:rPr>
      </w:pPr>
      <w:r w:rsidRPr="00302DB5">
        <w:rPr>
          <w:rFonts w:ascii="Arial" w:hAnsi="Arial" w:cs="Arial"/>
        </w:rPr>
        <w:t xml:space="preserve">This section provides for the instrument to commence at the start of the day after the day it is registered on the Federal Register of Legislation.  </w:t>
      </w:r>
    </w:p>
    <w:p w14:paraId="2E195494" w14:textId="2879C587" w:rsidR="004C58B9" w:rsidRPr="00302DB5" w:rsidRDefault="00DB1D3C" w:rsidP="004C58B9">
      <w:pPr>
        <w:rPr>
          <w:rFonts w:ascii="Arial" w:hAnsi="Arial" w:cs="Arial"/>
        </w:rPr>
      </w:pPr>
      <w:r>
        <w:rPr>
          <w:rFonts w:ascii="Arial" w:hAnsi="Arial" w:cs="Arial"/>
          <w:sz w:val="20"/>
          <w:szCs w:val="20"/>
        </w:rPr>
        <w:t xml:space="preserve">[Note: </w:t>
      </w:r>
      <w:r w:rsidR="004C58B9" w:rsidRPr="0046005E">
        <w:rPr>
          <w:rFonts w:ascii="Arial" w:hAnsi="Arial" w:cs="Arial"/>
          <w:sz w:val="20"/>
          <w:szCs w:val="20"/>
        </w:rPr>
        <w:t xml:space="preserve">The Federal Register of Legislation may be accessed free of charge at </w:t>
      </w:r>
      <w:hyperlink r:id="rId13" w:history="1">
        <w:r w:rsidR="004C58B9" w:rsidRPr="00227A57">
          <w:rPr>
            <w:rStyle w:val="Hyperlink"/>
            <w:rFonts w:ascii="Arial" w:hAnsi="Arial" w:cs="Arial"/>
            <w:i/>
            <w:iCs/>
            <w:sz w:val="20"/>
            <w:szCs w:val="20"/>
          </w:rPr>
          <w:t>www.legislation.gov.au</w:t>
        </w:r>
      </w:hyperlink>
      <w:r w:rsidR="004C58B9" w:rsidRPr="00302DB5">
        <w:rPr>
          <w:rFonts w:ascii="Arial" w:hAnsi="Arial" w:cs="Arial"/>
        </w:rPr>
        <w:t>.</w:t>
      </w:r>
    </w:p>
    <w:p w14:paraId="1CCE7953" w14:textId="77777777" w:rsidR="004C58B9" w:rsidRPr="00302DB5" w:rsidRDefault="004C58B9" w:rsidP="004C58B9">
      <w:pPr>
        <w:rPr>
          <w:rFonts w:ascii="Arial" w:hAnsi="Arial" w:cs="Arial"/>
          <w:b/>
        </w:rPr>
      </w:pPr>
      <w:r w:rsidRPr="00302DB5">
        <w:rPr>
          <w:rFonts w:ascii="Arial" w:hAnsi="Arial" w:cs="Arial"/>
          <w:b/>
        </w:rPr>
        <w:t>Section 3</w:t>
      </w:r>
      <w:r w:rsidRPr="00302DB5">
        <w:rPr>
          <w:rFonts w:ascii="Arial" w:hAnsi="Arial" w:cs="Arial"/>
          <w:b/>
        </w:rPr>
        <w:tab/>
        <w:t>Authority</w:t>
      </w:r>
    </w:p>
    <w:p w14:paraId="38112A89" w14:textId="0C0A4D55" w:rsidR="004C58B9" w:rsidRPr="00302DB5" w:rsidRDefault="004C58B9" w:rsidP="004C58B9">
      <w:pPr>
        <w:rPr>
          <w:rFonts w:ascii="Arial" w:hAnsi="Arial" w:cs="Arial"/>
        </w:rPr>
      </w:pPr>
      <w:r w:rsidRPr="00302DB5">
        <w:rPr>
          <w:rFonts w:ascii="Arial" w:hAnsi="Arial" w:cs="Arial"/>
        </w:rPr>
        <w:t xml:space="preserve">This section identifies the provision of the Act that authorises the making of the instrument, namely </w:t>
      </w:r>
      <w:r w:rsidR="002950FC" w:rsidRPr="00302DB5">
        <w:rPr>
          <w:rFonts w:ascii="Arial" w:hAnsi="Arial" w:cs="Arial"/>
        </w:rPr>
        <w:t>572</w:t>
      </w:r>
      <w:proofErr w:type="gramStart"/>
      <w:r w:rsidR="002950FC" w:rsidRPr="00302DB5">
        <w:rPr>
          <w:rFonts w:ascii="Arial" w:hAnsi="Arial" w:cs="Arial"/>
        </w:rPr>
        <w:t>E(</w:t>
      </w:r>
      <w:proofErr w:type="gramEnd"/>
      <w:r w:rsidR="002950FC" w:rsidRPr="00302DB5">
        <w:rPr>
          <w:rFonts w:ascii="Arial" w:hAnsi="Arial" w:cs="Arial"/>
        </w:rPr>
        <w:t>7)</w:t>
      </w:r>
      <w:r w:rsidRPr="00302DB5">
        <w:rPr>
          <w:rFonts w:ascii="Arial" w:hAnsi="Arial" w:cs="Arial"/>
        </w:rPr>
        <w:t xml:space="preserve"> of </w:t>
      </w:r>
      <w:r w:rsidR="00E11923">
        <w:rPr>
          <w:rFonts w:ascii="Arial" w:hAnsi="Arial" w:cs="Arial"/>
        </w:rPr>
        <w:t>the</w:t>
      </w:r>
      <w:r w:rsidR="00D64ECC">
        <w:rPr>
          <w:rFonts w:ascii="Arial" w:hAnsi="Arial" w:cs="Arial"/>
        </w:rPr>
        <w:t xml:space="preserve"> </w:t>
      </w:r>
      <w:r w:rsidR="00D64ECC" w:rsidRPr="0046005E">
        <w:rPr>
          <w:rFonts w:ascii="Arial" w:hAnsi="Arial" w:cs="Arial"/>
          <w:i/>
          <w:iCs/>
        </w:rPr>
        <w:t>Telecommunications</w:t>
      </w:r>
      <w:r w:rsidR="00E11923" w:rsidRPr="0046005E">
        <w:rPr>
          <w:rFonts w:ascii="Arial" w:hAnsi="Arial" w:cs="Arial"/>
          <w:i/>
          <w:iCs/>
        </w:rPr>
        <w:t xml:space="preserve"> Act</w:t>
      </w:r>
      <w:r w:rsidR="00D64ECC" w:rsidRPr="0046005E">
        <w:rPr>
          <w:rFonts w:ascii="Arial" w:hAnsi="Arial" w:cs="Arial"/>
          <w:i/>
          <w:iCs/>
        </w:rPr>
        <w:t xml:space="preserve"> 1997</w:t>
      </w:r>
      <w:r w:rsidRPr="00302DB5">
        <w:rPr>
          <w:rFonts w:ascii="Arial" w:hAnsi="Arial" w:cs="Arial"/>
        </w:rPr>
        <w:t xml:space="preserve"> (</w:t>
      </w:r>
      <w:r w:rsidRPr="00302DB5">
        <w:rPr>
          <w:rFonts w:ascii="Arial" w:hAnsi="Arial" w:cs="Arial"/>
          <w:b/>
        </w:rPr>
        <w:t>the Act</w:t>
      </w:r>
      <w:r w:rsidRPr="00302DB5">
        <w:rPr>
          <w:rFonts w:ascii="Arial" w:hAnsi="Arial" w:cs="Arial"/>
        </w:rPr>
        <w:t>).</w:t>
      </w:r>
    </w:p>
    <w:p w14:paraId="0599AB41" w14:textId="57FB5A7A" w:rsidR="004C58B9" w:rsidRPr="00302DB5" w:rsidRDefault="004C58B9" w:rsidP="004C58B9">
      <w:pPr>
        <w:rPr>
          <w:rFonts w:ascii="Arial" w:hAnsi="Arial" w:cs="Arial"/>
          <w:b/>
        </w:rPr>
      </w:pPr>
      <w:r w:rsidRPr="00302DB5">
        <w:rPr>
          <w:rFonts w:ascii="Arial" w:hAnsi="Arial" w:cs="Arial"/>
          <w:b/>
        </w:rPr>
        <w:t>Section 4</w:t>
      </w:r>
      <w:r w:rsidRPr="00302DB5">
        <w:rPr>
          <w:rFonts w:ascii="Arial" w:hAnsi="Arial" w:cs="Arial"/>
          <w:b/>
        </w:rPr>
        <w:tab/>
        <w:t xml:space="preserve">Repeal of the </w:t>
      </w:r>
      <w:r w:rsidR="00D64ECC" w:rsidRPr="00EE686E">
        <w:rPr>
          <w:rFonts w:ascii="Arial" w:hAnsi="Arial" w:cs="Arial"/>
          <w:b/>
          <w:i/>
        </w:rPr>
        <w:t xml:space="preserve">Telecommunications (Listed Infringement Notice Provisions) Declaration 2011 </w:t>
      </w:r>
    </w:p>
    <w:p w14:paraId="734B9C26" w14:textId="527774FB" w:rsidR="004C58B9" w:rsidRPr="00302DB5" w:rsidRDefault="004C58B9" w:rsidP="004C58B9">
      <w:pPr>
        <w:rPr>
          <w:rFonts w:ascii="Arial" w:hAnsi="Arial" w:cs="Arial"/>
        </w:rPr>
      </w:pPr>
      <w:r w:rsidRPr="00302DB5">
        <w:rPr>
          <w:rFonts w:ascii="Arial" w:hAnsi="Arial" w:cs="Arial"/>
        </w:rPr>
        <w:t xml:space="preserve">This section provides that the </w:t>
      </w:r>
      <w:r w:rsidR="007E2CD8" w:rsidRPr="00EE686E">
        <w:rPr>
          <w:rFonts w:ascii="Arial" w:hAnsi="Arial" w:cs="Arial"/>
          <w:i/>
          <w:iCs/>
        </w:rPr>
        <w:t>Telecommunications (Listed Infringement Notice Provisions) Declaration 2011</w:t>
      </w:r>
      <w:r w:rsidR="007E2CD8" w:rsidRPr="00302DB5">
        <w:rPr>
          <w:rFonts w:ascii="Arial" w:hAnsi="Arial" w:cs="Arial"/>
        </w:rPr>
        <w:t xml:space="preserve"> </w:t>
      </w:r>
      <w:r w:rsidRPr="00302DB5">
        <w:rPr>
          <w:rFonts w:ascii="Arial" w:hAnsi="Arial" w:cs="Arial"/>
        </w:rPr>
        <w:t>(Registration No. F20</w:t>
      </w:r>
      <w:r w:rsidR="002B6C60" w:rsidRPr="00302DB5">
        <w:rPr>
          <w:rFonts w:ascii="Arial" w:hAnsi="Arial" w:cs="Arial"/>
        </w:rPr>
        <w:t>11L02374</w:t>
      </w:r>
      <w:r w:rsidRPr="00302DB5">
        <w:rPr>
          <w:rFonts w:ascii="Arial" w:hAnsi="Arial" w:cs="Arial"/>
        </w:rPr>
        <w:t>) is repealed.</w:t>
      </w:r>
    </w:p>
    <w:p w14:paraId="4E744EA9" w14:textId="3BE489A1" w:rsidR="004C58B9" w:rsidRPr="00302DB5" w:rsidRDefault="004C58B9" w:rsidP="004631E7">
      <w:pPr>
        <w:rPr>
          <w:rFonts w:ascii="Arial" w:hAnsi="Arial" w:cs="Arial"/>
          <w:b/>
        </w:rPr>
      </w:pPr>
      <w:r w:rsidRPr="00302DB5">
        <w:rPr>
          <w:rFonts w:ascii="Arial" w:hAnsi="Arial" w:cs="Arial"/>
          <w:b/>
        </w:rPr>
        <w:t>Section 5</w:t>
      </w:r>
      <w:r w:rsidRPr="00302DB5">
        <w:rPr>
          <w:rFonts w:ascii="Arial" w:hAnsi="Arial" w:cs="Arial"/>
          <w:b/>
        </w:rPr>
        <w:tab/>
        <w:t>References to other instruments</w:t>
      </w:r>
    </w:p>
    <w:p w14:paraId="5EFA7BF7" w14:textId="77777777" w:rsidR="004C58B9" w:rsidRPr="00302DB5" w:rsidRDefault="004C58B9" w:rsidP="004C58B9">
      <w:pPr>
        <w:spacing w:after="40"/>
        <w:rPr>
          <w:rFonts w:ascii="Arial" w:hAnsi="Arial" w:cs="Arial"/>
        </w:rPr>
      </w:pPr>
      <w:r w:rsidRPr="00302DB5">
        <w:rPr>
          <w:rFonts w:ascii="Arial" w:hAnsi="Arial" w:cs="Arial"/>
        </w:rPr>
        <w:t>This section provides that in the instrument, unless the contrary intention appears:</w:t>
      </w:r>
    </w:p>
    <w:p w14:paraId="4A729303" w14:textId="77777777" w:rsidR="004C58B9" w:rsidRPr="00302DB5" w:rsidRDefault="004C58B9" w:rsidP="004C58B9">
      <w:pPr>
        <w:pStyle w:val="ListParagraph"/>
        <w:numPr>
          <w:ilvl w:val="0"/>
          <w:numId w:val="15"/>
        </w:numPr>
        <w:rPr>
          <w:rFonts w:ascii="Arial" w:hAnsi="Arial" w:cs="Arial"/>
        </w:rPr>
      </w:pPr>
      <w:r w:rsidRPr="00302DB5">
        <w:rPr>
          <w:rFonts w:ascii="Arial" w:hAnsi="Arial" w:cs="Arial"/>
        </w:rPr>
        <w:t>a reference to any other legislative instrument is a reference to that other legislative instrument as in force from time to time; and</w:t>
      </w:r>
    </w:p>
    <w:p w14:paraId="287EC397" w14:textId="2C2BD934" w:rsidR="004C58B9" w:rsidRPr="00302DB5" w:rsidRDefault="004C58B9" w:rsidP="004C58B9">
      <w:pPr>
        <w:pStyle w:val="ListParagraph"/>
        <w:numPr>
          <w:ilvl w:val="0"/>
          <w:numId w:val="15"/>
        </w:numPr>
        <w:rPr>
          <w:rFonts w:ascii="Arial" w:hAnsi="Arial" w:cs="Arial"/>
        </w:rPr>
      </w:pPr>
      <w:r w:rsidRPr="00302DB5">
        <w:rPr>
          <w:rFonts w:ascii="Arial" w:hAnsi="Arial" w:cs="Arial"/>
        </w:rPr>
        <w:t>a reference to any other kind of instrument is a reference to that other instrument as in force from time to time.</w:t>
      </w:r>
    </w:p>
    <w:p w14:paraId="2222481B" w14:textId="29869F1C" w:rsidR="004C58B9" w:rsidRPr="00EE686E" w:rsidRDefault="004C58B9" w:rsidP="004C58B9">
      <w:pPr>
        <w:rPr>
          <w:rFonts w:ascii="Arial" w:hAnsi="Arial" w:cs="Arial"/>
          <w:b/>
        </w:rPr>
      </w:pPr>
      <w:r w:rsidRPr="00EE686E">
        <w:rPr>
          <w:rFonts w:ascii="Arial" w:hAnsi="Arial" w:cs="Arial"/>
          <w:b/>
        </w:rPr>
        <w:t>Part 2–</w:t>
      </w:r>
      <w:r w:rsidR="00291BD3" w:rsidRPr="00EE686E">
        <w:rPr>
          <w:rFonts w:ascii="Arial" w:hAnsi="Arial" w:cs="Arial"/>
          <w:b/>
        </w:rPr>
        <w:t>Declarations</w:t>
      </w:r>
    </w:p>
    <w:p w14:paraId="1834FBE4" w14:textId="053B032E" w:rsidR="004C58B9" w:rsidRPr="00EE686E" w:rsidRDefault="004C58B9" w:rsidP="004C58B9">
      <w:pPr>
        <w:rPr>
          <w:rFonts w:ascii="Arial" w:hAnsi="Arial" w:cs="Arial"/>
          <w:b/>
        </w:rPr>
      </w:pPr>
      <w:r w:rsidRPr="00EE686E">
        <w:rPr>
          <w:rFonts w:ascii="Arial" w:hAnsi="Arial" w:cs="Arial"/>
          <w:b/>
        </w:rPr>
        <w:t xml:space="preserve">Section </w:t>
      </w:r>
      <w:r w:rsidR="00291BD3" w:rsidRPr="00EE686E">
        <w:rPr>
          <w:rFonts w:ascii="Arial" w:hAnsi="Arial" w:cs="Arial"/>
          <w:b/>
        </w:rPr>
        <w:t>6</w:t>
      </w:r>
      <w:r w:rsidRPr="00EE686E">
        <w:rPr>
          <w:rFonts w:ascii="Arial" w:hAnsi="Arial" w:cs="Arial"/>
          <w:b/>
        </w:rPr>
        <w:tab/>
      </w:r>
      <w:r w:rsidR="000A3749" w:rsidRPr="0046005E">
        <w:rPr>
          <w:rFonts w:ascii="Arial" w:hAnsi="Arial" w:cs="Arial"/>
          <w:b/>
          <w:bCs/>
        </w:rPr>
        <w:t xml:space="preserve">Declaration – </w:t>
      </w:r>
      <w:r w:rsidR="00353309">
        <w:rPr>
          <w:rFonts w:ascii="Arial" w:hAnsi="Arial" w:cs="Arial"/>
          <w:b/>
          <w:bCs/>
        </w:rPr>
        <w:t xml:space="preserve">Act </w:t>
      </w:r>
      <w:r w:rsidR="008B0C3E">
        <w:rPr>
          <w:rFonts w:ascii="Arial" w:hAnsi="Arial" w:cs="Arial"/>
          <w:b/>
          <w:bCs/>
        </w:rPr>
        <w:t>p</w:t>
      </w:r>
      <w:r w:rsidR="000A3749" w:rsidRPr="0046005E">
        <w:rPr>
          <w:rFonts w:ascii="Arial" w:hAnsi="Arial" w:cs="Arial"/>
          <w:b/>
          <w:bCs/>
        </w:rPr>
        <w:t>rovisions</w:t>
      </w:r>
    </w:p>
    <w:p w14:paraId="656848AC" w14:textId="79761568" w:rsidR="001D491F" w:rsidRPr="00EE686E" w:rsidRDefault="001D491F" w:rsidP="004C58B9">
      <w:pPr>
        <w:rPr>
          <w:rFonts w:ascii="Arial" w:hAnsi="Arial" w:cs="Arial"/>
        </w:rPr>
      </w:pPr>
      <w:r w:rsidRPr="00EE686E">
        <w:rPr>
          <w:rFonts w:ascii="Arial" w:hAnsi="Arial" w:cs="Arial"/>
        </w:rPr>
        <w:t xml:space="preserve">This section provides that for paragraph 572E(7)(a) of the </w:t>
      </w:r>
      <w:r w:rsidRPr="00EE686E">
        <w:rPr>
          <w:rFonts w:ascii="Arial" w:hAnsi="Arial" w:cs="Arial"/>
          <w:i/>
          <w:iCs/>
        </w:rPr>
        <w:t>Telecommunications Act 1997</w:t>
      </w:r>
      <w:r w:rsidRPr="00EE686E">
        <w:rPr>
          <w:rFonts w:ascii="Arial" w:hAnsi="Arial" w:cs="Arial"/>
          <w:i/>
        </w:rPr>
        <w:t xml:space="preserve">, </w:t>
      </w:r>
      <w:r w:rsidRPr="00EE686E">
        <w:rPr>
          <w:rFonts w:ascii="Arial" w:hAnsi="Arial" w:cs="Arial"/>
        </w:rPr>
        <w:t>each provision specified in Schedule 1 is a listed infringement notice provision.</w:t>
      </w:r>
    </w:p>
    <w:p w14:paraId="5839CA1F" w14:textId="43F59E67" w:rsidR="004C58B9" w:rsidRPr="00EE686E" w:rsidRDefault="004C58B9" w:rsidP="004C58B9">
      <w:pPr>
        <w:rPr>
          <w:rFonts w:ascii="Arial" w:hAnsi="Arial" w:cs="Arial"/>
          <w:b/>
        </w:rPr>
      </w:pPr>
      <w:r w:rsidRPr="00EE686E">
        <w:rPr>
          <w:rFonts w:ascii="Arial" w:hAnsi="Arial" w:cs="Arial"/>
          <w:b/>
        </w:rPr>
        <w:t xml:space="preserve">Section </w:t>
      </w:r>
      <w:r w:rsidR="001D491F" w:rsidRPr="00EE686E">
        <w:rPr>
          <w:rFonts w:ascii="Arial" w:hAnsi="Arial" w:cs="Arial"/>
          <w:b/>
        </w:rPr>
        <w:t>7</w:t>
      </w:r>
      <w:r w:rsidRPr="00EE686E">
        <w:rPr>
          <w:rFonts w:ascii="Arial" w:hAnsi="Arial" w:cs="Arial"/>
          <w:b/>
        </w:rPr>
        <w:tab/>
      </w:r>
      <w:r w:rsidR="00A20DDB" w:rsidRPr="0046005E">
        <w:rPr>
          <w:rFonts w:ascii="Arial" w:hAnsi="Arial" w:cs="Arial"/>
          <w:b/>
          <w:bCs/>
        </w:rPr>
        <w:t>Declaration – Determination provisions</w:t>
      </w:r>
    </w:p>
    <w:p w14:paraId="3C0BEFCA" w14:textId="3639AD28" w:rsidR="004C58B9" w:rsidRPr="00EE686E" w:rsidRDefault="005F45E3" w:rsidP="004C58B9">
      <w:pPr>
        <w:rPr>
          <w:rFonts w:ascii="Arial" w:hAnsi="Arial" w:cs="Arial"/>
        </w:rPr>
      </w:pPr>
      <w:r w:rsidRPr="00EE686E">
        <w:rPr>
          <w:rFonts w:ascii="Arial" w:hAnsi="Arial" w:cs="Arial"/>
        </w:rPr>
        <w:t xml:space="preserve">This section provides that for paragraph 572E(7)(c) of the </w:t>
      </w:r>
      <w:r w:rsidRPr="00EE686E">
        <w:rPr>
          <w:rFonts w:ascii="Arial" w:hAnsi="Arial" w:cs="Arial"/>
          <w:i/>
          <w:iCs/>
        </w:rPr>
        <w:t>Telecommunications Act 1997</w:t>
      </w:r>
      <w:r w:rsidRPr="00EE686E">
        <w:rPr>
          <w:rFonts w:ascii="Arial" w:hAnsi="Arial" w:cs="Arial"/>
          <w:i/>
        </w:rPr>
        <w:t xml:space="preserve">, </w:t>
      </w:r>
      <w:r w:rsidRPr="00EE686E">
        <w:rPr>
          <w:rFonts w:ascii="Arial" w:hAnsi="Arial" w:cs="Arial"/>
        </w:rPr>
        <w:t>each provision specified in Schedule 2 is a listed infringement notice provision.</w:t>
      </w:r>
    </w:p>
    <w:p w14:paraId="25A525B0" w14:textId="4A31787B" w:rsidR="00AC138C" w:rsidRPr="00EE686E" w:rsidRDefault="00AC138C" w:rsidP="00AC138C">
      <w:pPr>
        <w:pStyle w:val="Heading1"/>
        <w:shd w:val="clear" w:color="auto" w:fill="FFFFFF"/>
        <w:spacing w:line="218" w:lineRule="atLeast"/>
        <w:rPr>
          <w:color w:val="000000"/>
          <w:sz w:val="22"/>
          <w:szCs w:val="22"/>
        </w:rPr>
      </w:pPr>
      <w:r w:rsidRPr="00EE686E">
        <w:rPr>
          <w:color w:val="000000"/>
          <w:sz w:val="22"/>
          <w:szCs w:val="22"/>
        </w:rPr>
        <w:t>Schedule 1       Act provisions</w:t>
      </w:r>
    </w:p>
    <w:p w14:paraId="4BA390DA" w14:textId="202B8938" w:rsidR="00AC138C" w:rsidRPr="00EE686E" w:rsidRDefault="00AC138C" w:rsidP="00AC138C">
      <w:pPr>
        <w:shd w:val="clear" w:color="auto" w:fill="FFFFFF"/>
        <w:spacing w:after="200" w:line="218" w:lineRule="atLeast"/>
        <w:rPr>
          <w:rFonts w:ascii="Arial" w:hAnsi="Arial" w:cs="Arial"/>
          <w:color w:val="000000"/>
        </w:rPr>
      </w:pPr>
      <w:r w:rsidRPr="00EE686E">
        <w:rPr>
          <w:rFonts w:ascii="Arial" w:hAnsi="Arial" w:cs="Arial"/>
          <w:b/>
          <w:bCs/>
          <w:color w:val="000000"/>
        </w:rPr>
        <w:lastRenderedPageBreak/>
        <w:t>Item [1] </w:t>
      </w:r>
      <w:r w:rsidRPr="00EE686E">
        <w:rPr>
          <w:rFonts w:ascii="Arial" w:hAnsi="Arial" w:cs="Arial"/>
          <w:color w:val="000000"/>
        </w:rPr>
        <w:t xml:space="preserve">specifies provisions of the Act that, by operation of section </w:t>
      </w:r>
      <w:r w:rsidR="00EF5FE8">
        <w:rPr>
          <w:rFonts w:ascii="Arial" w:hAnsi="Arial" w:cs="Arial"/>
          <w:color w:val="000000"/>
        </w:rPr>
        <w:t>6</w:t>
      </w:r>
      <w:r w:rsidRPr="00EE686E">
        <w:rPr>
          <w:rFonts w:ascii="Arial" w:hAnsi="Arial" w:cs="Arial"/>
          <w:color w:val="000000"/>
        </w:rPr>
        <w:t xml:space="preserve"> of the Declaration, are listed infringement notice provisions.</w:t>
      </w:r>
    </w:p>
    <w:p w14:paraId="5CF8D2B6" w14:textId="48FA91A4" w:rsidR="00AC138C" w:rsidRPr="00EE686E" w:rsidRDefault="00AC138C" w:rsidP="00AC138C">
      <w:pPr>
        <w:shd w:val="clear" w:color="auto" w:fill="FFFFFF"/>
        <w:spacing w:after="200" w:line="218" w:lineRule="atLeast"/>
        <w:rPr>
          <w:rFonts w:ascii="Arial" w:hAnsi="Arial" w:cs="Arial"/>
          <w:color w:val="000000"/>
        </w:rPr>
      </w:pPr>
      <w:r w:rsidRPr="00EE686E">
        <w:rPr>
          <w:rFonts w:ascii="Arial" w:hAnsi="Arial" w:cs="Arial"/>
          <w:b/>
          <w:bCs/>
          <w:color w:val="000000"/>
        </w:rPr>
        <w:t>Item [2] </w:t>
      </w:r>
      <w:r w:rsidRPr="00EE686E">
        <w:rPr>
          <w:rFonts w:ascii="Arial" w:hAnsi="Arial" w:cs="Arial"/>
          <w:color w:val="000000"/>
        </w:rPr>
        <w:t xml:space="preserve">specifies provisions of the TCPSS Act that, by operation of section </w:t>
      </w:r>
      <w:r w:rsidR="00EF5FE8">
        <w:rPr>
          <w:rFonts w:ascii="Arial" w:hAnsi="Arial" w:cs="Arial"/>
          <w:color w:val="000000"/>
        </w:rPr>
        <w:t>6</w:t>
      </w:r>
      <w:r w:rsidRPr="00EE686E">
        <w:rPr>
          <w:rFonts w:ascii="Arial" w:hAnsi="Arial" w:cs="Arial"/>
          <w:color w:val="000000"/>
        </w:rPr>
        <w:t xml:space="preserve"> of the Declaration, are listed infringement notice provisions.</w:t>
      </w:r>
    </w:p>
    <w:p w14:paraId="50B86FF3" w14:textId="008F36D2" w:rsidR="00AC138C" w:rsidRPr="00EE686E" w:rsidRDefault="00AC138C" w:rsidP="00AC138C">
      <w:pPr>
        <w:shd w:val="clear" w:color="auto" w:fill="FFFFFF"/>
        <w:spacing w:after="200" w:line="218" w:lineRule="atLeast"/>
        <w:rPr>
          <w:rFonts w:ascii="Arial" w:hAnsi="Arial" w:cs="Arial"/>
          <w:color w:val="000000"/>
        </w:rPr>
      </w:pPr>
      <w:r w:rsidRPr="00EE686E">
        <w:rPr>
          <w:rFonts w:ascii="Arial" w:hAnsi="Arial" w:cs="Arial"/>
          <w:b/>
          <w:bCs/>
          <w:color w:val="000000"/>
        </w:rPr>
        <w:t>Item [3] </w:t>
      </w:r>
      <w:r w:rsidRPr="00EE686E">
        <w:rPr>
          <w:rFonts w:ascii="Arial" w:hAnsi="Arial" w:cs="Arial"/>
          <w:color w:val="000000"/>
        </w:rPr>
        <w:t xml:space="preserve">specifies provisions of the TIA Act that, by operation of section </w:t>
      </w:r>
      <w:r w:rsidR="00EF5FE8">
        <w:rPr>
          <w:rFonts w:ascii="Arial" w:hAnsi="Arial" w:cs="Arial"/>
          <w:color w:val="000000"/>
        </w:rPr>
        <w:t>6</w:t>
      </w:r>
      <w:r w:rsidRPr="00EE686E">
        <w:rPr>
          <w:rFonts w:ascii="Arial" w:hAnsi="Arial" w:cs="Arial"/>
          <w:color w:val="000000"/>
        </w:rPr>
        <w:t xml:space="preserve"> of the Declaration, are listed infringement notice provisions.</w:t>
      </w:r>
    </w:p>
    <w:p w14:paraId="4EABA354" w14:textId="77777777" w:rsidR="00AC138C" w:rsidRPr="00EE686E" w:rsidRDefault="00AC138C" w:rsidP="00AC138C">
      <w:pPr>
        <w:pStyle w:val="Heading1"/>
        <w:shd w:val="clear" w:color="auto" w:fill="FFFFFF"/>
        <w:spacing w:line="218" w:lineRule="atLeast"/>
        <w:rPr>
          <w:color w:val="000000"/>
          <w:sz w:val="22"/>
          <w:szCs w:val="22"/>
        </w:rPr>
      </w:pPr>
      <w:r w:rsidRPr="00EE686E">
        <w:rPr>
          <w:color w:val="000000"/>
          <w:sz w:val="22"/>
          <w:szCs w:val="22"/>
        </w:rPr>
        <w:t>Schedule 2       Determination provisions</w:t>
      </w:r>
    </w:p>
    <w:p w14:paraId="29A5B67E" w14:textId="4F9A71DE" w:rsidR="00AC138C" w:rsidRPr="00EE686E" w:rsidRDefault="00AC138C" w:rsidP="00AC138C">
      <w:pPr>
        <w:shd w:val="clear" w:color="auto" w:fill="FFFFFF"/>
        <w:spacing w:after="200" w:line="218" w:lineRule="atLeast"/>
        <w:rPr>
          <w:rFonts w:ascii="Arial" w:hAnsi="Arial" w:cs="Arial"/>
          <w:color w:val="000000"/>
        </w:rPr>
      </w:pPr>
      <w:r w:rsidRPr="00EE686E">
        <w:rPr>
          <w:rFonts w:ascii="Arial" w:hAnsi="Arial" w:cs="Arial"/>
          <w:b/>
          <w:bCs/>
          <w:color w:val="000000"/>
        </w:rPr>
        <w:t>Item [1] </w:t>
      </w:r>
      <w:r w:rsidRPr="00EE686E">
        <w:rPr>
          <w:rFonts w:ascii="Arial" w:hAnsi="Arial" w:cs="Arial"/>
          <w:color w:val="000000"/>
        </w:rPr>
        <w:t>specifies provisions of the </w:t>
      </w:r>
      <w:r w:rsidR="00F85C89" w:rsidRPr="00EE686E">
        <w:rPr>
          <w:rFonts w:ascii="Arial" w:eastAsia="Times New Roman" w:hAnsi="Arial" w:cs="Arial"/>
          <w:i/>
          <w:iCs/>
          <w:lang w:eastAsia="en-AU"/>
        </w:rPr>
        <w:t xml:space="preserve">Telecommunications (Service Provider – Identity Checks for </w:t>
      </w:r>
      <w:r w:rsidR="00992DC7">
        <w:rPr>
          <w:rFonts w:ascii="Arial" w:eastAsia="Times New Roman" w:hAnsi="Arial" w:cs="Arial"/>
          <w:i/>
          <w:iCs/>
          <w:lang w:eastAsia="en-AU"/>
        </w:rPr>
        <w:t>P</w:t>
      </w:r>
      <w:r w:rsidR="00F85C89" w:rsidRPr="00EE686E">
        <w:rPr>
          <w:rFonts w:ascii="Arial" w:eastAsia="Times New Roman" w:hAnsi="Arial" w:cs="Arial"/>
          <w:i/>
          <w:iCs/>
          <w:lang w:eastAsia="en-AU"/>
        </w:rPr>
        <w:t xml:space="preserve">repaid Mobile Carriage Services) Determination 2017 </w:t>
      </w:r>
      <w:r w:rsidRPr="00EE686E">
        <w:rPr>
          <w:rFonts w:ascii="Arial" w:hAnsi="Arial" w:cs="Arial"/>
          <w:color w:val="000000"/>
        </w:rPr>
        <w:t xml:space="preserve">that, by operation of section </w:t>
      </w:r>
      <w:r w:rsidR="00EF5FE8">
        <w:rPr>
          <w:rFonts w:ascii="Arial" w:hAnsi="Arial" w:cs="Arial"/>
          <w:color w:val="000000"/>
        </w:rPr>
        <w:t>7</w:t>
      </w:r>
      <w:r w:rsidRPr="00EE686E">
        <w:rPr>
          <w:rFonts w:ascii="Arial" w:hAnsi="Arial" w:cs="Arial"/>
          <w:color w:val="000000"/>
        </w:rPr>
        <w:t xml:space="preserve"> of the Declaration</w:t>
      </w:r>
      <w:r w:rsidR="00A3324F">
        <w:rPr>
          <w:rFonts w:ascii="Arial" w:hAnsi="Arial" w:cs="Arial"/>
          <w:color w:val="000000"/>
        </w:rPr>
        <w:t>,</w:t>
      </w:r>
      <w:r w:rsidRPr="00EE686E">
        <w:rPr>
          <w:rFonts w:ascii="Arial" w:hAnsi="Arial" w:cs="Arial"/>
          <w:color w:val="000000"/>
        </w:rPr>
        <w:t xml:space="preserve"> are listed infringement notice provisions.</w:t>
      </w:r>
    </w:p>
    <w:p w14:paraId="0CE31A86" w14:textId="4ACF7036" w:rsidR="00AD0F23" w:rsidRDefault="00AC138C" w:rsidP="00AD0F23">
      <w:pPr>
        <w:shd w:val="clear" w:color="auto" w:fill="FFFFFF"/>
        <w:spacing w:after="200" w:line="218" w:lineRule="atLeast"/>
        <w:rPr>
          <w:rFonts w:ascii="Arial" w:hAnsi="Arial" w:cs="Arial"/>
          <w:color w:val="000000"/>
          <w:sz w:val="19"/>
          <w:szCs w:val="19"/>
        </w:rPr>
      </w:pPr>
      <w:r w:rsidRPr="00EE686E">
        <w:rPr>
          <w:rFonts w:ascii="Arial" w:hAnsi="Arial" w:cs="Arial"/>
          <w:b/>
          <w:bCs/>
          <w:color w:val="000000"/>
        </w:rPr>
        <w:t>Item [2] </w:t>
      </w:r>
      <w:r w:rsidRPr="00EE686E">
        <w:rPr>
          <w:rFonts w:ascii="Arial" w:hAnsi="Arial" w:cs="Arial"/>
          <w:color w:val="000000"/>
        </w:rPr>
        <w:t xml:space="preserve">specifies </w:t>
      </w:r>
      <w:r w:rsidRPr="004D06B5">
        <w:rPr>
          <w:rFonts w:ascii="Arial" w:hAnsi="Arial" w:cs="Arial"/>
          <w:color w:val="000000"/>
        </w:rPr>
        <w:t>provisions of the </w:t>
      </w:r>
      <w:r w:rsidR="00EE686E" w:rsidRPr="004D0DD8">
        <w:rPr>
          <w:rFonts w:ascii="Arial" w:eastAsia="Times New Roman" w:hAnsi="Arial" w:cs="Arial"/>
          <w:i/>
          <w:lang w:eastAsia="en-AU"/>
        </w:rPr>
        <w:t xml:space="preserve">Telecommunications Service Provider (NBN Service Migration) Determination </w:t>
      </w:r>
      <w:r w:rsidR="00EE686E" w:rsidRPr="004D06B5">
        <w:rPr>
          <w:rFonts w:ascii="Arial" w:eastAsia="Times New Roman" w:hAnsi="Arial" w:cs="Arial"/>
          <w:i/>
          <w:lang w:eastAsia="en-AU"/>
        </w:rPr>
        <w:t>2018</w:t>
      </w:r>
      <w:r w:rsidR="004D06B5" w:rsidRPr="004D06B5">
        <w:rPr>
          <w:rFonts w:ascii="Arial" w:eastAsia="Times New Roman" w:hAnsi="Arial" w:cs="Arial"/>
          <w:lang w:eastAsia="en-AU"/>
        </w:rPr>
        <w:t xml:space="preserve"> </w:t>
      </w:r>
      <w:r w:rsidRPr="004D06B5">
        <w:rPr>
          <w:rFonts w:ascii="Arial" w:hAnsi="Arial" w:cs="Arial"/>
          <w:color w:val="000000"/>
        </w:rPr>
        <w:t>that, by</w:t>
      </w:r>
      <w:r w:rsidRPr="00EE686E">
        <w:rPr>
          <w:rFonts w:ascii="Arial" w:hAnsi="Arial" w:cs="Arial"/>
          <w:color w:val="000000"/>
        </w:rPr>
        <w:t xml:space="preserve"> operation of section </w:t>
      </w:r>
      <w:r w:rsidR="00EF5FE8">
        <w:rPr>
          <w:rFonts w:ascii="Arial" w:hAnsi="Arial" w:cs="Arial"/>
          <w:color w:val="000000"/>
        </w:rPr>
        <w:t>7</w:t>
      </w:r>
      <w:r w:rsidRPr="00EE686E">
        <w:rPr>
          <w:rFonts w:ascii="Arial" w:hAnsi="Arial" w:cs="Arial"/>
          <w:color w:val="000000"/>
        </w:rPr>
        <w:t xml:space="preserve"> of the Declaration</w:t>
      </w:r>
      <w:r w:rsidR="00A3324F">
        <w:rPr>
          <w:rFonts w:ascii="Arial" w:hAnsi="Arial" w:cs="Arial"/>
          <w:color w:val="000000"/>
        </w:rPr>
        <w:t>,</w:t>
      </w:r>
      <w:r w:rsidRPr="00EE686E">
        <w:rPr>
          <w:rFonts w:ascii="Arial" w:hAnsi="Arial" w:cs="Arial"/>
          <w:color w:val="000000"/>
        </w:rPr>
        <w:t xml:space="preserve"> are listed infringement notice provisions.</w:t>
      </w:r>
      <w:r w:rsidR="00AD0F23" w:rsidRPr="00AD0F23">
        <w:rPr>
          <w:rFonts w:ascii="Arial" w:hAnsi="Arial" w:cs="Arial"/>
          <w:b/>
          <w:sz w:val="28"/>
          <w:szCs w:val="28"/>
        </w:rPr>
        <w:t xml:space="preserve"> </w:t>
      </w:r>
      <w:r w:rsidR="00AD0F23">
        <w:rPr>
          <w:rFonts w:ascii="Arial" w:hAnsi="Arial" w:cs="Arial"/>
          <w:b/>
          <w:sz w:val="28"/>
          <w:szCs w:val="28"/>
        </w:rPr>
        <w:br w:type="page"/>
      </w:r>
    </w:p>
    <w:p w14:paraId="1878C61D" w14:textId="5F6DAA66" w:rsidR="00AD0F23" w:rsidRDefault="00AD0F23" w:rsidP="00AD0F23">
      <w:pPr>
        <w:jc w:val="right"/>
        <w:rPr>
          <w:rFonts w:ascii="Arial" w:hAnsi="Arial" w:cs="Arial"/>
          <w:b/>
          <w:sz w:val="28"/>
          <w:szCs w:val="28"/>
        </w:rPr>
      </w:pPr>
      <w:r w:rsidRPr="00302DB5">
        <w:rPr>
          <w:rFonts w:ascii="Arial" w:hAnsi="Arial" w:cs="Arial"/>
          <w:b/>
          <w:sz w:val="28"/>
          <w:szCs w:val="28"/>
        </w:rPr>
        <w:lastRenderedPageBreak/>
        <w:t xml:space="preserve">Attachment </w:t>
      </w:r>
      <w:r>
        <w:rPr>
          <w:rFonts w:ascii="Arial" w:hAnsi="Arial" w:cs="Arial"/>
          <w:b/>
          <w:sz w:val="28"/>
          <w:szCs w:val="28"/>
        </w:rPr>
        <w:t>B</w:t>
      </w:r>
    </w:p>
    <w:p w14:paraId="13A34FC8" w14:textId="3D25D8B4" w:rsidR="00AD0F23" w:rsidRPr="006C6A35" w:rsidRDefault="00E5122A" w:rsidP="00AD0F23">
      <w:pPr>
        <w:rPr>
          <w:rFonts w:ascii="Arial" w:hAnsi="Arial" w:cs="Arial"/>
          <w:i/>
          <w:color w:val="000000"/>
        </w:rPr>
      </w:pPr>
      <w:r w:rsidRPr="006C6A35">
        <w:rPr>
          <w:rFonts w:ascii="Arial" w:hAnsi="Arial" w:cs="Arial"/>
          <w:color w:val="000000"/>
        </w:rPr>
        <w:t>T</w:t>
      </w:r>
      <w:r w:rsidR="00AD0F23" w:rsidRPr="006C6A35">
        <w:rPr>
          <w:rFonts w:ascii="Arial" w:hAnsi="Arial" w:cs="Arial"/>
          <w:color w:val="000000"/>
        </w:rPr>
        <w:t>able</w:t>
      </w:r>
      <w:r w:rsidRPr="006C6A35">
        <w:rPr>
          <w:rFonts w:ascii="Arial" w:hAnsi="Arial" w:cs="Arial"/>
          <w:color w:val="000000"/>
        </w:rPr>
        <w:t xml:space="preserve"> 1:</w:t>
      </w:r>
      <w:r w:rsidR="00AD0F23" w:rsidRPr="006C6A35">
        <w:rPr>
          <w:rFonts w:ascii="Arial" w:hAnsi="Arial" w:cs="Arial"/>
          <w:color w:val="000000"/>
        </w:rPr>
        <w:t xml:space="preserve"> </w:t>
      </w:r>
      <w:r w:rsidRPr="006C6A35">
        <w:rPr>
          <w:rFonts w:ascii="Arial" w:hAnsi="Arial" w:cs="Arial"/>
          <w:color w:val="000000"/>
        </w:rPr>
        <w:t>E</w:t>
      </w:r>
      <w:r w:rsidR="00AD0F23" w:rsidRPr="006C6A35">
        <w:rPr>
          <w:rFonts w:ascii="Arial" w:hAnsi="Arial" w:cs="Arial"/>
          <w:color w:val="000000"/>
        </w:rPr>
        <w:t>xisting and new provisions</w:t>
      </w:r>
      <w:r w:rsidRPr="006C6A35">
        <w:rPr>
          <w:rFonts w:ascii="Arial" w:hAnsi="Arial" w:cs="Arial"/>
          <w:color w:val="000000"/>
        </w:rPr>
        <w:t xml:space="preserve"> in the </w:t>
      </w:r>
      <w:r w:rsidR="00AD0F23" w:rsidRPr="006C6A35">
        <w:rPr>
          <w:rFonts w:ascii="Arial" w:hAnsi="Arial" w:cs="Arial"/>
          <w:i/>
          <w:color w:val="000000"/>
        </w:rPr>
        <w:t>Telecommunications (Listed Infringement Notice Provisions) Declaration 2022</w:t>
      </w:r>
      <w:r w:rsidR="00AD0F23" w:rsidRPr="006C6A35">
        <w:rPr>
          <w:rFonts w:ascii="Arial" w:hAnsi="Arial" w:cs="Arial"/>
          <w:color w:val="000000"/>
        </w:rPr>
        <w:t>.</w:t>
      </w:r>
    </w:p>
    <w:tbl>
      <w:tblPr>
        <w:tblStyle w:val="TableGrid"/>
        <w:tblW w:w="0" w:type="auto"/>
        <w:tblLook w:val="04A0" w:firstRow="1" w:lastRow="0" w:firstColumn="1" w:lastColumn="0" w:noHBand="0" w:noVBand="1"/>
      </w:tblPr>
      <w:tblGrid>
        <w:gridCol w:w="4508"/>
        <w:gridCol w:w="4508"/>
      </w:tblGrid>
      <w:tr w:rsidR="00AD0F23" w:rsidRPr="00A43CC1" w14:paraId="3DBA609C" w14:textId="77777777" w:rsidTr="00A43CC1">
        <w:tc>
          <w:tcPr>
            <w:tcW w:w="9016" w:type="dxa"/>
            <w:gridSpan w:val="2"/>
            <w:tcBorders>
              <w:top w:val="nil"/>
              <w:left w:val="nil"/>
              <w:bottom w:val="nil"/>
              <w:right w:val="nil"/>
            </w:tcBorders>
          </w:tcPr>
          <w:p w14:paraId="7B386652" w14:textId="77777777" w:rsidR="00AD0F23" w:rsidRPr="006C6A35" w:rsidRDefault="00AD0F23" w:rsidP="00054E97">
            <w:pPr>
              <w:rPr>
                <w:rFonts w:ascii="Arial" w:hAnsi="Arial" w:cs="Arial"/>
                <w:b/>
                <w:color w:val="000000"/>
                <w:sz w:val="28"/>
                <w:szCs w:val="28"/>
              </w:rPr>
            </w:pPr>
            <w:r w:rsidRPr="006C6A35">
              <w:rPr>
                <w:rFonts w:ascii="Arial" w:hAnsi="Arial" w:cs="Arial"/>
                <w:b/>
                <w:color w:val="000000"/>
                <w:sz w:val="28"/>
                <w:szCs w:val="28"/>
              </w:rPr>
              <w:t>Acts</w:t>
            </w:r>
          </w:p>
        </w:tc>
      </w:tr>
      <w:tr w:rsidR="00AD0F23" w:rsidRPr="00A43CC1" w14:paraId="06437A7A" w14:textId="77777777" w:rsidTr="00A43CC1">
        <w:tc>
          <w:tcPr>
            <w:tcW w:w="9016" w:type="dxa"/>
            <w:gridSpan w:val="2"/>
            <w:tcBorders>
              <w:top w:val="nil"/>
              <w:left w:val="nil"/>
              <w:bottom w:val="single" w:sz="4" w:space="0" w:color="auto"/>
              <w:right w:val="nil"/>
            </w:tcBorders>
          </w:tcPr>
          <w:p w14:paraId="32190E39" w14:textId="77777777" w:rsidR="00AD0F23" w:rsidRPr="006C6A35" w:rsidRDefault="00AD0F23" w:rsidP="00A43CC1">
            <w:pPr>
              <w:spacing w:before="120" w:line="257" w:lineRule="auto"/>
              <w:rPr>
                <w:rFonts w:ascii="Arial" w:hAnsi="Arial" w:cs="Arial"/>
                <w:i/>
                <w:sz w:val="22"/>
                <w:szCs w:val="22"/>
              </w:rPr>
            </w:pPr>
            <w:r w:rsidRPr="006C6A35">
              <w:rPr>
                <w:rFonts w:ascii="Arial" w:hAnsi="Arial" w:cs="Arial"/>
                <w:i/>
                <w:sz w:val="22"/>
                <w:szCs w:val="22"/>
              </w:rPr>
              <w:t>Telecommunications Act 1997</w:t>
            </w:r>
          </w:p>
        </w:tc>
      </w:tr>
      <w:tr w:rsidR="00AD0F23" w:rsidRPr="00A43CC1" w14:paraId="3B53B022" w14:textId="77777777" w:rsidTr="00A43CC1">
        <w:tc>
          <w:tcPr>
            <w:tcW w:w="4508" w:type="dxa"/>
            <w:tcBorders>
              <w:top w:val="single" w:sz="4" w:space="0" w:color="auto"/>
              <w:bottom w:val="single" w:sz="4" w:space="0" w:color="auto"/>
            </w:tcBorders>
          </w:tcPr>
          <w:p w14:paraId="65BE3EA9" w14:textId="77777777" w:rsidR="00AD0F23" w:rsidRPr="006C6A35" w:rsidRDefault="00AD0F23" w:rsidP="00054E97">
            <w:pPr>
              <w:rPr>
                <w:rFonts w:ascii="Arial" w:hAnsi="Arial" w:cs="Arial"/>
                <w:b/>
                <w:sz w:val="22"/>
                <w:szCs w:val="22"/>
              </w:rPr>
            </w:pPr>
            <w:r w:rsidRPr="006C6A35">
              <w:rPr>
                <w:rFonts w:ascii="Arial" w:hAnsi="Arial" w:cs="Arial"/>
                <w:b/>
                <w:sz w:val="22"/>
                <w:szCs w:val="22"/>
              </w:rPr>
              <w:t>Existing provisions</w:t>
            </w:r>
          </w:p>
        </w:tc>
        <w:tc>
          <w:tcPr>
            <w:tcW w:w="4508" w:type="dxa"/>
            <w:tcBorders>
              <w:top w:val="single" w:sz="4" w:space="0" w:color="auto"/>
              <w:bottom w:val="single" w:sz="4" w:space="0" w:color="auto"/>
            </w:tcBorders>
          </w:tcPr>
          <w:p w14:paraId="4E76B6E8" w14:textId="77777777" w:rsidR="00AD0F23" w:rsidRPr="006C6A35" w:rsidRDefault="00AD0F23" w:rsidP="00054E97">
            <w:pPr>
              <w:rPr>
                <w:rFonts w:ascii="Arial" w:hAnsi="Arial" w:cs="Arial"/>
                <w:b/>
                <w:sz w:val="22"/>
                <w:szCs w:val="22"/>
              </w:rPr>
            </w:pPr>
            <w:r w:rsidRPr="006C6A35">
              <w:rPr>
                <w:rFonts w:ascii="Arial" w:hAnsi="Arial" w:cs="Arial"/>
                <w:b/>
                <w:sz w:val="22"/>
                <w:szCs w:val="22"/>
              </w:rPr>
              <w:t>New provisions</w:t>
            </w:r>
          </w:p>
        </w:tc>
      </w:tr>
      <w:tr w:rsidR="00AD0F23" w:rsidRPr="00A43CC1" w14:paraId="215BD59D" w14:textId="77777777" w:rsidTr="006C6A35">
        <w:tc>
          <w:tcPr>
            <w:tcW w:w="4508" w:type="dxa"/>
            <w:tcBorders>
              <w:bottom w:val="single" w:sz="4" w:space="0" w:color="auto"/>
            </w:tcBorders>
          </w:tcPr>
          <w:p w14:paraId="1498D7A1" w14:textId="77777777" w:rsidR="00AD0F23" w:rsidRPr="006C6A35" w:rsidRDefault="00AD0F23" w:rsidP="00054E97">
            <w:pPr>
              <w:pStyle w:val="ListParagraph"/>
              <w:keepLines/>
              <w:numPr>
                <w:ilvl w:val="0"/>
                <w:numId w:val="34"/>
              </w:numPr>
              <w:tabs>
                <w:tab w:val="right" w:pos="1191"/>
              </w:tabs>
              <w:spacing w:before="60" w:line="260" w:lineRule="exact"/>
              <w:ind w:left="566" w:hanging="567"/>
              <w:contextualSpacing w:val="0"/>
              <w:jc w:val="both"/>
              <w:rPr>
                <w:rFonts w:ascii="Arial" w:hAnsi="Arial" w:cs="Arial"/>
                <w:sz w:val="22"/>
                <w:szCs w:val="22"/>
              </w:rPr>
            </w:pPr>
            <w:r w:rsidRPr="006C6A35">
              <w:rPr>
                <w:rFonts w:ascii="Arial" w:hAnsi="Arial" w:cs="Arial"/>
                <w:sz w:val="22"/>
                <w:szCs w:val="22"/>
              </w:rPr>
              <w:t xml:space="preserve">subsection </w:t>
            </w:r>
            <w:proofErr w:type="gramStart"/>
            <w:r w:rsidRPr="006C6A35">
              <w:rPr>
                <w:rFonts w:ascii="Arial" w:hAnsi="Arial" w:cs="Arial"/>
                <w:sz w:val="22"/>
                <w:szCs w:val="22"/>
              </w:rPr>
              <w:t>102(4);</w:t>
            </w:r>
            <w:proofErr w:type="gramEnd"/>
          </w:p>
          <w:p w14:paraId="4694F5B5" w14:textId="77777777" w:rsidR="00AD0F23" w:rsidRPr="006C6A35" w:rsidRDefault="00AD0F23" w:rsidP="00054E97">
            <w:pPr>
              <w:pStyle w:val="ListParagraph"/>
              <w:keepLines/>
              <w:numPr>
                <w:ilvl w:val="0"/>
                <w:numId w:val="34"/>
              </w:numPr>
              <w:tabs>
                <w:tab w:val="right" w:pos="1191"/>
              </w:tabs>
              <w:spacing w:before="60" w:line="260" w:lineRule="exact"/>
              <w:ind w:left="567" w:hanging="567"/>
              <w:contextualSpacing w:val="0"/>
              <w:jc w:val="both"/>
              <w:rPr>
                <w:rFonts w:ascii="Arial" w:hAnsi="Arial" w:cs="Arial"/>
                <w:sz w:val="22"/>
                <w:szCs w:val="22"/>
              </w:rPr>
            </w:pPr>
            <w:r w:rsidRPr="006C6A35">
              <w:rPr>
                <w:rFonts w:ascii="Arial" w:hAnsi="Arial" w:cs="Arial"/>
                <w:sz w:val="22"/>
                <w:szCs w:val="22"/>
              </w:rPr>
              <w:t xml:space="preserve">section </w:t>
            </w:r>
            <w:proofErr w:type="gramStart"/>
            <w:r w:rsidRPr="006C6A35">
              <w:rPr>
                <w:rFonts w:ascii="Arial" w:hAnsi="Arial" w:cs="Arial"/>
                <w:sz w:val="22"/>
                <w:szCs w:val="22"/>
              </w:rPr>
              <w:t>308;</w:t>
            </w:r>
            <w:proofErr w:type="gramEnd"/>
          </w:p>
          <w:p w14:paraId="5BA2FFC3" w14:textId="77777777" w:rsidR="00AD0F23" w:rsidRPr="006C6A35" w:rsidRDefault="00AD0F23" w:rsidP="00054E97">
            <w:pPr>
              <w:pStyle w:val="ListParagraph"/>
              <w:keepLines/>
              <w:tabs>
                <w:tab w:val="right" w:pos="1191"/>
              </w:tabs>
              <w:spacing w:before="60" w:line="260" w:lineRule="exact"/>
              <w:ind w:left="566" w:hanging="567"/>
              <w:contextualSpacing w:val="0"/>
              <w:jc w:val="both"/>
              <w:rPr>
                <w:rFonts w:ascii="Arial" w:hAnsi="Arial" w:cs="Arial"/>
                <w:sz w:val="22"/>
                <w:szCs w:val="22"/>
              </w:rPr>
            </w:pPr>
            <w:r w:rsidRPr="006C6A35">
              <w:rPr>
                <w:rFonts w:ascii="Arial" w:hAnsi="Arial" w:cs="Arial"/>
                <w:sz w:val="22"/>
                <w:szCs w:val="22"/>
              </w:rPr>
              <w:t>(ze)</w:t>
            </w:r>
            <w:r w:rsidRPr="006C6A35">
              <w:rPr>
                <w:rFonts w:ascii="Arial" w:hAnsi="Arial" w:cs="Arial"/>
                <w:sz w:val="22"/>
                <w:szCs w:val="22"/>
              </w:rPr>
              <w:tab/>
              <w:t xml:space="preserve">subsection </w:t>
            </w:r>
            <w:proofErr w:type="gramStart"/>
            <w:r w:rsidRPr="006C6A35">
              <w:rPr>
                <w:rFonts w:ascii="Arial" w:hAnsi="Arial" w:cs="Arial"/>
                <w:sz w:val="22"/>
                <w:szCs w:val="22"/>
              </w:rPr>
              <w:t>462(1);</w:t>
            </w:r>
            <w:proofErr w:type="gramEnd"/>
          </w:p>
          <w:p w14:paraId="173AC1F8" w14:textId="77777777" w:rsidR="00AD0F23" w:rsidRPr="006C6A35" w:rsidRDefault="00AD0F23" w:rsidP="00054E97">
            <w:pPr>
              <w:keepLines/>
              <w:tabs>
                <w:tab w:val="right" w:pos="1191"/>
              </w:tabs>
              <w:spacing w:before="60" w:line="260" w:lineRule="exact"/>
              <w:ind w:left="567" w:hanging="567"/>
              <w:jc w:val="both"/>
              <w:rPr>
                <w:rFonts w:ascii="Arial" w:hAnsi="Arial" w:cs="Arial"/>
                <w:sz w:val="22"/>
                <w:szCs w:val="22"/>
              </w:rPr>
            </w:pPr>
            <w:r w:rsidRPr="006C6A35">
              <w:rPr>
                <w:rFonts w:ascii="Arial" w:hAnsi="Arial" w:cs="Arial"/>
                <w:sz w:val="22"/>
                <w:szCs w:val="22"/>
              </w:rPr>
              <w:t>(</w:t>
            </w:r>
            <w:proofErr w:type="spellStart"/>
            <w:r w:rsidRPr="006C6A35">
              <w:rPr>
                <w:rFonts w:ascii="Arial" w:hAnsi="Arial" w:cs="Arial"/>
                <w:sz w:val="22"/>
                <w:szCs w:val="22"/>
              </w:rPr>
              <w:t>zg</w:t>
            </w:r>
            <w:proofErr w:type="spellEnd"/>
            <w:r w:rsidRPr="006C6A35">
              <w:rPr>
                <w:rFonts w:ascii="Arial" w:hAnsi="Arial" w:cs="Arial"/>
                <w:sz w:val="22"/>
                <w:szCs w:val="22"/>
              </w:rPr>
              <w:t>)</w:t>
            </w:r>
            <w:r w:rsidRPr="006C6A35">
              <w:rPr>
                <w:rFonts w:ascii="Arial" w:hAnsi="Arial" w:cs="Arial"/>
                <w:sz w:val="22"/>
                <w:szCs w:val="22"/>
              </w:rPr>
              <w:tab/>
              <w:t xml:space="preserve">section </w:t>
            </w:r>
            <w:proofErr w:type="gramStart"/>
            <w:r w:rsidRPr="006C6A35">
              <w:rPr>
                <w:rFonts w:ascii="Arial" w:hAnsi="Arial" w:cs="Arial"/>
                <w:sz w:val="22"/>
                <w:szCs w:val="22"/>
              </w:rPr>
              <w:t>530;</w:t>
            </w:r>
            <w:proofErr w:type="gramEnd"/>
          </w:p>
          <w:p w14:paraId="443010AC" w14:textId="77777777" w:rsidR="00AD0F23" w:rsidRPr="006C6A35" w:rsidRDefault="00AD0F23" w:rsidP="00054E97">
            <w:pPr>
              <w:keepLines/>
              <w:spacing w:before="60" w:line="260" w:lineRule="exact"/>
              <w:ind w:left="566" w:hanging="567"/>
              <w:jc w:val="both"/>
              <w:rPr>
                <w:rFonts w:ascii="Arial" w:hAnsi="Arial" w:cs="Arial"/>
                <w:sz w:val="22"/>
                <w:szCs w:val="22"/>
              </w:rPr>
            </w:pPr>
            <w:r w:rsidRPr="006C6A35">
              <w:rPr>
                <w:rFonts w:ascii="Arial" w:hAnsi="Arial" w:cs="Arial"/>
                <w:sz w:val="22"/>
                <w:szCs w:val="22"/>
              </w:rPr>
              <w:t>(</w:t>
            </w:r>
            <w:proofErr w:type="spellStart"/>
            <w:r w:rsidRPr="006C6A35">
              <w:rPr>
                <w:rFonts w:ascii="Arial" w:hAnsi="Arial" w:cs="Arial"/>
                <w:sz w:val="22"/>
                <w:szCs w:val="22"/>
              </w:rPr>
              <w:t>zh</w:t>
            </w:r>
            <w:proofErr w:type="spellEnd"/>
            <w:r w:rsidRPr="006C6A35">
              <w:rPr>
                <w:rFonts w:ascii="Arial" w:hAnsi="Arial" w:cs="Arial"/>
                <w:sz w:val="22"/>
                <w:szCs w:val="22"/>
              </w:rPr>
              <w:t>)</w:t>
            </w:r>
            <w:r w:rsidRPr="006C6A35">
              <w:rPr>
                <w:rFonts w:ascii="Arial" w:hAnsi="Arial" w:cs="Arial"/>
                <w:sz w:val="22"/>
                <w:szCs w:val="22"/>
              </w:rPr>
              <w:tab/>
              <w:t xml:space="preserve">subclause 10(2) of Schedule </w:t>
            </w:r>
            <w:proofErr w:type="gramStart"/>
            <w:r w:rsidRPr="006C6A35">
              <w:rPr>
                <w:rFonts w:ascii="Arial" w:hAnsi="Arial" w:cs="Arial"/>
                <w:sz w:val="22"/>
                <w:szCs w:val="22"/>
              </w:rPr>
              <w:t>2;</w:t>
            </w:r>
            <w:proofErr w:type="gramEnd"/>
          </w:p>
          <w:p w14:paraId="02FC7E90" w14:textId="77777777" w:rsidR="00AD0F23" w:rsidRPr="006C6A35" w:rsidRDefault="00AD0F23" w:rsidP="00054E97">
            <w:pPr>
              <w:rPr>
                <w:rFonts w:ascii="Arial" w:hAnsi="Arial" w:cs="Arial"/>
                <w:b/>
                <w:sz w:val="22"/>
                <w:szCs w:val="22"/>
              </w:rPr>
            </w:pPr>
            <w:r w:rsidRPr="006C6A35">
              <w:rPr>
                <w:rFonts w:ascii="Arial" w:hAnsi="Arial" w:cs="Arial"/>
                <w:sz w:val="22"/>
                <w:szCs w:val="22"/>
              </w:rPr>
              <w:t>(</w:t>
            </w:r>
            <w:proofErr w:type="gramStart"/>
            <w:r w:rsidRPr="006C6A35">
              <w:rPr>
                <w:rFonts w:ascii="Arial" w:hAnsi="Arial" w:cs="Arial"/>
                <w:sz w:val="22"/>
                <w:szCs w:val="22"/>
              </w:rPr>
              <w:t xml:space="preserve">zi)   </w:t>
            </w:r>
            <w:proofErr w:type="gramEnd"/>
            <w:r w:rsidRPr="006C6A35">
              <w:rPr>
                <w:rFonts w:ascii="Arial" w:hAnsi="Arial" w:cs="Arial"/>
                <w:sz w:val="22"/>
                <w:szCs w:val="22"/>
              </w:rPr>
              <w:t xml:space="preserve"> subclause 11(2) of Schedule 2.</w:t>
            </w:r>
          </w:p>
        </w:tc>
        <w:tc>
          <w:tcPr>
            <w:tcW w:w="4508" w:type="dxa"/>
            <w:tcBorders>
              <w:bottom w:val="single" w:sz="4" w:space="0" w:color="auto"/>
            </w:tcBorders>
          </w:tcPr>
          <w:p w14:paraId="2B901941" w14:textId="77777777" w:rsidR="00AD0F23" w:rsidRPr="006C6A35" w:rsidRDefault="00AD0F23" w:rsidP="00054E97">
            <w:pPr>
              <w:pStyle w:val="ListParagraph"/>
              <w:keepLines/>
              <w:numPr>
                <w:ilvl w:val="0"/>
                <w:numId w:val="34"/>
              </w:numPr>
              <w:tabs>
                <w:tab w:val="right" w:pos="1191"/>
              </w:tabs>
              <w:spacing w:before="60" w:line="260" w:lineRule="exact"/>
              <w:ind w:left="567" w:hanging="567"/>
              <w:contextualSpacing w:val="0"/>
              <w:jc w:val="both"/>
              <w:rPr>
                <w:rFonts w:ascii="Arial" w:hAnsi="Arial" w:cs="Arial"/>
                <w:sz w:val="22"/>
                <w:szCs w:val="22"/>
              </w:rPr>
            </w:pPr>
            <w:r w:rsidRPr="006C6A35">
              <w:rPr>
                <w:rFonts w:ascii="Arial" w:hAnsi="Arial" w:cs="Arial"/>
                <w:sz w:val="22"/>
                <w:szCs w:val="22"/>
              </w:rPr>
              <w:t xml:space="preserve">subsection </w:t>
            </w:r>
            <w:proofErr w:type="gramStart"/>
            <w:r w:rsidRPr="006C6A35">
              <w:rPr>
                <w:rFonts w:ascii="Arial" w:hAnsi="Arial" w:cs="Arial"/>
                <w:sz w:val="22"/>
                <w:szCs w:val="22"/>
              </w:rPr>
              <w:t>69(4);</w:t>
            </w:r>
            <w:proofErr w:type="gramEnd"/>
            <w:r w:rsidRPr="006C6A35">
              <w:rPr>
                <w:rFonts w:ascii="Arial" w:hAnsi="Arial" w:cs="Arial"/>
                <w:sz w:val="22"/>
                <w:szCs w:val="22"/>
              </w:rPr>
              <w:tab/>
            </w:r>
          </w:p>
          <w:p w14:paraId="52259C45"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360H(2)(d</w:t>
            </w:r>
            <w:proofErr w:type="gramStart"/>
            <w:r w:rsidRPr="006C6A35">
              <w:rPr>
                <w:rFonts w:ascii="Arial" w:hAnsi="Arial" w:cs="Arial"/>
                <w:sz w:val="22"/>
                <w:szCs w:val="22"/>
              </w:rPr>
              <w:t>);</w:t>
            </w:r>
            <w:proofErr w:type="gramEnd"/>
          </w:p>
          <w:p w14:paraId="07E8E2C1"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360H(2)(e</w:t>
            </w:r>
            <w:proofErr w:type="gramStart"/>
            <w:r w:rsidRPr="006C6A35">
              <w:rPr>
                <w:rFonts w:ascii="Arial" w:hAnsi="Arial" w:cs="Arial"/>
                <w:sz w:val="22"/>
                <w:szCs w:val="22"/>
              </w:rPr>
              <w:t>);</w:t>
            </w:r>
            <w:proofErr w:type="gramEnd"/>
          </w:p>
          <w:p w14:paraId="0C4FB7DF"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360H(4)(d</w:t>
            </w:r>
            <w:proofErr w:type="gramStart"/>
            <w:r w:rsidRPr="006C6A35">
              <w:rPr>
                <w:rFonts w:ascii="Arial" w:hAnsi="Arial" w:cs="Arial"/>
                <w:sz w:val="22"/>
                <w:szCs w:val="22"/>
              </w:rPr>
              <w:t>);</w:t>
            </w:r>
            <w:proofErr w:type="gramEnd"/>
          </w:p>
          <w:p w14:paraId="694D8A80"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360H(4)(e</w:t>
            </w:r>
            <w:proofErr w:type="gramStart"/>
            <w:r w:rsidRPr="006C6A35">
              <w:rPr>
                <w:rFonts w:ascii="Arial" w:hAnsi="Arial" w:cs="Arial"/>
                <w:sz w:val="22"/>
                <w:szCs w:val="22"/>
              </w:rPr>
              <w:t>);</w:t>
            </w:r>
            <w:proofErr w:type="gramEnd"/>
          </w:p>
          <w:p w14:paraId="5EC73BF2"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w:t>
            </w:r>
            <w:proofErr w:type="gramStart"/>
            <w:r w:rsidRPr="006C6A35">
              <w:rPr>
                <w:rFonts w:ascii="Arial" w:hAnsi="Arial" w:cs="Arial"/>
                <w:sz w:val="22"/>
                <w:szCs w:val="22"/>
              </w:rPr>
              <w:t>H(</w:t>
            </w:r>
            <w:proofErr w:type="gramEnd"/>
            <w:r w:rsidRPr="006C6A35">
              <w:rPr>
                <w:rFonts w:ascii="Arial" w:hAnsi="Arial" w:cs="Arial"/>
                <w:sz w:val="22"/>
                <w:szCs w:val="22"/>
              </w:rPr>
              <w:t>8);</w:t>
            </w:r>
          </w:p>
          <w:p w14:paraId="1C539EE3"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w:t>
            </w:r>
            <w:proofErr w:type="gramStart"/>
            <w:r w:rsidRPr="006C6A35">
              <w:rPr>
                <w:rFonts w:ascii="Arial" w:hAnsi="Arial" w:cs="Arial"/>
                <w:sz w:val="22"/>
                <w:szCs w:val="22"/>
              </w:rPr>
              <w:t>H(</w:t>
            </w:r>
            <w:proofErr w:type="gramEnd"/>
            <w:r w:rsidRPr="006C6A35">
              <w:rPr>
                <w:rFonts w:ascii="Arial" w:hAnsi="Arial" w:cs="Arial"/>
                <w:sz w:val="22"/>
                <w:szCs w:val="22"/>
              </w:rPr>
              <w:t>9);</w:t>
            </w:r>
          </w:p>
          <w:p w14:paraId="4F033A7D"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360HA(1)(c</w:t>
            </w:r>
            <w:proofErr w:type="gramStart"/>
            <w:r w:rsidRPr="006C6A35">
              <w:rPr>
                <w:rFonts w:ascii="Arial" w:hAnsi="Arial" w:cs="Arial"/>
                <w:sz w:val="22"/>
                <w:szCs w:val="22"/>
              </w:rPr>
              <w:t>);</w:t>
            </w:r>
            <w:proofErr w:type="gramEnd"/>
          </w:p>
          <w:p w14:paraId="49E7A6F3"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360HA(1)(d</w:t>
            </w:r>
            <w:proofErr w:type="gramStart"/>
            <w:r w:rsidRPr="006C6A35">
              <w:rPr>
                <w:rFonts w:ascii="Arial" w:hAnsi="Arial" w:cs="Arial"/>
                <w:sz w:val="22"/>
                <w:szCs w:val="22"/>
              </w:rPr>
              <w:t>);</w:t>
            </w:r>
            <w:proofErr w:type="gramEnd"/>
          </w:p>
          <w:p w14:paraId="56FC9470"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360HA(3)(c</w:t>
            </w:r>
            <w:proofErr w:type="gramStart"/>
            <w:r w:rsidRPr="006C6A35">
              <w:rPr>
                <w:rFonts w:ascii="Arial" w:hAnsi="Arial" w:cs="Arial"/>
                <w:sz w:val="22"/>
                <w:szCs w:val="22"/>
              </w:rPr>
              <w:t>);</w:t>
            </w:r>
            <w:proofErr w:type="gramEnd"/>
          </w:p>
          <w:p w14:paraId="32D77690"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360HA(3)(d</w:t>
            </w:r>
            <w:proofErr w:type="gramStart"/>
            <w:r w:rsidRPr="006C6A35">
              <w:rPr>
                <w:rFonts w:ascii="Arial" w:hAnsi="Arial" w:cs="Arial"/>
                <w:sz w:val="22"/>
                <w:szCs w:val="22"/>
              </w:rPr>
              <w:t>);</w:t>
            </w:r>
            <w:proofErr w:type="gramEnd"/>
          </w:p>
          <w:p w14:paraId="0EEC3F0B"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w:t>
            </w:r>
            <w:proofErr w:type="gramStart"/>
            <w:r w:rsidRPr="006C6A35">
              <w:rPr>
                <w:rFonts w:ascii="Arial" w:hAnsi="Arial" w:cs="Arial"/>
                <w:sz w:val="22"/>
                <w:szCs w:val="22"/>
              </w:rPr>
              <w:t>LA(</w:t>
            </w:r>
            <w:proofErr w:type="gramEnd"/>
            <w:r w:rsidRPr="006C6A35">
              <w:rPr>
                <w:rFonts w:ascii="Arial" w:hAnsi="Arial" w:cs="Arial"/>
                <w:sz w:val="22"/>
                <w:szCs w:val="22"/>
              </w:rPr>
              <w:t>1);</w:t>
            </w:r>
          </w:p>
          <w:p w14:paraId="183B3C79"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w:t>
            </w:r>
            <w:proofErr w:type="gramStart"/>
            <w:r w:rsidRPr="006C6A35">
              <w:rPr>
                <w:rFonts w:ascii="Arial" w:hAnsi="Arial" w:cs="Arial"/>
                <w:sz w:val="22"/>
                <w:szCs w:val="22"/>
              </w:rPr>
              <w:t>LA(</w:t>
            </w:r>
            <w:proofErr w:type="gramEnd"/>
            <w:r w:rsidRPr="006C6A35">
              <w:rPr>
                <w:rFonts w:ascii="Arial" w:hAnsi="Arial" w:cs="Arial"/>
                <w:sz w:val="22"/>
                <w:szCs w:val="22"/>
              </w:rPr>
              <w:t>2);</w:t>
            </w:r>
          </w:p>
          <w:p w14:paraId="338BBFA1"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w:t>
            </w:r>
            <w:proofErr w:type="gramStart"/>
            <w:r w:rsidRPr="006C6A35">
              <w:rPr>
                <w:rFonts w:ascii="Arial" w:hAnsi="Arial" w:cs="Arial"/>
                <w:sz w:val="22"/>
                <w:szCs w:val="22"/>
              </w:rPr>
              <w:t>P(</w:t>
            </w:r>
            <w:proofErr w:type="gramEnd"/>
            <w:r w:rsidRPr="006C6A35">
              <w:rPr>
                <w:rFonts w:ascii="Arial" w:hAnsi="Arial" w:cs="Arial"/>
                <w:sz w:val="22"/>
                <w:szCs w:val="22"/>
              </w:rPr>
              <w:t>1);</w:t>
            </w:r>
          </w:p>
          <w:p w14:paraId="13435CE1"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w:t>
            </w:r>
            <w:proofErr w:type="gramStart"/>
            <w:r w:rsidRPr="006C6A35">
              <w:rPr>
                <w:rFonts w:ascii="Arial" w:hAnsi="Arial" w:cs="Arial"/>
                <w:sz w:val="22"/>
                <w:szCs w:val="22"/>
              </w:rPr>
              <w:t>P(</w:t>
            </w:r>
            <w:proofErr w:type="gramEnd"/>
            <w:r w:rsidRPr="006C6A35">
              <w:rPr>
                <w:rFonts w:ascii="Arial" w:hAnsi="Arial" w:cs="Arial"/>
                <w:sz w:val="22"/>
                <w:szCs w:val="22"/>
              </w:rPr>
              <w:t>8);</w:t>
            </w:r>
          </w:p>
          <w:p w14:paraId="1A4EF1F7"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w:t>
            </w:r>
            <w:proofErr w:type="gramStart"/>
            <w:r w:rsidRPr="006C6A35">
              <w:rPr>
                <w:rFonts w:ascii="Arial" w:hAnsi="Arial" w:cs="Arial"/>
                <w:sz w:val="22"/>
                <w:szCs w:val="22"/>
              </w:rPr>
              <w:t>P(</w:t>
            </w:r>
            <w:proofErr w:type="gramEnd"/>
            <w:r w:rsidRPr="006C6A35">
              <w:rPr>
                <w:rFonts w:ascii="Arial" w:hAnsi="Arial" w:cs="Arial"/>
                <w:sz w:val="22"/>
                <w:szCs w:val="22"/>
              </w:rPr>
              <w:t>9);</w:t>
            </w:r>
          </w:p>
          <w:p w14:paraId="61A55C7B"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360P(11A</w:t>
            </w:r>
            <w:proofErr w:type="gramStart"/>
            <w:r w:rsidRPr="006C6A35">
              <w:rPr>
                <w:rFonts w:ascii="Arial" w:hAnsi="Arial" w:cs="Arial"/>
                <w:sz w:val="22"/>
                <w:szCs w:val="22"/>
              </w:rPr>
              <w:t>);</w:t>
            </w:r>
            <w:proofErr w:type="gramEnd"/>
          </w:p>
          <w:p w14:paraId="1FD9CD07"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360P(12)(c</w:t>
            </w:r>
            <w:proofErr w:type="gramStart"/>
            <w:r w:rsidRPr="006C6A35">
              <w:rPr>
                <w:rFonts w:ascii="Arial" w:hAnsi="Arial" w:cs="Arial"/>
                <w:sz w:val="22"/>
                <w:szCs w:val="22"/>
              </w:rPr>
              <w:t>);</w:t>
            </w:r>
            <w:proofErr w:type="gramEnd"/>
          </w:p>
          <w:p w14:paraId="019B4011"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paragraph 360P(12)(d</w:t>
            </w:r>
            <w:proofErr w:type="gramStart"/>
            <w:r w:rsidRPr="006C6A35">
              <w:rPr>
                <w:rFonts w:ascii="Arial" w:hAnsi="Arial" w:cs="Arial"/>
                <w:sz w:val="22"/>
                <w:szCs w:val="22"/>
              </w:rPr>
              <w:t>);</w:t>
            </w:r>
            <w:proofErr w:type="gramEnd"/>
          </w:p>
          <w:p w14:paraId="3BF57A55"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w:t>
            </w:r>
            <w:proofErr w:type="gramStart"/>
            <w:r w:rsidRPr="006C6A35">
              <w:rPr>
                <w:rFonts w:ascii="Arial" w:hAnsi="Arial" w:cs="Arial"/>
                <w:sz w:val="22"/>
                <w:szCs w:val="22"/>
              </w:rPr>
              <w:t>Q(</w:t>
            </w:r>
            <w:proofErr w:type="gramEnd"/>
            <w:r w:rsidRPr="006C6A35">
              <w:rPr>
                <w:rFonts w:ascii="Arial" w:hAnsi="Arial" w:cs="Arial"/>
                <w:sz w:val="22"/>
                <w:szCs w:val="22"/>
              </w:rPr>
              <w:t>1);</w:t>
            </w:r>
          </w:p>
          <w:p w14:paraId="5362E486" w14:textId="77777777" w:rsidR="00AD0F23" w:rsidRPr="006C6A35" w:rsidRDefault="00AD0F23" w:rsidP="00054E97">
            <w:pPr>
              <w:pStyle w:val="ListParagraph"/>
              <w:keepLines/>
              <w:numPr>
                <w:ilvl w:val="0"/>
                <w:numId w:val="34"/>
              </w:numPr>
              <w:tabs>
                <w:tab w:val="right" w:pos="1191"/>
              </w:tabs>
              <w:spacing w:before="60" w:line="260" w:lineRule="exact"/>
              <w:ind w:left="570" w:hanging="570"/>
              <w:contextualSpacing w:val="0"/>
              <w:jc w:val="both"/>
              <w:rPr>
                <w:rFonts w:ascii="Arial" w:hAnsi="Arial" w:cs="Arial"/>
                <w:sz w:val="22"/>
                <w:szCs w:val="22"/>
              </w:rPr>
            </w:pPr>
            <w:r w:rsidRPr="006C6A35">
              <w:rPr>
                <w:rFonts w:ascii="Arial" w:hAnsi="Arial" w:cs="Arial"/>
                <w:sz w:val="22"/>
                <w:szCs w:val="22"/>
              </w:rPr>
              <w:t>subsection 360</w:t>
            </w:r>
            <w:proofErr w:type="gramStart"/>
            <w:r w:rsidRPr="006C6A35">
              <w:rPr>
                <w:rFonts w:ascii="Arial" w:hAnsi="Arial" w:cs="Arial"/>
                <w:sz w:val="22"/>
                <w:szCs w:val="22"/>
              </w:rPr>
              <w:t>Q(</w:t>
            </w:r>
            <w:proofErr w:type="gramEnd"/>
            <w:r w:rsidRPr="006C6A35">
              <w:rPr>
                <w:rFonts w:ascii="Arial" w:hAnsi="Arial" w:cs="Arial"/>
                <w:sz w:val="22"/>
                <w:szCs w:val="22"/>
              </w:rPr>
              <w:t>9);</w:t>
            </w:r>
          </w:p>
          <w:p w14:paraId="13E5BF3A" w14:textId="77777777" w:rsidR="00AD0F23" w:rsidRPr="006C6A35" w:rsidRDefault="00AD0F23" w:rsidP="00054E97">
            <w:pPr>
              <w:pStyle w:val="ListParagraph"/>
              <w:keepLines/>
              <w:tabs>
                <w:tab w:val="right" w:pos="1191"/>
              </w:tabs>
              <w:spacing w:before="60" w:line="260" w:lineRule="exact"/>
              <w:ind w:left="567" w:hanging="567"/>
              <w:contextualSpacing w:val="0"/>
              <w:jc w:val="both"/>
              <w:rPr>
                <w:rFonts w:ascii="Arial" w:hAnsi="Arial" w:cs="Arial"/>
                <w:sz w:val="22"/>
                <w:szCs w:val="22"/>
              </w:rPr>
            </w:pPr>
            <w:r w:rsidRPr="006C6A35">
              <w:rPr>
                <w:rFonts w:ascii="Arial" w:hAnsi="Arial" w:cs="Arial"/>
                <w:sz w:val="22"/>
                <w:szCs w:val="22"/>
              </w:rPr>
              <w:t xml:space="preserve">(x) </w:t>
            </w:r>
            <w:r w:rsidRPr="006C6A35">
              <w:rPr>
                <w:rFonts w:ascii="Arial" w:hAnsi="Arial" w:cs="Arial"/>
                <w:sz w:val="22"/>
                <w:szCs w:val="22"/>
              </w:rPr>
              <w:tab/>
              <w:t>subsection 360</w:t>
            </w:r>
            <w:proofErr w:type="gramStart"/>
            <w:r w:rsidRPr="006C6A35">
              <w:rPr>
                <w:rFonts w:ascii="Arial" w:hAnsi="Arial" w:cs="Arial"/>
                <w:sz w:val="22"/>
                <w:szCs w:val="22"/>
              </w:rPr>
              <w:t>Q(</w:t>
            </w:r>
            <w:proofErr w:type="gramEnd"/>
            <w:r w:rsidRPr="006C6A35">
              <w:rPr>
                <w:rFonts w:ascii="Arial" w:hAnsi="Arial" w:cs="Arial"/>
                <w:sz w:val="22"/>
                <w:szCs w:val="22"/>
              </w:rPr>
              <w:t>10);</w:t>
            </w:r>
          </w:p>
          <w:p w14:paraId="6FE5BFAD" w14:textId="77777777" w:rsidR="00AD0F23" w:rsidRPr="006C6A35" w:rsidRDefault="00AD0F23" w:rsidP="00054E97">
            <w:pPr>
              <w:pStyle w:val="ListParagraph"/>
              <w:keepLines/>
              <w:tabs>
                <w:tab w:val="right" w:pos="1191"/>
              </w:tabs>
              <w:spacing w:before="60" w:line="260" w:lineRule="exact"/>
              <w:ind w:left="566" w:hanging="567"/>
              <w:contextualSpacing w:val="0"/>
              <w:jc w:val="both"/>
              <w:rPr>
                <w:rFonts w:ascii="Arial" w:hAnsi="Arial" w:cs="Arial"/>
                <w:sz w:val="22"/>
                <w:szCs w:val="22"/>
              </w:rPr>
            </w:pPr>
            <w:r w:rsidRPr="006C6A35">
              <w:rPr>
                <w:rFonts w:ascii="Arial" w:hAnsi="Arial" w:cs="Arial"/>
                <w:sz w:val="22"/>
                <w:szCs w:val="22"/>
              </w:rPr>
              <w:t xml:space="preserve">(y) </w:t>
            </w:r>
            <w:r w:rsidRPr="006C6A35">
              <w:rPr>
                <w:rFonts w:ascii="Arial" w:hAnsi="Arial" w:cs="Arial"/>
                <w:sz w:val="22"/>
                <w:szCs w:val="22"/>
              </w:rPr>
              <w:tab/>
              <w:t>subsection 360</w:t>
            </w:r>
            <w:proofErr w:type="gramStart"/>
            <w:r w:rsidRPr="006C6A35">
              <w:rPr>
                <w:rFonts w:ascii="Arial" w:hAnsi="Arial" w:cs="Arial"/>
                <w:sz w:val="22"/>
                <w:szCs w:val="22"/>
              </w:rPr>
              <w:t>R(</w:t>
            </w:r>
            <w:proofErr w:type="gramEnd"/>
            <w:r w:rsidRPr="006C6A35">
              <w:rPr>
                <w:rFonts w:ascii="Arial" w:hAnsi="Arial" w:cs="Arial"/>
                <w:sz w:val="22"/>
                <w:szCs w:val="22"/>
              </w:rPr>
              <w:t>2);</w:t>
            </w:r>
          </w:p>
          <w:p w14:paraId="5BF7451C" w14:textId="77777777" w:rsidR="00AD0F23" w:rsidRPr="006C6A35" w:rsidRDefault="00AD0F23" w:rsidP="00054E97">
            <w:pPr>
              <w:pStyle w:val="ListParagraph"/>
              <w:keepLines/>
              <w:tabs>
                <w:tab w:val="right" w:pos="1191"/>
              </w:tabs>
              <w:spacing w:before="60" w:line="260" w:lineRule="exact"/>
              <w:ind w:left="566" w:hanging="567"/>
              <w:contextualSpacing w:val="0"/>
              <w:jc w:val="both"/>
              <w:rPr>
                <w:rFonts w:ascii="Arial" w:hAnsi="Arial" w:cs="Arial"/>
                <w:sz w:val="22"/>
                <w:szCs w:val="22"/>
              </w:rPr>
            </w:pPr>
            <w:r w:rsidRPr="006C6A35">
              <w:rPr>
                <w:rFonts w:ascii="Arial" w:hAnsi="Arial" w:cs="Arial"/>
                <w:sz w:val="22"/>
                <w:szCs w:val="22"/>
              </w:rPr>
              <w:t xml:space="preserve">(z) </w:t>
            </w:r>
            <w:r w:rsidRPr="006C6A35">
              <w:rPr>
                <w:rFonts w:ascii="Arial" w:hAnsi="Arial" w:cs="Arial"/>
                <w:sz w:val="22"/>
                <w:szCs w:val="22"/>
              </w:rPr>
              <w:tab/>
              <w:t>subsection 360</w:t>
            </w:r>
            <w:proofErr w:type="gramStart"/>
            <w:r w:rsidRPr="006C6A35">
              <w:rPr>
                <w:rFonts w:ascii="Arial" w:hAnsi="Arial" w:cs="Arial"/>
                <w:sz w:val="22"/>
                <w:szCs w:val="22"/>
              </w:rPr>
              <w:t>R(</w:t>
            </w:r>
            <w:proofErr w:type="gramEnd"/>
            <w:r w:rsidRPr="006C6A35">
              <w:rPr>
                <w:rFonts w:ascii="Arial" w:hAnsi="Arial" w:cs="Arial"/>
                <w:sz w:val="22"/>
                <w:szCs w:val="22"/>
              </w:rPr>
              <w:t>3);</w:t>
            </w:r>
          </w:p>
          <w:p w14:paraId="3823275A" w14:textId="77777777" w:rsidR="00AD0F23" w:rsidRPr="006C6A35" w:rsidRDefault="00AD0F23" w:rsidP="00054E97">
            <w:pPr>
              <w:pStyle w:val="ListParagraph"/>
              <w:keepLines/>
              <w:tabs>
                <w:tab w:val="right" w:pos="1191"/>
              </w:tabs>
              <w:spacing w:before="60" w:line="260" w:lineRule="exact"/>
              <w:ind w:left="566" w:hanging="567"/>
              <w:contextualSpacing w:val="0"/>
              <w:jc w:val="both"/>
              <w:rPr>
                <w:rFonts w:ascii="Arial" w:hAnsi="Arial" w:cs="Arial"/>
                <w:sz w:val="22"/>
                <w:szCs w:val="22"/>
              </w:rPr>
            </w:pPr>
            <w:r w:rsidRPr="006C6A35">
              <w:rPr>
                <w:rFonts w:ascii="Arial" w:hAnsi="Arial" w:cs="Arial"/>
                <w:sz w:val="22"/>
                <w:szCs w:val="22"/>
              </w:rPr>
              <w:t xml:space="preserve">(za) </w:t>
            </w:r>
            <w:r w:rsidRPr="006C6A35">
              <w:rPr>
                <w:rFonts w:ascii="Arial" w:hAnsi="Arial" w:cs="Arial"/>
                <w:sz w:val="22"/>
                <w:szCs w:val="22"/>
              </w:rPr>
              <w:tab/>
              <w:t>subsection 360</w:t>
            </w:r>
            <w:proofErr w:type="gramStart"/>
            <w:r w:rsidRPr="006C6A35">
              <w:rPr>
                <w:rFonts w:ascii="Arial" w:hAnsi="Arial" w:cs="Arial"/>
                <w:sz w:val="22"/>
                <w:szCs w:val="22"/>
              </w:rPr>
              <w:t>W(</w:t>
            </w:r>
            <w:proofErr w:type="gramEnd"/>
            <w:r w:rsidRPr="006C6A35">
              <w:rPr>
                <w:rFonts w:ascii="Arial" w:hAnsi="Arial" w:cs="Arial"/>
                <w:sz w:val="22"/>
                <w:szCs w:val="22"/>
              </w:rPr>
              <w:t>1);</w:t>
            </w:r>
          </w:p>
          <w:p w14:paraId="37A97BEA" w14:textId="77777777" w:rsidR="00AD0F23" w:rsidRPr="006C6A35" w:rsidRDefault="00AD0F23" w:rsidP="00054E97">
            <w:pPr>
              <w:pStyle w:val="ListParagraph"/>
              <w:keepLines/>
              <w:tabs>
                <w:tab w:val="right" w:pos="1191"/>
              </w:tabs>
              <w:spacing w:before="60" w:line="260" w:lineRule="exact"/>
              <w:ind w:left="566" w:hanging="567"/>
              <w:contextualSpacing w:val="0"/>
              <w:jc w:val="both"/>
              <w:rPr>
                <w:rFonts w:ascii="Arial" w:hAnsi="Arial" w:cs="Arial"/>
                <w:sz w:val="22"/>
                <w:szCs w:val="22"/>
              </w:rPr>
            </w:pPr>
            <w:r w:rsidRPr="006C6A35">
              <w:rPr>
                <w:rFonts w:ascii="Arial" w:hAnsi="Arial" w:cs="Arial"/>
                <w:sz w:val="22"/>
                <w:szCs w:val="22"/>
              </w:rPr>
              <w:t>(</w:t>
            </w:r>
            <w:proofErr w:type="spellStart"/>
            <w:r w:rsidRPr="006C6A35">
              <w:rPr>
                <w:rFonts w:ascii="Arial" w:hAnsi="Arial" w:cs="Arial"/>
                <w:sz w:val="22"/>
                <w:szCs w:val="22"/>
              </w:rPr>
              <w:t>zb</w:t>
            </w:r>
            <w:proofErr w:type="spellEnd"/>
            <w:r w:rsidRPr="006C6A35">
              <w:rPr>
                <w:rFonts w:ascii="Arial" w:hAnsi="Arial" w:cs="Arial"/>
                <w:sz w:val="22"/>
                <w:szCs w:val="22"/>
              </w:rPr>
              <w:t xml:space="preserve">) </w:t>
            </w:r>
            <w:r w:rsidRPr="006C6A35">
              <w:rPr>
                <w:rFonts w:ascii="Arial" w:hAnsi="Arial" w:cs="Arial"/>
                <w:sz w:val="22"/>
                <w:szCs w:val="22"/>
              </w:rPr>
              <w:tab/>
              <w:t>subsection 360</w:t>
            </w:r>
            <w:proofErr w:type="gramStart"/>
            <w:r w:rsidRPr="006C6A35">
              <w:rPr>
                <w:rFonts w:ascii="Arial" w:hAnsi="Arial" w:cs="Arial"/>
                <w:sz w:val="22"/>
                <w:szCs w:val="22"/>
              </w:rPr>
              <w:t>W(</w:t>
            </w:r>
            <w:proofErr w:type="gramEnd"/>
            <w:r w:rsidRPr="006C6A35">
              <w:rPr>
                <w:rFonts w:ascii="Arial" w:hAnsi="Arial" w:cs="Arial"/>
                <w:sz w:val="22"/>
                <w:szCs w:val="22"/>
              </w:rPr>
              <w:t>2)</w:t>
            </w:r>
          </w:p>
          <w:p w14:paraId="7C03A023" w14:textId="77777777" w:rsidR="00AD0F23" w:rsidRPr="006C6A35" w:rsidRDefault="00AD0F23" w:rsidP="00054E97">
            <w:pPr>
              <w:pStyle w:val="ListParagraph"/>
              <w:keepLines/>
              <w:tabs>
                <w:tab w:val="right" w:pos="1191"/>
              </w:tabs>
              <w:spacing w:before="60" w:line="260" w:lineRule="exact"/>
              <w:ind w:left="566" w:hanging="567"/>
              <w:contextualSpacing w:val="0"/>
              <w:jc w:val="both"/>
              <w:rPr>
                <w:rFonts w:ascii="Arial" w:hAnsi="Arial" w:cs="Arial"/>
                <w:sz w:val="22"/>
                <w:szCs w:val="22"/>
              </w:rPr>
            </w:pPr>
            <w:r w:rsidRPr="006C6A35">
              <w:rPr>
                <w:rFonts w:ascii="Arial" w:hAnsi="Arial" w:cs="Arial"/>
                <w:sz w:val="22"/>
                <w:szCs w:val="22"/>
              </w:rPr>
              <w:t>(</w:t>
            </w:r>
            <w:proofErr w:type="spellStart"/>
            <w:r w:rsidRPr="006C6A35">
              <w:rPr>
                <w:rFonts w:ascii="Arial" w:hAnsi="Arial" w:cs="Arial"/>
                <w:sz w:val="22"/>
                <w:szCs w:val="22"/>
              </w:rPr>
              <w:t>zc</w:t>
            </w:r>
            <w:proofErr w:type="spellEnd"/>
            <w:r w:rsidRPr="006C6A35">
              <w:rPr>
                <w:rFonts w:ascii="Arial" w:hAnsi="Arial" w:cs="Arial"/>
                <w:sz w:val="22"/>
                <w:szCs w:val="22"/>
              </w:rPr>
              <w:t xml:space="preserve">) </w:t>
            </w:r>
            <w:r w:rsidRPr="006C6A35">
              <w:rPr>
                <w:rFonts w:ascii="Arial" w:hAnsi="Arial" w:cs="Arial"/>
                <w:sz w:val="22"/>
                <w:szCs w:val="22"/>
              </w:rPr>
              <w:tab/>
              <w:t>subsection 360</w:t>
            </w:r>
            <w:proofErr w:type="gramStart"/>
            <w:r w:rsidRPr="006C6A35">
              <w:rPr>
                <w:rFonts w:ascii="Arial" w:hAnsi="Arial" w:cs="Arial"/>
                <w:sz w:val="22"/>
                <w:szCs w:val="22"/>
              </w:rPr>
              <w:t>X(</w:t>
            </w:r>
            <w:proofErr w:type="gramEnd"/>
            <w:r w:rsidRPr="006C6A35">
              <w:rPr>
                <w:rFonts w:ascii="Arial" w:hAnsi="Arial" w:cs="Arial"/>
                <w:sz w:val="22"/>
                <w:szCs w:val="22"/>
              </w:rPr>
              <w:t>1);</w:t>
            </w:r>
          </w:p>
          <w:p w14:paraId="322360A4" w14:textId="77777777" w:rsidR="00AD0F23" w:rsidRPr="006C6A35" w:rsidRDefault="00AD0F23" w:rsidP="00054E97">
            <w:pPr>
              <w:pStyle w:val="ListParagraph"/>
              <w:keepLines/>
              <w:tabs>
                <w:tab w:val="right" w:pos="1191"/>
              </w:tabs>
              <w:spacing w:before="60" w:line="260" w:lineRule="exact"/>
              <w:ind w:left="566" w:hanging="567"/>
              <w:contextualSpacing w:val="0"/>
              <w:jc w:val="both"/>
              <w:rPr>
                <w:rFonts w:ascii="Arial" w:hAnsi="Arial" w:cs="Arial"/>
                <w:sz w:val="22"/>
                <w:szCs w:val="22"/>
              </w:rPr>
            </w:pPr>
            <w:r w:rsidRPr="006C6A35">
              <w:rPr>
                <w:rFonts w:ascii="Arial" w:hAnsi="Arial" w:cs="Arial"/>
                <w:sz w:val="22"/>
                <w:szCs w:val="22"/>
              </w:rPr>
              <w:t>(</w:t>
            </w:r>
            <w:proofErr w:type="spellStart"/>
            <w:r w:rsidRPr="006C6A35">
              <w:rPr>
                <w:rFonts w:ascii="Arial" w:hAnsi="Arial" w:cs="Arial"/>
                <w:sz w:val="22"/>
                <w:szCs w:val="22"/>
              </w:rPr>
              <w:t>zd</w:t>
            </w:r>
            <w:proofErr w:type="spellEnd"/>
            <w:r w:rsidRPr="006C6A35">
              <w:rPr>
                <w:rFonts w:ascii="Arial" w:hAnsi="Arial" w:cs="Arial"/>
                <w:sz w:val="22"/>
                <w:szCs w:val="22"/>
              </w:rPr>
              <w:t xml:space="preserve">) </w:t>
            </w:r>
            <w:r w:rsidRPr="006C6A35">
              <w:rPr>
                <w:rFonts w:ascii="Arial" w:hAnsi="Arial" w:cs="Arial"/>
                <w:sz w:val="22"/>
                <w:szCs w:val="22"/>
              </w:rPr>
              <w:tab/>
              <w:t>subsection 360</w:t>
            </w:r>
            <w:proofErr w:type="gramStart"/>
            <w:r w:rsidRPr="006C6A35">
              <w:rPr>
                <w:rFonts w:ascii="Arial" w:hAnsi="Arial" w:cs="Arial"/>
                <w:sz w:val="22"/>
                <w:szCs w:val="22"/>
              </w:rPr>
              <w:t>X(</w:t>
            </w:r>
            <w:proofErr w:type="gramEnd"/>
            <w:r w:rsidRPr="006C6A35">
              <w:rPr>
                <w:rFonts w:ascii="Arial" w:hAnsi="Arial" w:cs="Arial"/>
                <w:sz w:val="22"/>
                <w:szCs w:val="22"/>
              </w:rPr>
              <w:t>2);</w:t>
            </w:r>
          </w:p>
          <w:p w14:paraId="2E0FAB3A" w14:textId="77777777" w:rsidR="00AD0F23" w:rsidRPr="006C6A35" w:rsidRDefault="00AD0F23" w:rsidP="00054E97">
            <w:pPr>
              <w:keepLines/>
              <w:tabs>
                <w:tab w:val="right" w:pos="1191"/>
              </w:tabs>
              <w:spacing w:before="60" w:line="260" w:lineRule="exact"/>
              <w:ind w:left="567" w:hanging="567"/>
              <w:jc w:val="both"/>
              <w:rPr>
                <w:rFonts w:ascii="Arial" w:hAnsi="Arial" w:cs="Arial"/>
                <w:sz w:val="22"/>
                <w:szCs w:val="22"/>
              </w:rPr>
            </w:pPr>
            <w:r w:rsidRPr="006C6A35">
              <w:rPr>
                <w:rFonts w:ascii="Arial" w:hAnsi="Arial" w:cs="Arial"/>
                <w:sz w:val="22"/>
                <w:szCs w:val="22"/>
              </w:rPr>
              <w:t>(</w:t>
            </w:r>
            <w:proofErr w:type="spellStart"/>
            <w:r w:rsidRPr="006C6A35">
              <w:rPr>
                <w:rFonts w:ascii="Arial" w:hAnsi="Arial" w:cs="Arial"/>
                <w:sz w:val="22"/>
                <w:szCs w:val="22"/>
              </w:rPr>
              <w:t>zf</w:t>
            </w:r>
            <w:proofErr w:type="spellEnd"/>
            <w:r w:rsidRPr="006C6A35">
              <w:rPr>
                <w:rFonts w:ascii="Arial" w:hAnsi="Arial" w:cs="Arial"/>
                <w:sz w:val="22"/>
                <w:szCs w:val="22"/>
              </w:rPr>
              <w:t xml:space="preserve">) </w:t>
            </w:r>
            <w:r w:rsidRPr="006C6A35">
              <w:rPr>
                <w:rFonts w:ascii="Arial" w:hAnsi="Arial" w:cs="Arial"/>
                <w:sz w:val="22"/>
                <w:szCs w:val="22"/>
              </w:rPr>
              <w:tab/>
              <w:t>subsection 521(3)</w:t>
            </w:r>
          </w:p>
          <w:p w14:paraId="123F4C39" w14:textId="1D21A04F" w:rsidR="00A43CC1" w:rsidRPr="006C6A35" w:rsidRDefault="00A43CC1" w:rsidP="00054E97">
            <w:pPr>
              <w:keepLines/>
              <w:tabs>
                <w:tab w:val="right" w:pos="1191"/>
              </w:tabs>
              <w:spacing w:before="60" w:line="260" w:lineRule="exact"/>
              <w:ind w:left="567" w:hanging="567"/>
              <w:jc w:val="both"/>
              <w:rPr>
                <w:rFonts w:ascii="Arial" w:hAnsi="Arial" w:cs="Arial"/>
                <w:sz w:val="22"/>
                <w:szCs w:val="22"/>
              </w:rPr>
            </w:pPr>
          </w:p>
        </w:tc>
      </w:tr>
      <w:tr w:rsidR="006C6A35" w:rsidRPr="006C6A35" w14:paraId="4EB78E11" w14:textId="77777777" w:rsidTr="006C6A35">
        <w:tc>
          <w:tcPr>
            <w:tcW w:w="4508" w:type="dxa"/>
            <w:tcBorders>
              <w:left w:val="nil"/>
              <w:bottom w:val="nil"/>
              <w:right w:val="nil"/>
            </w:tcBorders>
          </w:tcPr>
          <w:p w14:paraId="5C1755F5" w14:textId="77777777" w:rsidR="006C6A35" w:rsidRPr="006C6A35" w:rsidRDefault="006C6A35" w:rsidP="006C6A35">
            <w:pPr>
              <w:pStyle w:val="ListParagraph"/>
              <w:keepLines/>
              <w:tabs>
                <w:tab w:val="right" w:pos="1191"/>
              </w:tabs>
              <w:spacing w:before="60" w:line="260" w:lineRule="exact"/>
              <w:ind w:left="566"/>
              <w:contextualSpacing w:val="0"/>
              <w:jc w:val="both"/>
              <w:rPr>
                <w:rFonts w:ascii="Arial" w:hAnsi="Arial" w:cs="Arial"/>
              </w:rPr>
            </w:pPr>
          </w:p>
        </w:tc>
        <w:tc>
          <w:tcPr>
            <w:tcW w:w="4508" w:type="dxa"/>
            <w:tcBorders>
              <w:left w:val="nil"/>
              <w:bottom w:val="nil"/>
              <w:right w:val="nil"/>
            </w:tcBorders>
          </w:tcPr>
          <w:p w14:paraId="06498D1F" w14:textId="77777777" w:rsidR="006C6A35" w:rsidRPr="006C6A35" w:rsidRDefault="006C6A35" w:rsidP="006C6A35">
            <w:pPr>
              <w:pStyle w:val="ListParagraph"/>
              <w:keepLines/>
              <w:tabs>
                <w:tab w:val="right" w:pos="1191"/>
              </w:tabs>
              <w:spacing w:before="60" w:line="260" w:lineRule="exact"/>
              <w:ind w:left="567"/>
              <w:contextualSpacing w:val="0"/>
              <w:jc w:val="both"/>
              <w:rPr>
                <w:rFonts w:ascii="Arial" w:hAnsi="Arial" w:cs="Arial"/>
              </w:rPr>
            </w:pPr>
          </w:p>
        </w:tc>
      </w:tr>
      <w:tr w:rsidR="00AD0F23" w:rsidRPr="00A43CC1" w14:paraId="44515372" w14:textId="77777777" w:rsidTr="00A43CC1">
        <w:tc>
          <w:tcPr>
            <w:tcW w:w="9016" w:type="dxa"/>
            <w:gridSpan w:val="2"/>
            <w:tcBorders>
              <w:top w:val="nil"/>
              <w:left w:val="nil"/>
              <w:bottom w:val="single" w:sz="4" w:space="0" w:color="auto"/>
              <w:right w:val="nil"/>
            </w:tcBorders>
          </w:tcPr>
          <w:p w14:paraId="5B1EB6A2" w14:textId="77777777" w:rsidR="00AD0F23" w:rsidRPr="006C6A35" w:rsidRDefault="00AD0F23" w:rsidP="00A43CC1">
            <w:pPr>
              <w:keepNext/>
              <w:spacing w:before="120" w:line="257" w:lineRule="auto"/>
              <w:rPr>
                <w:rFonts w:ascii="Arial" w:hAnsi="Arial" w:cs="Arial"/>
                <w:i/>
                <w:sz w:val="22"/>
                <w:szCs w:val="22"/>
              </w:rPr>
            </w:pPr>
            <w:r w:rsidRPr="006C6A35">
              <w:rPr>
                <w:rFonts w:ascii="Arial" w:hAnsi="Arial" w:cs="Arial"/>
                <w:i/>
                <w:sz w:val="22"/>
                <w:szCs w:val="22"/>
              </w:rPr>
              <w:lastRenderedPageBreak/>
              <w:t>Telecommunications (Consumer Protection and Service Standards) Act 1999</w:t>
            </w:r>
          </w:p>
        </w:tc>
      </w:tr>
      <w:tr w:rsidR="00AD0F23" w:rsidRPr="00A43CC1" w14:paraId="2E338560" w14:textId="77777777" w:rsidTr="00A43CC1">
        <w:tc>
          <w:tcPr>
            <w:tcW w:w="4508" w:type="dxa"/>
            <w:tcBorders>
              <w:top w:val="single" w:sz="4" w:space="0" w:color="auto"/>
            </w:tcBorders>
          </w:tcPr>
          <w:p w14:paraId="7EFB1A25" w14:textId="77777777" w:rsidR="00AD0F23" w:rsidRPr="006C6A35" w:rsidRDefault="00AD0F23" w:rsidP="00054E97">
            <w:pPr>
              <w:keepNext/>
              <w:spacing w:line="257" w:lineRule="auto"/>
              <w:rPr>
                <w:rFonts w:ascii="Arial" w:hAnsi="Arial" w:cs="Arial"/>
                <w:b/>
                <w:sz w:val="22"/>
                <w:szCs w:val="22"/>
              </w:rPr>
            </w:pPr>
            <w:r w:rsidRPr="006C6A35">
              <w:rPr>
                <w:rFonts w:ascii="Arial" w:hAnsi="Arial" w:cs="Arial"/>
                <w:b/>
                <w:sz w:val="22"/>
                <w:szCs w:val="22"/>
              </w:rPr>
              <w:t>Existing provisions</w:t>
            </w:r>
          </w:p>
        </w:tc>
        <w:tc>
          <w:tcPr>
            <w:tcW w:w="4508" w:type="dxa"/>
            <w:tcBorders>
              <w:top w:val="single" w:sz="4" w:space="0" w:color="auto"/>
            </w:tcBorders>
          </w:tcPr>
          <w:p w14:paraId="02270690" w14:textId="77777777" w:rsidR="00AD0F23" w:rsidRPr="006C6A35" w:rsidRDefault="00AD0F23" w:rsidP="00054E97">
            <w:pPr>
              <w:keepNext/>
              <w:spacing w:line="257" w:lineRule="auto"/>
              <w:rPr>
                <w:rFonts w:ascii="Arial" w:hAnsi="Arial" w:cs="Arial"/>
                <w:b/>
                <w:sz w:val="22"/>
                <w:szCs w:val="22"/>
              </w:rPr>
            </w:pPr>
            <w:r w:rsidRPr="006C6A35">
              <w:rPr>
                <w:rFonts w:ascii="Arial" w:hAnsi="Arial" w:cs="Arial"/>
                <w:b/>
                <w:sz w:val="22"/>
                <w:szCs w:val="22"/>
              </w:rPr>
              <w:t>New provisions</w:t>
            </w:r>
          </w:p>
        </w:tc>
      </w:tr>
      <w:tr w:rsidR="00AD0F23" w:rsidRPr="00A43CC1" w14:paraId="69B1CA35" w14:textId="77777777" w:rsidTr="00A43CC1">
        <w:tc>
          <w:tcPr>
            <w:tcW w:w="4508" w:type="dxa"/>
            <w:tcBorders>
              <w:bottom w:val="single" w:sz="4" w:space="0" w:color="auto"/>
            </w:tcBorders>
          </w:tcPr>
          <w:p w14:paraId="09907D29" w14:textId="77777777" w:rsidR="00AD0F23" w:rsidRPr="006C6A35" w:rsidRDefault="00AD0F23" w:rsidP="00054E97">
            <w:pPr>
              <w:keepNext/>
              <w:keepLines/>
              <w:spacing w:before="60" w:line="260" w:lineRule="exact"/>
              <w:ind w:left="567" w:hanging="567"/>
              <w:jc w:val="both"/>
              <w:rPr>
                <w:rFonts w:ascii="Arial" w:hAnsi="Arial" w:cs="Arial"/>
                <w:sz w:val="22"/>
                <w:szCs w:val="22"/>
              </w:rPr>
            </w:pPr>
            <w:r w:rsidRPr="006C6A35">
              <w:rPr>
                <w:rFonts w:ascii="Arial" w:hAnsi="Arial" w:cs="Arial"/>
                <w:sz w:val="22"/>
                <w:szCs w:val="22"/>
              </w:rPr>
              <w:t>(a)</w:t>
            </w:r>
            <w:r w:rsidRPr="006C6A35">
              <w:rPr>
                <w:rFonts w:ascii="Arial" w:hAnsi="Arial" w:cs="Arial"/>
                <w:sz w:val="22"/>
                <w:szCs w:val="22"/>
              </w:rPr>
              <w:tab/>
              <w:t>subsection 12</w:t>
            </w:r>
            <w:proofErr w:type="gramStart"/>
            <w:r w:rsidRPr="006C6A35">
              <w:rPr>
                <w:rFonts w:ascii="Arial" w:hAnsi="Arial" w:cs="Arial"/>
                <w:sz w:val="22"/>
                <w:szCs w:val="22"/>
              </w:rPr>
              <w:t>EB(</w:t>
            </w:r>
            <w:proofErr w:type="gramEnd"/>
            <w:r w:rsidRPr="006C6A35">
              <w:rPr>
                <w:rFonts w:ascii="Arial" w:hAnsi="Arial" w:cs="Arial"/>
                <w:sz w:val="22"/>
                <w:szCs w:val="22"/>
              </w:rPr>
              <w:t>4);</w:t>
            </w:r>
          </w:p>
          <w:p w14:paraId="071E4ABD"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(b)</w:t>
            </w:r>
            <w:r w:rsidRPr="006C6A35">
              <w:rPr>
                <w:rFonts w:ascii="Arial" w:hAnsi="Arial" w:cs="Arial"/>
                <w:sz w:val="22"/>
                <w:szCs w:val="22"/>
              </w:rPr>
              <w:tab/>
              <w:t>subsection 12</w:t>
            </w:r>
            <w:proofErr w:type="gramStart"/>
            <w:r w:rsidRPr="006C6A35">
              <w:rPr>
                <w:rFonts w:ascii="Arial" w:hAnsi="Arial" w:cs="Arial"/>
                <w:sz w:val="22"/>
                <w:szCs w:val="22"/>
              </w:rPr>
              <w:t>EC(</w:t>
            </w:r>
            <w:proofErr w:type="gramEnd"/>
            <w:r w:rsidRPr="006C6A35">
              <w:rPr>
                <w:rFonts w:ascii="Arial" w:hAnsi="Arial" w:cs="Arial"/>
                <w:sz w:val="22"/>
                <w:szCs w:val="22"/>
              </w:rPr>
              <w:t>9);</w:t>
            </w:r>
          </w:p>
          <w:p w14:paraId="3025FB05"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(c)</w:t>
            </w:r>
            <w:r w:rsidRPr="006C6A35">
              <w:rPr>
                <w:rFonts w:ascii="Arial" w:hAnsi="Arial" w:cs="Arial"/>
                <w:sz w:val="22"/>
                <w:szCs w:val="22"/>
              </w:rPr>
              <w:tab/>
              <w:t>subsection 12</w:t>
            </w:r>
            <w:proofErr w:type="gramStart"/>
            <w:r w:rsidRPr="006C6A35">
              <w:rPr>
                <w:rFonts w:ascii="Arial" w:hAnsi="Arial" w:cs="Arial"/>
                <w:sz w:val="22"/>
                <w:szCs w:val="22"/>
              </w:rPr>
              <w:t>ED(</w:t>
            </w:r>
            <w:proofErr w:type="gramEnd"/>
            <w:r w:rsidRPr="006C6A35">
              <w:rPr>
                <w:rFonts w:ascii="Arial" w:hAnsi="Arial" w:cs="Arial"/>
                <w:sz w:val="22"/>
                <w:szCs w:val="22"/>
              </w:rPr>
              <w:t>4);</w:t>
            </w:r>
          </w:p>
          <w:p w14:paraId="3C1BB7CC"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(d)</w:t>
            </w:r>
            <w:r w:rsidRPr="006C6A35">
              <w:rPr>
                <w:rFonts w:ascii="Arial" w:hAnsi="Arial" w:cs="Arial"/>
                <w:sz w:val="22"/>
                <w:szCs w:val="22"/>
              </w:rPr>
              <w:tab/>
              <w:t>subsection 12</w:t>
            </w:r>
            <w:proofErr w:type="gramStart"/>
            <w:r w:rsidRPr="006C6A35">
              <w:rPr>
                <w:rFonts w:ascii="Arial" w:hAnsi="Arial" w:cs="Arial"/>
                <w:sz w:val="22"/>
                <w:szCs w:val="22"/>
              </w:rPr>
              <w:t>EE(</w:t>
            </w:r>
            <w:proofErr w:type="gramEnd"/>
            <w:r w:rsidRPr="006C6A35">
              <w:rPr>
                <w:rFonts w:ascii="Arial" w:hAnsi="Arial" w:cs="Arial"/>
                <w:sz w:val="22"/>
                <w:szCs w:val="22"/>
              </w:rPr>
              <w:t>9);</w:t>
            </w:r>
          </w:p>
          <w:p w14:paraId="0E66E3CE"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(e)</w:t>
            </w:r>
            <w:r w:rsidRPr="006C6A35">
              <w:rPr>
                <w:rFonts w:ascii="Arial" w:hAnsi="Arial" w:cs="Arial"/>
                <w:sz w:val="22"/>
                <w:szCs w:val="22"/>
              </w:rPr>
              <w:tab/>
              <w:t>subsection 12</w:t>
            </w:r>
            <w:proofErr w:type="gramStart"/>
            <w:r w:rsidRPr="006C6A35">
              <w:rPr>
                <w:rFonts w:ascii="Arial" w:hAnsi="Arial" w:cs="Arial"/>
                <w:sz w:val="22"/>
                <w:szCs w:val="22"/>
              </w:rPr>
              <w:t>EF(</w:t>
            </w:r>
            <w:proofErr w:type="gramEnd"/>
            <w:r w:rsidRPr="006C6A35">
              <w:rPr>
                <w:rFonts w:ascii="Arial" w:hAnsi="Arial" w:cs="Arial"/>
                <w:sz w:val="22"/>
                <w:szCs w:val="22"/>
              </w:rPr>
              <w:t>2);</w:t>
            </w:r>
          </w:p>
          <w:p w14:paraId="1C3E0F62"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(f)</w:t>
            </w:r>
            <w:r w:rsidRPr="006C6A35">
              <w:rPr>
                <w:rFonts w:ascii="Arial" w:hAnsi="Arial" w:cs="Arial"/>
                <w:sz w:val="22"/>
                <w:szCs w:val="22"/>
              </w:rPr>
              <w:tab/>
              <w:t>subsection 12</w:t>
            </w:r>
            <w:proofErr w:type="gramStart"/>
            <w:r w:rsidRPr="006C6A35">
              <w:rPr>
                <w:rFonts w:ascii="Arial" w:hAnsi="Arial" w:cs="Arial"/>
                <w:sz w:val="22"/>
                <w:szCs w:val="22"/>
              </w:rPr>
              <w:t>EG(</w:t>
            </w:r>
            <w:proofErr w:type="gramEnd"/>
            <w:r w:rsidRPr="006C6A35">
              <w:rPr>
                <w:rFonts w:ascii="Arial" w:hAnsi="Arial" w:cs="Arial"/>
                <w:sz w:val="22"/>
                <w:szCs w:val="22"/>
              </w:rPr>
              <w:t>3);</w:t>
            </w:r>
          </w:p>
          <w:p w14:paraId="13E0E943"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(g)</w:t>
            </w:r>
            <w:r w:rsidRPr="006C6A35">
              <w:rPr>
                <w:rFonts w:ascii="Arial" w:hAnsi="Arial" w:cs="Arial"/>
                <w:sz w:val="22"/>
                <w:szCs w:val="22"/>
              </w:rPr>
              <w:tab/>
              <w:t>subsection 12</w:t>
            </w:r>
            <w:proofErr w:type="gramStart"/>
            <w:r w:rsidRPr="006C6A35">
              <w:rPr>
                <w:rFonts w:ascii="Arial" w:hAnsi="Arial" w:cs="Arial"/>
                <w:sz w:val="22"/>
                <w:szCs w:val="22"/>
              </w:rPr>
              <w:t>EH(</w:t>
            </w:r>
            <w:proofErr w:type="gramEnd"/>
            <w:r w:rsidRPr="006C6A35">
              <w:rPr>
                <w:rFonts w:ascii="Arial" w:hAnsi="Arial" w:cs="Arial"/>
                <w:sz w:val="22"/>
                <w:szCs w:val="22"/>
              </w:rPr>
              <w:t>2);</w:t>
            </w:r>
          </w:p>
          <w:p w14:paraId="36616DD5"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(h)</w:t>
            </w:r>
            <w:r w:rsidRPr="006C6A35">
              <w:rPr>
                <w:rFonts w:ascii="Arial" w:hAnsi="Arial" w:cs="Arial"/>
                <w:sz w:val="22"/>
                <w:szCs w:val="22"/>
              </w:rPr>
              <w:tab/>
              <w:t>subsection 12</w:t>
            </w:r>
            <w:proofErr w:type="gramStart"/>
            <w:r w:rsidRPr="006C6A35">
              <w:rPr>
                <w:rFonts w:ascii="Arial" w:hAnsi="Arial" w:cs="Arial"/>
                <w:sz w:val="22"/>
                <w:szCs w:val="22"/>
              </w:rPr>
              <w:t>EI(</w:t>
            </w:r>
            <w:proofErr w:type="gramEnd"/>
            <w:r w:rsidRPr="006C6A35">
              <w:rPr>
                <w:rFonts w:ascii="Arial" w:hAnsi="Arial" w:cs="Arial"/>
                <w:sz w:val="22"/>
                <w:szCs w:val="22"/>
              </w:rPr>
              <w:t>6);</w:t>
            </w:r>
          </w:p>
          <w:p w14:paraId="52BF4A96" w14:textId="01191205"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proofErr w:type="spellStart"/>
            <w:r w:rsidRPr="006C6A35">
              <w:rPr>
                <w:rFonts w:ascii="Arial" w:hAnsi="Arial" w:cs="Arial"/>
                <w:sz w:val="22"/>
                <w:szCs w:val="22"/>
              </w:rPr>
              <w:t>i</w:t>
            </w:r>
            <w:proofErr w:type="spellEnd"/>
            <w:r w:rsidRPr="006C6A35">
              <w:rPr>
                <w:rFonts w:ascii="Arial" w:hAnsi="Arial" w:cs="Arial"/>
                <w:sz w:val="22"/>
                <w:szCs w:val="22"/>
              </w:rPr>
              <w:t>)</w:t>
            </w:r>
            <w:r w:rsidRPr="006C6A35">
              <w:rPr>
                <w:rFonts w:ascii="Arial" w:hAnsi="Arial" w:cs="Arial"/>
                <w:sz w:val="22"/>
                <w:szCs w:val="22"/>
              </w:rPr>
              <w:tab/>
              <w:t xml:space="preserve">subsection </w:t>
            </w:r>
            <w:proofErr w:type="gramStart"/>
            <w:r w:rsidRPr="006C6A35">
              <w:rPr>
                <w:rFonts w:ascii="Arial" w:hAnsi="Arial" w:cs="Arial"/>
                <w:sz w:val="22"/>
                <w:szCs w:val="22"/>
              </w:rPr>
              <w:t>43(1);</w:t>
            </w:r>
            <w:proofErr w:type="gramEnd"/>
          </w:p>
          <w:p w14:paraId="0F9D3DE7" w14:textId="39D4FC52"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r w:rsidR="00227A57">
              <w:rPr>
                <w:rFonts w:ascii="Arial" w:hAnsi="Arial" w:cs="Arial"/>
                <w:sz w:val="22"/>
                <w:szCs w:val="22"/>
              </w:rPr>
              <w:t>n</w:t>
            </w:r>
            <w:r w:rsidRPr="006C6A35">
              <w:rPr>
                <w:rFonts w:ascii="Arial" w:hAnsi="Arial" w:cs="Arial"/>
                <w:sz w:val="22"/>
                <w:szCs w:val="22"/>
              </w:rPr>
              <w:t>)</w:t>
            </w:r>
            <w:r w:rsidRPr="006C6A35">
              <w:rPr>
                <w:rFonts w:ascii="Arial" w:hAnsi="Arial" w:cs="Arial"/>
                <w:sz w:val="22"/>
                <w:szCs w:val="22"/>
              </w:rPr>
              <w:tab/>
              <w:t>subsection 117</w:t>
            </w:r>
            <w:proofErr w:type="gramStart"/>
            <w:r w:rsidRPr="006C6A35">
              <w:rPr>
                <w:rFonts w:ascii="Arial" w:hAnsi="Arial" w:cs="Arial"/>
                <w:sz w:val="22"/>
                <w:szCs w:val="22"/>
              </w:rPr>
              <w:t>C(</w:t>
            </w:r>
            <w:proofErr w:type="gramEnd"/>
            <w:r w:rsidRPr="006C6A35">
              <w:rPr>
                <w:rFonts w:ascii="Arial" w:hAnsi="Arial" w:cs="Arial"/>
                <w:sz w:val="22"/>
                <w:szCs w:val="22"/>
              </w:rPr>
              <w:t>2);</w:t>
            </w:r>
          </w:p>
          <w:p w14:paraId="1E5C7F7E" w14:textId="3AE0999A"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r w:rsidR="00227A57">
              <w:rPr>
                <w:rFonts w:ascii="Arial" w:hAnsi="Arial" w:cs="Arial"/>
                <w:sz w:val="22"/>
                <w:szCs w:val="22"/>
              </w:rPr>
              <w:t>o</w:t>
            </w:r>
            <w:r w:rsidRPr="006C6A35">
              <w:rPr>
                <w:rFonts w:ascii="Arial" w:hAnsi="Arial" w:cs="Arial"/>
                <w:sz w:val="22"/>
                <w:szCs w:val="22"/>
              </w:rPr>
              <w:t>)</w:t>
            </w:r>
            <w:r w:rsidRPr="006C6A35">
              <w:rPr>
                <w:rFonts w:ascii="Arial" w:hAnsi="Arial" w:cs="Arial"/>
                <w:sz w:val="22"/>
                <w:szCs w:val="22"/>
              </w:rPr>
              <w:tab/>
              <w:t>subsection 117</w:t>
            </w:r>
            <w:proofErr w:type="gramStart"/>
            <w:r w:rsidRPr="006C6A35">
              <w:rPr>
                <w:rFonts w:ascii="Arial" w:hAnsi="Arial" w:cs="Arial"/>
                <w:sz w:val="22"/>
                <w:szCs w:val="22"/>
              </w:rPr>
              <w:t>F(</w:t>
            </w:r>
            <w:proofErr w:type="gramEnd"/>
            <w:r w:rsidRPr="006C6A35">
              <w:rPr>
                <w:rFonts w:ascii="Arial" w:hAnsi="Arial" w:cs="Arial"/>
                <w:sz w:val="22"/>
                <w:szCs w:val="22"/>
              </w:rPr>
              <w:t>2);</w:t>
            </w:r>
          </w:p>
          <w:p w14:paraId="5D93BD91" w14:textId="557176A5"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r w:rsidR="00227A57">
              <w:rPr>
                <w:rFonts w:ascii="Arial" w:hAnsi="Arial" w:cs="Arial"/>
                <w:sz w:val="22"/>
                <w:szCs w:val="22"/>
              </w:rPr>
              <w:t>p</w:t>
            </w:r>
            <w:r w:rsidRPr="006C6A35">
              <w:rPr>
                <w:rFonts w:ascii="Arial" w:hAnsi="Arial" w:cs="Arial"/>
                <w:sz w:val="22"/>
                <w:szCs w:val="22"/>
              </w:rPr>
              <w:t>)</w:t>
            </w:r>
            <w:r w:rsidRPr="006C6A35">
              <w:rPr>
                <w:rFonts w:ascii="Arial" w:hAnsi="Arial" w:cs="Arial"/>
                <w:sz w:val="22"/>
                <w:szCs w:val="22"/>
              </w:rPr>
              <w:tab/>
              <w:t xml:space="preserve">subsection </w:t>
            </w:r>
            <w:proofErr w:type="gramStart"/>
            <w:r w:rsidRPr="006C6A35">
              <w:rPr>
                <w:rFonts w:ascii="Arial" w:hAnsi="Arial" w:cs="Arial"/>
                <w:sz w:val="22"/>
                <w:szCs w:val="22"/>
              </w:rPr>
              <w:t>130(2);</w:t>
            </w:r>
            <w:proofErr w:type="gramEnd"/>
          </w:p>
          <w:p w14:paraId="07DC57BE" w14:textId="7CE17FA4"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r w:rsidR="00227A57">
              <w:rPr>
                <w:rFonts w:ascii="Arial" w:hAnsi="Arial" w:cs="Arial"/>
                <w:sz w:val="22"/>
                <w:szCs w:val="22"/>
              </w:rPr>
              <w:t>q</w:t>
            </w:r>
            <w:r w:rsidRPr="006C6A35">
              <w:rPr>
                <w:rFonts w:ascii="Arial" w:hAnsi="Arial" w:cs="Arial"/>
                <w:sz w:val="22"/>
                <w:szCs w:val="22"/>
              </w:rPr>
              <w:t>)</w:t>
            </w:r>
            <w:r w:rsidRPr="006C6A35">
              <w:rPr>
                <w:rFonts w:ascii="Arial" w:hAnsi="Arial" w:cs="Arial"/>
                <w:sz w:val="22"/>
                <w:szCs w:val="22"/>
              </w:rPr>
              <w:tab/>
              <w:t>section 132.</w:t>
            </w:r>
          </w:p>
          <w:p w14:paraId="2B1ED55D" w14:textId="77777777" w:rsidR="00AD0F23" w:rsidRPr="006C6A35" w:rsidRDefault="00AD0F23" w:rsidP="00054E97">
            <w:pPr>
              <w:rPr>
                <w:rFonts w:ascii="Arial" w:hAnsi="Arial" w:cs="Arial"/>
                <w:b/>
                <w:sz w:val="22"/>
                <w:szCs w:val="22"/>
              </w:rPr>
            </w:pPr>
          </w:p>
        </w:tc>
        <w:tc>
          <w:tcPr>
            <w:tcW w:w="4508" w:type="dxa"/>
            <w:tcBorders>
              <w:bottom w:val="single" w:sz="4" w:space="0" w:color="auto"/>
            </w:tcBorders>
          </w:tcPr>
          <w:p w14:paraId="58EC133F" w14:textId="71EA9F66"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r w:rsidR="00227A57">
              <w:rPr>
                <w:rFonts w:ascii="Arial" w:hAnsi="Arial" w:cs="Arial"/>
                <w:sz w:val="22"/>
                <w:szCs w:val="22"/>
              </w:rPr>
              <w:t>j</w:t>
            </w:r>
            <w:r w:rsidRPr="006C6A35">
              <w:rPr>
                <w:rFonts w:ascii="Arial" w:hAnsi="Arial" w:cs="Arial"/>
                <w:sz w:val="22"/>
                <w:szCs w:val="22"/>
              </w:rPr>
              <w:t>)     subsection 117</w:t>
            </w:r>
            <w:proofErr w:type="gramStart"/>
            <w:r w:rsidRPr="006C6A35">
              <w:rPr>
                <w:rFonts w:ascii="Arial" w:hAnsi="Arial" w:cs="Arial"/>
                <w:sz w:val="22"/>
                <w:szCs w:val="22"/>
              </w:rPr>
              <w:t>A(</w:t>
            </w:r>
            <w:proofErr w:type="gramEnd"/>
            <w:r w:rsidRPr="006C6A35">
              <w:rPr>
                <w:rFonts w:ascii="Arial" w:hAnsi="Arial" w:cs="Arial"/>
                <w:sz w:val="22"/>
                <w:szCs w:val="22"/>
              </w:rPr>
              <w:t>1);</w:t>
            </w:r>
          </w:p>
          <w:p w14:paraId="73AB3625" w14:textId="50F210C1"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r w:rsidR="00227A57">
              <w:rPr>
                <w:rFonts w:ascii="Arial" w:hAnsi="Arial" w:cs="Arial"/>
                <w:sz w:val="22"/>
                <w:szCs w:val="22"/>
              </w:rPr>
              <w:t>k</w:t>
            </w:r>
            <w:r w:rsidRPr="006C6A35">
              <w:rPr>
                <w:rFonts w:ascii="Arial" w:hAnsi="Arial" w:cs="Arial"/>
                <w:sz w:val="22"/>
                <w:szCs w:val="22"/>
              </w:rPr>
              <w:t xml:space="preserve">) </w:t>
            </w:r>
            <w:r w:rsidRPr="006C6A35">
              <w:rPr>
                <w:rFonts w:ascii="Arial" w:hAnsi="Arial" w:cs="Arial"/>
                <w:sz w:val="22"/>
                <w:szCs w:val="22"/>
              </w:rPr>
              <w:tab/>
              <w:t>subsection 117</w:t>
            </w:r>
            <w:proofErr w:type="gramStart"/>
            <w:r w:rsidRPr="006C6A35">
              <w:rPr>
                <w:rFonts w:ascii="Arial" w:hAnsi="Arial" w:cs="Arial"/>
                <w:sz w:val="22"/>
                <w:szCs w:val="22"/>
              </w:rPr>
              <w:t>A(</w:t>
            </w:r>
            <w:proofErr w:type="gramEnd"/>
            <w:r w:rsidRPr="006C6A35">
              <w:rPr>
                <w:rFonts w:ascii="Arial" w:hAnsi="Arial" w:cs="Arial"/>
                <w:sz w:val="22"/>
                <w:szCs w:val="22"/>
              </w:rPr>
              <w:t>3);</w:t>
            </w:r>
          </w:p>
          <w:p w14:paraId="0A49169E" w14:textId="717989F6"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r w:rsidR="00227A57">
              <w:rPr>
                <w:rFonts w:ascii="Arial" w:hAnsi="Arial" w:cs="Arial"/>
                <w:sz w:val="22"/>
                <w:szCs w:val="22"/>
              </w:rPr>
              <w:t>l</w:t>
            </w:r>
            <w:r w:rsidRPr="006C6A35">
              <w:rPr>
                <w:rFonts w:ascii="Arial" w:hAnsi="Arial" w:cs="Arial"/>
                <w:sz w:val="22"/>
                <w:szCs w:val="22"/>
              </w:rPr>
              <w:t xml:space="preserve">) </w:t>
            </w:r>
            <w:r w:rsidRPr="006C6A35">
              <w:rPr>
                <w:rFonts w:ascii="Arial" w:hAnsi="Arial" w:cs="Arial"/>
                <w:sz w:val="22"/>
                <w:szCs w:val="22"/>
              </w:rPr>
              <w:tab/>
              <w:t>subsection 117</w:t>
            </w:r>
            <w:proofErr w:type="gramStart"/>
            <w:r w:rsidRPr="006C6A35">
              <w:rPr>
                <w:rFonts w:ascii="Arial" w:hAnsi="Arial" w:cs="Arial"/>
                <w:sz w:val="22"/>
                <w:szCs w:val="22"/>
              </w:rPr>
              <w:t>A(</w:t>
            </w:r>
            <w:proofErr w:type="gramEnd"/>
            <w:r w:rsidRPr="006C6A35">
              <w:rPr>
                <w:rFonts w:ascii="Arial" w:hAnsi="Arial" w:cs="Arial"/>
                <w:sz w:val="22"/>
                <w:szCs w:val="22"/>
              </w:rPr>
              <w:t>4);</w:t>
            </w:r>
          </w:p>
          <w:p w14:paraId="30F5518A" w14:textId="5EAE9801"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r w:rsidR="00227A57">
              <w:rPr>
                <w:rFonts w:ascii="Arial" w:hAnsi="Arial" w:cs="Arial"/>
                <w:sz w:val="22"/>
                <w:szCs w:val="22"/>
              </w:rPr>
              <w:t>m</w:t>
            </w:r>
            <w:r w:rsidRPr="006C6A35">
              <w:rPr>
                <w:rFonts w:ascii="Arial" w:hAnsi="Arial" w:cs="Arial"/>
                <w:sz w:val="22"/>
                <w:szCs w:val="22"/>
              </w:rPr>
              <w:t>)</w:t>
            </w:r>
            <w:r w:rsidRPr="006C6A35">
              <w:rPr>
                <w:rFonts w:ascii="Arial" w:hAnsi="Arial" w:cs="Arial"/>
                <w:sz w:val="22"/>
                <w:szCs w:val="22"/>
              </w:rPr>
              <w:tab/>
              <w:t>subsection 117</w:t>
            </w:r>
            <w:proofErr w:type="gramStart"/>
            <w:r w:rsidRPr="006C6A35">
              <w:rPr>
                <w:rFonts w:ascii="Arial" w:hAnsi="Arial" w:cs="Arial"/>
                <w:sz w:val="22"/>
                <w:szCs w:val="22"/>
              </w:rPr>
              <w:t>A(</w:t>
            </w:r>
            <w:proofErr w:type="gramEnd"/>
            <w:r w:rsidRPr="006C6A35">
              <w:rPr>
                <w:rFonts w:ascii="Arial" w:hAnsi="Arial" w:cs="Arial"/>
                <w:sz w:val="22"/>
                <w:szCs w:val="22"/>
              </w:rPr>
              <w:t>5);</w:t>
            </w:r>
          </w:p>
          <w:p w14:paraId="4E45E011" w14:textId="77777777" w:rsidR="00AD0F23" w:rsidRPr="006C6A35" w:rsidRDefault="00AD0F23" w:rsidP="00054E97">
            <w:pPr>
              <w:rPr>
                <w:rFonts w:ascii="Arial" w:hAnsi="Arial" w:cs="Arial"/>
                <w:b/>
                <w:sz w:val="22"/>
                <w:szCs w:val="22"/>
              </w:rPr>
            </w:pPr>
          </w:p>
        </w:tc>
      </w:tr>
      <w:tr w:rsidR="00AD0F23" w:rsidRPr="00A43CC1" w14:paraId="01FD23E5" w14:textId="77777777" w:rsidTr="00A43CC1">
        <w:tc>
          <w:tcPr>
            <w:tcW w:w="9016" w:type="dxa"/>
            <w:gridSpan w:val="2"/>
            <w:tcBorders>
              <w:left w:val="nil"/>
              <w:right w:val="nil"/>
            </w:tcBorders>
          </w:tcPr>
          <w:p w14:paraId="64A751E1" w14:textId="77777777" w:rsidR="00AD0F23" w:rsidRPr="006C6A35" w:rsidRDefault="00AD0F23" w:rsidP="00A43CC1">
            <w:pPr>
              <w:spacing w:before="120" w:line="257" w:lineRule="auto"/>
              <w:rPr>
                <w:rFonts w:ascii="Arial" w:hAnsi="Arial" w:cs="Arial"/>
                <w:i/>
                <w:sz w:val="22"/>
                <w:szCs w:val="22"/>
              </w:rPr>
            </w:pPr>
            <w:r w:rsidRPr="006C6A35">
              <w:rPr>
                <w:rFonts w:ascii="Arial" w:hAnsi="Arial" w:cs="Arial"/>
                <w:i/>
                <w:sz w:val="22"/>
                <w:szCs w:val="22"/>
              </w:rPr>
              <w:t>Telecommunications (Interception and Access) Act 1979</w:t>
            </w:r>
          </w:p>
        </w:tc>
      </w:tr>
      <w:tr w:rsidR="00AD0F23" w:rsidRPr="00A43CC1" w14:paraId="3571F079" w14:textId="77777777" w:rsidTr="00054E97">
        <w:tc>
          <w:tcPr>
            <w:tcW w:w="4508" w:type="dxa"/>
          </w:tcPr>
          <w:p w14:paraId="6756C508" w14:textId="77777777" w:rsidR="00AD0F23" w:rsidRPr="006C6A35" w:rsidRDefault="00AD0F23" w:rsidP="00054E97">
            <w:pPr>
              <w:rPr>
                <w:rFonts w:ascii="Arial" w:hAnsi="Arial" w:cs="Arial"/>
                <w:b/>
                <w:sz w:val="22"/>
                <w:szCs w:val="22"/>
              </w:rPr>
            </w:pPr>
            <w:r w:rsidRPr="006C6A35">
              <w:rPr>
                <w:rFonts w:ascii="Arial" w:hAnsi="Arial" w:cs="Arial"/>
                <w:b/>
                <w:sz w:val="22"/>
                <w:szCs w:val="22"/>
              </w:rPr>
              <w:t>Existing provisions</w:t>
            </w:r>
          </w:p>
        </w:tc>
        <w:tc>
          <w:tcPr>
            <w:tcW w:w="4508" w:type="dxa"/>
          </w:tcPr>
          <w:p w14:paraId="06D1B0A2" w14:textId="77777777" w:rsidR="00AD0F23" w:rsidRPr="006C6A35" w:rsidRDefault="00AD0F23" w:rsidP="00054E97">
            <w:pPr>
              <w:rPr>
                <w:rFonts w:ascii="Arial" w:hAnsi="Arial" w:cs="Arial"/>
                <w:b/>
                <w:sz w:val="22"/>
                <w:szCs w:val="22"/>
              </w:rPr>
            </w:pPr>
            <w:r w:rsidRPr="006C6A35">
              <w:rPr>
                <w:rFonts w:ascii="Arial" w:hAnsi="Arial" w:cs="Arial"/>
                <w:b/>
                <w:sz w:val="22"/>
                <w:szCs w:val="22"/>
              </w:rPr>
              <w:t>New provisions</w:t>
            </w:r>
          </w:p>
        </w:tc>
      </w:tr>
      <w:tr w:rsidR="00AD0F23" w:rsidRPr="00A43CC1" w14:paraId="070D4FE9" w14:textId="77777777" w:rsidTr="00A43CC1">
        <w:tc>
          <w:tcPr>
            <w:tcW w:w="4508" w:type="dxa"/>
            <w:tcBorders>
              <w:bottom w:val="single" w:sz="4" w:space="0" w:color="auto"/>
            </w:tcBorders>
          </w:tcPr>
          <w:p w14:paraId="6F231F95"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 xml:space="preserve">(d) </w:t>
            </w:r>
            <w:r w:rsidRPr="006C6A35">
              <w:rPr>
                <w:rFonts w:ascii="Arial" w:hAnsi="Arial" w:cs="Arial"/>
                <w:sz w:val="22"/>
                <w:szCs w:val="22"/>
              </w:rPr>
              <w:tab/>
              <w:t xml:space="preserve">subsection </w:t>
            </w:r>
            <w:proofErr w:type="gramStart"/>
            <w:r w:rsidRPr="006C6A35">
              <w:rPr>
                <w:rFonts w:ascii="Arial" w:hAnsi="Arial" w:cs="Arial"/>
                <w:sz w:val="22"/>
                <w:szCs w:val="22"/>
              </w:rPr>
              <w:t>197(1);</w:t>
            </w:r>
            <w:proofErr w:type="gramEnd"/>
          </w:p>
          <w:p w14:paraId="317F77DD"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(e)</w:t>
            </w:r>
            <w:r w:rsidRPr="006C6A35">
              <w:rPr>
                <w:rFonts w:ascii="Arial" w:hAnsi="Arial" w:cs="Arial"/>
                <w:sz w:val="22"/>
                <w:szCs w:val="22"/>
              </w:rPr>
              <w:tab/>
              <w:t xml:space="preserve">subsection </w:t>
            </w:r>
            <w:proofErr w:type="gramStart"/>
            <w:r w:rsidRPr="006C6A35">
              <w:rPr>
                <w:rFonts w:ascii="Arial" w:hAnsi="Arial" w:cs="Arial"/>
                <w:sz w:val="22"/>
                <w:szCs w:val="22"/>
              </w:rPr>
              <w:t>197(3);</w:t>
            </w:r>
            <w:proofErr w:type="gramEnd"/>
          </w:p>
          <w:p w14:paraId="02261FF2" w14:textId="77777777" w:rsidR="00AD0F23" w:rsidRPr="006C6A35" w:rsidRDefault="00AD0F23" w:rsidP="00054E97">
            <w:pPr>
              <w:rPr>
                <w:rFonts w:ascii="Arial" w:hAnsi="Arial" w:cs="Arial"/>
                <w:b/>
                <w:sz w:val="22"/>
                <w:szCs w:val="22"/>
              </w:rPr>
            </w:pPr>
          </w:p>
        </w:tc>
        <w:tc>
          <w:tcPr>
            <w:tcW w:w="4508" w:type="dxa"/>
            <w:tcBorders>
              <w:bottom w:val="single" w:sz="4" w:space="0" w:color="auto"/>
            </w:tcBorders>
          </w:tcPr>
          <w:p w14:paraId="0BA44568"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(a)</w:t>
            </w:r>
            <w:r w:rsidRPr="006C6A35">
              <w:rPr>
                <w:rFonts w:ascii="Arial" w:hAnsi="Arial" w:cs="Arial"/>
                <w:sz w:val="22"/>
                <w:szCs w:val="22"/>
              </w:rPr>
              <w:tab/>
              <w:t>subsection 187</w:t>
            </w:r>
            <w:proofErr w:type="gramStart"/>
            <w:r w:rsidRPr="006C6A35">
              <w:rPr>
                <w:rFonts w:ascii="Arial" w:hAnsi="Arial" w:cs="Arial"/>
                <w:sz w:val="22"/>
                <w:szCs w:val="22"/>
              </w:rPr>
              <w:t>A(</w:t>
            </w:r>
            <w:proofErr w:type="gramEnd"/>
            <w:r w:rsidRPr="006C6A35">
              <w:rPr>
                <w:rFonts w:ascii="Arial" w:hAnsi="Arial" w:cs="Arial"/>
                <w:sz w:val="22"/>
                <w:szCs w:val="22"/>
              </w:rPr>
              <w:t>1);</w:t>
            </w:r>
          </w:p>
          <w:p w14:paraId="38076CFE"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(b)</w:t>
            </w:r>
            <w:r w:rsidRPr="006C6A35">
              <w:rPr>
                <w:rFonts w:ascii="Arial" w:hAnsi="Arial" w:cs="Arial"/>
                <w:sz w:val="22"/>
                <w:szCs w:val="22"/>
              </w:rPr>
              <w:tab/>
              <w:t xml:space="preserve">subsection </w:t>
            </w:r>
            <w:proofErr w:type="gramStart"/>
            <w:r w:rsidRPr="006C6A35">
              <w:rPr>
                <w:rFonts w:ascii="Arial" w:hAnsi="Arial" w:cs="Arial"/>
                <w:sz w:val="22"/>
                <w:szCs w:val="22"/>
              </w:rPr>
              <w:t>196(1);</w:t>
            </w:r>
            <w:proofErr w:type="gramEnd"/>
          </w:p>
          <w:p w14:paraId="0FED1E50"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(c)</w:t>
            </w:r>
            <w:r w:rsidRPr="006C6A35">
              <w:rPr>
                <w:rFonts w:ascii="Arial" w:hAnsi="Arial" w:cs="Arial"/>
                <w:sz w:val="22"/>
                <w:szCs w:val="22"/>
              </w:rPr>
              <w:tab/>
              <w:t xml:space="preserve">subsection </w:t>
            </w:r>
            <w:proofErr w:type="gramStart"/>
            <w:r w:rsidRPr="006C6A35">
              <w:rPr>
                <w:rFonts w:ascii="Arial" w:hAnsi="Arial" w:cs="Arial"/>
                <w:sz w:val="22"/>
                <w:szCs w:val="22"/>
              </w:rPr>
              <w:t>196(3);</w:t>
            </w:r>
            <w:proofErr w:type="gramEnd"/>
          </w:p>
          <w:p w14:paraId="16B0A9A6"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(f)</w:t>
            </w:r>
            <w:r w:rsidRPr="006C6A35">
              <w:rPr>
                <w:rFonts w:ascii="Arial" w:hAnsi="Arial" w:cs="Arial"/>
                <w:sz w:val="22"/>
                <w:szCs w:val="22"/>
              </w:rPr>
              <w:tab/>
              <w:t xml:space="preserve">subsection </w:t>
            </w:r>
            <w:proofErr w:type="gramStart"/>
            <w:r w:rsidRPr="006C6A35">
              <w:rPr>
                <w:rFonts w:ascii="Arial" w:hAnsi="Arial" w:cs="Arial"/>
                <w:sz w:val="22"/>
                <w:szCs w:val="22"/>
              </w:rPr>
              <w:t>198(4);</w:t>
            </w:r>
            <w:proofErr w:type="gramEnd"/>
          </w:p>
          <w:p w14:paraId="1268FCD4"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(g)</w:t>
            </w:r>
            <w:r w:rsidRPr="006C6A35">
              <w:rPr>
                <w:rFonts w:ascii="Arial" w:hAnsi="Arial" w:cs="Arial"/>
                <w:sz w:val="22"/>
                <w:szCs w:val="22"/>
              </w:rPr>
              <w:tab/>
              <w:t xml:space="preserve">subsection </w:t>
            </w:r>
            <w:proofErr w:type="gramStart"/>
            <w:r w:rsidRPr="006C6A35">
              <w:rPr>
                <w:rFonts w:ascii="Arial" w:hAnsi="Arial" w:cs="Arial"/>
                <w:sz w:val="22"/>
                <w:szCs w:val="22"/>
              </w:rPr>
              <w:t>198(7);</w:t>
            </w:r>
            <w:proofErr w:type="gramEnd"/>
          </w:p>
          <w:p w14:paraId="60B81B58"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(h)</w:t>
            </w:r>
            <w:r w:rsidRPr="006C6A35">
              <w:rPr>
                <w:rFonts w:ascii="Arial" w:hAnsi="Arial" w:cs="Arial"/>
                <w:sz w:val="22"/>
                <w:szCs w:val="22"/>
              </w:rPr>
              <w:tab/>
              <w:t xml:space="preserve">section </w:t>
            </w:r>
            <w:proofErr w:type="gramStart"/>
            <w:r w:rsidRPr="006C6A35">
              <w:rPr>
                <w:rFonts w:ascii="Arial" w:hAnsi="Arial" w:cs="Arial"/>
                <w:sz w:val="22"/>
                <w:szCs w:val="22"/>
              </w:rPr>
              <w:t>200;</w:t>
            </w:r>
            <w:proofErr w:type="gramEnd"/>
          </w:p>
          <w:p w14:paraId="11FDE001"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proofErr w:type="spellStart"/>
            <w:r w:rsidRPr="006C6A35">
              <w:rPr>
                <w:rFonts w:ascii="Arial" w:hAnsi="Arial" w:cs="Arial"/>
                <w:sz w:val="22"/>
                <w:szCs w:val="22"/>
              </w:rPr>
              <w:t>i</w:t>
            </w:r>
            <w:proofErr w:type="spellEnd"/>
            <w:r w:rsidRPr="006C6A35">
              <w:rPr>
                <w:rFonts w:ascii="Arial" w:hAnsi="Arial" w:cs="Arial"/>
                <w:sz w:val="22"/>
                <w:szCs w:val="22"/>
              </w:rPr>
              <w:t xml:space="preserve">) </w:t>
            </w:r>
            <w:r w:rsidRPr="006C6A35">
              <w:rPr>
                <w:rFonts w:ascii="Arial" w:hAnsi="Arial" w:cs="Arial"/>
                <w:sz w:val="22"/>
                <w:szCs w:val="22"/>
              </w:rPr>
              <w:tab/>
              <w:t>subsection 201(1).</w:t>
            </w:r>
          </w:p>
          <w:p w14:paraId="53874274" w14:textId="77777777" w:rsidR="00AD0F23" w:rsidRPr="006C6A35" w:rsidRDefault="00AD0F23" w:rsidP="00054E97">
            <w:pPr>
              <w:rPr>
                <w:rFonts w:ascii="Arial" w:hAnsi="Arial" w:cs="Arial"/>
                <w:b/>
                <w:sz w:val="22"/>
                <w:szCs w:val="22"/>
              </w:rPr>
            </w:pPr>
          </w:p>
        </w:tc>
      </w:tr>
      <w:tr w:rsidR="00AD0F23" w:rsidRPr="00A43CC1" w14:paraId="587E5C1E" w14:textId="77777777" w:rsidTr="00A43CC1">
        <w:tc>
          <w:tcPr>
            <w:tcW w:w="9016" w:type="dxa"/>
            <w:gridSpan w:val="2"/>
            <w:tcBorders>
              <w:left w:val="nil"/>
              <w:bottom w:val="nil"/>
              <w:right w:val="nil"/>
            </w:tcBorders>
          </w:tcPr>
          <w:p w14:paraId="24BF431C" w14:textId="77777777" w:rsidR="00AD0F23" w:rsidRPr="006C6A35" w:rsidRDefault="00AD0F23" w:rsidP="00A43CC1">
            <w:pPr>
              <w:spacing w:before="120" w:line="257" w:lineRule="auto"/>
              <w:rPr>
                <w:rFonts w:ascii="Arial" w:hAnsi="Arial" w:cs="Arial"/>
                <w:b/>
                <w:sz w:val="28"/>
                <w:szCs w:val="28"/>
              </w:rPr>
            </w:pPr>
            <w:r w:rsidRPr="006C6A35">
              <w:rPr>
                <w:rFonts w:ascii="Arial" w:hAnsi="Arial" w:cs="Arial"/>
                <w:b/>
                <w:sz w:val="28"/>
                <w:szCs w:val="28"/>
              </w:rPr>
              <w:t>Determinations</w:t>
            </w:r>
          </w:p>
        </w:tc>
      </w:tr>
      <w:tr w:rsidR="00AD0F23" w:rsidRPr="00A43CC1" w14:paraId="6D187349" w14:textId="77777777" w:rsidTr="00A43CC1">
        <w:tc>
          <w:tcPr>
            <w:tcW w:w="9016" w:type="dxa"/>
            <w:gridSpan w:val="2"/>
            <w:tcBorders>
              <w:top w:val="nil"/>
              <w:left w:val="nil"/>
              <w:right w:val="nil"/>
            </w:tcBorders>
          </w:tcPr>
          <w:p w14:paraId="02A0C7AA" w14:textId="34F14126" w:rsidR="00AD0F23" w:rsidRPr="006C6A35" w:rsidRDefault="00AD0F23" w:rsidP="00A43CC1">
            <w:pPr>
              <w:spacing w:before="120" w:line="257" w:lineRule="auto"/>
              <w:rPr>
                <w:rFonts w:ascii="Arial" w:hAnsi="Arial" w:cs="Arial"/>
                <w:b/>
                <w:sz w:val="22"/>
                <w:szCs w:val="22"/>
              </w:rPr>
            </w:pPr>
            <w:r w:rsidRPr="006C6A35">
              <w:rPr>
                <w:rFonts w:ascii="Arial" w:hAnsi="Arial" w:cs="Arial"/>
                <w:i/>
                <w:sz w:val="22"/>
                <w:szCs w:val="22"/>
              </w:rPr>
              <w:t xml:space="preserve">Telecommunications (Service Provider – Identity Checks for </w:t>
            </w:r>
            <w:r w:rsidR="00512878">
              <w:rPr>
                <w:rFonts w:ascii="Arial" w:hAnsi="Arial" w:cs="Arial"/>
                <w:i/>
                <w:sz w:val="22"/>
                <w:szCs w:val="22"/>
              </w:rPr>
              <w:t>P</w:t>
            </w:r>
            <w:r w:rsidRPr="006C6A35">
              <w:rPr>
                <w:rFonts w:ascii="Arial" w:hAnsi="Arial" w:cs="Arial"/>
                <w:i/>
                <w:sz w:val="22"/>
                <w:szCs w:val="22"/>
              </w:rPr>
              <w:t>repaid Mobile Carriage Services) Determination 2017</w:t>
            </w:r>
          </w:p>
        </w:tc>
      </w:tr>
      <w:tr w:rsidR="00AD0F23" w:rsidRPr="00A43CC1" w14:paraId="28D31F8F" w14:textId="77777777" w:rsidTr="00054E97">
        <w:tc>
          <w:tcPr>
            <w:tcW w:w="4508" w:type="dxa"/>
          </w:tcPr>
          <w:p w14:paraId="5E0BB001" w14:textId="77777777" w:rsidR="00AD0F23" w:rsidRPr="006C6A35" w:rsidRDefault="00AD0F23" w:rsidP="00054E97">
            <w:pPr>
              <w:rPr>
                <w:rFonts w:ascii="Arial" w:hAnsi="Arial" w:cs="Arial"/>
                <w:b/>
                <w:sz w:val="22"/>
                <w:szCs w:val="22"/>
              </w:rPr>
            </w:pPr>
            <w:r w:rsidRPr="006C6A35">
              <w:rPr>
                <w:rFonts w:ascii="Arial" w:hAnsi="Arial" w:cs="Arial"/>
                <w:b/>
                <w:sz w:val="22"/>
                <w:szCs w:val="22"/>
              </w:rPr>
              <w:t>Existing provisions</w:t>
            </w:r>
          </w:p>
        </w:tc>
        <w:tc>
          <w:tcPr>
            <w:tcW w:w="4508" w:type="dxa"/>
          </w:tcPr>
          <w:p w14:paraId="016C0A48" w14:textId="77777777" w:rsidR="00AD0F23" w:rsidRPr="006C6A35" w:rsidRDefault="00AD0F23" w:rsidP="00054E97">
            <w:pPr>
              <w:rPr>
                <w:rFonts w:ascii="Arial" w:hAnsi="Arial" w:cs="Arial"/>
                <w:b/>
                <w:sz w:val="22"/>
                <w:szCs w:val="22"/>
              </w:rPr>
            </w:pPr>
            <w:r w:rsidRPr="006C6A35">
              <w:rPr>
                <w:rFonts w:ascii="Arial" w:hAnsi="Arial" w:cs="Arial"/>
                <w:b/>
                <w:sz w:val="22"/>
                <w:szCs w:val="22"/>
              </w:rPr>
              <w:t>New provisions</w:t>
            </w:r>
          </w:p>
        </w:tc>
      </w:tr>
      <w:tr w:rsidR="00AD0F23" w:rsidRPr="00A43CC1" w14:paraId="7FF8B9A9" w14:textId="77777777" w:rsidTr="00A43CC1">
        <w:tc>
          <w:tcPr>
            <w:tcW w:w="4508" w:type="dxa"/>
            <w:tcBorders>
              <w:bottom w:val="single" w:sz="4" w:space="0" w:color="auto"/>
            </w:tcBorders>
          </w:tcPr>
          <w:p w14:paraId="466E7BA7" w14:textId="77777777" w:rsidR="00AD0F23" w:rsidRPr="006C6A35" w:rsidRDefault="00AD0F23" w:rsidP="00054E97">
            <w:pPr>
              <w:rPr>
                <w:rFonts w:ascii="Arial" w:hAnsi="Arial" w:cs="Arial"/>
                <w:sz w:val="22"/>
                <w:szCs w:val="22"/>
              </w:rPr>
            </w:pPr>
            <w:r w:rsidRPr="006C6A35">
              <w:rPr>
                <w:rFonts w:ascii="Arial" w:hAnsi="Arial" w:cs="Arial"/>
                <w:sz w:val="22"/>
                <w:szCs w:val="22"/>
              </w:rPr>
              <w:t>None</w:t>
            </w:r>
          </w:p>
        </w:tc>
        <w:tc>
          <w:tcPr>
            <w:tcW w:w="4508" w:type="dxa"/>
            <w:tcBorders>
              <w:bottom w:val="single" w:sz="4" w:space="0" w:color="auto"/>
            </w:tcBorders>
          </w:tcPr>
          <w:p w14:paraId="178A9EAF" w14:textId="77777777" w:rsidR="00AD0F23" w:rsidRPr="006C6A35" w:rsidRDefault="00AD0F23" w:rsidP="00054E97">
            <w:pPr>
              <w:pStyle w:val="ListParagraph"/>
              <w:numPr>
                <w:ilvl w:val="0"/>
                <w:numId w:val="25"/>
              </w:numPr>
              <w:tabs>
                <w:tab w:val="right" w:pos="567"/>
              </w:tabs>
              <w:spacing w:before="180" w:line="260" w:lineRule="exact"/>
              <w:ind w:left="480"/>
              <w:jc w:val="both"/>
              <w:rPr>
                <w:rFonts w:ascii="Arial" w:hAnsi="Arial" w:cs="Arial"/>
                <w:sz w:val="22"/>
                <w:szCs w:val="22"/>
              </w:rPr>
            </w:pPr>
            <w:r w:rsidRPr="006C6A35">
              <w:rPr>
                <w:rFonts w:ascii="Arial" w:hAnsi="Arial" w:cs="Arial"/>
                <w:sz w:val="22"/>
                <w:szCs w:val="22"/>
              </w:rPr>
              <w:t xml:space="preserve">subsection </w:t>
            </w:r>
            <w:proofErr w:type="gramStart"/>
            <w:r w:rsidRPr="006C6A35">
              <w:rPr>
                <w:rFonts w:ascii="Arial" w:hAnsi="Arial" w:cs="Arial"/>
                <w:sz w:val="22"/>
                <w:szCs w:val="22"/>
              </w:rPr>
              <w:t>2.3(1);</w:t>
            </w:r>
            <w:proofErr w:type="gramEnd"/>
          </w:p>
          <w:p w14:paraId="3BF655AC" w14:textId="77777777" w:rsidR="00AD0F23" w:rsidRPr="006C6A35" w:rsidRDefault="00AD0F23" w:rsidP="00054E97">
            <w:pPr>
              <w:pStyle w:val="ListParagraph"/>
              <w:numPr>
                <w:ilvl w:val="0"/>
                <w:numId w:val="25"/>
              </w:numPr>
              <w:tabs>
                <w:tab w:val="right" w:pos="567"/>
              </w:tabs>
              <w:spacing w:before="180" w:line="260" w:lineRule="exact"/>
              <w:ind w:left="480"/>
              <w:jc w:val="both"/>
              <w:rPr>
                <w:rFonts w:ascii="Arial" w:hAnsi="Arial" w:cs="Arial"/>
                <w:sz w:val="22"/>
                <w:szCs w:val="22"/>
              </w:rPr>
            </w:pPr>
            <w:r w:rsidRPr="006C6A35">
              <w:rPr>
                <w:rFonts w:ascii="Arial" w:hAnsi="Arial" w:cs="Arial"/>
                <w:sz w:val="22"/>
                <w:szCs w:val="22"/>
              </w:rPr>
              <w:t xml:space="preserve">subsection </w:t>
            </w:r>
            <w:proofErr w:type="gramStart"/>
            <w:r w:rsidRPr="006C6A35">
              <w:rPr>
                <w:rFonts w:ascii="Arial" w:hAnsi="Arial" w:cs="Arial"/>
                <w:sz w:val="22"/>
                <w:szCs w:val="22"/>
              </w:rPr>
              <w:t>6.1(1);</w:t>
            </w:r>
            <w:proofErr w:type="gramEnd"/>
          </w:p>
          <w:p w14:paraId="744186DD" w14:textId="77777777" w:rsidR="00AD0F23" w:rsidRPr="006C6A35" w:rsidRDefault="00AD0F23" w:rsidP="00054E97">
            <w:pPr>
              <w:pStyle w:val="ListParagraph"/>
              <w:numPr>
                <w:ilvl w:val="0"/>
                <w:numId w:val="25"/>
              </w:numPr>
              <w:tabs>
                <w:tab w:val="right" w:pos="567"/>
              </w:tabs>
              <w:spacing w:before="180" w:line="260" w:lineRule="exact"/>
              <w:ind w:left="480"/>
              <w:jc w:val="both"/>
              <w:rPr>
                <w:rFonts w:ascii="Arial" w:hAnsi="Arial" w:cs="Arial"/>
                <w:sz w:val="22"/>
                <w:szCs w:val="22"/>
              </w:rPr>
            </w:pPr>
            <w:r w:rsidRPr="006C6A35">
              <w:rPr>
                <w:rFonts w:ascii="Arial" w:hAnsi="Arial" w:cs="Arial"/>
                <w:sz w:val="22"/>
                <w:szCs w:val="22"/>
              </w:rPr>
              <w:t xml:space="preserve">subsection </w:t>
            </w:r>
            <w:proofErr w:type="gramStart"/>
            <w:r w:rsidRPr="006C6A35">
              <w:rPr>
                <w:rFonts w:ascii="Arial" w:hAnsi="Arial" w:cs="Arial"/>
                <w:sz w:val="22"/>
                <w:szCs w:val="22"/>
              </w:rPr>
              <w:t>6.1(2);</w:t>
            </w:r>
            <w:proofErr w:type="gramEnd"/>
          </w:p>
          <w:p w14:paraId="10DFD542" w14:textId="77777777" w:rsidR="00AD0F23" w:rsidRPr="006C6A35" w:rsidRDefault="00AD0F23" w:rsidP="00054E97">
            <w:pPr>
              <w:pStyle w:val="ListParagraph"/>
              <w:numPr>
                <w:ilvl w:val="0"/>
                <w:numId w:val="25"/>
              </w:numPr>
              <w:tabs>
                <w:tab w:val="right" w:pos="567"/>
              </w:tabs>
              <w:spacing w:before="180" w:line="260" w:lineRule="exact"/>
              <w:ind w:left="480"/>
              <w:jc w:val="both"/>
              <w:rPr>
                <w:rFonts w:ascii="Arial" w:hAnsi="Arial" w:cs="Arial"/>
                <w:sz w:val="22"/>
                <w:szCs w:val="22"/>
              </w:rPr>
            </w:pPr>
            <w:r w:rsidRPr="006C6A35">
              <w:rPr>
                <w:rFonts w:ascii="Arial" w:hAnsi="Arial" w:cs="Arial"/>
                <w:sz w:val="22"/>
                <w:szCs w:val="22"/>
              </w:rPr>
              <w:t xml:space="preserve">section </w:t>
            </w:r>
            <w:proofErr w:type="gramStart"/>
            <w:r w:rsidRPr="006C6A35">
              <w:rPr>
                <w:rFonts w:ascii="Arial" w:hAnsi="Arial" w:cs="Arial"/>
                <w:sz w:val="22"/>
                <w:szCs w:val="22"/>
              </w:rPr>
              <w:t>6.3;</w:t>
            </w:r>
            <w:proofErr w:type="gramEnd"/>
          </w:p>
          <w:p w14:paraId="7604F9F3" w14:textId="77777777" w:rsidR="00AD0F23" w:rsidRPr="006C6A35" w:rsidRDefault="00AD0F23" w:rsidP="00054E97">
            <w:pPr>
              <w:pStyle w:val="ListParagraph"/>
              <w:numPr>
                <w:ilvl w:val="0"/>
                <w:numId w:val="25"/>
              </w:numPr>
              <w:tabs>
                <w:tab w:val="right" w:pos="567"/>
              </w:tabs>
              <w:spacing w:before="180" w:line="260" w:lineRule="exact"/>
              <w:ind w:left="480"/>
              <w:jc w:val="both"/>
              <w:rPr>
                <w:rFonts w:ascii="Arial" w:hAnsi="Arial" w:cs="Arial"/>
                <w:sz w:val="22"/>
                <w:szCs w:val="22"/>
              </w:rPr>
            </w:pPr>
            <w:r w:rsidRPr="006C6A35">
              <w:rPr>
                <w:rFonts w:ascii="Arial" w:hAnsi="Arial" w:cs="Arial"/>
                <w:sz w:val="22"/>
                <w:szCs w:val="22"/>
              </w:rPr>
              <w:t xml:space="preserve">subsection </w:t>
            </w:r>
            <w:proofErr w:type="gramStart"/>
            <w:r w:rsidRPr="006C6A35">
              <w:rPr>
                <w:rFonts w:ascii="Arial" w:hAnsi="Arial" w:cs="Arial"/>
                <w:sz w:val="22"/>
                <w:szCs w:val="22"/>
              </w:rPr>
              <w:t>6.4(1);</w:t>
            </w:r>
            <w:proofErr w:type="gramEnd"/>
          </w:p>
          <w:p w14:paraId="37F5C93A" w14:textId="77777777" w:rsidR="00AD0F23" w:rsidRPr="006C6A35" w:rsidRDefault="00AD0F23" w:rsidP="00054E97">
            <w:pPr>
              <w:pStyle w:val="ListParagraph"/>
              <w:numPr>
                <w:ilvl w:val="0"/>
                <w:numId w:val="25"/>
              </w:numPr>
              <w:tabs>
                <w:tab w:val="right" w:pos="567"/>
              </w:tabs>
              <w:spacing w:before="180" w:line="260" w:lineRule="exact"/>
              <w:ind w:left="480"/>
              <w:jc w:val="both"/>
              <w:rPr>
                <w:rFonts w:ascii="Arial" w:hAnsi="Arial" w:cs="Arial"/>
                <w:sz w:val="22"/>
                <w:szCs w:val="22"/>
              </w:rPr>
            </w:pPr>
            <w:r w:rsidRPr="006C6A35">
              <w:rPr>
                <w:rFonts w:ascii="Arial" w:hAnsi="Arial" w:cs="Arial"/>
                <w:sz w:val="22"/>
                <w:szCs w:val="22"/>
              </w:rPr>
              <w:t>subsection 6.4(4).</w:t>
            </w:r>
          </w:p>
          <w:p w14:paraId="6B3589EA" w14:textId="77777777" w:rsidR="00AD0F23" w:rsidRPr="006C6A35" w:rsidRDefault="00AD0F23" w:rsidP="00054E97">
            <w:pPr>
              <w:rPr>
                <w:rFonts w:ascii="Arial" w:hAnsi="Arial" w:cs="Arial"/>
                <w:b/>
                <w:sz w:val="22"/>
                <w:szCs w:val="22"/>
              </w:rPr>
            </w:pPr>
          </w:p>
        </w:tc>
      </w:tr>
    </w:tbl>
    <w:p w14:paraId="045190D1" w14:textId="77777777" w:rsidR="006C6A35" w:rsidRDefault="006C6A35">
      <w:r>
        <w:br w:type="page"/>
      </w:r>
    </w:p>
    <w:tbl>
      <w:tblPr>
        <w:tblStyle w:val="TableGrid"/>
        <w:tblW w:w="0" w:type="auto"/>
        <w:tblLook w:val="04A0" w:firstRow="1" w:lastRow="0" w:firstColumn="1" w:lastColumn="0" w:noHBand="0" w:noVBand="1"/>
      </w:tblPr>
      <w:tblGrid>
        <w:gridCol w:w="4508"/>
        <w:gridCol w:w="4508"/>
      </w:tblGrid>
      <w:tr w:rsidR="00AD0F23" w:rsidRPr="00A43CC1" w14:paraId="47DEC2BF" w14:textId="77777777" w:rsidTr="006C6A35">
        <w:tc>
          <w:tcPr>
            <w:tcW w:w="9016" w:type="dxa"/>
            <w:gridSpan w:val="2"/>
            <w:tcBorders>
              <w:top w:val="nil"/>
              <w:left w:val="nil"/>
              <w:right w:val="nil"/>
            </w:tcBorders>
          </w:tcPr>
          <w:p w14:paraId="03F778B7" w14:textId="77777777" w:rsidR="00AD0F23" w:rsidRPr="006C6A35" w:rsidRDefault="00AD0F23" w:rsidP="00A43CC1">
            <w:pPr>
              <w:keepNext/>
              <w:spacing w:before="120" w:line="257" w:lineRule="auto"/>
              <w:rPr>
                <w:rFonts w:ascii="Arial" w:hAnsi="Arial" w:cs="Arial"/>
                <w:b/>
                <w:sz w:val="22"/>
                <w:szCs w:val="22"/>
              </w:rPr>
            </w:pPr>
            <w:r w:rsidRPr="006C6A35">
              <w:rPr>
                <w:rFonts w:ascii="Arial" w:hAnsi="Arial" w:cs="Arial"/>
                <w:i/>
                <w:sz w:val="22"/>
                <w:szCs w:val="22"/>
              </w:rPr>
              <w:lastRenderedPageBreak/>
              <w:t>Telecommunications Service Provider (NBN Service Migration) Determination 2018</w:t>
            </w:r>
          </w:p>
        </w:tc>
      </w:tr>
      <w:tr w:rsidR="00AD0F23" w:rsidRPr="00A43CC1" w14:paraId="331A5896" w14:textId="77777777" w:rsidTr="00054E97">
        <w:tc>
          <w:tcPr>
            <w:tcW w:w="4508" w:type="dxa"/>
          </w:tcPr>
          <w:p w14:paraId="47E1F10D" w14:textId="77777777" w:rsidR="00AD0F23" w:rsidRPr="006C6A35" w:rsidRDefault="00AD0F23" w:rsidP="00A43CC1">
            <w:pPr>
              <w:keepNext/>
              <w:rPr>
                <w:rFonts w:ascii="Arial" w:hAnsi="Arial" w:cs="Arial"/>
                <w:b/>
                <w:sz w:val="22"/>
                <w:szCs w:val="22"/>
              </w:rPr>
            </w:pPr>
            <w:r w:rsidRPr="006C6A35">
              <w:rPr>
                <w:rFonts w:ascii="Arial" w:hAnsi="Arial" w:cs="Arial"/>
                <w:b/>
                <w:sz w:val="22"/>
                <w:szCs w:val="22"/>
              </w:rPr>
              <w:t>Existing provisions</w:t>
            </w:r>
          </w:p>
        </w:tc>
        <w:tc>
          <w:tcPr>
            <w:tcW w:w="4508" w:type="dxa"/>
          </w:tcPr>
          <w:p w14:paraId="41E96D7E" w14:textId="77777777" w:rsidR="00AD0F23" w:rsidRPr="006C6A35" w:rsidRDefault="00AD0F23" w:rsidP="00A43CC1">
            <w:pPr>
              <w:keepNext/>
              <w:rPr>
                <w:rFonts w:ascii="Arial" w:hAnsi="Arial" w:cs="Arial"/>
                <w:b/>
                <w:sz w:val="22"/>
                <w:szCs w:val="22"/>
              </w:rPr>
            </w:pPr>
            <w:r w:rsidRPr="006C6A35">
              <w:rPr>
                <w:rFonts w:ascii="Arial" w:hAnsi="Arial" w:cs="Arial"/>
                <w:b/>
                <w:sz w:val="22"/>
                <w:szCs w:val="22"/>
              </w:rPr>
              <w:t>New provisions</w:t>
            </w:r>
          </w:p>
        </w:tc>
      </w:tr>
      <w:tr w:rsidR="00AD0F23" w:rsidRPr="00A43CC1" w14:paraId="2D5F1B6A" w14:textId="77777777" w:rsidTr="00054E97">
        <w:tc>
          <w:tcPr>
            <w:tcW w:w="4508" w:type="dxa"/>
          </w:tcPr>
          <w:p w14:paraId="14C535DB"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(a)</w:t>
            </w:r>
            <w:r w:rsidRPr="006C6A35">
              <w:rPr>
                <w:rFonts w:ascii="Arial" w:hAnsi="Arial" w:cs="Arial"/>
                <w:sz w:val="22"/>
                <w:szCs w:val="22"/>
              </w:rPr>
              <w:tab/>
              <w:t xml:space="preserve">subsection </w:t>
            </w:r>
            <w:proofErr w:type="gramStart"/>
            <w:r w:rsidRPr="006C6A35">
              <w:rPr>
                <w:rFonts w:ascii="Arial" w:hAnsi="Arial" w:cs="Arial"/>
                <w:sz w:val="22"/>
                <w:szCs w:val="22"/>
              </w:rPr>
              <w:t>7(2);</w:t>
            </w:r>
            <w:proofErr w:type="gramEnd"/>
          </w:p>
          <w:p w14:paraId="6CAFD159"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(b)</w:t>
            </w:r>
            <w:r w:rsidRPr="006C6A35">
              <w:rPr>
                <w:rFonts w:ascii="Arial" w:hAnsi="Arial" w:cs="Arial"/>
                <w:sz w:val="22"/>
                <w:szCs w:val="22"/>
              </w:rPr>
              <w:tab/>
              <w:t xml:space="preserve">subsection </w:t>
            </w:r>
            <w:proofErr w:type="gramStart"/>
            <w:r w:rsidRPr="006C6A35">
              <w:rPr>
                <w:rFonts w:ascii="Arial" w:hAnsi="Arial" w:cs="Arial"/>
                <w:sz w:val="22"/>
                <w:szCs w:val="22"/>
              </w:rPr>
              <w:t>7(3);</w:t>
            </w:r>
            <w:proofErr w:type="gramEnd"/>
          </w:p>
          <w:p w14:paraId="2FFF256A"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(c)</w:t>
            </w:r>
            <w:r w:rsidRPr="006C6A35">
              <w:rPr>
                <w:rFonts w:ascii="Arial" w:hAnsi="Arial" w:cs="Arial"/>
                <w:sz w:val="22"/>
                <w:szCs w:val="22"/>
              </w:rPr>
              <w:tab/>
              <w:t xml:space="preserve">subsection </w:t>
            </w:r>
            <w:proofErr w:type="gramStart"/>
            <w:r w:rsidRPr="006C6A35">
              <w:rPr>
                <w:rFonts w:ascii="Arial" w:hAnsi="Arial" w:cs="Arial"/>
                <w:sz w:val="22"/>
                <w:szCs w:val="22"/>
              </w:rPr>
              <w:t>7(4);</w:t>
            </w:r>
            <w:proofErr w:type="gramEnd"/>
          </w:p>
          <w:p w14:paraId="6A4B2481"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(d)</w:t>
            </w:r>
            <w:r w:rsidRPr="006C6A35">
              <w:rPr>
                <w:rFonts w:ascii="Arial" w:hAnsi="Arial" w:cs="Arial"/>
                <w:sz w:val="22"/>
                <w:szCs w:val="22"/>
              </w:rPr>
              <w:tab/>
              <w:t xml:space="preserve">subsection </w:t>
            </w:r>
            <w:proofErr w:type="gramStart"/>
            <w:r w:rsidRPr="006C6A35">
              <w:rPr>
                <w:rFonts w:ascii="Arial" w:hAnsi="Arial" w:cs="Arial"/>
                <w:sz w:val="22"/>
                <w:szCs w:val="22"/>
              </w:rPr>
              <w:t>9(1);</w:t>
            </w:r>
            <w:proofErr w:type="gramEnd"/>
          </w:p>
          <w:p w14:paraId="5FC45043"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(e)</w:t>
            </w:r>
            <w:r w:rsidRPr="006C6A35">
              <w:rPr>
                <w:rFonts w:ascii="Arial" w:hAnsi="Arial" w:cs="Arial"/>
                <w:sz w:val="22"/>
                <w:szCs w:val="22"/>
              </w:rPr>
              <w:tab/>
              <w:t xml:space="preserve">subsection </w:t>
            </w:r>
            <w:proofErr w:type="gramStart"/>
            <w:r w:rsidRPr="006C6A35">
              <w:rPr>
                <w:rFonts w:ascii="Arial" w:hAnsi="Arial" w:cs="Arial"/>
                <w:sz w:val="22"/>
                <w:szCs w:val="22"/>
              </w:rPr>
              <w:t>10(1);</w:t>
            </w:r>
            <w:proofErr w:type="gramEnd"/>
          </w:p>
          <w:p w14:paraId="09480DA8"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(f)</w:t>
            </w:r>
            <w:r w:rsidRPr="006C6A35">
              <w:rPr>
                <w:rFonts w:ascii="Arial" w:hAnsi="Arial" w:cs="Arial"/>
                <w:sz w:val="22"/>
                <w:szCs w:val="22"/>
              </w:rPr>
              <w:tab/>
              <w:t xml:space="preserve">subsection </w:t>
            </w:r>
            <w:proofErr w:type="gramStart"/>
            <w:r w:rsidRPr="006C6A35">
              <w:rPr>
                <w:rFonts w:ascii="Arial" w:hAnsi="Arial" w:cs="Arial"/>
                <w:sz w:val="22"/>
                <w:szCs w:val="22"/>
              </w:rPr>
              <w:t>10(2);</w:t>
            </w:r>
            <w:proofErr w:type="gramEnd"/>
          </w:p>
          <w:p w14:paraId="2C40AE6A"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(g)</w:t>
            </w:r>
            <w:r w:rsidRPr="006C6A35">
              <w:rPr>
                <w:rFonts w:ascii="Arial" w:hAnsi="Arial" w:cs="Arial"/>
                <w:sz w:val="22"/>
                <w:szCs w:val="22"/>
              </w:rPr>
              <w:tab/>
              <w:t xml:space="preserve">subsection </w:t>
            </w:r>
            <w:proofErr w:type="gramStart"/>
            <w:r w:rsidRPr="006C6A35">
              <w:rPr>
                <w:rFonts w:ascii="Arial" w:hAnsi="Arial" w:cs="Arial"/>
                <w:sz w:val="22"/>
                <w:szCs w:val="22"/>
              </w:rPr>
              <w:t>10(3);</w:t>
            </w:r>
            <w:proofErr w:type="gramEnd"/>
          </w:p>
          <w:p w14:paraId="486FDDD1"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(h)</w:t>
            </w:r>
            <w:r w:rsidRPr="006C6A35">
              <w:rPr>
                <w:rFonts w:ascii="Arial" w:hAnsi="Arial" w:cs="Arial"/>
                <w:sz w:val="22"/>
                <w:szCs w:val="22"/>
              </w:rPr>
              <w:tab/>
              <w:t xml:space="preserve">section </w:t>
            </w:r>
            <w:proofErr w:type="gramStart"/>
            <w:r w:rsidRPr="006C6A35">
              <w:rPr>
                <w:rFonts w:ascii="Arial" w:hAnsi="Arial" w:cs="Arial"/>
                <w:sz w:val="22"/>
                <w:szCs w:val="22"/>
              </w:rPr>
              <w:t>11;</w:t>
            </w:r>
            <w:proofErr w:type="gramEnd"/>
          </w:p>
          <w:p w14:paraId="069D7571"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t>
            </w:r>
            <w:proofErr w:type="spellStart"/>
            <w:r w:rsidRPr="006C6A35">
              <w:rPr>
                <w:rFonts w:ascii="Arial" w:hAnsi="Arial" w:cs="Arial"/>
                <w:sz w:val="22"/>
                <w:szCs w:val="22"/>
              </w:rPr>
              <w:t>i</w:t>
            </w:r>
            <w:proofErr w:type="spellEnd"/>
            <w:r w:rsidRPr="006C6A35">
              <w:rPr>
                <w:rFonts w:ascii="Arial" w:hAnsi="Arial" w:cs="Arial"/>
                <w:sz w:val="22"/>
                <w:szCs w:val="22"/>
              </w:rPr>
              <w:t>)</w:t>
            </w:r>
            <w:r w:rsidRPr="006C6A35">
              <w:rPr>
                <w:rFonts w:ascii="Arial" w:hAnsi="Arial" w:cs="Arial"/>
                <w:sz w:val="22"/>
                <w:szCs w:val="22"/>
              </w:rPr>
              <w:tab/>
              <w:t xml:space="preserve">subsection </w:t>
            </w:r>
            <w:proofErr w:type="gramStart"/>
            <w:r w:rsidRPr="006C6A35">
              <w:rPr>
                <w:rFonts w:ascii="Arial" w:hAnsi="Arial" w:cs="Arial"/>
                <w:sz w:val="22"/>
                <w:szCs w:val="22"/>
              </w:rPr>
              <w:t>12(1);</w:t>
            </w:r>
            <w:proofErr w:type="gramEnd"/>
          </w:p>
          <w:p w14:paraId="61AF33B6"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(j)</w:t>
            </w:r>
            <w:r w:rsidRPr="006C6A35">
              <w:rPr>
                <w:rFonts w:ascii="Arial" w:hAnsi="Arial" w:cs="Arial"/>
                <w:sz w:val="22"/>
                <w:szCs w:val="22"/>
              </w:rPr>
              <w:tab/>
              <w:t xml:space="preserve">section </w:t>
            </w:r>
            <w:proofErr w:type="gramStart"/>
            <w:r w:rsidRPr="006C6A35">
              <w:rPr>
                <w:rFonts w:ascii="Arial" w:hAnsi="Arial" w:cs="Arial"/>
                <w:sz w:val="22"/>
                <w:szCs w:val="22"/>
              </w:rPr>
              <w:t>13;</w:t>
            </w:r>
            <w:proofErr w:type="gramEnd"/>
          </w:p>
          <w:p w14:paraId="195FA7C8"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(k)</w:t>
            </w:r>
            <w:r w:rsidRPr="006C6A35">
              <w:rPr>
                <w:rFonts w:ascii="Arial" w:hAnsi="Arial" w:cs="Arial"/>
                <w:sz w:val="22"/>
                <w:szCs w:val="22"/>
              </w:rPr>
              <w:tab/>
              <w:t xml:space="preserve">subsection </w:t>
            </w:r>
            <w:proofErr w:type="gramStart"/>
            <w:r w:rsidRPr="006C6A35">
              <w:rPr>
                <w:rFonts w:ascii="Arial" w:hAnsi="Arial" w:cs="Arial"/>
                <w:sz w:val="22"/>
                <w:szCs w:val="22"/>
              </w:rPr>
              <w:t>14(2);</w:t>
            </w:r>
            <w:proofErr w:type="gramEnd"/>
          </w:p>
          <w:p w14:paraId="05B47542"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(l)</w:t>
            </w:r>
            <w:r w:rsidRPr="006C6A35">
              <w:rPr>
                <w:rFonts w:ascii="Arial" w:hAnsi="Arial" w:cs="Arial"/>
                <w:sz w:val="22"/>
                <w:szCs w:val="22"/>
              </w:rPr>
              <w:tab/>
              <w:t xml:space="preserve">subsection </w:t>
            </w:r>
            <w:proofErr w:type="gramStart"/>
            <w:r w:rsidRPr="006C6A35">
              <w:rPr>
                <w:rFonts w:ascii="Arial" w:hAnsi="Arial" w:cs="Arial"/>
                <w:sz w:val="22"/>
                <w:szCs w:val="22"/>
              </w:rPr>
              <w:t>14(3);</w:t>
            </w:r>
            <w:proofErr w:type="gramEnd"/>
          </w:p>
          <w:p w14:paraId="77031108"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(m)</w:t>
            </w:r>
            <w:r w:rsidRPr="006C6A35">
              <w:rPr>
                <w:rFonts w:ascii="Arial" w:hAnsi="Arial" w:cs="Arial"/>
                <w:sz w:val="22"/>
                <w:szCs w:val="22"/>
              </w:rPr>
              <w:tab/>
              <w:t xml:space="preserve">subsection </w:t>
            </w:r>
            <w:proofErr w:type="gramStart"/>
            <w:r w:rsidRPr="006C6A35">
              <w:rPr>
                <w:rFonts w:ascii="Arial" w:hAnsi="Arial" w:cs="Arial"/>
                <w:sz w:val="22"/>
                <w:szCs w:val="22"/>
              </w:rPr>
              <w:t>15(1);</w:t>
            </w:r>
            <w:proofErr w:type="gramEnd"/>
          </w:p>
          <w:p w14:paraId="4BB1589E"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(n)</w:t>
            </w:r>
            <w:r w:rsidRPr="006C6A35">
              <w:rPr>
                <w:rFonts w:ascii="Arial" w:hAnsi="Arial" w:cs="Arial"/>
                <w:sz w:val="22"/>
                <w:szCs w:val="22"/>
              </w:rPr>
              <w:tab/>
              <w:t xml:space="preserve">subsection </w:t>
            </w:r>
            <w:proofErr w:type="gramStart"/>
            <w:r w:rsidRPr="006C6A35">
              <w:rPr>
                <w:rFonts w:ascii="Arial" w:hAnsi="Arial" w:cs="Arial"/>
                <w:sz w:val="22"/>
                <w:szCs w:val="22"/>
              </w:rPr>
              <w:t>16(2);</w:t>
            </w:r>
            <w:proofErr w:type="gramEnd"/>
          </w:p>
          <w:p w14:paraId="6DA170D9"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(o)</w:t>
            </w:r>
            <w:r w:rsidRPr="006C6A35">
              <w:rPr>
                <w:rFonts w:ascii="Arial" w:hAnsi="Arial" w:cs="Arial"/>
                <w:sz w:val="22"/>
                <w:szCs w:val="22"/>
              </w:rPr>
              <w:tab/>
              <w:t xml:space="preserve">subsection </w:t>
            </w:r>
            <w:proofErr w:type="gramStart"/>
            <w:r w:rsidRPr="006C6A35">
              <w:rPr>
                <w:rFonts w:ascii="Arial" w:hAnsi="Arial" w:cs="Arial"/>
                <w:sz w:val="22"/>
                <w:szCs w:val="22"/>
              </w:rPr>
              <w:t>16(4);</w:t>
            </w:r>
            <w:proofErr w:type="gramEnd"/>
          </w:p>
          <w:p w14:paraId="657331A9"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(p)</w:t>
            </w:r>
            <w:r w:rsidRPr="006C6A35">
              <w:rPr>
                <w:rFonts w:ascii="Arial" w:hAnsi="Arial" w:cs="Arial"/>
                <w:sz w:val="22"/>
                <w:szCs w:val="22"/>
              </w:rPr>
              <w:tab/>
              <w:t xml:space="preserve">subsection </w:t>
            </w:r>
            <w:proofErr w:type="gramStart"/>
            <w:r w:rsidRPr="006C6A35">
              <w:rPr>
                <w:rFonts w:ascii="Arial" w:hAnsi="Arial" w:cs="Arial"/>
                <w:sz w:val="22"/>
                <w:szCs w:val="22"/>
              </w:rPr>
              <w:t>16(5);</w:t>
            </w:r>
            <w:proofErr w:type="gramEnd"/>
          </w:p>
          <w:p w14:paraId="0F4511EA"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(q)</w:t>
            </w:r>
            <w:r w:rsidRPr="006C6A35">
              <w:rPr>
                <w:rFonts w:ascii="Arial" w:hAnsi="Arial" w:cs="Arial"/>
                <w:sz w:val="22"/>
                <w:szCs w:val="22"/>
              </w:rPr>
              <w:tab/>
              <w:t xml:space="preserve">subsection </w:t>
            </w:r>
            <w:proofErr w:type="gramStart"/>
            <w:r w:rsidRPr="006C6A35">
              <w:rPr>
                <w:rFonts w:ascii="Arial" w:hAnsi="Arial" w:cs="Arial"/>
                <w:sz w:val="22"/>
                <w:szCs w:val="22"/>
              </w:rPr>
              <w:t>16(6);</w:t>
            </w:r>
            <w:proofErr w:type="gramEnd"/>
          </w:p>
          <w:p w14:paraId="67CCF89A"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(r)</w:t>
            </w:r>
            <w:r w:rsidRPr="006C6A35">
              <w:rPr>
                <w:rFonts w:ascii="Arial" w:hAnsi="Arial" w:cs="Arial"/>
                <w:sz w:val="22"/>
                <w:szCs w:val="22"/>
              </w:rPr>
              <w:tab/>
              <w:t xml:space="preserve">subsection </w:t>
            </w:r>
            <w:proofErr w:type="gramStart"/>
            <w:r w:rsidRPr="006C6A35">
              <w:rPr>
                <w:rFonts w:ascii="Arial" w:hAnsi="Arial" w:cs="Arial"/>
                <w:sz w:val="22"/>
                <w:szCs w:val="22"/>
              </w:rPr>
              <w:t>17(2);</w:t>
            </w:r>
            <w:proofErr w:type="gramEnd"/>
          </w:p>
          <w:p w14:paraId="3D6A076F"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(s)</w:t>
            </w:r>
            <w:r w:rsidRPr="006C6A35">
              <w:rPr>
                <w:rFonts w:ascii="Arial" w:hAnsi="Arial" w:cs="Arial"/>
                <w:sz w:val="22"/>
                <w:szCs w:val="22"/>
              </w:rPr>
              <w:tab/>
              <w:t xml:space="preserve">subsection </w:t>
            </w:r>
            <w:proofErr w:type="gramStart"/>
            <w:r w:rsidRPr="006C6A35">
              <w:rPr>
                <w:rFonts w:ascii="Arial" w:hAnsi="Arial" w:cs="Arial"/>
                <w:sz w:val="22"/>
                <w:szCs w:val="22"/>
              </w:rPr>
              <w:t>17(3);</w:t>
            </w:r>
            <w:proofErr w:type="gramEnd"/>
          </w:p>
          <w:p w14:paraId="27ABFED9"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(t)</w:t>
            </w:r>
            <w:r w:rsidRPr="006C6A35">
              <w:rPr>
                <w:rFonts w:ascii="Arial" w:hAnsi="Arial" w:cs="Arial"/>
                <w:sz w:val="22"/>
                <w:szCs w:val="22"/>
              </w:rPr>
              <w:tab/>
              <w:t xml:space="preserve">section </w:t>
            </w:r>
            <w:proofErr w:type="gramStart"/>
            <w:r w:rsidRPr="006C6A35">
              <w:rPr>
                <w:rFonts w:ascii="Arial" w:hAnsi="Arial" w:cs="Arial"/>
                <w:sz w:val="22"/>
                <w:szCs w:val="22"/>
              </w:rPr>
              <w:t>18;</w:t>
            </w:r>
            <w:proofErr w:type="gramEnd"/>
          </w:p>
          <w:p w14:paraId="0C5C964A"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(u)</w:t>
            </w:r>
            <w:r w:rsidRPr="006C6A35">
              <w:rPr>
                <w:rFonts w:ascii="Arial" w:hAnsi="Arial" w:cs="Arial"/>
                <w:sz w:val="22"/>
                <w:szCs w:val="22"/>
              </w:rPr>
              <w:tab/>
              <w:t xml:space="preserve">subsection </w:t>
            </w:r>
            <w:proofErr w:type="gramStart"/>
            <w:r w:rsidRPr="006C6A35">
              <w:rPr>
                <w:rFonts w:ascii="Arial" w:hAnsi="Arial" w:cs="Arial"/>
                <w:sz w:val="22"/>
                <w:szCs w:val="22"/>
              </w:rPr>
              <w:t>19(2);</w:t>
            </w:r>
            <w:proofErr w:type="gramEnd"/>
          </w:p>
          <w:p w14:paraId="56FE44FC"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(v)</w:t>
            </w:r>
            <w:r w:rsidRPr="006C6A35">
              <w:rPr>
                <w:rFonts w:ascii="Arial" w:hAnsi="Arial" w:cs="Arial"/>
                <w:sz w:val="22"/>
                <w:szCs w:val="22"/>
              </w:rPr>
              <w:tab/>
              <w:t xml:space="preserve">subsection </w:t>
            </w:r>
            <w:proofErr w:type="gramStart"/>
            <w:r w:rsidRPr="006C6A35">
              <w:rPr>
                <w:rFonts w:ascii="Arial" w:hAnsi="Arial" w:cs="Arial"/>
                <w:sz w:val="22"/>
                <w:szCs w:val="22"/>
              </w:rPr>
              <w:t>19(3);</w:t>
            </w:r>
            <w:proofErr w:type="gramEnd"/>
          </w:p>
          <w:p w14:paraId="73A968E9"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(w)</w:t>
            </w:r>
            <w:r w:rsidRPr="006C6A35">
              <w:rPr>
                <w:rFonts w:ascii="Arial" w:hAnsi="Arial" w:cs="Arial"/>
                <w:sz w:val="22"/>
                <w:szCs w:val="22"/>
              </w:rPr>
              <w:tab/>
              <w:t xml:space="preserve">subsection </w:t>
            </w:r>
            <w:proofErr w:type="gramStart"/>
            <w:r w:rsidRPr="006C6A35">
              <w:rPr>
                <w:rFonts w:ascii="Arial" w:hAnsi="Arial" w:cs="Arial"/>
                <w:sz w:val="22"/>
                <w:szCs w:val="22"/>
              </w:rPr>
              <w:t>19(4);</w:t>
            </w:r>
            <w:proofErr w:type="gramEnd"/>
          </w:p>
          <w:p w14:paraId="452AAC07" w14:textId="77777777" w:rsidR="00AD0F23" w:rsidRPr="006C6A35" w:rsidRDefault="00AD0F23" w:rsidP="00054E97">
            <w:pPr>
              <w:keepLines/>
              <w:spacing w:before="60" w:line="260" w:lineRule="exact"/>
              <w:ind w:left="566" w:hanging="567"/>
              <w:jc w:val="both"/>
              <w:rPr>
                <w:rFonts w:ascii="Arial" w:hAnsi="Arial" w:cs="Arial"/>
                <w:sz w:val="22"/>
                <w:szCs w:val="22"/>
              </w:rPr>
            </w:pPr>
            <w:r w:rsidRPr="006C6A35">
              <w:rPr>
                <w:rFonts w:ascii="Arial" w:hAnsi="Arial" w:cs="Arial"/>
                <w:sz w:val="22"/>
                <w:szCs w:val="22"/>
              </w:rPr>
              <w:t>(x)</w:t>
            </w:r>
            <w:r w:rsidRPr="006C6A35">
              <w:rPr>
                <w:rFonts w:ascii="Arial" w:hAnsi="Arial" w:cs="Arial"/>
                <w:sz w:val="22"/>
                <w:szCs w:val="22"/>
              </w:rPr>
              <w:tab/>
              <w:t xml:space="preserve">subsection </w:t>
            </w:r>
            <w:proofErr w:type="gramStart"/>
            <w:r w:rsidRPr="006C6A35">
              <w:rPr>
                <w:rFonts w:ascii="Arial" w:hAnsi="Arial" w:cs="Arial"/>
                <w:sz w:val="22"/>
                <w:szCs w:val="22"/>
              </w:rPr>
              <w:t>19(5);</w:t>
            </w:r>
            <w:proofErr w:type="gramEnd"/>
          </w:p>
          <w:p w14:paraId="11166C47"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(y)</w:t>
            </w:r>
            <w:r w:rsidRPr="006C6A35">
              <w:rPr>
                <w:rFonts w:ascii="Arial" w:hAnsi="Arial" w:cs="Arial"/>
                <w:sz w:val="22"/>
                <w:szCs w:val="22"/>
              </w:rPr>
              <w:tab/>
              <w:t xml:space="preserve">subsection </w:t>
            </w:r>
            <w:proofErr w:type="gramStart"/>
            <w:r w:rsidRPr="006C6A35">
              <w:rPr>
                <w:rFonts w:ascii="Arial" w:hAnsi="Arial" w:cs="Arial"/>
                <w:sz w:val="22"/>
                <w:szCs w:val="22"/>
              </w:rPr>
              <w:t>19(6);</w:t>
            </w:r>
            <w:proofErr w:type="gramEnd"/>
          </w:p>
          <w:p w14:paraId="24448A34" w14:textId="77777777" w:rsidR="00AD0F23" w:rsidRPr="006C6A35" w:rsidRDefault="00AD0F23" w:rsidP="00054E97">
            <w:pPr>
              <w:keepLines/>
              <w:spacing w:before="60" w:line="260" w:lineRule="exact"/>
              <w:ind w:left="567" w:hanging="567"/>
              <w:jc w:val="both"/>
              <w:rPr>
                <w:rFonts w:ascii="Arial" w:hAnsi="Arial" w:cs="Arial"/>
                <w:sz w:val="22"/>
                <w:szCs w:val="22"/>
              </w:rPr>
            </w:pPr>
            <w:r w:rsidRPr="006C6A35">
              <w:rPr>
                <w:rFonts w:ascii="Arial" w:hAnsi="Arial" w:cs="Arial"/>
                <w:sz w:val="22"/>
                <w:szCs w:val="22"/>
              </w:rPr>
              <w:t>(z)</w:t>
            </w:r>
            <w:r w:rsidRPr="006C6A35">
              <w:rPr>
                <w:rFonts w:ascii="Arial" w:hAnsi="Arial" w:cs="Arial"/>
                <w:sz w:val="22"/>
                <w:szCs w:val="22"/>
              </w:rPr>
              <w:tab/>
              <w:t>subsection 20(1).</w:t>
            </w:r>
          </w:p>
          <w:p w14:paraId="7476BF62" w14:textId="77777777" w:rsidR="00AD0F23" w:rsidRPr="006C6A35" w:rsidRDefault="00AD0F23" w:rsidP="00054E97">
            <w:pPr>
              <w:rPr>
                <w:rFonts w:ascii="Arial" w:hAnsi="Arial" w:cs="Arial"/>
                <w:b/>
                <w:sz w:val="22"/>
                <w:szCs w:val="22"/>
              </w:rPr>
            </w:pPr>
          </w:p>
        </w:tc>
        <w:tc>
          <w:tcPr>
            <w:tcW w:w="4508" w:type="dxa"/>
          </w:tcPr>
          <w:p w14:paraId="0A991248" w14:textId="77777777" w:rsidR="00AD0F23" w:rsidRPr="006C6A35" w:rsidRDefault="00AD0F23" w:rsidP="00054E97">
            <w:pPr>
              <w:rPr>
                <w:rFonts w:ascii="Arial" w:hAnsi="Arial" w:cs="Arial"/>
                <w:sz w:val="22"/>
                <w:szCs w:val="22"/>
              </w:rPr>
            </w:pPr>
            <w:r w:rsidRPr="006C6A35">
              <w:rPr>
                <w:rFonts w:ascii="Arial" w:hAnsi="Arial" w:cs="Arial"/>
                <w:sz w:val="22"/>
                <w:szCs w:val="22"/>
              </w:rPr>
              <w:t>None</w:t>
            </w:r>
          </w:p>
        </w:tc>
      </w:tr>
    </w:tbl>
    <w:p w14:paraId="34AB8162" w14:textId="77777777" w:rsidR="00AD0F23" w:rsidRPr="006C6A35" w:rsidRDefault="00AD0F23" w:rsidP="00AD0F23">
      <w:pPr>
        <w:spacing w:line="259" w:lineRule="auto"/>
        <w:rPr>
          <w:rFonts w:ascii="Arial" w:hAnsi="Arial" w:cs="Arial"/>
          <w:b/>
          <w:sz w:val="24"/>
          <w:szCs w:val="24"/>
        </w:rPr>
      </w:pPr>
    </w:p>
    <w:p w14:paraId="458AF617" w14:textId="01585DF6" w:rsidR="00025ACE" w:rsidRPr="002904CF" w:rsidRDefault="00025ACE" w:rsidP="002904CF">
      <w:pPr>
        <w:rPr>
          <w:rFonts w:ascii="Arial" w:hAnsi="Arial" w:cs="Arial"/>
          <w:b/>
        </w:rPr>
      </w:pPr>
    </w:p>
    <w:sectPr w:rsidR="00025ACE" w:rsidRPr="002904CF"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AE26" w14:textId="77777777" w:rsidR="00D425A2" w:rsidRDefault="00D425A2" w:rsidP="00025ACE">
      <w:pPr>
        <w:spacing w:after="0" w:line="240" w:lineRule="auto"/>
      </w:pPr>
      <w:r>
        <w:separator/>
      </w:r>
    </w:p>
  </w:endnote>
  <w:endnote w:type="continuationSeparator" w:id="0">
    <w:p w14:paraId="33B85AE8" w14:textId="77777777" w:rsidR="00D425A2" w:rsidRDefault="00D425A2" w:rsidP="00025ACE">
      <w:pPr>
        <w:spacing w:after="0" w:line="240" w:lineRule="auto"/>
      </w:pPr>
      <w:r>
        <w:continuationSeparator/>
      </w:r>
    </w:p>
  </w:endnote>
  <w:endnote w:type="continuationNotice" w:id="1">
    <w:p w14:paraId="66B82150" w14:textId="77777777" w:rsidR="00D425A2" w:rsidRDefault="00D4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Pr="00C82418" w:rsidRDefault="00AD3414" w:rsidP="00C82418">
        <w:pPr>
          <w:pStyle w:val="Footer"/>
          <w:jc w:val="center"/>
          <w:rPr>
            <w:rFonts w:ascii="Times New Roman" w:hAnsi="Times New Roman" w:cs="Times New Roman"/>
            <w:i/>
          </w:rPr>
        </w:pPr>
      </w:p>
      <w:p w14:paraId="7A9CDA51" w14:textId="507018C5" w:rsidR="00AD3414" w:rsidRPr="00C82418" w:rsidRDefault="00AD3414" w:rsidP="00AD3414">
        <w:pPr>
          <w:pStyle w:val="Footer"/>
          <w:jc w:val="center"/>
          <w:rPr>
            <w:rFonts w:ascii="Times New Roman" w:hAnsi="Times New Roman" w:cs="Times New Roman"/>
            <w:i/>
          </w:rPr>
        </w:pPr>
        <w:r w:rsidRPr="0046005E">
          <w:rPr>
            <w:rFonts w:ascii="Times New Roman" w:hAnsi="Times New Roman" w:cs="Times New Roman"/>
            <w:iCs/>
          </w:rPr>
          <w:t>Explanatory Statement to the</w:t>
        </w:r>
        <w:r w:rsidRPr="00C82418">
          <w:rPr>
            <w:rFonts w:ascii="Times New Roman" w:hAnsi="Times New Roman" w:cs="Times New Roman"/>
            <w:i/>
          </w:rPr>
          <w:t xml:space="preserve"> </w:t>
        </w:r>
        <w:r w:rsidR="00C82418" w:rsidRPr="00C82418">
          <w:rPr>
            <w:rFonts w:ascii="Times New Roman" w:hAnsi="Times New Roman" w:cs="Times New Roman"/>
            <w:i/>
          </w:rPr>
          <w:t>Telecommunications (Listed Infringement Notice Provisions) Declaration 2022</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B5DB" w14:textId="77777777" w:rsidR="00D425A2" w:rsidRDefault="00D425A2" w:rsidP="00025ACE">
      <w:pPr>
        <w:spacing w:after="0" w:line="240" w:lineRule="auto"/>
      </w:pPr>
      <w:r>
        <w:separator/>
      </w:r>
    </w:p>
  </w:footnote>
  <w:footnote w:type="continuationSeparator" w:id="0">
    <w:p w14:paraId="44077D32" w14:textId="77777777" w:rsidR="00D425A2" w:rsidRDefault="00D425A2" w:rsidP="00025ACE">
      <w:pPr>
        <w:spacing w:after="0" w:line="240" w:lineRule="auto"/>
      </w:pPr>
      <w:r>
        <w:continuationSeparator/>
      </w:r>
    </w:p>
  </w:footnote>
  <w:footnote w:type="continuationNotice" w:id="1">
    <w:p w14:paraId="2A187BA2" w14:textId="77777777" w:rsidR="00D425A2" w:rsidRDefault="00D425A2">
      <w:pPr>
        <w:spacing w:after="0" w:line="240" w:lineRule="auto"/>
      </w:pPr>
    </w:p>
  </w:footnote>
  <w:footnote w:id="2">
    <w:p w14:paraId="0C1D9F95" w14:textId="1A52527B" w:rsidR="00C07DE4" w:rsidRPr="00C07DE4" w:rsidRDefault="00C07DE4">
      <w:pPr>
        <w:pStyle w:val="FootnoteText"/>
        <w:rPr>
          <w:rFonts w:ascii="Arial" w:hAnsi="Arial" w:cs="Arial"/>
          <w:sz w:val="18"/>
          <w:szCs w:val="18"/>
        </w:rPr>
      </w:pPr>
      <w:r w:rsidRPr="00C07DE4">
        <w:rPr>
          <w:rStyle w:val="FootnoteReference"/>
          <w:rFonts w:ascii="Arial" w:hAnsi="Arial" w:cs="Arial"/>
          <w:sz w:val="18"/>
          <w:szCs w:val="18"/>
        </w:rPr>
        <w:footnoteRef/>
      </w:r>
      <w:r w:rsidRPr="00C07DE4">
        <w:rPr>
          <w:rFonts w:ascii="Arial" w:hAnsi="Arial" w:cs="Arial"/>
          <w:sz w:val="18"/>
          <w:szCs w:val="18"/>
        </w:rPr>
        <w:t xml:space="preserve"> As at the date this Declaration was made, the instrument specifying the period for the purpose of subsection 43(1) was the </w:t>
      </w:r>
      <w:r w:rsidRPr="00C07DE4">
        <w:rPr>
          <w:rFonts w:ascii="Arial" w:hAnsi="Arial" w:cs="Arial"/>
          <w:i/>
          <w:iCs/>
          <w:sz w:val="18"/>
          <w:szCs w:val="18"/>
        </w:rPr>
        <w:t>Telecommunications (Eligible Revenue) Determination 2015</w:t>
      </w:r>
      <w:r w:rsidRPr="00C07DE4">
        <w:rPr>
          <w:rFonts w:ascii="Arial" w:hAnsi="Arial" w:cs="Arial"/>
          <w:sz w:val="18"/>
          <w:szCs w:val="18"/>
        </w:rPr>
        <w:t>.</w:t>
      </w:r>
    </w:p>
  </w:footnote>
  <w:footnote w:id="3">
    <w:p w14:paraId="024F67B5" w14:textId="1B101773" w:rsidR="00DE5EFF" w:rsidRPr="00D46D76" w:rsidRDefault="00DE5EFF">
      <w:pPr>
        <w:pStyle w:val="FootnoteText"/>
      </w:pPr>
      <w:r>
        <w:rPr>
          <w:rStyle w:val="FootnoteReference"/>
        </w:rPr>
        <w:footnoteRef/>
      </w:r>
      <w:r>
        <w:t xml:space="preserve"> </w:t>
      </w:r>
      <w:r w:rsidRPr="00DE5EFF">
        <w:rPr>
          <w:rFonts w:ascii="Arial" w:hAnsi="Arial" w:cs="Arial"/>
          <w:sz w:val="18"/>
          <w:szCs w:val="18"/>
        </w:rPr>
        <w:t xml:space="preserve">ACCAN suggested including provisions of the </w:t>
      </w:r>
      <w:r w:rsidRPr="00DE5EFF">
        <w:rPr>
          <w:rFonts w:ascii="Arial" w:hAnsi="Arial" w:cs="Arial"/>
          <w:i/>
          <w:iCs/>
          <w:color w:val="000000" w:themeColor="text1"/>
          <w:sz w:val="18"/>
          <w:szCs w:val="18"/>
        </w:rPr>
        <w:t>Telecommunications Service Provider (International Mobile Roaming) Determination 2019</w:t>
      </w:r>
      <w:r w:rsidR="00D46D76">
        <w:rPr>
          <w:rFonts w:ascii="Arial" w:hAnsi="Arial" w:cs="Arial"/>
          <w:color w:val="000000" w:themeColor="text1"/>
          <w:sz w:val="18"/>
          <w:szCs w:val="18"/>
        </w:rPr>
        <w:t xml:space="preserve">. In order to comply with legislative consultation requirements, provisions from this instrument will be considered for a future revision of the Declaration.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AB9"/>
    <w:multiLevelType w:val="hybridMultilevel"/>
    <w:tmpl w:val="83A49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7626F"/>
    <w:multiLevelType w:val="hybridMultilevel"/>
    <w:tmpl w:val="F20A1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F0FB5"/>
    <w:multiLevelType w:val="hybridMultilevel"/>
    <w:tmpl w:val="7E82C5B6"/>
    <w:lvl w:ilvl="0" w:tplc="44EEC084">
      <w:start w:val="1"/>
      <w:numFmt w:val="bullet"/>
      <w:lvlText w:val="&gt;"/>
      <w:lvlJc w:val="left"/>
      <w:pPr>
        <w:ind w:left="1080" w:hanging="360"/>
      </w:pPr>
      <w:rPr>
        <w:rFonts w:ascii="HelveticaNeueLT Std" w:hAnsi="HelveticaNeueLT Std"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EC22DE"/>
    <w:multiLevelType w:val="hybridMultilevel"/>
    <w:tmpl w:val="452402F8"/>
    <w:lvl w:ilvl="0" w:tplc="279E42BA">
      <w:start w:val="1"/>
      <w:numFmt w:val="lowerLetter"/>
      <w:lvlText w:val="(%1)"/>
      <w:lvlJc w:val="left"/>
      <w:pPr>
        <w:ind w:left="1563" w:hanging="57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15:restartNumberingAfterBreak="0">
    <w:nsid w:val="0E144B92"/>
    <w:multiLevelType w:val="hybridMultilevel"/>
    <w:tmpl w:val="50E6DC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21F33"/>
    <w:multiLevelType w:val="hybridMultilevel"/>
    <w:tmpl w:val="BB4E16BA"/>
    <w:lvl w:ilvl="0" w:tplc="F1F8499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8" w15:restartNumberingAfterBreak="0">
    <w:nsid w:val="223E5D0A"/>
    <w:multiLevelType w:val="hybridMultilevel"/>
    <w:tmpl w:val="11962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E4A4A"/>
    <w:multiLevelType w:val="hybridMultilevel"/>
    <w:tmpl w:val="69BCA7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864896"/>
    <w:multiLevelType w:val="hybridMultilevel"/>
    <w:tmpl w:val="C0FE4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8B64E6"/>
    <w:multiLevelType w:val="hybridMultilevel"/>
    <w:tmpl w:val="4442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427812"/>
    <w:multiLevelType w:val="hybridMultilevel"/>
    <w:tmpl w:val="AEAA3854"/>
    <w:lvl w:ilvl="0" w:tplc="A36AAAB0">
      <w:start w:val="1"/>
      <w:numFmt w:val="lowerLetter"/>
      <w:lvlText w:val="(%1)"/>
      <w:lvlJc w:val="left"/>
      <w:rPr>
        <w:rFonts w:hint="default"/>
      </w:rPr>
    </w:lvl>
    <w:lvl w:ilvl="1" w:tplc="0C090019" w:tentative="1">
      <w:start w:val="1"/>
      <w:numFmt w:val="lowerLetter"/>
      <w:lvlText w:val="%2."/>
      <w:lvlJc w:val="left"/>
      <w:pPr>
        <w:ind w:left="2979" w:hanging="360"/>
      </w:pPr>
    </w:lvl>
    <w:lvl w:ilvl="2" w:tplc="0C09001B" w:tentative="1">
      <w:start w:val="1"/>
      <w:numFmt w:val="lowerRoman"/>
      <w:lvlText w:val="%3."/>
      <w:lvlJc w:val="right"/>
      <w:pPr>
        <w:ind w:left="3699" w:hanging="180"/>
      </w:pPr>
    </w:lvl>
    <w:lvl w:ilvl="3" w:tplc="0C09000F" w:tentative="1">
      <w:start w:val="1"/>
      <w:numFmt w:val="decimal"/>
      <w:lvlText w:val="%4."/>
      <w:lvlJc w:val="left"/>
      <w:pPr>
        <w:ind w:left="4419" w:hanging="360"/>
      </w:pPr>
    </w:lvl>
    <w:lvl w:ilvl="4" w:tplc="0C090019" w:tentative="1">
      <w:start w:val="1"/>
      <w:numFmt w:val="lowerLetter"/>
      <w:lvlText w:val="%5."/>
      <w:lvlJc w:val="left"/>
      <w:pPr>
        <w:ind w:left="5139" w:hanging="360"/>
      </w:pPr>
    </w:lvl>
    <w:lvl w:ilvl="5" w:tplc="0C09001B" w:tentative="1">
      <w:start w:val="1"/>
      <w:numFmt w:val="lowerRoman"/>
      <w:lvlText w:val="%6."/>
      <w:lvlJc w:val="right"/>
      <w:pPr>
        <w:ind w:left="5859" w:hanging="180"/>
      </w:pPr>
    </w:lvl>
    <w:lvl w:ilvl="6" w:tplc="0C09000F" w:tentative="1">
      <w:start w:val="1"/>
      <w:numFmt w:val="decimal"/>
      <w:lvlText w:val="%7."/>
      <w:lvlJc w:val="left"/>
      <w:pPr>
        <w:ind w:left="6579" w:hanging="360"/>
      </w:pPr>
    </w:lvl>
    <w:lvl w:ilvl="7" w:tplc="0C090019" w:tentative="1">
      <w:start w:val="1"/>
      <w:numFmt w:val="lowerLetter"/>
      <w:lvlText w:val="%8."/>
      <w:lvlJc w:val="left"/>
      <w:pPr>
        <w:ind w:left="7299" w:hanging="360"/>
      </w:pPr>
    </w:lvl>
    <w:lvl w:ilvl="8" w:tplc="0C09001B" w:tentative="1">
      <w:start w:val="1"/>
      <w:numFmt w:val="lowerRoman"/>
      <w:lvlText w:val="%9."/>
      <w:lvlJc w:val="right"/>
      <w:pPr>
        <w:ind w:left="8019" w:hanging="180"/>
      </w:pPr>
    </w:lvl>
  </w:abstractNum>
  <w:abstractNum w:abstractNumId="19" w15:restartNumberingAfterBreak="0">
    <w:nsid w:val="58782EAC"/>
    <w:multiLevelType w:val="hybridMultilevel"/>
    <w:tmpl w:val="DD405E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4B7A89"/>
    <w:multiLevelType w:val="hybridMultilevel"/>
    <w:tmpl w:val="A6B4B6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226E4"/>
    <w:multiLevelType w:val="hybridMultilevel"/>
    <w:tmpl w:val="AD6C736A"/>
    <w:lvl w:ilvl="0" w:tplc="86224984">
      <w:start w:val="5"/>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7AF791E"/>
    <w:multiLevelType w:val="hybridMultilevel"/>
    <w:tmpl w:val="B05AD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4242A7"/>
    <w:multiLevelType w:val="hybridMultilevel"/>
    <w:tmpl w:val="C11CF366"/>
    <w:lvl w:ilvl="0" w:tplc="5AA4D0B8">
      <w:start w:val="1"/>
      <w:numFmt w:val="lowerLetter"/>
      <w:lvlText w:val="(%1)"/>
      <w:lvlJc w:val="left"/>
      <w:pPr>
        <w:ind w:left="1440" w:hanging="48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5" w15:restartNumberingAfterBreak="0">
    <w:nsid w:val="7E085705"/>
    <w:multiLevelType w:val="hybridMultilevel"/>
    <w:tmpl w:val="295AB1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6"/>
  </w:num>
  <w:num w:numId="4">
    <w:abstractNumId w:val="12"/>
  </w:num>
  <w:num w:numId="5">
    <w:abstractNumId w:val="11"/>
  </w:num>
  <w:num w:numId="6">
    <w:abstractNumId w:val="5"/>
  </w:num>
  <w:num w:numId="7">
    <w:abstractNumId w:val="9"/>
  </w:num>
  <w:num w:numId="8">
    <w:abstractNumId w:val="21"/>
  </w:num>
  <w:num w:numId="9">
    <w:abstractNumId w:val="6"/>
  </w:num>
  <w:num w:numId="10">
    <w:abstractNumId w:val="9"/>
  </w:num>
  <w:num w:numId="11">
    <w:abstractNumId w:val="12"/>
  </w:num>
  <w:num w:numId="12">
    <w:abstractNumId w:val="11"/>
  </w:num>
  <w:num w:numId="13">
    <w:abstractNumId w:val="21"/>
  </w:num>
  <w:num w:numId="14">
    <w:abstractNumId w:val="6"/>
  </w:num>
  <w:num w:numId="15">
    <w:abstractNumId w:val="9"/>
  </w:num>
  <w:num w:numId="16">
    <w:abstractNumId w:val="12"/>
  </w:num>
  <w:num w:numId="17">
    <w:abstractNumId w:val="11"/>
  </w:num>
  <w:num w:numId="18">
    <w:abstractNumId w:val="13"/>
  </w:num>
  <w:num w:numId="19">
    <w:abstractNumId w:val="8"/>
  </w:num>
  <w:num w:numId="20">
    <w:abstractNumId w:val="0"/>
  </w:num>
  <w:num w:numId="21">
    <w:abstractNumId w:val="15"/>
  </w:num>
  <w:num w:numId="22">
    <w:abstractNumId w:val="20"/>
  </w:num>
  <w:num w:numId="23">
    <w:abstractNumId w:val="1"/>
  </w:num>
  <w:num w:numId="24">
    <w:abstractNumId w:val="19"/>
  </w:num>
  <w:num w:numId="25">
    <w:abstractNumId w:val="24"/>
  </w:num>
  <w:num w:numId="26">
    <w:abstractNumId w:val="23"/>
  </w:num>
  <w:num w:numId="27">
    <w:abstractNumId w:val="3"/>
  </w:num>
  <w:num w:numId="28">
    <w:abstractNumId w:val="14"/>
  </w:num>
  <w:num w:numId="29">
    <w:abstractNumId w:val="7"/>
  </w:num>
  <w:num w:numId="30">
    <w:abstractNumId w:val="17"/>
  </w:num>
  <w:num w:numId="31">
    <w:abstractNumId w:val="4"/>
  </w:num>
  <w:num w:numId="32">
    <w:abstractNumId w:val="10"/>
  </w:num>
  <w:num w:numId="33">
    <w:abstractNumId w:val="2"/>
  </w:num>
  <w:num w:numId="34">
    <w:abstractNumId w:val="18"/>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5DE"/>
    <w:rsid w:val="000018B0"/>
    <w:rsid w:val="00002640"/>
    <w:rsid w:val="00003720"/>
    <w:rsid w:val="00005B9B"/>
    <w:rsid w:val="00010B18"/>
    <w:rsid w:val="00010BF4"/>
    <w:rsid w:val="000124F9"/>
    <w:rsid w:val="00013079"/>
    <w:rsid w:val="00014D29"/>
    <w:rsid w:val="00017AE6"/>
    <w:rsid w:val="00024279"/>
    <w:rsid w:val="00025ACE"/>
    <w:rsid w:val="000305B0"/>
    <w:rsid w:val="00030AD1"/>
    <w:rsid w:val="00030CA7"/>
    <w:rsid w:val="00030D62"/>
    <w:rsid w:val="00033A88"/>
    <w:rsid w:val="00033E86"/>
    <w:rsid w:val="00037122"/>
    <w:rsid w:val="00037F0E"/>
    <w:rsid w:val="000436B7"/>
    <w:rsid w:val="000437CA"/>
    <w:rsid w:val="00043AED"/>
    <w:rsid w:val="000466F2"/>
    <w:rsid w:val="000470D1"/>
    <w:rsid w:val="00053094"/>
    <w:rsid w:val="0005321A"/>
    <w:rsid w:val="00055301"/>
    <w:rsid w:val="0006148F"/>
    <w:rsid w:val="000640C2"/>
    <w:rsid w:val="0006517C"/>
    <w:rsid w:val="00070D91"/>
    <w:rsid w:val="000726C7"/>
    <w:rsid w:val="00073FD7"/>
    <w:rsid w:val="000744DD"/>
    <w:rsid w:val="00074669"/>
    <w:rsid w:val="00074A8D"/>
    <w:rsid w:val="000756B7"/>
    <w:rsid w:val="00076CE5"/>
    <w:rsid w:val="00082354"/>
    <w:rsid w:val="00085400"/>
    <w:rsid w:val="00085841"/>
    <w:rsid w:val="00090685"/>
    <w:rsid w:val="00095AB3"/>
    <w:rsid w:val="00096858"/>
    <w:rsid w:val="00096B1F"/>
    <w:rsid w:val="000A3749"/>
    <w:rsid w:val="000A3A94"/>
    <w:rsid w:val="000A5ED6"/>
    <w:rsid w:val="000A69C6"/>
    <w:rsid w:val="000A7831"/>
    <w:rsid w:val="000B0721"/>
    <w:rsid w:val="000B0BA7"/>
    <w:rsid w:val="000B1041"/>
    <w:rsid w:val="000B17B0"/>
    <w:rsid w:val="000B2B4E"/>
    <w:rsid w:val="000B3020"/>
    <w:rsid w:val="000B33B6"/>
    <w:rsid w:val="000B4B6C"/>
    <w:rsid w:val="000C6436"/>
    <w:rsid w:val="000C65D3"/>
    <w:rsid w:val="000C765B"/>
    <w:rsid w:val="000D4ECE"/>
    <w:rsid w:val="000D56FF"/>
    <w:rsid w:val="000D5B0E"/>
    <w:rsid w:val="000D6A09"/>
    <w:rsid w:val="000E38C9"/>
    <w:rsid w:val="000E3A6B"/>
    <w:rsid w:val="000E3CBE"/>
    <w:rsid w:val="000E592B"/>
    <w:rsid w:val="000E6F58"/>
    <w:rsid w:val="000F29C9"/>
    <w:rsid w:val="000F3B35"/>
    <w:rsid w:val="000F6255"/>
    <w:rsid w:val="000F720D"/>
    <w:rsid w:val="0010118B"/>
    <w:rsid w:val="00104130"/>
    <w:rsid w:val="00104FC8"/>
    <w:rsid w:val="00105F09"/>
    <w:rsid w:val="00107A01"/>
    <w:rsid w:val="0011137C"/>
    <w:rsid w:val="00112987"/>
    <w:rsid w:val="00113A2B"/>
    <w:rsid w:val="001148C5"/>
    <w:rsid w:val="00115525"/>
    <w:rsid w:val="00115FF8"/>
    <w:rsid w:val="00117351"/>
    <w:rsid w:val="00121B9E"/>
    <w:rsid w:val="00122072"/>
    <w:rsid w:val="0012383C"/>
    <w:rsid w:val="00123FE3"/>
    <w:rsid w:val="001245F9"/>
    <w:rsid w:val="0012565A"/>
    <w:rsid w:val="00126E5A"/>
    <w:rsid w:val="00130BA1"/>
    <w:rsid w:val="001341CC"/>
    <w:rsid w:val="00134705"/>
    <w:rsid w:val="00135BB3"/>
    <w:rsid w:val="00146A0C"/>
    <w:rsid w:val="00147EB4"/>
    <w:rsid w:val="00153D66"/>
    <w:rsid w:val="001556B4"/>
    <w:rsid w:val="00157BBB"/>
    <w:rsid w:val="001608EF"/>
    <w:rsid w:val="00161C73"/>
    <w:rsid w:val="001627FD"/>
    <w:rsid w:val="001643F6"/>
    <w:rsid w:val="00164476"/>
    <w:rsid w:val="00170B72"/>
    <w:rsid w:val="0017576D"/>
    <w:rsid w:val="00176FD4"/>
    <w:rsid w:val="0017754D"/>
    <w:rsid w:val="00177E1C"/>
    <w:rsid w:val="001802C2"/>
    <w:rsid w:val="00182717"/>
    <w:rsid w:val="00183924"/>
    <w:rsid w:val="00185BDC"/>
    <w:rsid w:val="00194D9C"/>
    <w:rsid w:val="0019730D"/>
    <w:rsid w:val="00197A10"/>
    <w:rsid w:val="00197B11"/>
    <w:rsid w:val="001A03B5"/>
    <w:rsid w:val="001A3FB1"/>
    <w:rsid w:val="001A791F"/>
    <w:rsid w:val="001B0812"/>
    <w:rsid w:val="001B0AF8"/>
    <w:rsid w:val="001B51EF"/>
    <w:rsid w:val="001B532C"/>
    <w:rsid w:val="001B5D8D"/>
    <w:rsid w:val="001B5DD5"/>
    <w:rsid w:val="001B70DE"/>
    <w:rsid w:val="001B7569"/>
    <w:rsid w:val="001C00A4"/>
    <w:rsid w:val="001C1E74"/>
    <w:rsid w:val="001C4BF8"/>
    <w:rsid w:val="001C5421"/>
    <w:rsid w:val="001C6078"/>
    <w:rsid w:val="001D0E45"/>
    <w:rsid w:val="001D491F"/>
    <w:rsid w:val="001D5C25"/>
    <w:rsid w:val="001E01FF"/>
    <w:rsid w:val="001E1422"/>
    <w:rsid w:val="001E1E58"/>
    <w:rsid w:val="001E3143"/>
    <w:rsid w:val="001E343E"/>
    <w:rsid w:val="001E382B"/>
    <w:rsid w:val="001E3CF2"/>
    <w:rsid w:val="001E6BD6"/>
    <w:rsid w:val="001E7341"/>
    <w:rsid w:val="001F1669"/>
    <w:rsid w:val="001F1BA2"/>
    <w:rsid w:val="001F2710"/>
    <w:rsid w:val="001F430A"/>
    <w:rsid w:val="0020254E"/>
    <w:rsid w:val="00203AA3"/>
    <w:rsid w:val="00212847"/>
    <w:rsid w:val="00220F70"/>
    <w:rsid w:val="00221C05"/>
    <w:rsid w:val="00227A57"/>
    <w:rsid w:val="002317BD"/>
    <w:rsid w:val="00234657"/>
    <w:rsid w:val="002348AF"/>
    <w:rsid w:val="00235C94"/>
    <w:rsid w:val="00241BBE"/>
    <w:rsid w:val="00243F4E"/>
    <w:rsid w:val="002447D0"/>
    <w:rsid w:val="0024572C"/>
    <w:rsid w:val="002508F7"/>
    <w:rsid w:val="0025173D"/>
    <w:rsid w:val="0025371E"/>
    <w:rsid w:val="00254741"/>
    <w:rsid w:val="00260AC6"/>
    <w:rsid w:val="0026159E"/>
    <w:rsid w:val="0026434D"/>
    <w:rsid w:val="00264A85"/>
    <w:rsid w:val="002674E7"/>
    <w:rsid w:val="00271DD4"/>
    <w:rsid w:val="002760C0"/>
    <w:rsid w:val="002775BD"/>
    <w:rsid w:val="00281B4F"/>
    <w:rsid w:val="002904CF"/>
    <w:rsid w:val="00291BD3"/>
    <w:rsid w:val="0029263D"/>
    <w:rsid w:val="00293EBA"/>
    <w:rsid w:val="0029506D"/>
    <w:rsid w:val="002950FC"/>
    <w:rsid w:val="00296BCB"/>
    <w:rsid w:val="00297435"/>
    <w:rsid w:val="00297B31"/>
    <w:rsid w:val="002A124C"/>
    <w:rsid w:val="002A24CC"/>
    <w:rsid w:val="002A35CA"/>
    <w:rsid w:val="002A43F8"/>
    <w:rsid w:val="002A48D6"/>
    <w:rsid w:val="002A54FB"/>
    <w:rsid w:val="002A7CAB"/>
    <w:rsid w:val="002B041C"/>
    <w:rsid w:val="002B0FFC"/>
    <w:rsid w:val="002B1412"/>
    <w:rsid w:val="002B2A8D"/>
    <w:rsid w:val="002B525D"/>
    <w:rsid w:val="002B5FD7"/>
    <w:rsid w:val="002B6699"/>
    <w:rsid w:val="002B6C60"/>
    <w:rsid w:val="002B78D5"/>
    <w:rsid w:val="002C2256"/>
    <w:rsid w:val="002C2D39"/>
    <w:rsid w:val="002C458F"/>
    <w:rsid w:val="002C7504"/>
    <w:rsid w:val="002D302F"/>
    <w:rsid w:val="002D49CA"/>
    <w:rsid w:val="002D513C"/>
    <w:rsid w:val="002E0FA0"/>
    <w:rsid w:val="002E32A0"/>
    <w:rsid w:val="002E3B2A"/>
    <w:rsid w:val="002E51E3"/>
    <w:rsid w:val="002F36E0"/>
    <w:rsid w:val="002F6082"/>
    <w:rsid w:val="00302DB5"/>
    <w:rsid w:val="003030B0"/>
    <w:rsid w:val="0030584E"/>
    <w:rsid w:val="0030775C"/>
    <w:rsid w:val="00311821"/>
    <w:rsid w:val="00311C55"/>
    <w:rsid w:val="00313250"/>
    <w:rsid w:val="00313AAE"/>
    <w:rsid w:val="00314977"/>
    <w:rsid w:val="00314AA1"/>
    <w:rsid w:val="00316941"/>
    <w:rsid w:val="00317951"/>
    <w:rsid w:val="00322CA6"/>
    <w:rsid w:val="003238D3"/>
    <w:rsid w:val="00325008"/>
    <w:rsid w:val="003259EB"/>
    <w:rsid w:val="003320D9"/>
    <w:rsid w:val="00336EED"/>
    <w:rsid w:val="00341700"/>
    <w:rsid w:val="00341E5B"/>
    <w:rsid w:val="003434D4"/>
    <w:rsid w:val="003465BC"/>
    <w:rsid w:val="00347B55"/>
    <w:rsid w:val="00351DE9"/>
    <w:rsid w:val="00351E91"/>
    <w:rsid w:val="00353309"/>
    <w:rsid w:val="003541C0"/>
    <w:rsid w:val="0035488B"/>
    <w:rsid w:val="003573FB"/>
    <w:rsid w:val="00361FAB"/>
    <w:rsid w:val="0036219F"/>
    <w:rsid w:val="003629A0"/>
    <w:rsid w:val="003656F5"/>
    <w:rsid w:val="00366D98"/>
    <w:rsid w:val="0036752E"/>
    <w:rsid w:val="00370169"/>
    <w:rsid w:val="00370620"/>
    <w:rsid w:val="00374C71"/>
    <w:rsid w:val="00375FA7"/>
    <w:rsid w:val="003837F0"/>
    <w:rsid w:val="0038514E"/>
    <w:rsid w:val="0038596D"/>
    <w:rsid w:val="00385EF1"/>
    <w:rsid w:val="00386C67"/>
    <w:rsid w:val="00391E61"/>
    <w:rsid w:val="003A02C3"/>
    <w:rsid w:val="003A1446"/>
    <w:rsid w:val="003A3371"/>
    <w:rsid w:val="003A3635"/>
    <w:rsid w:val="003A7407"/>
    <w:rsid w:val="003B0A7A"/>
    <w:rsid w:val="003B0FD8"/>
    <w:rsid w:val="003B3D92"/>
    <w:rsid w:val="003B4892"/>
    <w:rsid w:val="003C0B3C"/>
    <w:rsid w:val="003C2F82"/>
    <w:rsid w:val="003C3137"/>
    <w:rsid w:val="003C44B4"/>
    <w:rsid w:val="003C77ED"/>
    <w:rsid w:val="003D50E1"/>
    <w:rsid w:val="003D52F8"/>
    <w:rsid w:val="003D69B6"/>
    <w:rsid w:val="003D7136"/>
    <w:rsid w:val="003D74BE"/>
    <w:rsid w:val="003F0DBA"/>
    <w:rsid w:val="003F15B0"/>
    <w:rsid w:val="003F18A4"/>
    <w:rsid w:val="003F197D"/>
    <w:rsid w:val="003F2350"/>
    <w:rsid w:val="003F4C5E"/>
    <w:rsid w:val="003F52F4"/>
    <w:rsid w:val="004009AD"/>
    <w:rsid w:val="00401B85"/>
    <w:rsid w:val="00401C31"/>
    <w:rsid w:val="00405F04"/>
    <w:rsid w:val="00406409"/>
    <w:rsid w:val="00406423"/>
    <w:rsid w:val="00407E0E"/>
    <w:rsid w:val="0041003E"/>
    <w:rsid w:val="0041069F"/>
    <w:rsid w:val="0041173A"/>
    <w:rsid w:val="00412149"/>
    <w:rsid w:val="004132AC"/>
    <w:rsid w:val="004224C5"/>
    <w:rsid w:val="00422803"/>
    <w:rsid w:val="00422A29"/>
    <w:rsid w:val="00423241"/>
    <w:rsid w:val="00424A88"/>
    <w:rsid w:val="00426B2D"/>
    <w:rsid w:val="00434BB8"/>
    <w:rsid w:val="004362E3"/>
    <w:rsid w:val="00437BFA"/>
    <w:rsid w:val="00445D70"/>
    <w:rsid w:val="00446816"/>
    <w:rsid w:val="00446CB7"/>
    <w:rsid w:val="00450847"/>
    <w:rsid w:val="00450F48"/>
    <w:rsid w:val="00454871"/>
    <w:rsid w:val="0045489F"/>
    <w:rsid w:val="00457EF6"/>
    <w:rsid w:val="0046005E"/>
    <w:rsid w:val="0046133C"/>
    <w:rsid w:val="00462A27"/>
    <w:rsid w:val="004631E7"/>
    <w:rsid w:val="00463424"/>
    <w:rsid w:val="0046547A"/>
    <w:rsid w:val="00465D06"/>
    <w:rsid w:val="004710D7"/>
    <w:rsid w:val="00472D1C"/>
    <w:rsid w:val="00473525"/>
    <w:rsid w:val="00473873"/>
    <w:rsid w:val="00474889"/>
    <w:rsid w:val="00475CD3"/>
    <w:rsid w:val="0048045E"/>
    <w:rsid w:val="004826DD"/>
    <w:rsid w:val="00485082"/>
    <w:rsid w:val="004879FE"/>
    <w:rsid w:val="00490CBE"/>
    <w:rsid w:val="00492349"/>
    <w:rsid w:val="004931B8"/>
    <w:rsid w:val="00494DED"/>
    <w:rsid w:val="004958EA"/>
    <w:rsid w:val="004971D6"/>
    <w:rsid w:val="004A0A42"/>
    <w:rsid w:val="004A0DD0"/>
    <w:rsid w:val="004A1064"/>
    <w:rsid w:val="004A1375"/>
    <w:rsid w:val="004A13D4"/>
    <w:rsid w:val="004A344E"/>
    <w:rsid w:val="004A4D45"/>
    <w:rsid w:val="004A5131"/>
    <w:rsid w:val="004A7DF0"/>
    <w:rsid w:val="004B1A63"/>
    <w:rsid w:val="004B3EFF"/>
    <w:rsid w:val="004B6160"/>
    <w:rsid w:val="004B6ED0"/>
    <w:rsid w:val="004C0D29"/>
    <w:rsid w:val="004C2CD7"/>
    <w:rsid w:val="004C58B9"/>
    <w:rsid w:val="004C618E"/>
    <w:rsid w:val="004C7846"/>
    <w:rsid w:val="004D0508"/>
    <w:rsid w:val="004D06B5"/>
    <w:rsid w:val="004D0DD8"/>
    <w:rsid w:val="004D2843"/>
    <w:rsid w:val="004D4F2F"/>
    <w:rsid w:val="004E3318"/>
    <w:rsid w:val="004E3C20"/>
    <w:rsid w:val="004E790E"/>
    <w:rsid w:val="004F0939"/>
    <w:rsid w:val="004F2FE2"/>
    <w:rsid w:val="004F7285"/>
    <w:rsid w:val="00500073"/>
    <w:rsid w:val="00503061"/>
    <w:rsid w:val="0050389F"/>
    <w:rsid w:val="005046C0"/>
    <w:rsid w:val="00505330"/>
    <w:rsid w:val="00512878"/>
    <w:rsid w:val="0051437D"/>
    <w:rsid w:val="00520335"/>
    <w:rsid w:val="0052064E"/>
    <w:rsid w:val="00520914"/>
    <w:rsid w:val="0052221D"/>
    <w:rsid w:val="005253D2"/>
    <w:rsid w:val="00526445"/>
    <w:rsid w:val="0052687A"/>
    <w:rsid w:val="0052753E"/>
    <w:rsid w:val="00527BAE"/>
    <w:rsid w:val="00530BDA"/>
    <w:rsid w:val="00535BB5"/>
    <w:rsid w:val="00536280"/>
    <w:rsid w:val="00541A7E"/>
    <w:rsid w:val="00542148"/>
    <w:rsid w:val="0054402B"/>
    <w:rsid w:val="005440AE"/>
    <w:rsid w:val="00544C9A"/>
    <w:rsid w:val="005451B4"/>
    <w:rsid w:val="00551416"/>
    <w:rsid w:val="00562D6C"/>
    <w:rsid w:val="005637F4"/>
    <w:rsid w:val="005666C9"/>
    <w:rsid w:val="00570974"/>
    <w:rsid w:val="00573031"/>
    <w:rsid w:val="005740F3"/>
    <w:rsid w:val="00575E03"/>
    <w:rsid w:val="00580233"/>
    <w:rsid w:val="00582659"/>
    <w:rsid w:val="00582A60"/>
    <w:rsid w:val="00591DD4"/>
    <w:rsid w:val="00593D07"/>
    <w:rsid w:val="005958D6"/>
    <w:rsid w:val="005964CF"/>
    <w:rsid w:val="00597A73"/>
    <w:rsid w:val="005B11DE"/>
    <w:rsid w:val="005B6900"/>
    <w:rsid w:val="005B72A3"/>
    <w:rsid w:val="005B7FE4"/>
    <w:rsid w:val="005C0242"/>
    <w:rsid w:val="005C1A18"/>
    <w:rsid w:val="005C4EC1"/>
    <w:rsid w:val="005C65EB"/>
    <w:rsid w:val="005D41A6"/>
    <w:rsid w:val="005D486A"/>
    <w:rsid w:val="005F0D20"/>
    <w:rsid w:val="005F350D"/>
    <w:rsid w:val="005F45E3"/>
    <w:rsid w:val="005F5BE6"/>
    <w:rsid w:val="005F5EC0"/>
    <w:rsid w:val="006009AB"/>
    <w:rsid w:val="00601E52"/>
    <w:rsid w:val="00603B3F"/>
    <w:rsid w:val="00603D63"/>
    <w:rsid w:val="00605DD3"/>
    <w:rsid w:val="006145DA"/>
    <w:rsid w:val="00614D9A"/>
    <w:rsid w:val="00615613"/>
    <w:rsid w:val="0061749E"/>
    <w:rsid w:val="00624FF8"/>
    <w:rsid w:val="00633B13"/>
    <w:rsid w:val="00634993"/>
    <w:rsid w:val="00634BDF"/>
    <w:rsid w:val="0063781B"/>
    <w:rsid w:val="006412C7"/>
    <w:rsid w:val="00641906"/>
    <w:rsid w:val="00642E56"/>
    <w:rsid w:val="00643599"/>
    <w:rsid w:val="00645595"/>
    <w:rsid w:val="00645F35"/>
    <w:rsid w:val="00646BBF"/>
    <w:rsid w:val="00647840"/>
    <w:rsid w:val="00653091"/>
    <w:rsid w:val="00655B90"/>
    <w:rsid w:val="00655DF5"/>
    <w:rsid w:val="00660CDB"/>
    <w:rsid w:val="00663AF2"/>
    <w:rsid w:val="00663F60"/>
    <w:rsid w:val="006702A9"/>
    <w:rsid w:val="00670716"/>
    <w:rsid w:val="00670E56"/>
    <w:rsid w:val="00671216"/>
    <w:rsid w:val="00673676"/>
    <w:rsid w:val="006744F1"/>
    <w:rsid w:val="0068191D"/>
    <w:rsid w:val="00681986"/>
    <w:rsid w:val="006824A7"/>
    <w:rsid w:val="00686F06"/>
    <w:rsid w:val="00687290"/>
    <w:rsid w:val="00690FEB"/>
    <w:rsid w:val="0069268A"/>
    <w:rsid w:val="006940DB"/>
    <w:rsid w:val="00695500"/>
    <w:rsid w:val="00695A65"/>
    <w:rsid w:val="00696659"/>
    <w:rsid w:val="006A0BDF"/>
    <w:rsid w:val="006A2F2F"/>
    <w:rsid w:val="006A4887"/>
    <w:rsid w:val="006A53BB"/>
    <w:rsid w:val="006B5F6E"/>
    <w:rsid w:val="006B749B"/>
    <w:rsid w:val="006C03A9"/>
    <w:rsid w:val="006C59D5"/>
    <w:rsid w:val="006C6A35"/>
    <w:rsid w:val="006C6E4E"/>
    <w:rsid w:val="006D0EF0"/>
    <w:rsid w:val="006D16A9"/>
    <w:rsid w:val="006D3B25"/>
    <w:rsid w:val="006D4916"/>
    <w:rsid w:val="006D5C01"/>
    <w:rsid w:val="006E3BC9"/>
    <w:rsid w:val="006E7928"/>
    <w:rsid w:val="006F1286"/>
    <w:rsid w:val="006F2551"/>
    <w:rsid w:val="006F279A"/>
    <w:rsid w:val="006F32BF"/>
    <w:rsid w:val="006F418C"/>
    <w:rsid w:val="006F4EF5"/>
    <w:rsid w:val="006F6F51"/>
    <w:rsid w:val="007042E0"/>
    <w:rsid w:val="00705E0F"/>
    <w:rsid w:val="00706F43"/>
    <w:rsid w:val="007135E1"/>
    <w:rsid w:val="007141CA"/>
    <w:rsid w:val="00720E44"/>
    <w:rsid w:val="007237BD"/>
    <w:rsid w:val="007305EC"/>
    <w:rsid w:val="007319EC"/>
    <w:rsid w:val="00733194"/>
    <w:rsid w:val="007345FE"/>
    <w:rsid w:val="00734D83"/>
    <w:rsid w:val="00735DD9"/>
    <w:rsid w:val="00736BD9"/>
    <w:rsid w:val="0074661C"/>
    <w:rsid w:val="00750397"/>
    <w:rsid w:val="00750685"/>
    <w:rsid w:val="0075080F"/>
    <w:rsid w:val="00756057"/>
    <w:rsid w:val="00756977"/>
    <w:rsid w:val="00757C13"/>
    <w:rsid w:val="007626DB"/>
    <w:rsid w:val="00763B8A"/>
    <w:rsid w:val="00766475"/>
    <w:rsid w:val="00767CE2"/>
    <w:rsid w:val="00767D51"/>
    <w:rsid w:val="00770AAE"/>
    <w:rsid w:val="00772DF7"/>
    <w:rsid w:val="007734FF"/>
    <w:rsid w:val="0077364D"/>
    <w:rsid w:val="00776002"/>
    <w:rsid w:val="007765F9"/>
    <w:rsid w:val="00780094"/>
    <w:rsid w:val="00781709"/>
    <w:rsid w:val="007818DA"/>
    <w:rsid w:val="00785716"/>
    <w:rsid w:val="00787BF7"/>
    <w:rsid w:val="00791C46"/>
    <w:rsid w:val="00793695"/>
    <w:rsid w:val="00794C5F"/>
    <w:rsid w:val="00795CC0"/>
    <w:rsid w:val="00796339"/>
    <w:rsid w:val="007A0103"/>
    <w:rsid w:val="007A2277"/>
    <w:rsid w:val="007A2DED"/>
    <w:rsid w:val="007A6962"/>
    <w:rsid w:val="007B07E3"/>
    <w:rsid w:val="007B1242"/>
    <w:rsid w:val="007B5672"/>
    <w:rsid w:val="007B7779"/>
    <w:rsid w:val="007C03CE"/>
    <w:rsid w:val="007C0771"/>
    <w:rsid w:val="007C0B4B"/>
    <w:rsid w:val="007C1564"/>
    <w:rsid w:val="007C34CD"/>
    <w:rsid w:val="007C425A"/>
    <w:rsid w:val="007C4800"/>
    <w:rsid w:val="007D0454"/>
    <w:rsid w:val="007D05FF"/>
    <w:rsid w:val="007D6BB2"/>
    <w:rsid w:val="007D6F55"/>
    <w:rsid w:val="007D7290"/>
    <w:rsid w:val="007D7A52"/>
    <w:rsid w:val="007E220A"/>
    <w:rsid w:val="007E2CD8"/>
    <w:rsid w:val="007E43A8"/>
    <w:rsid w:val="007E6F20"/>
    <w:rsid w:val="007F3759"/>
    <w:rsid w:val="007F446A"/>
    <w:rsid w:val="007F5149"/>
    <w:rsid w:val="00802A7B"/>
    <w:rsid w:val="00803D4B"/>
    <w:rsid w:val="00805358"/>
    <w:rsid w:val="008070A8"/>
    <w:rsid w:val="00810499"/>
    <w:rsid w:val="008110DD"/>
    <w:rsid w:val="0081166D"/>
    <w:rsid w:val="0081203C"/>
    <w:rsid w:val="008129CE"/>
    <w:rsid w:val="0081500C"/>
    <w:rsid w:val="00815199"/>
    <w:rsid w:val="008152AF"/>
    <w:rsid w:val="00816179"/>
    <w:rsid w:val="00816F93"/>
    <w:rsid w:val="00817016"/>
    <w:rsid w:val="008204CC"/>
    <w:rsid w:val="00821098"/>
    <w:rsid w:val="00821F3F"/>
    <w:rsid w:val="008220B7"/>
    <w:rsid w:val="008246D3"/>
    <w:rsid w:val="00825EBB"/>
    <w:rsid w:val="008262B8"/>
    <w:rsid w:val="008333FD"/>
    <w:rsid w:val="008356FD"/>
    <w:rsid w:val="008441CF"/>
    <w:rsid w:val="0084470A"/>
    <w:rsid w:val="00847447"/>
    <w:rsid w:val="00851FB0"/>
    <w:rsid w:val="00852371"/>
    <w:rsid w:val="008575E4"/>
    <w:rsid w:val="00861839"/>
    <w:rsid w:val="00862A41"/>
    <w:rsid w:val="00864C36"/>
    <w:rsid w:val="00866FE2"/>
    <w:rsid w:val="00871496"/>
    <w:rsid w:val="0087292B"/>
    <w:rsid w:val="00875638"/>
    <w:rsid w:val="0087707C"/>
    <w:rsid w:val="00880637"/>
    <w:rsid w:val="008814CB"/>
    <w:rsid w:val="008816B9"/>
    <w:rsid w:val="00883EB5"/>
    <w:rsid w:val="00884344"/>
    <w:rsid w:val="0088436D"/>
    <w:rsid w:val="008870C3"/>
    <w:rsid w:val="00887E56"/>
    <w:rsid w:val="00890E47"/>
    <w:rsid w:val="00893246"/>
    <w:rsid w:val="00897885"/>
    <w:rsid w:val="008A0671"/>
    <w:rsid w:val="008A0836"/>
    <w:rsid w:val="008A1FDF"/>
    <w:rsid w:val="008A4442"/>
    <w:rsid w:val="008A530B"/>
    <w:rsid w:val="008B0203"/>
    <w:rsid w:val="008B02A1"/>
    <w:rsid w:val="008B08C0"/>
    <w:rsid w:val="008B0C3E"/>
    <w:rsid w:val="008B57EC"/>
    <w:rsid w:val="008C02BA"/>
    <w:rsid w:val="008C127F"/>
    <w:rsid w:val="008C2C57"/>
    <w:rsid w:val="008C4FA4"/>
    <w:rsid w:val="008C55C9"/>
    <w:rsid w:val="008C584E"/>
    <w:rsid w:val="008C5A18"/>
    <w:rsid w:val="008D018D"/>
    <w:rsid w:val="008D145D"/>
    <w:rsid w:val="008D4AA2"/>
    <w:rsid w:val="008E1DC9"/>
    <w:rsid w:val="008E28B0"/>
    <w:rsid w:val="008E28B4"/>
    <w:rsid w:val="008E301C"/>
    <w:rsid w:val="008E3483"/>
    <w:rsid w:val="008E6692"/>
    <w:rsid w:val="008E6A6F"/>
    <w:rsid w:val="008F23B8"/>
    <w:rsid w:val="008F4C4C"/>
    <w:rsid w:val="008F4C58"/>
    <w:rsid w:val="008F68A6"/>
    <w:rsid w:val="008F7B66"/>
    <w:rsid w:val="0090015E"/>
    <w:rsid w:val="009046B8"/>
    <w:rsid w:val="009051A8"/>
    <w:rsid w:val="009055DE"/>
    <w:rsid w:val="00905613"/>
    <w:rsid w:val="0090572C"/>
    <w:rsid w:val="00906414"/>
    <w:rsid w:val="009070DF"/>
    <w:rsid w:val="00907B14"/>
    <w:rsid w:val="0091080B"/>
    <w:rsid w:val="00910AAE"/>
    <w:rsid w:val="0091210C"/>
    <w:rsid w:val="00913381"/>
    <w:rsid w:val="009218AA"/>
    <w:rsid w:val="009235CC"/>
    <w:rsid w:val="00925600"/>
    <w:rsid w:val="00926833"/>
    <w:rsid w:val="00930ED5"/>
    <w:rsid w:val="00931B83"/>
    <w:rsid w:val="00931DF0"/>
    <w:rsid w:val="00932826"/>
    <w:rsid w:val="009340D3"/>
    <w:rsid w:val="00934A12"/>
    <w:rsid w:val="009357A8"/>
    <w:rsid w:val="00935C2B"/>
    <w:rsid w:val="00937E85"/>
    <w:rsid w:val="00937F28"/>
    <w:rsid w:val="009501CA"/>
    <w:rsid w:val="0095073F"/>
    <w:rsid w:val="0095145D"/>
    <w:rsid w:val="00952A9F"/>
    <w:rsid w:val="00952CC6"/>
    <w:rsid w:val="00954E87"/>
    <w:rsid w:val="009579BC"/>
    <w:rsid w:val="00961E0B"/>
    <w:rsid w:val="00965612"/>
    <w:rsid w:val="009670B7"/>
    <w:rsid w:val="00970574"/>
    <w:rsid w:val="00970FE4"/>
    <w:rsid w:val="009723D1"/>
    <w:rsid w:val="00972FA9"/>
    <w:rsid w:val="009732C1"/>
    <w:rsid w:val="00973B39"/>
    <w:rsid w:val="009751D3"/>
    <w:rsid w:val="00975DB1"/>
    <w:rsid w:val="00977275"/>
    <w:rsid w:val="00977705"/>
    <w:rsid w:val="0098734B"/>
    <w:rsid w:val="00992DC7"/>
    <w:rsid w:val="00995251"/>
    <w:rsid w:val="00995C8F"/>
    <w:rsid w:val="00997B0A"/>
    <w:rsid w:val="009A543B"/>
    <w:rsid w:val="009A6480"/>
    <w:rsid w:val="009B0B64"/>
    <w:rsid w:val="009B22B9"/>
    <w:rsid w:val="009B44AB"/>
    <w:rsid w:val="009C6986"/>
    <w:rsid w:val="009C7BC3"/>
    <w:rsid w:val="009D5783"/>
    <w:rsid w:val="009D6686"/>
    <w:rsid w:val="009D67A8"/>
    <w:rsid w:val="009D6C87"/>
    <w:rsid w:val="009D78E2"/>
    <w:rsid w:val="009D7A3B"/>
    <w:rsid w:val="009E1A97"/>
    <w:rsid w:val="009E234A"/>
    <w:rsid w:val="009E3870"/>
    <w:rsid w:val="009E473C"/>
    <w:rsid w:val="009E52DC"/>
    <w:rsid w:val="009E6E6C"/>
    <w:rsid w:val="009F5BBB"/>
    <w:rsid w:val="009F6359"/>
    <w:rsid w:val="009F7219"/>
    <w:rsid w:val="009F7D95"/>
    <w:rsid w:val="00A034E8"/>
    <w:rsid w:val="00A07A2F"/>
    <w:rsid w:val="00A134B5"/>
    <w:rsid w:val="00A13659"/>
    <w:rsid w:val="00A17298"/>
    <w:rsid w:val="00A20439"/>
    <w:rsid w:val="00A20CE1"/>
    <w:rsid w:val="00A20DDB"/>
    <w:rsid w:val="00A213A8"/>
    <w:rsid w:val="00A21F3E"/>
    <w:rsid w:val="00A22D98"/>
    <w:rsid w:val="00A256E9"/>
    <w:rsid w:val="00A3248D"/>
    <w:rsid w:val="00A3324F"/>
    <w:rsid w:val="00A3700D"/>
    <w:rsid w:val="00A40844"/>
    <w:rsid w:val="00A41A30"/>
    <w:rsid w:val="00A43CC1"/>
    <w:rsid w:val="00A44B11"/>
    <w:rsid w:val="00A5562B"/>
    <w:rsid w:val="00A571AA"/>
    <w:rsid w:val="00A6447A"/>
    <w:rsid w:val="00A64EC4"/>
    <w:rsid w:val="00A7023B"/>
    <w:rsid w:val="00A70460"/>
    <w:rsid w:val="00A7155D"/>
    <w:rsid w:val="00A73D5D"/>
    <w:rsid w:val="00A75A86"/>
    <w:rsid w:val="00A845CB"/>
    <w:rsid w:val="00A8498E"/>
    <w:rsid w:val="00A85595"/>
    <w:rsid w:val="00A86645"/>
    <w:rsid w:val="00A8760C"/>
    <w:rsid w:val="00A94B35"/>
    <w:rsid w:val="00AA6055"/>
    <w:rsid w:val="00AA6088"/>
    <w:rsid w:val="00AA7DC1"/>
    <w:rsid w:val="00AB0146"/>
    <w:rsid w:val="00AB1EA4"/>
    <w:rsid w:val="00AB5317"/>
    <w:rsid w:val="00AB65E7"/>
    <w:rsid w:val="00AB6F19"/>
    <w:rsid w:val="00AC138C"/>
    <w:rsid w:val="00AC7D9F"/>
    <w:rsid w:val="00AD0F23"/>
    <w:rsid w:val="00AD109D"/>
    <w:rsid w:val="00AD3414"/>
    <w:rsid w:val="00AD4AF6"/>
    <w:rsid w:val="00AD500F"/>
    <w:rsid w:val="00AE2CB4"/>
    <w:rsid w:val="00AE6898"/>
    <w:rsid w:val="00AF0741"/>
    <w:rsid w:val="00AF080D"/>
    <w:rsid w:val="00AF3712"/>
    <w:rsid w:val="00AF6545"/>
    <w:rsid w:val="00B00FC3"/>
    <w:rsid w:val="00B0439E"/>
    <w:rsid w:val="00B10BB6"/>
    <w:rsid w:val="00B12117"/>
    <w:rsid w:val="00B14212"/>
    <w:rsid w:val="00B16A08"/>
    <w:rsid w:val="00B16E4A"/>
    <w:rsid w:val="00B20EB3"/>
    <w:rsid w:val="00B21449"/>
    <w:rsid w:val="00B21657"/>
    <w:rsid w:val="00B33612"/>
    <w:rsid w:val="00B41E84"/>
    <w:rsid w:val="00B46E68"/>
    <w:rsid w:val="00B51197"/>
    <w:rsid w:val="00B52584"/>
    <w:rsid w:val="00B52F5E"/>
    <w:rsid w:val="00B5302D"/>
    <w:rsid w:val="00B53FC2"/>
    <w:rsid w:val="00B55D93"/>
    <w:rsid w:val="00B611C7"/>
    <w:rsid w:val="00B63CFB"/>
    <w:rsid w:val="00B66132"/>
    <w:rsid w:val="00B665E6"/>
    <w:rsid w:val="00B701C4"/>
    <w:rsid w:val="00B71385"/>
    <w:rsid w:val="00B727F3"/>
    <w:rsid w:val="00B75D6E"/>
    <w:rsid w:val="00B760A9"/>
    <w:rsid w:val="00B779AE"/>
    <w:rsid w:val="00B80B45"/>
    <w:rsid w:val="00B84C21"/>
    <w:rsid w:val="00B86602"/>
    <w:rsid w:val="00B905BB"/>
    <w:rsid w:val="00B90F17"/>
    <w:rsid w:val="00B93571"/>
    <w:rsid w:val="00B93E43"/>
    <w:rsid w:val="00B94B30"/>
    <w:rsid w:val="00B954D4"/>
    <w:rsid w:val="00BA0B2E"/>
    <w:rsid w:val="00BA15A3"/>
    <w:rsid w:val="00BA35D1"/>
    <w:rsid w:val="00BA3A10"/>
    <w:rsid w:val="00BA6222"/>
    <w:rsid w:val="00BA7D17"/>
    <w:rsid w:val="00BB008F"/>
    <w:rsid w:val="00BB076E"/>
    <w:rsid w:val="00BB1CF2"/>
    <w:rsid w:val="00BB2243"/>
    <w:rsid w:val="00BB34EF"/>
    <w:rsid w:val="00BB427F"/>
    <w:rsid w:val="00BB5F31"/>
    <w:rsid w:val="00BB5FEE"/>
    <w:rsid w:val="00BB7A25"/>
    <w:rsid w:val="00BB7CF4"/>
    <w:rsid w:val="00BC0A3C"/>
    <w:rsid w:val="00BC5916"/>
    <w:rsid w:val="00BC621F"/>
    <w:rsid w:val="00BD0E3A"/>
    <w:rsid w:val="00BD12A6"/>
    <w:rsid w:val="00BD46FE"/>
    <w:rsid w:val="00BD5FAA"/>
    <w:rsid w:val="00BE0886"/>
    <w:rsid w:val="00BE0B86"/>
    <w:rsid w:val="00BE1557"/>
    <w:rsid w:val="00BE30A6"/>
    <w:rsid w:val="00BE34BC"/>
    <w:rsid w:val="00BE3693"/>
    <w:rsid w:val="00BE3854"/>
    <w:rsid w:val="00BF065B"/>
    <w:rsid w:val="00BF5EAD"/>
    <w:rsid w:val="00BF6A70"/>
    <w:rsid w:val="00BF7213"/>
    <w:rsid w:val="00BF73C7"/>
    <w:rsid w:val="00C029E9"/>
    <w:rsid w:val="00C032F0"/>
    <w:rsid w:val="00C03503"/>
    <w:rsid w:val="00C06C45"/>
    <w:rsid w:val="00C07DE4"/>
    <w:rsid w:val="00C10E3A"/>
    <w:rsid w:val="00C1396B"/>
    <w:rsid w:val="00C14388"/>
    <w:rsid w:val="00C154E6"/>
    <w:rsid w:val="00C16235"/>
    <w:rsid w:val="00C20621"/>
    <w:rsid w:val="00C21933"/>
    <w:rsid w:val="00C23D20"/>
    <w:rsid w:val="00C24E8B"/>
    <w:rsid w:val="00C25600"/>
    <w:rsid w:val="00C260DF"/>
    <w:rsid w:val="00C341E3"/>
    <w:rsid w:val="00C379C8"/>
    <w:rsid w:val="00C4023C"/>
    <w:rsid w:val="00C40796"/>
    <w:rsid w:val="00C52681"/>
    <w:rsid w:val="00C54F05"/>
    <w:rsid w:val="00C55EB5"/>
    <w:rsid w:val="00C55F89"/>
    <w:rsid w:val="00C57163"/>
    <w:rsid w:val="00C57C0F"/>
    <w:rsid w:val="00C57E29"/>
    <w:rsid w:val="00C6010B"/>
    <w:rsid w:val="00C60853"/>
    <w:rsid w:val="00C61F82"/>
    <w:rsid w:val="00C63E8C"/>
    <w:rsid w:val="00C64588"/>
    <w:rsid w:val="00C653F2"/>
    <w:rsid w:val="00C6593D"/>
    <w:rsid w:val="00C659A7"/>
    <w:rsid w:val="00C67481"/>
    <w:rsid w:val="00C7094C"/>
    <w:rsid w:val="00C76FFC"/>
    <w:rsid w:val="00C80624"/>
    <w:rsid w:val="00C808E9"/>
    <w:rsid w:val="00C82418"/>
    <w:rsid w:val="00C9205B"/>
    <w:rsid w:val="00C9259F"/>
    <w:rsid w:val="00C92E6B"/>
    <w:rsid w:val="00C92FCB"/>
    <w:rsid w:val="00C9453D"/>
    <w:rsid w:val="00C95F07"/>
    <w:rsid w:val="00C97233"/>
    <w:rsid w:val="00C97632"/>
    <w:rsid w:val="00CA0315"/>
    <w:rsid w:val="00CA3398"/>
    <w:rsid w:val="00CA40FA"/>
    <w:rsid w:val="00CA59E4"/>
    <w:rsid w:val="00CA6926"/>
    <w:rsid w:val="00CA735C"/>
    <w:rsid w:val="00CA77B6"/>
    <w:rsid w:val="00CB3AD5"/>
    <w:rsid w:val="00CB3D77"/>
    <w:rsid w:val="00CC3535"/>
    <w:rsid w:val="00CC6D10"/>
    <w:rsid w:val="00CC7FAA"/>
    <w:rsid w:val="00CD0D86"/>
    <w:rsid w:val="00CD0FC1"/>
    <w:rsid w:val="00CD435B"/>
    <w:rsid w:val="00CD71EB"/>
    <w:rsid w:val="00CE0233"/>
    <w:rsid w:val="00CE0F75"/>
    <w:rsid w:val="00CE1A14"/>
    <w:rsid w:val="00CE3CC8"/>
    <w:rsid w:val="00CE5861"/>
    <w:rsid w:val="00CE7212"/>
    <w:rsid w:val="00CF5F96"/>
    <w:rsid w:val="00D00BBA"/>
    <w:rsid w:val="00D05D78"/>
    <w:rsid w:val="00D100AC"/>
    <w:rsid w:val="00D1266F"/>
    <w:rsid w:val="00D13D39"/>
    <w:rsid w:val="00D154FB"/>
    <w:rsid w:val="00D201A0"/>
    <w:rsid w:val="00D23211"/>
    <w:rsid w:val="00D23BD5"/>
    <w:rsid w:val="00D24FC4"/>
    <w:rsid w:val="00D2518B"/>
    <w:rsid w:val="00D26826"/>
    <w:rsid w:val="00D31195"/>
    <w:rsid w:val="00D32E4E"/>
    <w:rsid w:val="00D33A0E"/>
    <w:rsid w:val="00D343F9"/>
    <w:rsid w:val="00D35790"/>
    <w:rsid w:val="00D425A2"/>
    <w:rsid w:val="00D443EB"/>
    <w:rsid w:val="00D46D76"/>
    <w:rsid w:val="00D5385A"/>
    <w:rsid w:val="00D57387"/>
    <w:rsid w:val="00D600AE"/>
    <w:rsid w:val="00D6283A"/>
    <w:rsid w:val="00D632B1"/>
    <w:rsid w:val="00D64ECC"/>
    <w:rsid w:val="00D65BE2"/>
    <w:rsid w:val="00D70189"/>
    <w:rsid w:val="00D70B09"/>
    <w:rsid w:val="00D71B36"/>
    <w:rsid w:val="00D72118"/>
    <w:rsid w:val="00D72E99"/>
    <w:rsid w:val="00D7427F"/>
    <w:rsid w:val="00D742E5"/>
    <w:rsid w:val="00D8215E"/>
    <w:rsid w:val="00D86D67"/>
    <w:rsid w:val="00D91664"/>
    <w:rsid w:val="00D92D77"/>
    <w:rsid w:val="00D93310"/>
    <w:rsid w:val="00D96FB8"/>
    <w:rsid w:val="00D97994"/>
    <w:rsid w:val="00DA0D39"/>
    <w:rsid w:val="00DA37A2"/>
    <w:rsid w:val="00DA3B2C"/>
    <w:rsid w:val="00DA7900"/>
    <w:rsid w:val="00DB139A"/>
    <w:rsid w:val="00DB1D3C"/>
    <w:rsid w:val="00DB3975"/>
    <w:rsid w:val="00DB4A50"/>
    <w:rsid w:val="00DB4D01"/>
    <w:rsid w:val="00DB7FFE"/>
    <w:rsid w:val="00DC642A"/>
    <w:rsid w:val="00DD0FD8"/>
    <w:rsid w:val="00DD1AAB"/>
    <w:rsid w:val="00DD3AC4"/>
    <w:rsid w:val="00DD3B1D"/>
    <w:rsid w:val="00DD4C16"/>
    <w:rsid w:val="00DD59B7"/>
    <w:rsid w:val="00DD709B"/>
    <w:rsid w:val="00DE0989"/>
    <w:rsid w:val="00DE0A62"/>
    <w:rsid w:val="00DE1C37"/>
    <w:rsid w:val="00DE1D2B"/>
    <w:rsid w:val="00DE1FD6"/>
    <w:rsid w:val="00DE5B9F"/>
    <w:rsid w:val="00DE5EFF"/>
    <w:rsid w:val="00DE7694"/>
    <w:rsid w:val="00DE7FBB"/>
    <w:rsid w:val="00DF2758"/>
    <w:rsid w:val="00DF3C70"/>
    <w:rsid w:val="00DF5F6F"/>
    <w:rsid w:val="00E0064E"/>
    <w:rsid w:val="00E01FDA"/>
    <w:rsid w:val="00E03110"/>
    <w:rsid w:val="00E0787E"/>
    <w:rsid w:val="00E11636"/>
    <w:rsid w:val="00E11923"/>
    <w:rsid w:val="00E13960"/>
    <w:rsid w:val="00E169A8"/>
    <w:rsid w:val="00E17F83"/>
    <w:rsid w:val="00E234FA"/>
    <w:rsid w:val="00E24EF6"/>
    <w:rsid w:val="00E25168"/>
    <w:rsid w:val="00E270F9"/>
    <w:rsid w:val="00E3325D"/>
    <w:rsid w:val="00E42338"/>
    <w:rsid w:val="00E429D2"/>
    <w:rsid w:val="00E42C24"/>
    <w:rsid w:val="00E5122A"/>
    <w:rsid w:val="00E55ACA"/>
    <w:rsid w:val="00E562C0"/>
    <w:rsid w:val="00E572E4"/>
    <w:rsid w:val="00E5740D"/>
    <w:rsid w:val="00E6749F"/>
    <w:rsid w:val="00E7226B"/>
    <w:rsid w:val="00E723C1"/>
    <w:rsid w:val="00E807E5"/>
    <w:rsid w:val="00E81A8E"/>
    <w:rsid w:val="00E81C0B"/>
    <w:rsid w:val="00E833DA"/>
    <w:rsid w:val="00E84FE8"/>
    <w:rsid w:val="00E85FF5"/>
    <w:rsid w:val="00E944FE"/>
    <w:rsid w:val="00E95A1A"/>
    <w:rsid w:val="00E96373"/>
    <w:rsid w:val="00EA2878"/>
    <w:rsid w:val="00EA3B68"/>
    <w:rsid w:val="00EA4AB3"/>
    <w:rsid w:val="00EA64A0"/>
    <w:rsid w:val="00EA6658"/>
    <w:rsid w:val="00EA75A5"/>
    <w:rsid w:val="00EB0C79"/>
    <w:rsid w:val="00EB1B4A"/>
    <w:rsid w:val="00EB3A69"/>
    <w:rsid w:val="00EC0781"/>
    <w:rsid w:val="00EC2BF9"/>
    <w:rsid w:val="00EC54C3"/>
    <w:rsid w:val="00EC76A0"/>
    <w:rsid w:val="00ED060C"/>
    <w:rsid w:val="00ED18A1"/>
    <w:rsid w:val="00ED3218"/>
    <w:rsid w:val="00ED4298"/>
    <w:rsid w:val="00ED6053"/>
    <w:rsid w:val="00ED6529"/>
    <w:rsid w:val="00ED6687"/>
    <w:rsid w:val="00ED6BC9"/>
    <w:rsid w:val="00EE0C63"/>
    <w:rsid w:val="00EE5E7F"/>
    <w:rsid w:val="00EE686E"/>
    <w:rsid w:val="00EE6BB1"/>
    <w:rsid w:val="00EF3486"/>
    <w:rsid w:val="00EF59B0"/>
    <w:rsid w:val="00EF5FE8"/>
    <w:rsid w:val="00EF6C79"/>
    <w:rsid w:val="00F07C1B"/>
    <w:rsid w:val="00F258B0"/>
    <w:rsid w:val="00F262AF"/>
    <w:rsid w:val="00F27202"/>
    <w:rsid w:val="00F27E93"/>
    <w:rsid w:val="00F30B33"/>
    <w:rsid w:val="00F33BD8"/>
    <w:rsid w:val="00F35268"/>
    <w:rsid w:val="00F3647D"/>
    <w:rsid w:val="00F37AB1"/>
    <w:rsid w:val="00F406BB"/>
    <w:rsid w:val="00F4414D"/>
    <w:rsid w:val="00F44731"/>
    <w:rsid w:val="00F46678"/>
    <w:rsid w:val="00F47E36"/>
    <w:rsid w:val="00F513BF"/>
    <w:rsid w:val="00F5142A"/>
    <w:rsid w:val="00F521C4"/>
    <w:rsid w:val="00F56132"/>
    <w:rsid w:val="00F6703E"/>
    <w:rsid w:val="00F675AA"/>
    <w:rsid w:val="00F73025"/>
    <w:rsid w:val="00F73D0E"/>
    <w:rsid w:val="00F746A7"/>
    <w:rsid w:val="00F75E29"/>
    <w:rsid w:val="00F76815"/>
    <w:rsid w:val="00F824C6"/>
    <w:rsid w:val="00F85C89"/>
    <w:rsid w:val="00F86D7A"/>
    <w:rsid w:val="00F91825"/>
    <w:rsid w:val="00F93715"/>
    <w:rsid w:val="00F9794D"/>
    <w:rsid w:val="00FA1809"/>
    <w:rsid w:val="00FA2DCE"/>
    <w:rsid w:val="00FA5530"/>
    <w:rsid w:val="00FA5608"/>
    <w:rsid w:val="00FA5659"/>
    <w:rsid w:val="00FB0D4F"/>
    <w:rsid w:val="00FB2F9A"/>
    <w:rsid w:val="00FB2FF5"/>
    <w:rsid w:val="00FB4437"/>
    <w:rsid w:val="00FB7C84"/>
    <w:rsid w:val="00FC0BF3"/>
    <w:rsid w:val="00FC13BF"/>
    <w:rsid w:val="00FC32C0"/>
    <w:rsid w:val="00FC46D9"/>
    <w:rsid w:val="00FC67DA"/>
    <w:rsid w:val="00FC71B7"/>
    <w:rsid w:val="00FD07E2"/>
    <w:rsid w:val="00FD2513"/>
    <w:rsid w:val="00FD3A41"/>
    <w:rsid w:val="00FD6A58"/>
    <w:rsid w:val="00FE7533"/>
    <w:rsid w:val="00FE7B56"/>
    <w:rsid w:val="00FF3D7E"/>
    <w:rsid w:val="00FF4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paragraph" w:styleId="Heading1">
    <w:name w:val="heading 1"/>
    <w:basedOn w:val="Normal"/>
    <w:next w:val="Normal"/>
    <w:link w:val="Heading1Char"/>
    <w:uiPriority w:val="9"/>
    <w:qFormat/>
    <w:rsid w:val="00735DD9"/>
    <w:pPr>
      <w:spacing w:after="200" w:line="276" w:lineRule="auto"/>
      <w:outlineLvl w:val="0"/>
    </w:pPr>
    <w:rPr>
      <w:rFonts w:ascii="Arial" w:hAnsi="Arial" w:cs="Arial"/>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35DD9"/>
    <w:rPr>
      <w:rFonts w:ascii="Arial" w:hAnsi="Arial" w:cs="Arial"/>
      <w:b/>
      <w:sz w:val="19"/>
      <w:szCs w:val="19"/>
    </w:rPr>
  </w:style>
  <w:style w:type="paragraph" w:styleId="Revision">
    <w:name w:val="Revision"/>
    <w:hidden/>
    <w:uiPriority w:val="99"/>
    <w:semiHidden/>
    <w:rsid w:val="009E1A97"/>
    <w:pPr>
      <w:spacing w:after="0" w:line="240" w:lineRule="auto"/>
    </w:pPr>
  </w:style>
  <w:style w:type="paragraph" w:customStyle="1" w:styleId="acthead5">
    <w:name w:val="acthead5"/>
    <w:basedOn w:val="Normal"/>
    <w:rsid w:val="007E43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7E43A8"/>
  </w:style>
  <w:style w:type="paragraph" w:customStyle="1" w:styleId="subsection">
    <w:name w:val="subsection"/>
    <w:aliases w:val="ss"/>
    <w:basedOn w:val="Normal"/>
    <w:link w:val="subsectionChar"/>
    <w:rsid w:val="007E43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E43A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336EED"/>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1">
    <w:name w:val="r1"/>
    <w:basedOn w:val="Normal"/>
    <w:rsid w:val="005C4E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A75A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A86"/>
    <w:rPr>
      <w:sz w:val="20"/>
      <w:szCs w:val="20"/>
    </w:rPr>
  </w:style>
  <w:style w:type="character" w:styleId="FootnoteReference">
    <w:name w:val="footnote reference"/>
    <w:basedOn w:val="DefaultParagraphFont"/>
    <w:uiPriority w:val="99"/>
    <w:semiHidden/>
    <w:unhideWhenUsed/>
    <w:rsid w:val="00A75A86"/>
    <w:rPr>
      <w:vertAlign w:val="superscript"/>
    </w:rPr>
  </w:style>
  <w:style w:type="character" w:customStyle="1" w:styleId="subsectionChar">
    <w:name w:val="subsection Char"/>
    <w:aliases w:val="ss Char"/>
    <w:basedOn w:val="DefaultParagraphFont"/>
    <w:link w:val="subsection"/>
    <w:locked/>
    <w:rsid w:val="000B1041"/>
    <w:rPr>
      <w:rFonts w:ascii="Times New Roman" w:eastAsia="Times New Roman" w:hAnsi="Times New Roman" w:cs="Times New Roman"/>
      <w:sz w:val="24"/>
      <w:szCs w:val="24"/>
      <w:lang w:eastAsia="en-AU"/>
    </w:rPr>
  </w:style>
  <w:style w:type="paragraph" w:customStyle="1" w:styleId="pf0">
    <w:name w:val="pf0"/>
    <w:basedOn w:val="Normal"/>
    <w:rsid w:val="002B78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B78D5"/>
    <w:rPr>
      <w:rFonts w:ascii="Segoe UI" w:hAnsi="Segoe UI" w:cs="Segoe UI" w:hint="default"/>
      <w:sz w:val="18"/>
      <w:szCs w:val="18"/>
      <w:shd w:val="clear" w:color="auto" w:fill="FFFFFF"/>
    </w:rPr>
  </w:style>
  <w:style w:type="character" w:customStyle="1" w:styleId="cf11">
    <w:name w:val="cf11"/>
    <w:basedOn w:val="DefaultParagraphFont"/>
    <w:rsid w:val="002B78D5"/>
    <w:rPr>
      <w:rFonts w:ascii="Segoe UI" w:hAnsi="Segoe UI" w:cs="Segoe UI" w:hint="default"/>
      <w:sz w:val="18"/>
      <w:szCs w:val="18"/>
    </w:rPr>
  </w:style>
  <w:style w:type="paragraph" w:customStyle="1" w:styleId="ACMANumberedList">
    <w:name w:val="ACMA Numbered List"/>
    <w:rsid w:val="0046547A"/>
    <w:pPr>
      <w:numPr>
        <w:numId w:val="32"/>
      </w:numPr>
      <w:spacing w:before="20" w:after="2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B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5071">
      <w:bodyDiv w:val="1"/>
      <w:marLeft w:val="0"/>
      <w:marRight w:val="0"/>
      <w:marTop w:val="0"/>
      <w:marBottom w:val="0"/>
      <w:divBdr>
        <w:top w:val="none" w:sz="0" w:space="0" w:color="auto"/>
        <w:left w:val="none" w:sz="0" w:space="0" w:color="auto"/>
        <w:bottom w:val="none" w:sz="0" w:space="0" w:color="auto"/>
        <w:right w:val="none" w:sz="0" w:space="0" w:color="auto"/>
      </w:divBdr>
    </w:div>
    <w:div w:id="859776953">
      <w:bodyDiv w:val="1"/>
      <w:marLeft w:val="0"/>
      <w:marRight w:val="0"/>
      <w:marTop w:val="0"/>
      <w:marBottom w:val="0"/>
      <w:divBdr>
        <w:top w:val="none" w:sz="0" w:space="0" w:color="auto"/>
        <w:left w:val="none" w:sz="0" w:space="0" w:color="auto"/>
        <w:bottom w:val="none" w:sz="0" w:space="0" w:color="auto"/>
        <w:right w:val="none" w:sz="0" w:space="0" w:color="auto"/>
      </w:divBdr>
    </w:div>
    <w:div w:id="918906109">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39640153">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AM7W7QW6R7VW-597499855-10382</_dlc_DocId>
    <_dlc_DocIdUrl xmlns="d71819ef-55b9-420a-86a4-d36bc037540e">
      <Url>http://collaboration/organisation/cccd/_layouts/15/DocIdRedir.aspx?ID=AM7W7QW6R7VW-597499855-10382</Url>
      <Description>AM7W7QW6R7VW-597499855-10382</Description>
    </_dlc_DocIdUrl>
    <yryl xmlns="b4b98796-1b94-485e-a361-5ce73346c3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4F4E98E5EDEB448AB724AC3BE7C6B9" ma:contentTypeVersion="6" ma:contentTypeDescription="Create a new document." ma:contentTypeScope="" ma:versionID="67f6211cb891231d7a5e27d08820dcc8">
  <xsd:schema xmlns:xsd="http://www.w3.org/2001/XMLSchema" xmlns:xs="http://www.w3.org/2001/XMLSchema" xmlns:p="http://schemas.microsoft.com/office/2006/metadata/properties" xmlns:ns2="b4b98796-1b94-485e-a361-5ce73346c3a4" xmlns:ns3="d71819ef-55b9-420a-86a4-d36bc037540e" targetNamespace="http://schemas.microsoft.com/office/2006/metadata/properties" ma:root="true" ma:fieldsID="d894b14537261042d37a6aa15a06b493" ns2:_="" ns3:_="">
    <xsd:import namespace="b4b98796-1b94-485e-a361-5ce73346c3a4"/>
    <xsd:import namespace="d71819ef-55b9-420a-86a4-d36bc037540e"/>
    <xsd:element name="properties">
      <xsd:complexType>
        <xsd:sequence>
          <xsd:element name="documentManagement">
            <xsd:complexType>
              <xsd:all>
                <xsd:element ref="ns2:yry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98796-1b94-485e-a361-5ce73346c3a4" elementFormDefault="qualified">
    <xsd:import namespace="http://schemas.microsoft.com/office/2006/documentManagement/types"/>
    <xsd:import namespace="http://schemas.microsoft.com/office/infopath/2007/PartnerControls"/>
    <xsd:element name="yryl" ma:index="2" nillable="true" ma:displayName="Notes" ma:internalName="yry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3C810-2F14-4F24-ABB5-01F3D3BE228A}">
  <ds:schemaRefs>
    <ds:schemaRef ds:uri="http://schemas.microsoft.com/sharepoint/event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purl.org/dc/terms/"/>
    <ds:schemaRef ds:uri="http://schemas.microsoft.com/office/2006/documentManagement/types"/>
    <ds:schemaRef ds:uri="b4b98796-1b94-485e-a361-5ce73346c3a4"/>
    <ds:schemaRef ds:uri="http://purl.org/dc/dcmitype/"/>
    <ds:schemaRef ds:uri="http://schemas.microsoft.com/office/infopath/2007/PartnerControls"/>
    <ds:schemaRef ds:uri="http://purl.org/dc/elements/1.1/"/>
    <ds:schemaRef ds:uri="http://schemas.openxmlformats.org/package/2006/metadata/core-properties"/>
    <ds:schemaRef ds:uri="d71819ef-55b9-420a-86a4-d36bc037540e"/>
    <ds:schemaRef ds:uri="http://www.w3.org/XML/1998/namespace"/>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E9EA7333-5B90-4A5A-91F1-E97B1E8CC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98796-1b94-485e-a361-5ce73346c3a4"/>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5833</Words>
  <Characters>33252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Tessa Cuxson</cp:lastModifiedBy>
  <cp:revision>4</cp:revision>
  <cp:lastPrinted>2016-07-25T00:08:00Z</cp:lastPrinted>
  <dcterms:created xsi:type="dcterms:W3CDTF">2022-03-22T02:48:00Z</dcterms:created>
  <dcterms:modified xsi:type="dcterms:W3CDTF">2022-03-22T23:39:00Z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0x0101001B4F4E98E5EDEB448AB724AC3BE7C6B9</vt:lpwstr>
  </property>
  <property fmtid="{D5CDD505-2E9C-101B-9397-08002B2CF9AE}" pid="3" name="_dlc_DocIdItemGuid">
    <vt:lpwstr>781ffefc-c12e-4f1a-948d-309d74682b24</vt:lpwstr>
  </property>
  <property fmtid="{D5CDD505-2E9C-101B-9397-08002B2CF9AE}" pid="4" name="MSIP_Label_efdf5488-3066-4b6c-8fea-9472b8a1f34c_Enabled">
    <vt:lpwstr>true</vt:lpwstr>
  </property>
  <property fmtid="{D5CDD505-2E9C-101B-9397-08002B2CF9AE}" pid="5" name="MSIP_Label_efdf5488-3066-4b6c-8fea-9472b8a1f34c_SetDate">
    <vt:lpwstr>2022-03-22T00:19:32Z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de992c25-aad3-4b12-9761-1288ac10c7ab</vt:lpwstr>
  </property>
  <property fmtid="{D5CDD505-2E9C-101B-9397-08002B2CF9AE}" pid="10" name="MSIP_Label_efdf5488-3066-4b6c-8fea-9472b8a1f34c_ContentBits">
    <vt:lpwstr>0</vt:lpwstr>
  </property>
</Properties>
</file>