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A76E" w14:textId="77777777" w:rsidR="00011197" w:rsidRDefault="00011197" w:rsidP="008C023C">
      <w:pPr>
        <w:pStyle w:val="ABABodyText"/>
        <w:jc w:val="center"/>
        <w:rPr>
          <w:b/>
          <w:sz w:val="28"/>
          <w:szCs w:val="28"/>
        </w:rPr>
      </w:pPr>
    </w:p>
    <w:p w14:paraId="3A23A685" w14:textId="0A18B118" w:rsidR="008C023C" w:rsidRPr="00596442" w:rsidRDefault="009E03BD" w:rsidP="008C023C">
      <w:pPr>
        <w:pStyle w:val="ABABodyText"/>
        <w:jc w:val="center"/>
        <w:rPr>
          <w:b/>
          <w:sz w:val="28"/>
          <w:szCs w:val="28"/>
        </w:rPr>
      </w:pPr>
      <w:r w:rsidRPr="00596442">
        <w:rPr>
          <w:b/>
          <w:sz w:val="28"/>
          <w:szCs w:val="28"/>
        </w:rPr>
        <w:t>EXPLANATORY STATEMENT</w:t>
      </w:r>
    </w:p>
    <w:p w14:paraId="71AEB82A" w14:textId="77777777" w:rsidR="00255EEA" w:rsidRPr="00596442" w:rsidRDefault="00255EEA" w:rsidP="005E673D">
      <w:pPr>
        <w:pStyle w:val="ABABodyText"/>
        <w:jc w:val="center"/>
        <w:rPr>
          <w:sz w:val="22"/>
          <w:szCs w:val="22"/>
        </w:rPr>
      </w:pPr>
      <w:r w:rsidRPr="00596442">
        <w:rPr>
          <w:sz w:val="22"/>
          <w:szCs w:val="22"/>
        </w:rPr>
        <w:t>Approved by the Australian Communications and Media Authority</w:t>
      </w:r>
    </w:p>
    <w:p w14:paraId="6712B1F2" w14:textId="018C2B8A" w:rsidR="009E03BD" w:rsidRPr="00596442" w:rsidRDefault="00255EEA" w:rsidP="005E673D">
      <w:pPr>
        <w:pStyle w:val="ABABodyText"/>
        <w:jc w:val="center"/>
        <w:rPr>
          <w:szCs w:val="28"/>
        </w:rPr>
      </w:pPr>
      <w:r w:rsidRPr="00596442">
        <w:rPr>
          <w:b/>
          <w:i/>
          <w:sz w:val="22"/>
          <w:szCs w:val="22"/>
        </w:rPr>
        <w:t>Broadcasting Services Act 1992</w:t>
      </w:r>
    </w:p>
    <w:p w14:paraId="6EB536E6" w14:textId="5F5C3814" w:rsidR="00A607D2" w:rsidRPr="00596442" w:rsidRDefault="00A607D2" w:rsidP="00A607D2">
      <w:pPr>
        <w:pStyle w:val="ABABodyText"/>
        <w:spacing w:before="100" w:beforeAutospacing="1" w:after="240" w:line="240" w:lineRule="auto"/>
        <w:jc w:val="center"/>
        <w:rPr>
          <w:b/>
          <w:i/>
          <w:snapToGrid/>
          <w:sz w:val="22"/>
          <w:szCs w:val="22"/>
        </w:rPr>
      </w:pPr>
      <w:r w:rsidRPr="00596442">
        <w:rPr>
          <w:b/>
          <w:i/>
          <w:snapToGrid/>
          <w:sz w:val="22"/>
          <w:szCs w:val="22"/>
        </w:rPr>
        <w:t>Broadcasting Services (Commercial Radio Current Affairs Disclosure) Standard 2022</w:t>
      </w:r>
    </w:p>
    <w:p w14:paraId="1F993502" w14:textId="5DBE75AC" w:rsidR="00E369CA" w:rsidRPr="00596442" w:rsidRDefault="00E369CA" w:rsidP="00E5777F">
      <w:pPr>
        <w:pStyle w:val="ABABodyText"/>
        <w:spacing w:before="100" w:beforeAutospacing="1" w:after="240" w:line="240" w:lineRule="auto"/>
        <w:rPr>
          <w:szCs w:val="24"/>
        </w:rPr>
      </w:pPr>
      <w:r w:rsidRPr="00596442">
        <w:rPr>
          <w:b/>
          <w:szCs w:val="24"/>
        </w:rPr>
        <w:t>Authority</w:t>
      </w:r>
      <w:r w:rsidR="00E35E22" w:rsidRPr="00596442">
        <w:rPr>
          <w:b/>
          <w:bCs/>
          <w:szCs w:val="24"/>
        </w:rPr>
        <w:t xml:space="preserve"> </w:t>
      </w:r>
    </w:p>
    <w:p w14:paraId="60AE3F6C" w14:textId="596BFF9A" w:rsidR="00282CE6" w:rsidRPr="00596442" w:rsidRDefault="00BE6515" w:rsidP="00E5777F">
      <w:pPr>
        <w:pStyle w:val="ABABodyText"/>
        <w:spacing w:before="100" w:beforeAutospacing="1" w:after="240" w:line="240" w:lineRule="auto"/>
      </w:pPr>
      <w:r w:rsidRPr="00596442">
        <w:t>T</w:t>
      </w:r>
      <w:r w:rsidR="00282CE6" w:rsidRPr="00596442">
        <w:t>he Australian Communication</w:t>
      </w:r>
      <w:r w:rsidR="006B1800" w:rsidRPr="00596442">
        <w:t>s</w:t>
      </w:r>
      <w:r w:rsidR="00282CE6" w:rsidRPr="00596442">
        <w:t xml:space="preserve"> and Media Authority (</w:t>
      </w:r>
      <w:r w:rsidR="00282CE6" w:rsidRPr="00596442">
        <w:rPr>
          <w:b/>
          <w:bCs/>
        </w:rPr>
        <w:t>ACMA</w:t>
      </w:r>
      <w:r w:rsidR="00282CE6" w:rsidRPr="00596442">
        <w:t xml:space="preserve">) </w:t>
      </w:r>
      <w:r w:rsidRPr="00596442">
        <w:t xml:space="preserve">has </w:t>
      </w:r>
      <w:r w:rsidR="00282CE6" w:rsidRPr="00596442">
        <w:t xml:space="preserve">determined the </w:t>
      </w:r>
      <w:r w:rsidR="00A607D2" w:rsidRPr="00596442">
        <w:rPr>
          <w:i/>
          <w:iCs/>
        </w:rPr>
        <w:t xml:space="preserve">Broadcasting Services (Commercial Radio Current Affairs Disclosure) Standard 2022 </w:t>
      </w:r>
      <w:r w:rsidR="00282CE6" w:rsidRPr="00596442">
        <w:t>(</w:t>
      </w:r>
      <w:r w:rsidR="00282CE6" w:rsidRPr="00596442">
        <w:rPr>
          <w:b/>
          <w:bCs/>
        </w:rPr>
        <w:t>the Standard</w:t>
      </w:r>
      <w:r w:rsidR="00282CE6" w:rsidRPr="00596442">
        <w:t>) under subsection 125(</w:t>
      </w:r>
      <w:r w:rsidR="00615FAF" w:rsidRPr="00596442">
        <w:t>1</w:t>
      </w:r>
      <w:r w:rsidR="00282CE6" w:rsidRPr="00596442">
        <w:t xml:space="preserve">) of the </w:t>
      </w:r>
      <w:r w:rsidR="00282CE6" w:rsidRPr="00596442">
        <w:rPr>
          <w:i/>
          <w:iCs/>
        </w:rPr>
        <w:t xml:space="preserve">Broadcasting Services Act 1992 </w:t>
      </w:r>
      <w:r w:rsidR="00282CE6" w:rsidRPr="00596442">
        <w:t>(</w:t>
      </w:r>
      <w:r w:rsidR="00282CE6" w:rsidRPr="00596442">
        <w:rPr>
          <w:b/>
          <w:bCs/>
        </w:rPr>
        <w:t>the BSA</w:t>
      </w:r>
      <w:r w:rsidR="00282CE6" w:rsidRPr="00596442">
        <w:t>)</w:t>
      </w:r>
      <w:r w:rsidR="008610D2">
        <w:t xml:space="preserve"> </w:t>
      </w:r>
      <w:r w:rsidR="000B04B9" w:rsidRPr="000B04B9">
        <w:t xml:space="preserve">and section 33(3) of the </w:t>
      </w:r>
      <w:r w:rsidR="000B04B9" w:rsidRPr="000B04B9">
        <w:rPr>
          <w:i/>
        </w:rPr>
        <w:t>Acts Interpretation Act 1901</w:t>
      </w:r>
      <w:r w:rsidR="000B04B9" w:rsidRPr="000B04B9">
        <w:t xml:space="preserve"> (</w:t>
      </w:r>
      <w:r w:rsidR="000B04B9" w:rsidRPr="000B04B9">
        <w:rPr>
          <w:b/>
        </w:rPr>
        <w:t>the AIA</w:t>
      </w:r>
      <w:r w:rsidR="000B04B9" w:rsidRPr="000B04B9">
        <w:t>).</w:t>
      </w:r>
    </w:p>
    <w:p w14:paraId="17C3EA81" w14:textId="1F3990DD" w:rsidR="00282CE6" w:rsidRDefault="00282CE6" w:rsidP="00E5777F">
      <w:pPr>
        <w:pStyle w:val="ABABodyText"/>
        <w:spacing w:before="100" w:beforeAutospacing="1" w:after="240" w:line="240" w:lineRule="auto"/>
      </w:pPr>
      <w:r w:rsidRPr="00596442">
        <w:t xml:space="preserve">The Standard replaces the </w:t>
      </w:r>
      <w:r w:rsidR="00A607D2" w:rsidRPr="00596442">
        <w:rPr>
          <w:i/>
        </w:rPr>
        <w:t xml:space="preserve">Broadcasting Services (Commercial Radio Current Affairs Disclosure) Standard 2012 </w:t>
      </w:r>
      <w:r w:rsidRPr="00596442">
        <w:t>(</w:t>
      </w:r>
      <w:r w:rsidRPr="00596442">
        <w:rPr>
          <w:b/>
          <w:bCs/>
        </w:rPr>
        <w:t xml:space="preserve">the </w:t>
      </w:r>
      <w:r w:rsidR="00A607D2" w:rsidRPr="00596442">
        <w:rPr>
          <w:b/>
          <w:bCs/>
        </w:rPr>
        <w:t>2012</w:t>
      </w:r>
      <w:r w:rsidRPr="00596442">
        <w:rPr>
          <w:b/>
          <w:bCs/>
        </w:rPr>
        <w:t xml:space="preserve"> Standard</w:t>
      </w:r>
      <w:r w:rsidRPr="00596442">
        <w:t>). The variation</w:t>
      </w:r>
      <w:r w:rsidR="0048700D" w:rsidRPr="00596442">
        <w:t>s</w:t>
      </w:r>
      <w:r w:rsidRPr="00596442">
        <w:t xml:space="preserve"> to the 201</w:t>
      </w:r>
      <w:r w:rsidR="0048700D" w:rsidRPr="00596442">
        <w:t>2</w:t>
      </w:r>
      <w:r w:rsidRPr="00596442">
        <w:t xml:space="preserve"> Standard </w:t>
      </w:r>
      <w:r w:rsidR="0048700D" w:rsidRPr="00596442">
        <w:t>are minor</w:t>
      </w:r>
      <w:r w:rsidRPr="00596442">
        <w:t>.</w:t>
      </w:r>
    </w:p>
    <w:p w14:paraId="0D1ECA3C" w14:textId="7E77208F" w:rsidR="00F50227" w:rsidRPr="00596442" w:rsidRDefault="00F50227" w:rsidP="00E5777F">
      <w:pPr>
        <w:pStyle w:val="ABABodyText"/>
        <w:spacing w:before="100" w:beforeAutospacing="1" w:after="240" w:line="240" w:lineRule="auto"/>
      </w:pPr>
      <w:r w:rsidRPr="00F50227">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19593F17" w14:textId="47585AC5" w:rsidR="003737B6" w:rsidRPr="00596442" w:rsidRDefault="003737B6" w:rsidP="005E673D">
      <w:pPr>
        <w:pStyle w:val="ABAHeading3"/>
        <w:spacing w:before="240" w:after="120"/>
        <w:rPr>
          <w:rFonts w:ascii="Times New Roman" w:hAnsi="Times New Roman"/>
          <w:szCs w:val="24"/>
        </w:rPr>
      </w:pPr>
      <w:r w:rsidRPr="00596442">
        <w:rPr>
          <w:rFonts w:ascii="Times New Roman" w:hAnsi="Times New Roman"/>
          <w:szCs w:val="24"/>
        </w:rPr>
        <w:t>Intended impact and effect of the Standard</w:t>
      </w:r>
    </w:p>
    <w:p w14:paraId="0FD61BB7" w14:textId="79E8A267" w:rsidR="003737B6" w:rsidRPr="00596442" w:rsidRDefault="003737B6" w:rsidP="00E5777F">
      <w:pPr>
        <w:spacing w:after="240"/>
        <w:ind w:left="0" w:firstLine="0"/>
      </w:pPr>
      <w:r w:rsidRPr="00596442">
        <w:t xml:space="preserve">The ACMA intends the Standard </w:t>
      </w:r>
      <w:r w:rsidR="0048700D" w:rsidRPr="00596442">
        <w:t xml:space="preserve">to </w:t>
      </w:r>
      <w:r w:rsidR="00073D02" w:rsidRPr="00596442">
        <w:t xml:space="preserve">maintain </w:t>
      </w:r>
      <w:r w:rsidRPr="00596442">
        <w:t xml:space="preserve">community safeguards by </w:t>
      </w:r>
      <w:r w:rsidR="00A3035D" w:rsidRPr="00596442">
        <w:t xml:space="preserve">encouraging commercial radio broadcasting licensees to be responsive to the need for fair and accurate coverage of matters of public interest by requiring the disclosure of commercial agreements that </w:t>
      </w:r>
      <w:r w:rsidR="00515AFE" w:rsidRPr="00596442">
        <w:t>ha</w:t>
      </w:r>
      <w:r w:rsidR="00515AFE">
        <w:t>ve</w:t>
      </w:r>
      <w:r w:rsidR="00515AFE" w:rsidRPr="00596442">
        <w:t xml:space="preserve"> </w:t>
      </w:r>
      <w:r w:rsidR="00A3035D" w:rsidRPr="00596442">
        <w:t>the potential to affect the content of current affairs programs</w:t>
      </w:r>
      <w:r w:rsidRPr="00596442">
        <w:t>.</w:t>
      </w:r>
    </w:p>
    <w:p w14:paraId="19FD1BF9" w14:textId="6CAB4B31" w:rsidR="003737B6" w:rsidRPr="00596442" w:rsidRDefault="005545E2" w:rsidP="00387440">
      <w:pPr>
        <w:tabs>
          <w:tab w:val="left" w:pos="0"/>
        </w:tabs>
        <w:spacing w:after="240"/>
        <w:ind w:left="0" w:firstLine="0"/>
      </w:pPr>
      <w:r w:rsidRPr="00596442">
        <w:t xml:space="preserve">The Standard applies to all commercial radio broadcasting licensees that broadcast current affairs programs (as defined in the Standard). Under the Standard, </w:t>
      </w:r>
      <w:r w:rsidR="00BD4865" w:rsidRPr="00596442">
        <w:t xml:space="preserve">commercial radio licensees must ensure that a disclosure announcement is made on air during a current affairs program </w:t>
      </w:r>
      <w:r w:rsidR="003856F4" w:rsidRPr="00596442">
        <w:t>if there is</w:t>
      </w:r>
      <w:r w:rsidR="00BD4865" w:rsidRPr="00596442">
        <w:t xml:space="preserve"> any commercial agreement </w:t>
      </w:r>
      <w:r w:rsidR="003856F4" w:rsidRPr="00596442">
        <w:t xml:space="preserve">or payment of production costs by an advertiser or sponsor </w:t>
      </w:r>
      <w:r w:rsidR="00BD4865" w:rsidRPr="00596442">
        <w:t>that may affect the content of th</w:t>
      </w:r>
      <w:r w:rsidR="003856F4" w:rsidRPr="00596442">
        <w:t>at</w:t>
      </w:r>
      <w:r w:rsidR="00BD4865" w:rsidRPr="00596442">
        <w:t xml:space="preserve"> program</w:t>
      </w:r>
      <w:r w:rsidR="00980830" w:rsidRPr="00596442">
        <w:t xml:space="preserve">. Licensees must also </w:t>
      </w:r>
      <w:r w:rsidR="008C41B3" w:rsidRPr="00596442">
        <w:t xml:space="preserve">fulfil other </w:t>
      </w:r>
      <w:r w:rsidR="008867A6" w:rsidRPr="00596442">
        <w:t xml:space="preserve">obligations </w:t>
      </w:r>
      <w:r w:rsidR="00387440" w:rsidRPr="00596442">
        <w:t>including placing certain details about relevant commercial agreements on a register, available to be viewed by the public online.</w:t>
      </w:r>
      <w:r w:rsidR="008867A6" w:rsidRPr="00596442">
        <w:t xml:space="preserve"> </w:t>
      </w:r>
    </w:p>
    <w:p w14:paraId="3DE886E3" w14:textId="2041ECB6" w:rsidR="0035405A" w:rsidRPr="00596442" w:rsidRDefault="0035405A" w:rsidP="00E5777F">
      <w:pPr>
        <w:spacing w:after="240"/>
        <w:ind w:left="0" w:firstLine="0"/>
        <w:rPr>
          <w:iCs/>
        </w:rPr>
      </w:pPr>
      <w:r w:rsidRPr="00596442">
        <w:t xml:space="preserve">A provision-by-provision description of the Standard is set out in the notes at </w:t>
      </w:r>
      <w:r w:rsidRPr="00596442">
        <w:rPr>
          <w:b/>
        </w:rPr>
        <w:t>Attachment A</w:t>
      </w:r>
      <w:r w:rsidRPr="00596442">
        <w:t>.</w:t>
      </w:r>
    </w:p>
    <w:p w14:paraId="0E0B75BA" w14:textId="1C22D571" w:rsidR="00E53D36" w:rsidRPr="00596442" w:rsidRDefault="00E53D36" w:rsidP="00E53D36">
      <w:pPr>
        <w:spacing w:after="240"/>
        <w:ind w:left="0" w:firstLine="0"/>
      </w:pPr>
      <w:r w:rsidRPr="00596442">
        <w:t xml:space="preserve">The </w:t>
      </w:r>
      <w:r w:rsidR="00DA3B0E" w:rsidRPr="00596442">
        <w:t xml:space="preserve">Standard </w:t>
      </w:r>
      <w:r w:rsidRPr="00596442">
        <w:t xml:space="preserve">is a </w:t>
      </w:r>
      <w:r w:rsidR="203A7580" w:rsidRPr="00596442">
        <w:t xml:space="preserve">disallowable </w:t>
      </w:r>
      <w:r w:rsidRPr="00596442">
        <w:t>legislative instrument for the purposes of the </w:t>
      </w:r>
      <w:r w:rsidRPr="00596442">
        <w:rPr>
          <w:i/>
        </w:rPr>
        <w:t>Legislation Act 2003 </w:t>
      </w:r>
      <w:r w:rsidRPr="00596442">
        <w:t>(</w:t>
      </w:r>
      <w:r w:rsidRPr="00596442">
        <w:rPr>
          <w:b/>
        </w:rPr>
        <w:t>the LA</w:t>
      </w:r>
      <w:r w:rsidRPr="00596442">
        <w:t>).</w:t>
      </w:r>
    </w:p>
    <w:p w14:paraId="68B01D2F" w14:textId="77777777" w:rsidR="00E53D36" w:rsidRPr="00596442" w:rsidRDefault="00E53D36" w:rsidP="00E53D36">
      <w:pPr>
        <w:spacing w:after="240"/>
        <w:ind w:left="0" w:firstLine="0"/>
      </w:pPr>
      <w:r w:rsidRPr="00596442">
        <w:rPr>
          <w:b/>
        </w:rPr>
        <w:t>Documents incorporated by reference</w:t>
      </w:r>
    </w:p>
    <w:p w14:paraId="33C9AA3F" w14:textId="7F6302EC" w:rsidR="00D774DD" w:rsidRPr="00596442" w:rsidRDefault="00D774DD" w:rsidP="00E53D36">
      <w:pPr>
        <w:spacing w:after="240"/>
        <w:ind w:left="0" w:firstLine="0"/>
      </w:pPr>
      <w:r w:rsidRPr="00596442">
        <w:t>The Standard incorporates by reference the following Acts:</w:t>
      </w:r>
    </w:p>
    <w:p w14:paraId="25E189E9" w14:textId="0B170F73" w:rsidR="00D774DD" w:rsidRPr="00596442" w:rsidRDefault="00D774DD" w:rsidP="00EA2714">
      <w:pPr>
        <w:pStyle w:val="ListParagraph"/>
        <w:numPr>
          <w:ilvl w:val="0"/>
          <w:numId w:val="32"/>
        </w:numPr>
        <w:spacing w:after="240"/>
        <w:rPr>
          <w:rFonts w:ascii="Times New Roman" w:hAnsi="Times New Roman"/>
        </w:rPr>
      </w:pPr>
      <w:r w:rsidRPr="00596442">
        <w:rPr>
          <w:rFonts w:ascii="Times New Roman" w:hAnsi="Times New Roman"/>
        </w:rPr>
        <w:lastRenderedPageBreak/>
        <w:t xml:space="preserve">the </w:t>
      </w:r>
      <w:proofErr w:type="gramStart"/>
      <w:r w:rsidRPr="00596442">
        <w:rPr>
          <w:rFonts w:ascii="Times New Roman" w:hAnsi="Times New Roman"/>
        </w:rPr>
        <w:t>BSA;</w:t>
      </w:r>
      <w:proofErr w:type="gramEnd"/>
    </w:p>
    <w:p w14:paraId="0EB86973" w14:textId="54BC53D2" w:rsidR="00D774DD" w:rsidRPr="00596442" w:rsidRDefault="00D774DD" w:rsidP="00EA2714">
      <w:pPr>
        <w:pStyle w:val="ListParagraph"/>
        <w:numPr>
          <w:ilvl w:val="0"/>
          <w:numId w:val="32"/>
        </w:numPr>
        <w:spacing w:after="240"/>
        <w:rPr>
          <w:rFonts w:ascii="Times New Roman" w:hAnsi="Times New Roman"/>
        </w:rPr>
      </w:pPr>
      <w:r w:rsidRPr="00596442">
        <w:rPr>
          <w:rFonts w:ascii="Times New Roman" w:hAnsi="Times New Roman"/>
        </w:rPr>
        <w:t xml:space="preserve">the </w:t>
      </w:r>
      <w:r w:rsidR="00B419FE" w:rsidRPr="00596442">
        <w:rPr>
          <w:rFonts w:ascii="Times New Roman" w:hAnsi="Times New Roman"/>
          <w:i/>
          <w:iCs/>
        </w:rPr>
        <w:t xml:space="preserve">Australian Charities and Not-for-profits Commission Act </w:t>
      </w:r>
      <w:proofErr w:type="gramStart"/>
      <w:r w:rsidR="00B419FE" w:rsidRPr="00596442">
        <w:rPr>
          <w:rFonts w:ascii="Times New Roman" w:hAnsi="Times New Roman"/>
          <w:i/>
          <w:iCs/>
        </w:rPr>
        <w:t>2012</w:t>
      </w:r>
      <w:r w:rsidRPr="00596442">
        <w:rPr>
          <w:rFonts w:ascii="Times New Roman" w:hAnsi="Times New Roman"/>
        </w:rPr>
        <w:t>;</w:t>
      </w:r>
      <w:proofErr w:type="gramEnd"/>
    </w:p>
    <w:p w14:paraId="3F189902" w14:textId="428B1022" w:rsidR="00D774DD" w:rsidRPr="00596442" w:rsidRDefault="00D774DD" w:rsidP="00EA2714">
      <w:pPr>
        <w:pStyle w:val="ListParagraph"/>
        <w:numPr>
          <w:ilvl w:val="0"/>
          <w:numId w:val="32"/>
        </w:numPr>
        <w:spacing w:after="240"/>
        <w:rPr>
          <w:rFonts w:ascii="Times New Roman" w:hAnsi="Times New Roman"/>
        </w:rPr>
      </w:pPr>
      <w:r w:rsidRPr="00596442">
        <w:rPr>
          <w:rFonts w:ascii="Times New Roman" w:hAnsi="Times New Roman"/>
        </w:rPr>
        <w:t xml:space="preserve">the </w:t>
      </w:r>
      <w:r w:rsidR="00B419FE" w:rsidRPr="00596442">
        <w:rPr>
          <w:rFonts w:ascii="Times New Roman" w:hAnsi="Times New Roman"/>
          <w:i/>
          <w:iCs/>
        </w:rPr>
        <w:t>Corporations Act 2001</w:t>
      </w:r>
      <w:r w:rsidRPr="00596442">
        <w:rPr>
          <w:rFonts w:ascii="Times New Roman" w:hAnsi="Times New Roman"/>
        </w:rPr>
        <w:t>.</w:t>
      </w:r>
    </w:p>
    <w:p w14:paraId="0AD07F1E" w14:textId="147424C1" w:rsidR="00D774DD" w:rsidRPr="00596442" w:rsidRDefault="00D774DD" w:rsidP="00EA2714">
      <w:pPr>
        <w:spacing w:after="240"/>
      </w:pPr>
      <w:r w:rsidRPr="00596442">
        <w:t xml:space="preserve">The Standard incorporates those Acts as in force from time to time. </w:t>
      </w:r>
    </w:p>
    <w:p w14:paraId="102234CA" w14:textId="25790900" w:rsidR="00D774DD" w:rsidRPr="00596442" w:rsidRDefault="00D774DD" w:rsidP="00D774DD">
      <w:pPr>
        <w:spacing w:after="240"/>
        <w:ind w:left="0" w:firstLine="0"/>
        <w:rPr>
          <w:u w:val="single"/>
        </w:rPr>
      </w:pPr>
      <w:r w:rsidRPr="00596442">
        <w:t>The Acts listed above can be accessed, free of charge, from the Federal Register of Legislation: </w:t>
      </w:r>
      <w:hyperlink r:id="rId11" w:history="1">
        <w:r w:rsidRPr="00596442">
          <w:rPr>
            <w:rStyle w:val="Hyperlink"/>
          </w:rPr>
          <w:t>http://www.legislation.gov.au</w:t>
        </w:r>
      </w:hyperlink>
      <w:r w:rsidRPr="00596442">
        <w:rPr>
          <w:u w:val="single"/>
        </w:rPr>
        <w:t>.</w:t>
      </w:r>
    </w:p>
    <w:p w14:paraId="1E26DA81" w14:textId="77777777" w:rsidR="003737B6" w:rsidRPr="00596442" w:rsidRDefault="003737B6" w:rsidP="003737B6">
      <w:pPr>
        <w:spacing w:before="320" w:after="60"/>
        <w:rPr>
          <w:b/>
        </w:rPr>
      </w:pPr>
      <w:r w:rsidRPr="00596442">
        <w:rPr>
          <w:b/>
        </w:rPr>
        <w:t>Consultation</w:t>
      </w:r>
    </w:p>
    <w:p w14:paraId="671F84D6" w14:textId="4FC6035B" w:rsidR="0008547D" w:rsidRPr="00596442" w:rsidRDefault="0008547D" w:rsidP="00E5777F">
      <w:pPr>
        <w:spacing w:after="240"/>
        <w:ind w:left="0" w:firstLine="0"/>
      </w:pPr>
      <w:r w:rsidRPr="00596442">
        <w:t xml:space="preserve">Before the </w:t>
      </w:r>
      <w:r w:rsidR="008C2DBA" w:rsidRPr="00596442">
        <w:t xml:space="preserve">Standard </w:t>
      </w:r>
      <w:r w:rsidRPr="00596442">
        <w:t>was made, the ACMA was satisfied that consultation was undertaken to the extent appropriate and reasonably practicable, in accordance with section 17 of the LA</w:t>
      </w:r>
      <w:r w:rsidR="00E37524" w:rsidRPr="00596442">
        <w:t xml:space="preserve"> and section 126 of the BSA</w:t>
      </w:r>
      <w:r w:rsidRPr="00596442">
        <w:t>.</w:t>
      </w:r>
      <w:r w:rsidR="003541A8" w:rsidRPr="00596442">
        <w:t xml:space="preserve"> </w:t>
      </w:r>
    </w:p>
    <w:p w14:paraId="1F660D1A" w14:textId="049D5964" w:rsidR="002458F2" w:rsidRDefault="003737B6" w:rsidP="002458F2">
      <w:pPr>
        <w:spacing w:after="240"/>
        <w:ind w:left="0" w:firstLine="0"/>
      </w:pPr>
      <w:r w:rsidRPr="00596442">
        <w:t xml:space="preserve">On </w:t>
      </w:r>
      <w:r w:rsidR="002B2D37" w:rsidRPr="00596442">
        <w:t>15</w:t>
      </w:r>
      <w:r w:rsidRPr="00596442">
        <w:t xml:space="preserve"> </w:t>
      </w:r>
      <w:r w:rsidR="002B2D37" w:rsidRPr="00596442">
        <w:t>December</w:t>
      </w:r>
      <w:r w:rsidR="00282CE6" w:rsidRPr="00596442">
        <w:t xml:space="preserve"> </w:t>
      </w:r>
      <w:r w:rsidRPr="00596442">
        <w:t>20</w:t>
      </w:r>
      <w:r w:rsidR="00282CE6" w:rsidRPr="00596442">
        <w:t>2</w:t>
      </w:r>
      <w:r w:rsidRPr="00596442">
        <w:t xml:space="preserve">1, the ACMA published </w:t>
      </w:r>
      <w:r w:rsidR="00387440" w:rsidRPr="00596442">
        <w:t xml:space="preserve">a copy of the </w:t>
      </w:r>
      <w:r w:rsidR="00072BAF" w:rsidRPr="00596442">
        <w:t>S</w:t>
      </w:r>
      <w:r w:rsidR="00387440" w:rsidRPr="00596442">
        <w:t xml:space="preserve">tandard </w:t>
      </w:r>
      <w:r w:rsidR="00072BAF" w:rsidRPr="00596442">
        <w:t xml:space="preserve">(on its website) </w:t>
      </w:r>
      <w:r w:rsidR="00387440" w:rsidRPr="00596442">
        <w:t>and a</w:t>
      </w:r>
      <w:r w:rsidR="00072BAF" w:rsidRPr="00596442">
        <w:t>n</w:t>
      </w:r>
      <w:r w:rsidR="00387440" w:rsidRPr="00596442">
        <w:t xml:space="preserve"> accompanying consultation paper. The consultation period ran for 8 weeks and concluded on 9 February </w:t>
      </w:r>
      <w:r w:rsidR="00387440" w:rsidRPr="00C30196">
        <w:t>2022.</w:t>
      </w:r>
      <w:r w:rsidR="002458F2" w:rsidRPr="00C30196">
        <w:t xml:space="preserve"> Three submissions were received. </w:t>
      </w:r>
      <w:r w:rsidR="008D5B2E" w:rsidRPr="00C30196">
        <w:t>After reviewing the submissions, t</w:t>
      </w:r>
      <w:r w:rsidR="00E209CB" w:rsidRPr="00C30196">
        <w:t xml:space="preserve">he ACMA did not consider </w:t>
      </w:r>
      <w:r w:rsidR="002458F2" w:rsidRPr="00C30196">
        <w:t>any changes</w:t>
      </w:r>
      <w:r w:rsidR="00E209CB" w:rsidRPr="00C30196">
        <w:t xml:space="preserve"> </w:t>
      </w:r>
      <w:r w:rsidR="008D5B2E" w:rsidRPr="00C30196">
        <w:t xml:space="preserve">were required </w:t>
      </w:r>
      <w:r w:rsidR="00E209CB" w:rsidRPr="00C30196">
        <w:t>to</w:t>
      </w:r>
      <w:r w:rsidR="002458F2" w:rsidRPr="00C30196">
        <w:t xml:space="preserve"> be</w:t>
      </w:r>
      <w:r w:rsidR="00E209CB" w:rsidRPr="00C30196">
        <w:t xml:space="preserve"> m</w:t>
      </w:r>
      <w:r w:rsidR="002458F2" w:rsidRPr="00C30196">
        <w:t>ade to the draft instrument before it was made.</w:t>
      </w:r>
      <w:r w:rsidR="002458F2">
        <w:t xml:space="preserve"> </w:t>
      </w:r>
      <w:r w:rsidR="00387440" w:rsidRPr="00596442">
        <w:t xml:space="preserve"> </w:t>
      </w:r>
    </w:p>
    <w:p w14:paraId="1DD2B6C0" w14:textId="4CFCF594" w:rsidR="00073D02" w:rsidRPr="00596442" w:rsidRDefault="00073D02" w:rsidP="002458F2">
      <w:pPr>
        <w:spacing w:after="240"/>
        <w:ind w:left="0" w:firstLine="0"/>
        <w:rPr>
          <w:b/>
        </w:rPr>
      </w:pPr>
      <w:r w:rsidRPr="00596442">
        <w:rPr>
          <w:b/>
        </w:rPr>
        <w:t>Regulatory impact assessment</w:t>
      </w:r>
    </w:p>
    <w:p w14:paraId="37B9A517" w14:textId="72C5E623" w:rsidR="00073D02" w:rsidRPr="00596442" w:rsidRDefault="00073D02" w:rsidP="001D69F4">
      <w:pPr>
        <w:tabs>
          <w:tab w:val="left" w:pos="0"/>
        </w:tabs>
        <w:spacing w:after="240"/>
        <w:ind w:left="0" w:firstLine="0"/>
      </w:pPr>
      <w:r w:rsidRPr="00596442">
        <w:t>A preliminary assessment of the proposal to make the Standard was conducted by the Office of Best Practice Regulation (</w:t>
      </w:r>
      <w:r w:rsidRPr="00596442">
        <w:rPr>
          <w:b/>
          <w:bCs/>
          <w:color w:val="000000"/>
          <w:sz w:val="22"/>
          <w:szCs w:val="22"/>
        </w:rPr>
        <w:t>OBPR</w:t>
      </w:r>
      <w:r w:rsidRPr="00596442">
        <w:t>), based on information provided by the ACMA, for the purposes of determining whether a Regulation Impact Statement (</w:t>
      </w:r>
      <w:r w:rsidRPr="00596442">
        <w:rPr>
          <w:b/>
          <w:bCs/>
        </w:rPr>
        <w:t>RIS</w:t>
      </w:r>
      <w:r w:rsidRPr="00596442">
        <w:t xml:space="preserve">) would be required. OBPR advised that the </w:t>
      </w:r>
      <w:r w:rsidR="0020264A" w:rsidRPr="00596442">
        <w:t xml:space="preserve">preliminary assessment shows the regulation is operating effectively and efficiently and since the </w:t>
      </w:r>
      <w:r w:rsidR="00D501DE" w:rsidRPr="00596442">
        <w:t>Standard</w:t>
      </w:r>
      <w:r w:rsidR="0020264A" w:rsidRPr="00596442">
        <w:t xml:space="preserve"> will be made without significant amendments,</w:t>
      </w:r>
      <w:r w:rsidR="00D501DE" w:rsidRPr="00596442">
        <w:t xml:space="preserve"> it </w:t>
      </w:r>
      <w:r w:rsidR="0020264A" w:rsidRPr="00596442">
        <w:t xml:space="preserve">may be certified without a RIS (OBPR reference number: </w:t>
      </w:r>
      <w:r w:rsidR="00F329CB" w:rsidRPr="00596442">
        <w:t>OBPR21-01321</w:t>
      </w:r>
      <w:r w:rsidR="0020264A" w:rsidRPr="00596442">
        <w:t xml:space="preserve">). </w:t>
      </w:r>
    </w:p>
    <w:p w14:paraId="70B6C369" w14:textId="77777777" w:rsidR="00BD2FFF" w:rsidRPr="00596442" w:rsidRDefault="00BD2FFF" w:rsidP="00BD2FFF">
      <w:pPr>
        <w:tabs>
          <w:tab w:val="left" w:pos="0"/>
        </w:tabs>
        <w:spacing w:after="240"/>
        <w:ind w:left="0" w:firstLine="0"/>
      </w:pPr>
      <w:r w:rsidRPr="00596442">
        <w:rPr>
          <w:b/>
        </w:rPr>
        <w:t>Statement of compatibility with human rights</w:t>
      </w:r>
    </w:p>
    <w:p w14:paraId="2E737740" w14:textId="77777777" w:rsidR="00BD2FFF" w:rsidRPr="00596442" w:rsidRDefault="00BD2FFF" w:rsidP="00BD2FFF">
      <w:pPr>
        <w:tabs>
          <w:tab w:val="left" w:pos="0"/>
        </w:tabs>
        <w:spacing w:after="240"/>
        <w:ind w:left="0" w:firstLine="0"/>
      </w:pPr>
      <w:r w:rsidRPr="00596442">
        <w:t>Subsection 9(1) of the </w:t>
      </w:r>
      <w:r w:rsidRPr="00596442">
        <w:rPr>
          <w:i/>
        </w:rPr>
        <w:t>Human Rights (Parliamentary Scrutiny) Act 2011</w:t>
      </w:r>
      <w:r w:rsidRPr="00596442">
        <w:t> requires the rule-maker in relation to a legislative instrument to which section 42 (disallowance) of the LA applies to cause a statement of compatibility with human rights to be prepared in respect of that legislative instrument. </w:t>
      </w:r>
    </w:p>
    <w:p w14:paraId="626E6DE7" w14:textId="77777777" w:rsidR="006C6207" w:rsidRPr="00596442" w:rsidRDefault="00BD2FFF" w:rsidP="00BD2FFF">
      <w:pPr>
        <w:tabs>
          <w:tab w:val="left" w:pos="0"/>
        </w:tabs>
        <w:spacing w:after="240"/>
        <w:ind w:left="0" w:firstLine="0"/>
        <w:sectPr w:rsidR="006C6207" w:rsidRPr="00596442" w:rsidSect="005E673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258" w:left="1800" w:header="708" w:footer="454" w:gutter="0"/>
          <w:cols w:space="708"/>
          <w:docGrid w:linePitch="360"/>
        </w:sectPr>
      </w:pPr>
      <w:r w:rsidRPr="00596442">
        <w:t>The statement of compatibility set out in </w:t>
      </w:r>
      <w:r w:rsidRPr="00596442">
        <w:rPr>
          <w:b/>
        </w:rPr>
        <w:t>Attachment B</w:t>
      </w:r>
      <w:r w:rsidRPr="00596442">
        <w:t> has been prepared to meet that requirement.</w:t>
      </w:r>
    </w:p>
    <w:p w14:paraId="3482E1A4" w14:textId="2CD36554" w:rsidR="00BD2FFF" w:rsidRPr="00596442" w:rsidRDefault="00B54D6F" w:rsidP="006C6207">
      <w:pPr>
        <w:tabs>
          <w:tab w:val="left" w:pos="0"/>
        </w:tabs>
        <w:spacing w:after="240"/>
        <w:ind w:left="0" w:firstLine="0"/>
        <w:jc w:val="right"/>
        <w:rPr>
          <w:b/>
          <w:sz w:val="28"/>
          <w:szCs w:val="28"/>
        </w:rPr>
      </w:pPr>
      <w:r w:rsidRPr="00596442">
        <w:rPr>
          <w:b/>
          <w:sz w:val="28"/>
          <w:szCs w:val="28"/>
        </w:rPr>
        <w:lastRenderedPageBreak/>
        <w:t>Attachment A</w:t>
      </w:r>
    </w:p>
    <w:p w14:paraId="2FFB21FE" w14:textId="77777777" w:rsidR="002B2D37" w:rsidRPr="00596442" w:rsidRDefault="00B54D6F" w:rsidP="002B2D37">
      <w:pPr>
        <w:tabs>
          <w:tab w:val="left" w:pos="0"/>
        </w:tabs>
        <w:spacing w:after="240"/>
        <w:ind w:left="0" w:firstLine="0"/>
        <w:jc w:val="center"/>
        <w:rPr>
          <w:b/>
          <w:i/>
          <w:sz w:val="28"/>
          <w:szCs w:val="28"/>
        </w:rPr>
      </w:pPr>
      <w:r w:rsidRPr="00596442">
        <w:rPr>
          <w:b/>
          <w:sz w:val="28"/>
          <w:szCs w:val="28"/>
        </w:rPr>
        <w:t xml:space="preserve">Notes to the </w:t>
      </w:r>
      <w:bookmarkStart w:id="0" w:name="_Hlk79655426"/>
      <w:r w:rsidR="002B2D37" w:rsidRPr="00596442">
        <w:rPr>
          <w:b/>
          <w:i/>
          <w:sz w:val="28"/>
          <w:szCs w:val="28"/>
        </w:rPr>
        <w:t>Broadcasting Services (Commercial Radio Current Affairs Disclosure) Standard 2022</w:t>
      </w:r>
    </w:p>
    <w:p w14:paraId="425AA130" w14:textId="1B28708F" w:rsidR="00073D02" w:rsidRPr="00596442" w:rsidRDefault="00073D02" w:rsidP="002458F2">
      <w:pPr>
        <w:tabs>
          <w:tab w:val="left" w:pos="0"/>
        </w:tabs>
        <w:spacing w:after="240"/>
        <w:ind w:left="0" w:firstLine="0"/>
        <w:rPr>
          <w:b/>
          <w:bCs/>
          <w:color w:val="000000"/>
        </w:rPr>
      </w:pPr>
      <w:r w:rsidRPr="00596442">
        <w:rPr>
          <w:b/>
          <w:bCs/>
          <w:color w:val="000000"/>
        </w:rPr>
        <w:t xml:space="preserve">Part 1 </w:t>
      </w:r>
      <w:r w:rsidRPr="00596442">
        <w:rPr>
          <w:b/>
          <w:bCs/>
          <w:color w:val="000000"/>
        </w:rPr>
        <w:tab/>
        <w:t>Preliminary</w:t>
      </w:r>
      <w:r w:rsidR="006074B4">
        <w:rPr>
          <w:b/>
          <w:bCs/>
          <w:color w:val="000000"/>
        </w:rPr>
        <w:t xml:space="preserve"> </w:t>
      </w:r>
    </w:p>
    <w:bookmarkEnd w:id="0"/>
    <w:p w14:paraId="29E6753F" w14:textId="6ACC4E26" w:rsidR="003737B6" w:rsidRPr="00596442" w:rsidRDefault="003737B6" w:rsidP="003737B6">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1</w:t>
      </w:r>
      <w:r w:rsidRPr="00596442">
        <w:rPr>
          <w:rFonts w:ascii="Times New Roman" w:hAnsi="Times New Roman" w:cs="Times New Roman"/>
          <w:color w:val="000000"/>
          <w:sz w:val="24"/>
          <w:szCs w:val="24"/>
        </w:rPr>
        <w:tab/>
        <w:t xml:space="preserve">Name of </w:t>
      </w:r>
      <w:r w:rsidR="007A5F9E" w:rsidRPr="00596442">
        <w:rPr>
          <w:rFonts w:ascii="Times New Roman" w:hAnsi="Times New Roman" w:cs="Times New Roman"/>
          <w:color w:val="000000"/>
          <w:sz w:val="24"/>
          <w:szCs w:val="24"/>
        </w:rPr>
        <w:t>standard</w:t>
      </w:r>
    </w:p>
    <w:p w14:paraId="092CBE51" w14:textId="5D70F174" w:rsidR="003737B6" w:rsidRPr="00596442" w:rsidRDefault="007E540D" w:rsidP="005E673D">
      <w:pPr>
        <w:pStyle w:val="Normalspace"/>
        <w:ind w:right="289"/>
        <w:rPr>
          <w:rFonts w:ascii="Times New Roman" w:hAnsi="Times New Roman" w:cs="Times New Roman"/>
          <w:b/>
          <w:color w:val="000000"/>
        </w:rPr>
      </w:pPr>
      <w:r w:rsidRPr="00596442">
        <w:rPr>
          <w:rFonts w:ascii="Times New Roman" w:hAnsi="Times New Roman" w:cs="Times New Roman"/>
          <w:color w:val="000000"/>
        </w:rPr>
        <w:t xml:space="preserve">Section 1 </w:t>
      </w:r>
      <w:r w:rsidR="00407DA2" w:rsidRPr="00596442">
        <w:rPr>
          <w:rFonts w:ascii="Times New Roman" w:hAnsi="Times New Roman" w:cs="Times New Roman"/>
          <w:color w:val="000000"/>
        </w:rPr>
        <w:t xml:space="preserve">provides </w:t>
      </w:r>
      <w:r w:rsidR="00ED1F40" w:rsidRPr="00596442">
        <w:rPr>
          <w:rFonts w:ascii="Times New Roman" w:hAnsi="Times New Roman" w:cs="Times New Roman"/>
          <w:color w:val="000000"/>
        </w:rPr>
        <w:t xml:space="preserve">that </w:t>
      </w:r>
      <w:r w:rsidR="00407DA2" w:rsidRPr="00596442">
        <w:rPr>
          <w:rFonts w:ascii="Times New Roman" w:hAnsi="Times New Roman" w:cs="Times New Roman"/>
          <w:color w:val="000000"/>
        </w:rPr>
        <w:t xml:space="preserve">the name of the </w:t>
      </w:r>
      <w:r w:rsidR="00F82145" w:rsidRPr="00596442">
        <w:rPr>
          <w:rFonts w:ascii="Times New Roman" w:hAnsi="Times New Roman" w:cs="Times New Roman"/>
          <w:color w:val="000000"/>
        </w:rPr>
        <w:t>i</w:t>
      </w:r>
      <w:r w:rsidR="00407DA2" w:rsidRPr="00596442">
        <w:rPr>
          <w:rFonts w:ascii="Times New Roman" w:hAnsi="Times New Roman" w:cs="Times New Roman"/>
          <w:color w:val="000000"/>
        </w:rPr>
        <w:t>nstrument</w:t>
      </w:r>
      <w:r w:rsidRPr="00596442">
        <w:rPr>
          <w:rFonts w:ascii="Times New Roman" w:hAnsi="Times New Roman" w:cs="Times New Roman"/>
          <w:color w:val="000000"/>
        </w:rPr>
        <w:t xml:space="preserve"> </w:t>
      </w:r>
      <w:r w:rsidR="002E51BF" w:rsidRPr="00596442">
        <w:rPr>
          <w:rFonts w:ascii="Times New Roman" w:hAnsi="Times New Roman" w:cs="Times New Roman"/>
          <w:color w:val="000000"/>
        </w:rPr>
        <w:t>is</w:t>
      </w:r>
      <w:r w:rsidR="003737B6" w:rsidRPr="00596442">
        <w:rPr>
          <w:rFonts w:ascii="Times New Roman" w:hAnsi="Times New Roman" w:cs="Times New Roman"/>
          <w:color w:val="000000"/>
        </w:rPr>
        <w:t xml:space="preserve"> the </w:t>
      </w:r>
      <w:r w:rsidR="002B2D37" w:rsidRPr="00596442">
        <w:rPr>
          <w:rFonts w:ascii="Times New Roman" w:hAnsi="Times New Roman" w:cs="Times New Roman"/>
          <w:i/>
          <w:color w:val="000000"/>
        </w:rPr>
        <w:t>Broadcasting Services (Commercial Radio Current Affairs Disclosure) Standard 2022</w:t>
      </w:r>
      <w:r w:rsidR="003737B6" w:rsidRPr="00596442">
        <w:rPr>
          <w:rFonts w:ascii="Times New Roman" w:hAnsi="Times New Roman" w:cs="Times New Roman"/>
          <w:color w:val="000000"/>
        </w:rPr>
        <w:t>.</w:t>
      </w:r>
    </w:p>
    <w:p w14:paraId="148DE765" w14:textId="77777777" w:rsidR="003737B6" w:rsidRPr="00596442" w:rsidRDefault="003737B6" w:rsidP="003737B6">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2</w:t>
      </w:r>
      <w:r w:rsidRPr="00596442">
        <w:rPr>
          <w:rFonts w:ascii="Times New Roman" w:hAnsi="Times New Roman" w:cs="Times New Roman"/>
          <w:color w:val="000000"/>
          <w:sz w:val="24"/>
          <w:szCs w:val="24"/>
        </w:rPr>
        <w:tab/>
        <w:t>Commencement</w:t>
      </w:r>
    </w:p>
    <w:p w14:paraId="22F2C97C" w14:textId="14649242" w:rsidR="003737B6" w:rsidRPr="00596442" w:rsidRDefault="003737B6" w:rsidP="003737B6">
      <w:pPr>
        <w:pStyle w:val="Normalspace"/>
        <w:rPr>
          <w:rFonts w:ascii="Times New Roman" w:hAnsi="Times New Roman" w:cs="Times New Roman"/>
          <w:color w:val="000000"/>
        </w:rPr>
      </w:pPr>
      <w:r w:rsidRPr="00596442">
        <w:rPr>
          <w:rFonts w:ascii="Times New Roman" w:hAnsi="Times New Roman" w:cs="Times New Roman"/>
          <w:color w:val="000000"/>
        </w:rPr>
        <w:t xml:space="preserve">Section 2 provides </w:t>
      </w:r>
      <w:r w:rsidR="00994159" w:rsidRPr="00596442">
        <w:rPr>
          <w:rFonts w:ascii="Times New Roman" w:hAnsi="Times New Roman" w:cs="Times New Roman"/>
          <w:color w:val="000000"/>
        </w:rPr>
        <w:t xml:space="preserve">that the Standard will commence on the day after </w:t>
      </w:r>
      <w:r w:rsidR="00C148C2" w:rsidRPr="00596442">
        <w:rPr>
          <w:rFonts w:ascii="Times New Roman" w:hAnsi="Times New Roman" w:cs="Times New Roman"/>
          <w:color w:val="000000"/>
        </w:rPr>
        <w:t xml:space="preserve">the day </w:t>
      </w:r>
      <w:r w:rsidR="00994159" w:rsidRPr="00596442">
        <w:rPr>
          <w:rFonts w:ascii="Times New Roman" w:hAnsi="Times New Roman" w:cs="Times New Roman"/>
          <w:color w:val="000000"/>
        </w:rPr>
        <w:t xml:space="preserve">it is registered. </w:t>
      </w:r>
    </w:p>
    <w:p w14:paraId="572871F0" w14:textId="64960127" w:rsidR="003737B6" w:rsidRPr="00596442" w:rsidRDefault="003737B6" w:rsidP="003737B6">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3</w:t>
      </w:r>
      <w:r w:rsidRPr="00596442">
        <w:rPr>
          <w:rFonts w:ascii="Times New Roman" w:hAnsi="Times New Roman" w:cs="Times New Roman"/>
          <w:color w:val="000000"/>
          <w:sz w:val="24"/>
          <w:szCs w:val="24"/>
        </w:rPr>
        <w:tab/>
      </w:r>
      <w:r w:rsidR="00073D02" w:rsidRPr="00596442">
        <w:rPr>
          <w:rFonts w:ascii="Times New Roman" w:hAnsi="Times New Roman" w:cs="Times New Roman"/>
          <w:color w:val="000000"/>
          <w:sz w:val="24"/>
          <w:szCs w:val="24"/>
        </w:rPr>
        <w:t>Authority</w:t>
      </w:r>
    </w:p>
    <w:p w14:paraId="45A7E080" w14:textId="1A1878D5" w:rsidR="003737B6" w:rsidRPr="00596442" w:rsidRDefault="00A14B00" w:rsidP="00E5777F">
      <w:pPr>
        <w:spacing w:after="240"/>
        <w:ind w:left="0" w:firstLine="0"/>
        <w:rPr>
          <w:color w:val="000000"/>
        </w:rPr>
      </w:pPr>
      <w:r w:rsidRPr="00596442">
        <w:rPr>
          <w:color w:val="000000"/>
        </w:rPr>
        <w:t>This section identifies the provision that authorises the making of the Standard, namely subsection 125(</w:t>
      </w:r>
      <w:r w:rsidR="00615FAF" w:rsidRPr="00596442">
        <w:rPr>
          <w:color w:val="000000"/>
        </w:rPr>
        <w:t>1</w:t>
      </w:r>
      <w:r w:rsidRPr="00596442">
        <w:rPr>
          <w:color w:val="000000"/>
        </w:rPr>
        <w:t xml:space="preserve">) of the </w:t>
      </w:r>
      <w:r w:rsidR="002F5F8E" w:rsidRPr="00596442">
        <w:rPr>
          <w:i/>
          <w:color w:val="000000"/>
        </w:rPr>
        <w:t>Broadcasting Services Act 1992</w:t>
      </w:r>
      <w:r w:rsidRPr="00596442">
        <w:rPr>
          <w:color w:val="000000"/>
        </w:rPr>
        <w:t xml:space="preserve">. </w:t>
      </w:r>
      <w:r w:rsidR="003737B6" w:rsidRPr="00596442">
        <w:rPr>
          <w:color w:val="000000"/>
        </w:rPr>
        <w:t xml:space="preserve"> </w:t>
      </w:r>
    </w:p>
    <w:p w14:paraId="545C5FF2" w14:textId="1999B5ED" w:rsidR="00073D02" w:rsidRPr="00596442" w:rsidRDefault="00073D02" w:rsidP="00073D02">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4</w:t>
      </w:r>
      <w:r w:rsidRPr="00596442">
        <w:rPr>
          <w:rFonts w:ascii="Times New Roman" w:hAnsi="Times New Roman" w:cs="Times New Roman"/>
          <w:color w:val="000000"/>
          <w:sz w:val="24"/>
          <w:szCs w:val="24"/>
        </w:rPr>
        <w:tab/>
        <w:t>Repeal</w:t>
      </w:r>
    </w:p>
    <w:p w14:paraId="76D9B1C2" w14:textId="77777777" w:rsidR="00073D02" w:rsidRPr="00596442" w:rsidRDefault="00073D02" w:rsidP="00073D02">
      <w:pPr>
        <w:rPr>
          <w:lang w:eastAsia="en-US"/>
        </w:rPr>
      </w:pPr>
    </w:p>
    <w:p w14:paraId="3F3E07F9" w14:textId="633E0FCF" w:rsidR="00FB5BD1" w:rsidRPr="00596442" w:rsidRDefault="00073D02" w:rsidP="005E673D">
      <w:pPr>
        <w:spacing w:after="240"/>
        <w:ind w:left="0" w:right="289" w:firstLine="0"/>
        <w:rPr>
          <w:lang w:eastAsia="en-US"/>
        </w:rPr>
      </w:pPr>
      <w:r w:rsidRPr="00596442">
        <w:rPr>
          <w:bCs/>
          <w:color w:val="000000"/>
          <w:lang w:eastAsia="en-US"/>
        </w:rPr>
        <w:t>Section 4</w:t>
      </w:r>
      <w:r w:rsidRPr="00596442">
        <w:rPr>
          <w:b/>
          <w:bCs/>
          <w:color w:val="000000"/>
          <w:lang w:eastAsia="en-US"/>
        </w:rPr>
        <w:t xml:space="preserve"> </w:t>
      </w:r>
      <w:r w:rsidR="008C4074" w:rsidRPr="00596442">
        <w:rPr>
          <w:color w:val="000000"/>
          <w:lang w:eastAsia="en-US"/>
        </w:rPr>
        <w:t xml:space="preserve">provides that the </w:t>
      </w:r>
      <w:r w:rsidR="002B2D37" w:rsidRPr="00596442">
        <w:rPr>
          <w:i/>
          <w:color w:val="000000"/>
          <w:lang w:eastAsia="en-US"/>
        </w:rPr>
        <w:t xml:space="preserve">Broadcasting Services (Commercial Radio Current Affairs Disclosure) Standard 2012 </w:t>
      </w:r>
      <w:r w:rsidR="002B2D37" w:rsidRPr="00596442">
        <w:rPr>
          <w:iCs/>
          <w:color w:val="000000"/>
          <w:lang w:eastAsia="en-US"/>
        </w:rPr>
        <w:t>is</w:t>
      </w:r>
      <w:r w:rsidR="002B2D37" w:rsidRPr="00596442">
        <w:rPr>
          <w:i/>
          <w:color w:val="000000"/>
          <w:lang w:eastAsia="en-US"/>
        </w:rPr>
        <w:t xml:space="preserve"> </w:t>
      </w:r>
      <w:r w:rsidR="008C4074" w:rsidRPr="00596442">
        <w:rPr>
          <w:color w:val="000000"/>
          <w:lang w:eastAsia="en-US"/>
        </w:rPr>
        <w:t>repealed</w:t>
      </w:r>
      <w:r w:rsidR="007329BF" w:rsidRPr="00596442">
        <w:rPr>
          <w:color w:val="000000"/>
          <w:lang w:eastAsia="en-US"/>
        </w:rPr>
        <w:t>.</w:t>
      </w:r>
      <w:r w:rsidRPr="00596442">
        <w:rPr>
          <w:b/>
          <w:bCs/>
          <w:color w:val="000000"/>
          <w:lang w:eastAsia="en-US"/>
        </w:rPr>
        <w:t xml:space="preserve"> </w:t>
      </w:r>
    </w:p>
    <w:p w14:paraId="4FD126AA" w14:textId="38E50D7B" w:rsidR="00073D02" w:rsidRPr="00596442" w:rsidRDefault="00073D02" w:rsidP="00073D02">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5</w:t>
      </w:r>
      <w:r w:rsidRPr="00596442">
        <w:rPr>
          <w:rFonts w:ascii="Times New Roman" w:hAnsi="Times New Roman" w:cs="Times New Roman"/>
          <w:color w:val="000000"/>
          <w:sz w:val="24"/>
          <w:szCs w:val="24"/>
        </w:rPr>
        <w:tab/>
        <w:t>Definitions</w:t>
      </w:r>
    </w:p>
    <w:p w14:paraId="4C036F0C" w14:textId="4642ECFE" w:rsidR="00FB0EF3" w:rsidRPr="00596442" w:rsidRDefault="00073D02" w:rsidP="00073D02">
      <w:pPr>
        <w:tabs>
          <w:tab w:val="left" w:pos="540"/>
          <w:tab w:val="left" w:pos="5730"/>
        </w:tabs>
        <w:spacing w:after="240"/>
        <w:ind w:left="0" w:firstLine="0"/>
        <w:rPr>
          <w:color w:val="000000"/>
        </w:rPr>
      </w:pPr>
      <w:r w:rsidRPr="00BE373E">
        <w:rPr>
          <w:color w:val="000000"/>
        </w:rPr>
        <w:t xml:space="preserve">Section 5 defines </w:t>
      </w:r>
      <w:r w:rsidR="00B53C63" w:rsidRPr="00BE373E">
        <w:rPr>
          <w:color w:val="000000"/>
        </w:rPr>
        <w:t xml:space="preserve">key </w:t>
      </w:r>
      <w:r w:rsidRPr="00BE373E">
        <w:rPr>
          <w:color w:val="000000"/>
        </w:rPr>
        <w:t xml:space="preserve">terms used throughout the </w:t>
      </w:r>
      <w:r w:rsidR="008C4074" w:rsidRPr="00BE373E">
        <w:rPr>
          <w:color w:val="000000"/>
        </w:rPr>
        <w:t>S</w:t>
      </w:r>
      <w:r w:rsidRPr="00BE373E">
        <w:rPr>
          <w:color w:val="000000"/>
        </w:rPr>
        <w:t xml:space="preserve">tandard. </w:t>
      </w:r>
      <w:r w:rsidR="00435864" w:rsidRPr="00BE373E">
        <w:rPr>
          <w:lang w:eastAsia="en-US"/>
        </w:rPr>
        <w:t xml:space="preserve">The only change from the </w:t>
      </w:r>
      <w:r w:rsidR="00B52A0B" w:rsidRPr="00BE373E">
        <w:rPr>
          <w:lang w:eastAsia="en-US"/>
        </w:rPr>
        <w:t>definitions in the</w:t>
      </w:r>
      <w:r w:rsidR="00D9328E" w:rsidRPr="00BE373E">
        <w:rPr>
          <w:lang w:eastAsia="en-US"/>
        </w:rPr>
        <w:t xml:space="preserve"> </w:t>
      </w:r>
      <w:r w:rsidR="00FB0EF3" w:rsidRPr="00BE373E">
        <w:rPr>
          <w:lang w:eastAsia="en-US"/>
        </w:rPr>
        <w:t>2012 Disclosure Standard</w:t>
      </w:r>
      <w:r w:rsidR="00435864" w:rsidRPr="00BE373E">
        <w:rPr>
          <w:lang w:eastAsia="en-US"/>
        </w:rPr>
        <w:t xml:space="preserve"> is the addition of the definition for </w:t>
      </w:r>
      <w:r w:rsidR="00435864" w:rsidRPr="002458F2">
        <w:rPr>
          <w:b/>
          <w:bCs/>
          <w:i/>
          <w:iCs/>
          <w:lang w:eastAsia="en-US"/>
        </w:rPr>
        <w:t>registered entity</w:t>
      </w:r>
      <w:r w:rsidR="00FB0EF3" w:rsidRPr="00BE373E">
        <w:rPr>
          <w:lang w:eastAsia="en-US"/>
        </w:rPr>
        <w:t>.</w:t>
      </w:r>
    </w:p>
    <w:p w14:paraId="3DEABE8A" w14:textId="108AA6CA" w:rsidR="00920C02" w:rsidRPr="00596442" w:rsidRDefault="00073D02" w:rsidP="00920C02">
      <w:pPr>
        <w:pStyle w:val="Heading3"/>
        <w:rPr>
          <w:b w:val="0"/>
          <w:bCs w:val="0"/>
        </w:rPr>
      </w:pPr>
      <w:r w:rsidRPr="00596442">
        <w:rPr>
          <w:rFonts w:ascii="Times New Roman" w:hAnsi="Times New Roman" w:cs="Times New Roman"/>
          <w:color w:val="000000"/>
          <w:sz w:val="24"/>
          <w:szCs w:val="24"/>
        </w:rPr>
        <w:t>Section 6</w:t>
      </w:r>
      <w:r w:rsidRPr="00596442">
        <w:rPr>
          <w:rFonts w:ascii="Times New Roman" w:hAnsi="Times New Roman" w:cs="Times New Roman"/>
          <w:color w:val="000000"/>
          <w:sz w:val="24"/>
          <w:szCs w:val="24"/>
        </w:rPr>
        <w:tab/>
      </w:r>
      <w:r w:rsidR="00920C02" w:rsidRPr="00596442">
        <w:rPr>
          <w:rFonts w:ascii="Times New Roman" w:hAnsi="Times New Roman" w:cs="Times New Roman"/>
          <w:color w:val="000000"/>
          <w:sz w:val="24"/>
          <w:szCs w:val="24"/>
        </w:rPr>
        <w:t xml:space="preserve">Meaning of </w:t>
      </w:r>
      <w:r w:rsidR="00920C02" w:rsidRPr="002458F2">
        <w:rPr>
          <w:rFonts w:ascii="Times New Roman" w:hAnsi="Times New Roman" w:cs="Times New Roman"/>
          <w:i/>
          <w:iCs/>
          <w:color w:val="000000"/>
          <w:sz w:val="24"/>
          <w:szCs w:val="24"/>
        </w:rPr>
        <w:t>commercial agreement</w:t>
      </w:r>
    </w:p>
    <w:p w14:paraId="719C7697" w14:textId="223426BE" w:rsidR="00920C02" w:rsidRPr="00596442" w:rsidRDefault="00920C02" w:rsidP="00920C02">
      <w:pPr>
        <w:autoSpaceDE w:val="0"/>
        <w:autoSpaceDN w:val="0"/>
        <w:adjustRightInd w:val="0"/>
        <w:spacing w:before="120" w:after="120" w:line="240" w:lineRule="atLeast"/>
        <w:ind w:left="0" w:firstLine="0"/>
        <w:jc w:val="both"/>
        <w:rPr>
          <w:rFonts w:cs="Arial"/>
          <w:bCs/>
        </w:rPr>
      </w:pPr>
      <w:r w:rsidRPr="00596442">
        <w:rPr>
          <w:rFonts w:cs="Arial"/>
          <w:bCs/>
        </w:rPr>
        <w:t xml:space="preserve">The section defines two types of commercial agreement which are covered by the Standard. </w:t>
      </w:r>
    </w:p>
    <w:p w14:paraId="1A7E837B" w14:textId="45BEFFD2" w:rsidR="00920C02" w:rsidRPr="00596442" w:rsidRDefault="00920C02" w:rsidP="00AF4BB0">
      <w:pPr>
        <w:autoSpaceDE w:val="0"/>
        <w:autoSpaceDN w:val="0"/>
        <w:adjustRightInd w:val="0"/>
        <w:spacing w:before="120" w:after="120" w:line="240" w:lineRule="atLeast"/>
        <w:ind w:left="0" w:firstLine="0"/>
        <w:jc w:val="both"/>
        <w:rPr>
          <w:bCs/>
        </w:rPr>
      </w:pPr>
      <w:r w:rsidRPr="00596442">
        <w:rPr>
          <w:bCs/>
        </w:rPr>
        <w:t xml:space="preserve">Subsection </w:t>
      </w:r>
      <w:r w:rsidR="00893E94">
        <w:rPr>
          <w:bCs/>
        </w:rPr>
        <w:t>6</w:t>
      </w:r>
      <w:r w:rsidRPr="00596442">
        <w:rPr>
          <w:bCs/>
        </w:rPr>
        <w:t xml:space="preserve">(1) captures agreements, </w:t>
      </w:r>
      <w:proofErr w:type="gramStart"/>
      <w:r w:rsidRPr="00596442">
        <w:rPr>
          <w:bCs/>
        </w:rPr>
        <w:t>arrangements</w:t>
      </w:r>
      <w:proofErr w:type="gramEnd"/>
      <w:r w:rsidRPr="00596442">
        <w:rPr>
          <w:bCs/>
        </w:rPr>
        <w:t xml:space="preserve"> or understandings (whether in writing or not) to which a sponsor (or an agent of a sponsor) and a presenter (or an associate of a presenter) are </w:t>
      </w:r>
      <w:r w:rsidRPr="00596442">
        <w:rPr>
          <w:rFonts w:cs="Arial"/>
          <w:bCs/>
        </w:rPr>
        <w:t>parties</w:t>
      </w:r>
      <w:r w:rsidRPr="00596442">
        <w:rPr>
          <w:bCs/>
        </w:rPr>
        <w:t xml:space="preserve"> (whether or not there are also other parties to the agreement). </w:t>
      </w:r>
      <w:proofErr w:type="gramStart"/>
      <w:r w:rsidRPr="00596442">
        <w:rPr>
          <w:bCs/>
        </w:rPr>
        <w:t>In order to</w:t>
      </w:r>
      <w:proofErr w:type="gramEnd"/>
      <w:r w:rsidRPr="00596442">
        <w:rPr>
          <w:bCs/>
        </w:rPr>
        <w:t xml:space="preserve"> fall within the definition, the agreement, arrangement or understanding must either:</w:t>
      </w:r>
    </w:p>
    <w:p w14:paraId="0286CCA5" w14:textId="77777777" w:rsidR="00920C02" w:rsidRPr="00596442" w:rsidRDefault="00920C02" w:rsidP="00920C02">
      <w:pPr>
        <w:pStyle w:val="ListParagraph"/>
        <w:numPr>
          <w:ilvl w:val="0"/>
          <w:numId w:val="33"/>
        </w:numPr>
        <w:autoSpaceDE w:val="0"/>
        <w:autoSpaceDN w:val="0"/>
        <w:adjustRightInd w:val="0"/>
        <w:spacing w:before="120" w:after="120" w:line="240" w:lineRule="atLeast"/>
        <w:jc w:val="both"/>
        <w:rPr>
          <w:rFonts w:ascii="Times New Roman" w:hAnsi="Times New Roman"/>
          <w:bCs/>
          <w:sz w:val="24"/>
          <w:szCs w:val="24"/>
        </w:rPr>
      </w:pPr>
      <w:r w:rsidRPr="00596442">
        <w:rPr>
          <w:rFonts w:ascii="Times New Roman" w:hAnsi="Times New Roman"/>
          <w:bCs/>
          <w:sz w:val="24"/>
          <w:szCs w:val="24"/>
        </w:rPr>
        <w:t>provide for the presenter, in exchange for consideration, to promote the sponsor or the sponsor’s products, services or interests, or refrain from making negative comments about the sponsor, or provide publicity, promotions or public relations services for the sponsor; or</w:t>
      </w:r>
    </w:p>
    <w:p w14:paraId="086589F2" w14:textId="0B4BE38F" w:rsidR="00920C02" w:rsidRPr="00001140" w:rsidRDefault="00920C02" w:rsidP="00920C02">
      <w:pPr>
        <w:pStyle w:val="ListParagraph"/>
        <w:numPr>
          <w:ilvl w:val="0"/>
          <w:numId w:val="33"/>
        </w:numPr>
        <w:autoSpaceDE w:val="0"/>
        <w:autoSpaceDN w:val="0"/>
        <w:adjustRightInd w:val="0"/>
        <w:spacing w:before="120" w:after="120" w:line="240" w:lineRule="atLeast"/>
        <w:jc w:val="both"/>
        <w:rPr>
          <w:rFonts w:ascii="Times New Roman" w:hAnsi="Times New Roman"/>
          <w:bCs/>
          <w:sz w:val="24"/>
          <w:szCs w:val="24"/>
        </w:rPr>
      </w:pPr>
      <w:r w:rsidRPr="00001140">
        <w:rPr>
          <w:rFonts w:ascii="Times New Roman" w:hAnsi="Times New Roman"/>
          <w:bCs/>
          <w:sz w:val="24"/>
          <w:szCs w:val="24"/>
        </w:rPr>
        <w:t>impose an obligation on a presenter or associate of a presenter to provide other services for the sponsor, in exchange for consideration of more than $25,000 a year. There is an exclusion if the obligation imposed is solely for the presenter to provide writing services for a publication, perform or appear in a film, television program or theatrical production, provide voice-over services for an advertisement</w:t>
      </w:r>
      <w:r w:rsidR="00815FE5" w:rsidRPr="00001140">
        <w:rPr>
          <w:rFonts w:ascii="Times New Roman" w:hAnsi="Times New Roman"/>
          <w:bCs/>
          <w:sz w:val="24"/>
          <w:szCs w:val="24"/>
        </w:rPr>
        <w:t xml:space="preserve"> or </w:t>
      </w:r>
      <w:r w:rsidR="00815FE5" w:rsidRPr="00001140">
        <w:rPr>
          <w:rFonts w:ascii="Times New Roman" w:hAnsi="Times New Roman"/>
          <w:bCs/>
          <w:color w:val="000000" w:themeColor="text1"/>
          <w:sz w:val="24"/>
          <w:szCs w:val="24"/>
        </w:rPr>
        <w:t>provide non-commercial services where the sponsor is a registered entity.</w:t>
      </w:r>
      <w:r w:rsidR="002E6409" w:rsidRPr="00001140">
        <w:rPr>
          <w:rFonts w:ascii="Times New Roman" w:hAnsi="Times New Roman"/>
          <w:bCs/>
          <w:color w:val="000000" w:themeColor="text1"/>
          <w:sz w:val="24"/>
          <w:szCs w:val="24"/>
        </w:rPr>
        <w:t xml:space="preserve"> A registered entity is defined</w:t>
      </w:r>
      <w:r w:rsidR="00BD0B4D" w:rsidRPr="00001140">
        <w:rPr>
          <w:rFonts w:ascii="Times New Roman" w:hAnsi="Times New Roman"/>
          <w:bCs/>
          <w:color w:val="000000" w:themeColor="text1"/>
          <w:sz w:val="24"/>
          <w:szCs w:val="24"/>
        </w:rPr>
        <w:t xml:space="preserve"> in section 5</w:t>
      </w:r>
      <w:r w:rsidR="002E6409" w:rsidRPr="00001140">
        <w:rPr>
          <w:rFonts w:ascii="Times New Roman" w:hAnsi="Times New Roman"/>
          <w:bCs/>
          <w:color w:val="000000" w:themeColor="text1"/>
          <w:sz w:val="24"/>
          <w:szCs w:val="24"/>
        </w:rPr>
        <w:t xml:space="preserve"> as an entity that is registered under the </w:t>
      </w:r>
      <w:r w:rsidR="002E6409" w:rsidRPr="00001140">
        <w:rPr>
          <w:rFonts w:ascii="Times New Roman" w:hAnsi="Times New Roman"/>
          <w:bCs/>
          <w:i/>
          <w:iCs/>
          <w:color w:val="000000" w:themeColor="text1"/>
          <w:sz w:val="24"/>
          <w:szCs w:val="24"/>
        </w:rPr>
        <w:t>Australian Charities and Not-for-profits Commission Act 2012</w:t>
      </w:r>
      <w:r w:rsidR="00E411F2" w:rsidRPr="00001140">
        <w:rPr>
          <w:rFonts w:ascii="Times New Roman" w:hAnsi="Times New Roman"/>
          <w:bCs/>
          <w:color w:val="000000" w:themeColor="text1"/>
          <w:sz w:val="24"/>
          <w:szCs w:val="24"/>
        </w:rPr>
        <w:t xml:space="preserve">. </w:t>
      </w:r>
    </w:p>
    <w:p w14:paraId="117F35D4" w14:textId="1530D3B5" w:rsidR="00871919" w:rsidRPr="00432372" w:rsidRDefault="00372CAE" w:rsidP="00372CAE">
      <w:pPr>
        <w:autoSpaceDE w:val="0"/>
        <w:autoSpaceDN w:val="0"/>
        <w:adjustRightInd w:val="0"/>
        <w:spacing w:before="120" w:after="120" w:line="240" w:lineRule="atLeast"/>
        <w:ind w:left="0" w:firstLine="0"/>
        <w:jc w:val="both"/>
        <w:rPr>
          <w:bCs/>
        </w:rPr>
      </w:pPr>
      <w:r w:rsidRPr="00432372">
        <w:rPr>
          <w:bCs/>
        </w:rPr>
        <w:lastRenderedPageBreak/>
        <w:t xml:space="preserve">The </w:t>
      </w:r>
      <w:r w:rsidR="00C30D5E" w:rsidRPr="00432372">
        <w:rPr>
          <w:bCs/>
        </w:rPr>
        <w:t>explicit</w:t>
      </w:r>
      <w:r w:rsidR="002E6409" w:rsidRPr="00432372">
        <w:rPr>
          <w:bCs/>
        </w:rPr>
        <w:t xml:space="preserve"> </w:t>
      </w:r>
      <w:r w:rsidR="00C22C94" w:rsidRPr="00432372">
        <w:rPr>
          <w:bCs/>
        </w:rPr>
        <w:t>exclusion of</w:t>
      </w:r>
      <w:r w:rsidR="00C30196">
        <w:rPr>
          <w:bCs/>
        </w:rPr>
        <w:t xml:space="preserve"> agreements</w:t>
      </w:r>
      <w:r w:rsidRPr="00432372">
        <w:rPr>
          <w:bCs/>
        </w:rPr>
        <w:t xml:space="preserve"> between licensees and sponsors</w:t>
      </w:r>
      <w:r w:rsidR="00C30196">
        <w:rPr>
          <w:bCs/>
        </w:rPr>
        <w:t xml:space="preserve"> for non-commercial services</w:t>
      </w:r>
      <w:r w:rsidR="000A63CA" w:rsidRPr="00432372">
        <w:rPr>
          <w:bCs/>
        </w:rPr>
        <w:t>,</w:t>
      </w:r>
      <w:r w:rsidRPr="00432372">
        <w:rPr>
          <w:bCs/>
        </w:rPr>
        <w:t xml:space="preserve"> </w:t>
      </w:r>
      <w:r w:rsidR="00C22C94" w:rsidRPr="00432372">
        <w:rPr>
          <w:bCs/>
        </w:rPr>
        <w:t>where those sponsors</w:t>
      </w:r>
      <w:r w:rsidR="00013A67" w:rsidRPr="00432372">
        <w:rPr>
          <w:bCs/>
        </w:rPr>
        <w:t xml:space="preserve"> are registered entities</w:t>
      </w:r>
      <w:r w:rsidR="000A63CA" w:rsidRPr="00432372">
        <w:rPr>
          <w:bCs/>
        </w:rPr>
        <w:t>,</w:t>
      </w:r>
      <w:r w:rsidR="00C22C94" w:rsidRPr="00432372">
        <w:rPr>
          <w:bCs/>
        </w:rPr>
        <w:t xml:space="preserve"> </w:t>
      </w:r>
      <w:r w:rsidR="00AA36B2" w:rsidRPr="00432372">
        <w:rPr>
          <w:bCs/>
        </w:rPr>
        <w:t>was</w:t>
      </w:r>
      <w:r w:rsidR="009D79C6" w:rsidRPr="00432372">
        <w:rPr>
          <w:bCs/>
        </w:rPr>
        <w:t xml:space="preserve"> </w:t>
      </w:r>
      <w:r w:rsidR="00080115" w:rsidRPr="00432372">
        <w:rPr>
          <w:bCs/>
        </w:rPr>
        <w:t>not include</w:t>
      </w:r>
      <w:r w:rsidR="00AA36B2" w:rsidRPr="00432372">
        <w:rPr>
          <w:bCs/>
        </w:rPr>
        <w:t>d</w:t>
      </w:r>
      <w:r w:rsidR="00080115" w:rsidRPr="00432372">
        <w:rPr>
          <w:bCs/>
        </w:rPr>
        <w:t xml:space="preserve"> in t</w:t>
      </w:r>
      <w:r w:rsidR="00275350" w:rsidRPr="00432372">
        <w:rPr>
          <w:bCs/>
        </w:rPr>
        <w:t>he 2012 Disclosure Standard</w:t>
      </w:r>
      <w:r w:rsidRPr="00432372">
        <w:rPr>
          <w:bCs/>
        </w:rPr>
        <w:t xml:space="preserve">. </w:t>
      </w:r>
      <w:r w:rsidR="0088322B" w:rsidRPr="00432372">
        <w:rPr>
          <w:bCs/>
        </w:rPr>
        <w:t>Th</w:t>
      </w:r>
      <w:r w:rsidR="00B024E6" w:rsidRPr="00432372">
        <w:rPr>
          <w:bCs/>
        </w:rPr>
        <w:t xml:space="preserve">is </w:t>
      </w:r>
      <w:r w:rsidR="00E264E7" w:rsidRPr="00432372">
        <w:rPr>
          <w:bCs/>
        </w:rPr>
        <w:t xml:space="preserve">new </w:t>
      </w:r>
      <w:r w:rsidR="008D1C86" w:rsidRPr="00432372">
        <w:rPr>
          <w:bCs/>
        </w:rPr>
        <w:t xml:space="preserve">exclusion in the Standard </w:t>
      </w:r>
      <w:r w:rsidR="00E0200F" w:rsidRPr="00432372">
        <w:rPr>
          <w:bCs/>
        </w:rPr>
        <w:t xml:space="preserve">seeks to </w:t>
      </w:r>
      <w:r w:rsidR="00B024E6" w:rsidRPr="00432372">
        <w:rPr>
          <w:bCs/>
        </w:rPr>
        <w:t xml:space="preserve">provide additional </w:t>
      </w:r>
      <w:r w:rsidR="00E0200F" w:rsidRPr="00432372">
        <w:rPr>
          <w:bCs/>
        </w:rPr>
        <w:t>clari</w:t>
      </w:r>
      <w:r w:rsidR="00F5521B" w:rsidRPr="00432372">
        <w:rPr>
          <w:bCs/>
        </w:rPr>
        <w:t>f</w:t>
      </w:r>
      <w:r w:rsidR="00B024E6" w:rsidRPr="00432372">
        <w:rPr>
          <w:bCs/>
        </w:rPr>
        <w:t>i</w:t>
      </w:r>
      <w:r w:rsidR="003E14F7" w:rsidRPr="00432372">
        <w:rPr>
          <w:bCs/>
        </w:rPr>
        <w:t>cation that</w:t>
      </w:r>
      <w:r w:rsidR="00F5521B" w:rsidRPr="00432372">
        <w:rPr>
          <w:bCs/>
        </w:rPr>
        <w:t xml:space="preserve"> </w:t>
      </w:r>
      <w:r w:rsidRPr="00432372">
        <w:rPr>
          <w:bCs/>
        </w:rPr>
        <w:t>the</w:t>
      </w:r>
      <w:r w:rsidR="00B024E6" w:rsidRPr="00432372">
        <w:rPr>
          <w:bCs/>
        </w:rPr>
        <w:t xml:space="preserve"> definition of commercial agreements</w:t>
      </w:r>
      <w:r w:rsidR="003E14F7" w:rsidRPr="00432372">
        <w:rPr>
          <w:bCs/>
        </w:rPr>
        <w:t xml:space="preserve"> in section </w:t>
      </w:r>
      <w:r w:rsidR="00BB6D1F" w:rsidRPr="00432372">
        <w:rPr>
          <w:bCs/>
        </w:rPr>
        <w:t>6</w:t>
      </w:r>
      <w:r w:rsidR="00B024E6" w:rsidRPr="00432372">
        <w:rPr>
          <w:bCs/>
        </w:rPr>
        <w:t xml:space="preserve"> is not intended to capture agreements between presenters and sponsors</w:t>
      </w:r>
      <w:r w:rsidR="00C30196">
        <w:rPr>
          <w:bCs/>
        </w:rPr>
        <w:t xml:space="preserve"> for services</w:t>
      </w:r>
      <w:r w:rsidR="00B024E6" w:rsidRPr="00432372">
        <w:rPr>
          <w:bCs/>
        </w:rPr>
        <w:t xml:space="preserve"> that are not provided in a commercial context</w:t>
      </w:r>
      <w:r w:rsidR="003E14F7" w:rsidRPr="00432372">
        <w:rPr>
          <w:bCs/>
        </w:rPr>
        <w:t>, where the relevant sponsor is a registered entity</w:t>
      </w:r>
      <w:r w:rsidR="003E14F7" w:rsidRPr="00757620">
        <w:rPr>
          <w:bCs/>
        </w:rPr>
        <w:t xml:space="preserve">. </w:t>
      </w:r>
      <w:r w:rsidR="001E1649" w:rsidRPr="00757620">
        <w:rPr>
          <w:bCs/>
        </w:rPr>
        <w:t>An e</w:t>
      </w:r>
      <w:r w:rsidR="008D5B2E" w:rsidRPr="00757620">
        <w:rPr>
          <w:bCs/>
        </w:rPr>
        <w:t xml:space="preserve">xample of </w:t>
      </w:r>
      <w:r w:rsidR="001E1649" w:rsidRPr="00757620">
        <w:rPr>
          <w:bCs/>
        </w:rPr>
        <w:t xml:space="preserve">an </w:t>
      </w:r>
      <w:r w:rsidR="008D5B2E" w:rsidRPr="00757620">
        <w:rPr>
          <w:bCs/>
        </w:rPr>
        <w:t>ag</w:t>
      </w:r>
      <w:r w:rsidR="00475B31" w:rsidRPr="00757620">
        <w:rPr>
          <w:bCs/>
        </w:rPr>
        <w:t>ree</w:t>
      </w:r>
      <w:r w:rsidR="00845D44" w:rsidRPr="00757620">
        <w:rPr>
          <w:bCs/>
        </w:rPr>
        <w:t xml:space="preserve">ment for non-commercial services </w:t>
      </w:r>
      <w:r w:rsidR="001E1649" w:rsidRPr="00757620">
        <w:rPr>
          <w:bCs/>
        </w:rPr>
        <w:t>might</w:t>
      </w:r>
      <w:r w:rsidR="00475B31" w:rsidRPr="00757620">
        <w:rPr>
          <w:bCs/>
        </w:rPr>
        <w:t xml:space="preserve"> include a</w:t>
      </w:r>
      <w:r w:rsidR="001E1649" w:rsidRPr="00757620">
        <w:rPr>
          <w:bCs/>
        </w:rPr>
        <w:t>n a</w:t>
      </w:r>
      <w:r w:rsidR="00475B31" w:rsidRPr="00757620">
        <w:rPr>
          <w:bCs/>
        </w:rPr>
        <w:t xml:space="preserve">greement for a presenter to </w:t>
      </w:r>
      <w:r w:rsidR="008F3A3C" w:rsidRPr="00757620">
        <w:rPr>
          <w:bCs/>
        </w:rPr>
        <w:t>perform duties as an ordained minister</w:t>
      </w:r>
      <w:r w:rsidR="00C30196" w:rsidRPr="00757620">
        <w:rPr>
          <w:bCs/>
        </w:rPr>
        <w:t xml:space="preserve"> for a registered entity</w:t>
      </w:r>
      <w:r w:rsidR="00EC0AFC" w:rsidRPr="00757620">
        <w:rPr>
          <w:bCs/>
        </w:rPr>
        <w:t>.</w:t>
      </w:r>
      <w:r w:rsidR="00EC0AFC">
        <w:rPr>
          <w:bCs/>
        </w:rPr>
        <w:t xml:space="preserve"> </w:t>
      </w:r>
    </w:p>
    <w:p w14:paraId="3A69BEA4" w14:textId="12BF199D" w:rsidR="00920C02" w:rsidRPr="00596442" w:rsidRDefault="00920C02" w:rsidP="00AF4BB0">
      <w:pPr>
        <w:autoSpaceDE w:val="0"/>
        <w:autoSpaceDN w:val="0"/>
        <w:adjustRightInd w:val="0"/>
        <w:spacing w:before="120" w:after="120" w:line="240" w:lineRule="atLeast"/>
        <w:ind w:left="0" w:firstLine="0"/>
        <w:jc w:val="both"/>
        <w:rPr>
          <w:bCs/>
        </w:rPr>
      </w:pPr>
      <w:r w:rsidRPr="00432372">
        <w:rPr>
          <w:bCs/>
        </w:rPr>
        <w:t xml:space="preserve">Subsection </w:t>
      </w:r>
      <w:r w:rsidR="005F50B6" w:rsidRPr="00432372">
        <w:rPr>
          <w:bCs/>
        </w:rPr>
        <w:t>6</w:t>
      </w:r>
      <w:r w:rsidRPr="00432372">
        <w:rPr>
          <w:bCs/>
        </w:rPr>
        <w:t xml:space="preserve">(2) captures agreements, </w:t>
      </w:r>
      <w:proofErr w:type="gramStart"/>
      <w:r w:rsidRPr="00432372">
        <w:rPr>
          <w:bCs/>
        </w:rPr>
        <w:t>arrangements</w:t>
      </w:r>
      <w:proofErr w:type="gramEnd"/>
      <w:r w:rsidRPr="00432372">
        <w:rPr>
          <w:bCs/>
        </w:rPr>
        <w:t xml:space="preserve"> or understandings (whether in writing or not) to which a sponsor (or an agent of a sponsor) and a licensee or a related body corporate of a licensee are parties (whether or not there are also other parties to the agreement</w:t>
      </w:r>
      <w:r w:rsidRPr="00596442">
        <w:rPr>
          <w:bCs/>
        </w:rPr>
        <w:t>), where:</w:t>
      </w:r>
    </w:p>
    <w:p w14:paraId="05C36D1E" w14:textId="77777777" w:rsidR="00920C02" w:rsidRPr="00596442" w:rsidRDefault="00920C02" w:rsidP="00AF4BB0">
      <w:pPr>
        <w:pStyle w:val="ListParagraph"/>
        <w:numPr>
          <w:ilvl w:val="0"/>
          <w:numId w:val="34"/>
        </w:numPr>
        <w:autoSpaceDE w:val="0"/>
        <w:autoSpaceDN w:val="0"/>
        <w:adjustRightInd w:val="0"/>
        <w:spacing w:before="120" w:after="120" w:line="240" w:lineRule="atLeast"/>
        <w:ind w:left="714" w:hanging="357"/>
        <w:contextualSpacing w:val="0"/>
        <w:jc w:val="both"/>
        <w:rPr>
          <w:rFonts w:ascii="Times New Roman" w:hAnsi="Times New Roman"/>
          <w:bCs/>
          <w:sz w:val="24"/>
          <w:szCs w:val="24"/>
        </w:rPr>
      </w:pPr>
      <w:r w:rsidRPr="00596442">
        <w:rPr>
          <w:rFonts w:ascii="Times New Roman" w:hAnsi="Times New Roman"/>
          <w:bCs/>
          <w:sz w:val="24"/>
          <w:szCs w:val="24"/>
        </w:rPr>
        <w:t xml:space="preserve">the agreement provides for the licensee, in exchange for consideration provided to the licensee or a related body corporate of the licensee, to promote the sponsor or its products services or interests, or refrain from broadcasting a negative comment about the </w:t>
      </w:r>
      <w:proofErr w:type="gramStart"/>
      <w:r w:rsidRPr="00596442">
        <w:rPr>
          <w:rFonts w:ascii="Times New Roman" w:hAnsi="Times New Roman"/>
          <w:bCs/>
          <w:sz w:val="24"/>
          <w:szCs w:val="24"/>
        </w:rPr>
        <w:t>sponsor;</w:t>
      </w:r>
      <w:proofErr w:type="gramEnd"/>
    </w:p>
    <w:p w14:paraId="353DD065" w14:textId="77777777" w:rsidR="00920C02" w:rsidRPr="00596442" w:rsidRDefault="00920C02" w:rsidP="00AF4BB0">
      <w:pPr>
        <w:pStyle w:val="ListParagraph"/>
        <w:numPr>
          <w:ilvl w:val="0"/>
          <w:numId w:val="34"/>
        </w:numPr>
        <w:autoSpaceDE w:val="0"/>
        <w:autoSpaceDN w:val="0"/>
        <w:adjustRightInd w:val="0"/>
        <w:spacing w:before="120" w:after="120" w:line="240" w:lineRule="atLeast"/>
        <w:ind w:left="714" w:hanging="357"/>
        <w:contextualSpacing w:val="0"/>
        <w:jc w:val="both"/>
        <w:rPr>
          <w:rFonts w:ascii="Times New Roman" w:hAnsi="Times New Roman"/>
          <w:bCs/>
          <w:sz w:val="24"/>
          <w:szCs w:val="24"/>
        </w:rPr>
      </w:pPr>
      <w:r w:rsidRPr="00596442">
        <w:rPr>
          <w:rFonts w:ascii="Times New Roman" w:hAnsi="Times New Roman"/>
          <w:bCs/>
          <w:sz w:val="24"/>
          <w:szCs w:val="24"/>
        </w:rPr>
        <w:t>a presenter of the licensee does a thing required under the agreement; and</w:t>
      </w:r>
    </w:p>
    <w:p w14:paraId="1F708AE2" w14:textId="6FBEC8D7" w:rsidR="00920C02" w:rsidRPr="00596442" w:rsidRDefault="00920C02" w:rsidP="00AF4BB0">
      <w:pPr>
        <w:pStyle w:val="ListParagraph"/>
        <w:numPr>
          <w:ilvl w:val="0"/>
          <w:numId w:val="34"/>
        </w:numPr>
        <w:autoSpaceDE w:val="0"/>
        <w:autoSpaceDN w:val="0"/>
        <w:adjustRightInd w:val="0"/>
        <w:spacing w:before="120" w:after="120" w:line="240" w:lineRule="atLeast"/>
        <w:ind w:left="714" w:hanging="357"/>
        <w:contextualSpacing w:val="0"/>
        <w:jc w:val="both"/>
        <w:rPr>
          <w:rFonts w:ascii="Times New Roman" w:hAnsi="Times New Roman"/>
          <w:bCs/>
          <w:sz w:val="24"/>
          <w:szCs w:val="24"/>
        </w:rPr>
      </w:pPr>
      <w:r w:rsidRPr="00596442">
        <w:rPr>
          <w:rFonts w:ascii="Times New Roman" w:hAnsi="Times New Roman"/>
          <w:bCs/>
          <w:sz w:val="24"/>
          <w:szCs w:val="24"/>
        </w:rPr>
        <w:t>the presenter, or an associate of the presenter, has a prescribed financial interest that may result in the presenter obtaining a benefit under the agreement.</w:t>
      </w:r>
    </w:p>
    <w:p w14:paraId="3B8CD1ED" w14:textId="77777777" w:rsidR="00920C02" w:rsidRPr="00596442" w:rsidRDefault="00920C02" w:rsidP="00920C02">
      <w:pPr>
        <w:autoSpaceDE w:val="0"/>
        <w:autoSpaceDN w:val="0"/>
        <w:adjustRightInd w:val="0"/>
        <w:spacing w:before="120" w:after="120" w:line="240" w:lineRule="atLeast"/>
        <w:jc w:val="both"/>
        <w:rPr>
          <w:bCs/>
        </w:rPr>
      </w:pPr>
      <w:r w:rsidRPr="00596442">
        <w:rPr>
          <w:bCs/>
        </w:rPr>
        <w:t xml:space="preserve"> The prescribed financial interests of a presenter or associate of a presenter are:</w:t>
      </w:r>
    </w:p>
    <w:p w14:paraId="245E3210" w14:textId="77777777" w:rsidR="00920C02" w:rsidRPr="00596442" w:rsidRDefault="00920C02" w:rsidP="00AF4BB0">
      <w:pPr>
        <w:pStyle w:val="ListParagraph"/>
        <w:numPr>
          <w:ilvl w:val="0"/>
          <w:numId w:val="35"/>
        </w:numPr>
        <w:autoSpaceDE w:val="0"/>
        <w:autoSpaceDN w:val="0"/>
        <w:adjustRightInd w:val="0"/>
        <w:spacing w:before="120" w:after="120" w:line="240" w:lineRule="atLeast"/>
        <w:ind w:left="714" w:hanging="357"/>
        <w:contextualSpacing w:val="0"/>
        <w:jc w:val="both"/>
        <w:rPr>
          <w:rFonts w:ascii="Times New Roman" w:hAnsi="Times New Roman"/>
          <w:bCs/>
          <w:sz w:val="24"/>
          <w:szCs w:val="24"/>
        </w:rPr>
      </w:pPr>
      <w:r w:rsidRPr="00596442">
        <w:rPr>
          <w:rFonts w:ascii="Times New Roman" w:hAnsi="Times New Roman"/>
          <w:bCs/>
          <w:sz w:val="24"/>
          <w:szCs w:val="24"/>
        </w:rPr>
        <w:t xml:space="preserve">a beneficial or legal interest in shares in the licensee or a related body corporate of the </w:t>
      </w:r>
      <w:proofErr w:type="gramStart"/>
      <w:r w:rsidRPr="00596442">
        <w:rPr>
          <w:rFonts w:ascii="Times New Roman" w:hAnsi="Times New Roman"/>
          <w:bCs/>
          <w:sz w:val="24"/>
          <w:szCs w:val="24"/>
        </w:rPr>
        <w:t>licensee;</w:t>
      </w:r>
      <w:proofErr w:type="gramEnd"/>
    </w:p>
    <w:p w14:paraId="4CB355CC" w14:textId="77777777" w:rsidR="00920C02" w:rsidRPr="00596442" w:rsidRDefault="00920C02" w:rsidP="00AF4BB0">
      <w:pPr>
        <w:pStyle w:val="ListParagraph"/>
        <w:numPr>
          <w:ilvl w:val="0"/>
          <w:numId w:val="35"/>
        </w:numPr>
        <w:autoSpaceDE w:val="0"/>
        <w:autoSpaceDN w:val="0"/>
        <w:adjustRightInd w:val="0"/>
        <w:spacing w:before="120" w:after="120" w:line="240" w:lineRule="atLeast"/>
        <w:ind w:left="714" w:hanging="357"/>
        <w:contextualSpacing w:val="0"/>
        <w:jc w:val="both"/>
        <w:rPr>
          <w:rFonts w:ascii="Times New Roman" w:hAnsi="Times New Roman"/>
          <w:bCs/>
          <w:sz w:val="24"/>
          <w:szCs w:val="24"/>
        </w:rPr>
      </w:pPr>
      <w:r w:rsidRPr="00596442">
        <w:rPr>
          <w:rFonts w:ascii="Times New Roman" w:hAnsi="Times New Roman"/>
          <w:bCs/>
          <w:sz w:val="24"/>
          <w:szCs w:val="24"/>
        </w:rPr>
        <w:t>a beneficial entitlement to be paid or credited a dividend, if a dividend were declared by the licensee or a related body corporate of the licensee; or</w:t>
      </w:r>
    </w:p>
    <w:p w14:paraId="16EF3F9D" w14:textId="77777777" w:rsidR="00920C02" w:rsidRPr="00596442" w:rsidRDefault="00920C02" w:rsidP="00AF4BB0">
      <w:pPr>
        <w:pStyle w:val="ListParagraph"/>
        <w:numPr>
          <w:ilvl w:val="0"/>
          <w:numId w:val="35"/>
        </w:numPr>
        <w:autoSpaceDE w:val="0"/>
        <w:autoSpaceDN w:val="0"/>
        <w:adjustRightInd w:val="0"/>
        <w:spacing w:before="120" w:after="120" w:line="240" w:lineRule="atLeast"/>
        <w:ind w:left="714" w:hanging="357"/>
        <w:contextualSpacing w:val="0"/>
        <w:jc w:val="both"/>
        <w:rPr>
          <w:rFonts w:ascii="Times New Roman" w:hAnsi="Times New Roman"/>
          <w:bCs/>
          <w:sz w:val="24"/>
          <w:szCs w:val="24"/>
        </w:rPr>
      </w:pPr>
      <w:r w:rsidRPr="00596442">
        <w:rPr>
          <w:rFonts w:ascii="Times New Roman" w:hAnsi="Times New Roman"/>
          <w:bCs/>
          <w:sz w:val="24"/>
          <w:szCs w:val="24"/>
        </w:rPr>
        <w:t xml:space="preserve">a contractual entitlement to a share of the licensee’s income or profits. </w:t>
      </w:r>
    </w:p>
    <w:p w14:paraId="73682EF7" w14:textId="77777777" w:rsidR="00920C02" w:rsidRPr="00596442" w:rsidRDefault="00920C02" w:rsidP="00920C02">
      <w:pPr>
        <w:autoSpaceDE w:val="0"/>
        <w:autoSpaceDN w:val="0"/>
        <w:adjustRightInd w:val="0"/>
        <w:spacing w:before="120" w:after="120" w:line="240" w:lineRule="atLeast"/>
        <w:jc w:val="both"/>
        <w:rPr>
          <w:bCs/>
          <w:i/>
        </w:rPr>
      </w:pPr>
      <w:r w:rsidRPr="00596442">
        <w:rPr>
          <w:bCs/>
          <w:i/>
        </w:rPr>
        <w:t>Beneficial or legal interest in shares</w:t>
      </w:r>
    </w:p>
    <w:p w14:paraId="7EDEBE20" w14:textId="77777777" w:rsidR="00920C02" w:rsidRPr="00596442" w:rsidRDefault="00920C02" w:rsidP="00920C02">
      <w:pPr>
        <w:pStyle w:val="P1"/>
        <w:spacing w:before="120" w:after="60"/>
        <w:ind w:left="0" w:firstLine="0"/>
        <w:rPr>
          <w:bCs/>
          <w:lang w:bidi="he-IL"/>
        </w:rPr>
      </w:pPr>
      <w:r w:rsidRPr="00596442">
        <w:rPr>
          <w:bCs/>
          <w:lang w:bidi="he-IL"/>
        </w:rPr>
        <w:t xml:space="preserve">This covers a range of interests including legal interests, such as ownership, </w:t>
      </w:r>
      <w:proofErr w:type="gramStart"/>
      <w:r w:rsidRPr="00596442">
        <w:rPr>
          <w:bCs/>
          <w:lang w:bidi="he-IL"/>
        </w:rPr>
        <w:t>future</w:t>
      </w:r>
      <w:proofErr w:type="gramEnd"/>
      <w:r w:rsidRPr="00596442">
        <w:rPr>
          <w:bCs/>
          <w:lang w:bidi="he-IL"/>
        </w:rPr>
        <w:t xml:space="preserve"> or contingent interests (such as an option to purchase shares), equitable interests, and the interest which a beneficiary of a trust has in shares owned by the trust. </w:t>
      </w:r>
    </w:p>
    <w:p w14:paraId="4230D054" w14:textId="77777777" w:rsidR="00920C02" w:rsidRPr="00596442" w:rsidRDefault="00920C02" w:rsidP="00920C02">
      <w:pPr>
        <w:autoSpaceDE w:val="0"/>
        <w:autoSpaceDN w:val="0"/>
        <w:adjustRightInd w:val="0"/>
        <w:spacing w:before="120" w:after="120" w:line="240" w:lineRule="atLeast"/>
        <w:jc w:val="both"/>
        <w:rPr>
          <w:bCs/>
          <w:i/>
        </w:rPr>
      </w:pPr>
      <w:r w:rsidRPr="00596442">
        <w:rPr>
          <w:bCs/>
          <w:i/>
        </w:rPr>
        <w:t>Beneficial entitlement to be paid or credited a dividend</w:t>
      </w:r>
    </w:p>
    <w:p w14:paraId="65B50659" w14:textId="77777777" w:rsidR="00920C02" w:rsidRPr="00596442" w:rsidRDefault="00920C02" w:rsidP="00FB0EF3">
      <w:pPr>
        <w:autoSpaceDE w:val="0"/>
        <w:autoSpaceDN w:val="0"/>
        <w:adjustRightInd w:val="0"/>
        <w:spacing w:before="120" w:after="120" w:line="240" w:lineRule="atLeast"/>
        <w:ind w:left="0" w:firstLine="0"/>
        <w:jc w:val="both"/>
        <w:rPr>
          <w:bCs/>
        </w:rPr>
      </w:pPr>
      <w:r w:rsidRPr="00596442">
        <w:rPr>
          <w:bCs/>
        </w:rPr>
        <w:t xml:space="preserve">A dividend refers to a payment which is made by a company to its shareholders. The payment is part of a distribution of profits of the </w:t>
      </w:r>
      <w:proofErr w:type="gramStart"/>
      <w:r w:rsidRPr="00596442">
        <w:rPr>
          <w:bCs/>
        </w:rPr>
        <w:t>company, and</w:t>
      </w:r>
      <w:proofErr w:type="gramEnd"/>
      <w:r w:rsidRPr="00596442">
        <w:rPr>
          <w:bCs/>
        </w:rPr>
        <w:t xml:space="preserve"> is usually based on the number or class of shares a shareholder holds.  </w:t>
      </w:r>
    </w:p>
    <w:p w14:paraId="6CC16A62" w14:textId="77777777" w:rsidR="00920C02" w:rsidRPr="00596442" w:rsidRDefault="00920C02" w:rsidP="00FB0EF3">
      <w:pPr>
        <w:autoSpaceDE w:val="0"/>
        <w:autoSpaceDN w:val="0"/>
        <w:adjustRightInd w:val="0"/>
        <w:spacing w:before="120" w:after="120" w:line="240" w:lineRule="atLeast"/>
        <w:ind w:left="0" w:firstLine="0"/>
        <w:jc w:val="both"/>
        <w:rPr>
          <w:bCs/>
          <w:i/>
        </w:rPr>
      </w:pPr>
      <w:r w:rsidRPr="00596442">
        <w:rPr>
          <w:bCs/>
        </w:rPr>
        <w:t xml:space="preserve">The term ‘beneficial entitlement’ encompasses entitlements not dependent on direct legal ownership. For example, a presenter will have a ‘beneficial entitlement to be paid or credited a dividend’ if the presenter is so entitled as a beneficiary of a trust, which receives dividends through the trust’s ownership of shares in a licensee or a related body corporate of a licensee. </w:t>
      </w:r>
    </w:p>
    <w:p w14:paraId="531B1A93" w14:textId="77777777" w:rsidR="00920C02" w:rsidRPr="00596442" w:rsidRDefault="00920C02" w:rsidP="00920C02">
      <w:pPr>
        <w:autoSpaceDE w:val="0"/>
        <w:autoSpaceDN w:val="0"/>
        <w:adjustRightInd w:val="0"/>
        <w:spacing w:before="120" w:after="120" w:line="240" w:lineRule="atLeast"/>
        <w:jc w:val="both"/>
        <w:rPr>
          <w:bCs/>
          <w:i/>
        </w:rPr>
      </w:pPr>
      <w:r w:rsidRPr="00596442">
        <w:rPr>
          <w:bCs/>
          <w:i/>
        </w:rPr>
        <w:t>Contractual interest in profits or income</w:t>
      </w:r>
    </w:p>
    <w:p w14:paraId="21C9709B" w14:textId="728C434E" w:rsidR="004376BA" w:rsidRPr="00596442" w:rsidRDefault="00920C02" w:rsidP="00FB0EF3">
      <w:pPr>
        <w:autoSpaceDE w:val="0"/>
        <w:autoSpaceDN w:val="0"/>
        <w:adjustRightInd w:val="0"/>
        <w:spacing w:before="120" w:after="120" w:line="240" w:lineRule="atLeast"/>
        <w:ind w:left="0" w:firstLine="0"/>
        <w:jc w:val="both"/>
        <w:rPr>
          <w:bCs/>
        </w:rPr>
      </w:pPr>
      <w:r w:rsidRPr="00596442">
        <w:rPr>
          <w:bCs/>
        </w:rPr>
        <w:t xml:space="preserve">The third kind of prescribed financial interest will apply where a presenter (or an associate of a presenter) is contractually entitled to a share of a licensee’s income or profits. </w:t>
      </w:r>
    </w:p>
    <w:p w14:paraId="76D567C1" w14:textId="4D7CA818" w:rsidR="00073D02" w:rsidRPr="00596442" w:rsidRDefault="00073D02" w:rsidP="00073D02">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7</w:t>
      </w:r>
      <w:r w:rsidRPr="00596442">
        <w:rPr>
          <w:rFonts w:ascii="Times New Roman" w:hAnsi="Times New Roman" w:cs="Times New Roman"/>
          <w:color w:val="000000"/>
          <w:sz w:val="24"/>
          <w:szCs w:val="24"/>
        </w:rPr>
        <w:tab/>
      </w:r>
      <w:r w:rsidR="00672558" w:rsidRPr="00596442">
        <w:rPr>
          <w:rFonts w:ascii="Times New Roman" w:hAnsi="Times New Roman" w:cs="Times New Roman"/>
          <w:color w:val="000000"/>
          <w:sz w:val="24"/>
          <w:szCs w:val="24"/>
        </w:rPr>
        <w:t>References to other instruments</w:t>
      </w:r>
    </w:p>
    <w:p w14:paraId="6256F9D0" w14:textId="178FA39C" w:rsidR="00073D02" w:rsidRPr="00596442" w:rsidRDefault="00073D02" w:rsidP="00334FED">
      <w:pPr>
        <w:pStyle w:val="Normalspace"/>
        <w:rPr>
          <w:rFonts w:ascii="Times New Roman" w:hAnsi="Times New Roman" w:cs="Times New Roman"/>
          <w:color w:val="000000"/>
        </w:rPr>
      </w:pPr>
      <w:r w:rsidRPr="00596442">
        <w:rPr>
          <w:rFonts w:ascii="Times New Roman" w:hAnsi="Times New Roman" w:cs="Times New Roman"/>
          <w:color w:val="000000"/>
        </w:rPr>
        <w:t xml:space="preserve">Section 7 </w:t>
      </w:r>
      <w:r w:rsidR="00F65417" w:rsidRPr="00596442">
        <w:rPr>
          <w:rFonts w:ascii="Times New Roman" w:hAnsi="Times New Roman" w:cs="Times New Roman"/>
          <w:color w:val="000000"/>
        </w:rPr>
        <w:t xml:space="preserve">clarifies that </w:t>
      </w:r>
      <w:r w:rsidR="00432936" w:rsidRPr="00596442">
        <w:rPr>
          <w:rFonts w:ascii="Times New Roman" w:hAnsi="Times New Roman" w:cs="Times New Roman"/>
          <w:color w:val="000000"/>
        </w:rPr>
        <w:t>unless the contrary intention appears</w:t>
      </w:r>
      <w:r w:rsidR="00032DD5">
        <w:rPr>
          <w:rFonts w:ascii="Times New Roman" w:hAnsi="Times New Roman" w:cs="Times New Roman"/>
          <w:color w:val="000000"/>
        </w:rPr>
        <w:t>,</w:t>
      </w:r>
      <w:r w:rsidR="00432936" w:rsidRPr="00596442">
        <w:rPr>
          <w:rFonts w:ascii="Times New Roman" w:hAnsi="Times New Roman" w:cs="Times New Roman"/>
          <w:color w:val="000000"/>
        </w:rPr>
        <w:t xml:space="preserve"> a reference to any other legislative instrument is a reference to that other legislative instrument as in force from </w:t>
      </w:r>
      <w:r w:rsidR="00432936" w:rsidRPr="00596442">
        <w:rPr>
          <w:rFonts w:ascii="Times New Roman" w:hAnsi="Times New Roman" w:cs="Times New Roman"/>
          <w:color w:val="000000"/>
        </w:rPr>
        <w:lastRenderedPageBreak/>
        <w:t xml:space="preserve">time to time and a reference to any other kind of instrument is a reference to that instrument as in force at the </w:t>
      </w:r>
      <w:r w:rsidR="0060591B" w:rsidRPr="0060591B">
        <w:rPr>
          <w:rFonts w:ascii="Times New Roman" w:hAnsi="Times New Roman" w:cs="Times New Roman"/>
          <w:color w:val="000000"/>
        </w:rPr>
        <w:t>commencement of th</w:t>
      </w:r>
      <w:r w:rsidR="00032DD5">
        <w:rPr>
          <w:rFonts w:ascii="Times New Roman" w:hAnsi="Times New Roman" w:cs="Times New Roman"/>
          <w:color w:val="000000"/>
        </w:rPr>
        <w:t>e Standard</w:t>
      </w:r>
      <w:r w:rsidR="00432936" w:rsidRPr="00596442">
        <w:rPr>
          <w:rFonts w:ascii="Times New Roman" w:hAnsi="Times New Roman" w:cs="Times New Roman"/>
          <w:color w:val="000000"/>
        </w:rPr>
        <w:t>.</w:t>
      </w:r>
    </w:p>
    <w:p w14:paraId="721EB182" w14:textId="320EBA27" w:rsidR="004032D0" w:rsidRPr="00596442" w:rsidRDefault="004032D0" w:rsidP="00334FED">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 xml:space="preserve">Part 2 </w:t>
      </w:r>
      <w:r w:rsidRPr="00596442">
        <w:rPr>
          <w:rFonts w:ascii="Times New Roman" w:hAnsi="Times New Roman" w:cs="Times New Roman"/>
          <w:color w:val="000000"/>
          <w:sz w:val="24"/>
          <w:szCs w:val="24"/>
        </w:rPr>
        <w:tab/>
      </w:r>
      <w:r w:rsidRPr="00596442">
        <w:rPr>
          <w:rFonts w:ascii="Times New Roman" w:hAnsi="Times New Roman" w:cs="Times New Roman"/>
          <w:color w:val="000000"/>
          <w:sz w:val="24"/>
          <w:szCs w:val="24"/>
        </w:rPr>
        <w:tab/>
        <w:t>Introduction</w:t>
      </w:r>
    </w:p>
    <w:p w14:paraId="729A2639" w14:textId="7E3514DC" w:rsidR="00A94E68" w:rsidRPr="00596442" w:rsidRDefault="00A94E68" w:rsidP="00334FED">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 xml:space="preserve">Section </w:t>
      </w:r>
      <w:r w:rsidR="00AD5095" w:rsidRPr="00596442">
        <w:rPr>
          <w:rFonts w:ascii="Times New Roman" w:hAnsi="Times New Roman" w:cs="Times New Roman"/>
          <w:color w:val="000000"/>
          <w:sz w:val="24"/>
          <w:szCs w:val="24"/>
        </w:rPr>
        <w:t>8</w:t>
      </w:r>
      <w:r w:rsidRPr="00596442">
        <w:rPr>
          <w:rFonts w:ascii="Times New Roman" w:hAnsi="Times New Roman" w:cs="Times New Roman"/>
          <w:color w:val="000000"/>
          <w:sz w:val="24"/>
          <w:szCs w:val="24"/>
        </w:rPr>
        <w:t xml:space="preserve"> – Object of this </w:t>
      </w:r>
      <w:r w:rsidR="00032DD5">
        <w:rPr>
          <w:rFonts w:ascii="Times New Roman" w:hAnsi="Times New Roman" w:cs="Times New Roman"/>
          <w:color w:val="000000"/>
          <w:sz w:val="24"/>
          <w:szCs w:val="24"/>
        </w:rPr>
        <w:t>s</w:t>
      </w:r>
      <w:r w:rsidRPr="00596442">
        <w:rPr>
          <w:rFonts w:ascii="Times New Roman" w:hAnsi="Times New Roman" w:cs="Times New Roman"/>
          <w:color w:val="000000"/>
          <w:sz w:val="24"/>
          <w:szCs w:val="24"/>
        </w:rPr>
        <w:t>tandard</w:t>
      </w:r>
    </w:p>
    <w:p w14:paraId="1EB93D43" w14:textId="77777777" w:rsidR="00A94E68" w:rsidRPr="00596442" w:rsidRDefault="00A94E68" w:rsidP="00334FED">
      <w:pPr>
        <w:rPr>
          <w:lang w:eastAsia="en-US"/>
        </w:rPr>
      </w:pPr>
    </w:p>
    <w:p w14:paraId="43700430" w14:textId="77777777" w:rsidR="00A94E68" w:rsidRPr="00596442" w:rsidRDefault="00A94E68" w:rsidP="00334FED">
      <w:pPr>
        <w:pStyle w:val="Normalspace"/>
        <w:rPr>
          <w:rFonts w:ascii="Times New Roman" w:hAnsi="Times New Roman" w:cs="Times New Roman"/>
          <w:color w:val="000000"/>
        </w:rPr>
      </w:pPr>
      <w:r w:rsidRPr="00596442">
        <w:rPr>
          <w:rFonts w:ascii="Times New Roman" w:hAnsi="Times New Roman" w:cs="Times New Roman"/>
          <w:color w:val="000000"/>
        </w:rPr>
        <w:t>The object of the Standard is to encourage licensees to be responsive to the need for a fair and accurate coverage of matters of public interest by requiring the disclosure of commercial agreements or other arrangements that have the potential to affect the content of current affairs programs.</w:t>
      </w:r>
    </w:p>
    <w:p w14:paraId="0CDA391D" w14:textId="3C7B287E" w:rsidR="00A94E68" w:rsidRPr="00596442" w:rsidRDefault="00A94E68" w:rsidP="00334FED">
      <w:pPr>
        <w:rPr>
          <w:lang w:eastAsia="en-US"/>
        </w:rPr>
      </w:pPr>
      <w:r w:rsidRPr="00596442">
        <w:rPr>
          <w:lang w:eastAsia="en-US"/>
        </w:rPr>
        <w:t xml:space="preserve">This object is unchanged from the </w:t>
      </w:r>
      <w:r w:rsidR="00334FED" w:rsidRPr="00596442">
        <w:rPr>
          <w:lang w:eastAsia="en-US"/>
        </w:rPr>
        <w:t>2012</w:t>
      </w:r>
      <w:r w:rsidRPr="00596442">
        <w:rPr>
          <w:lang w:eastAsia="en-US"/>
        </w:rPr>
        <w:t xml:space="preserve"> Disclosure Standard.</w:t>
      </w:r>
    </w:p>
    <w:p w14:paraId="2ACDD52B" w14:textId="77777777" w:rsidR="00A94E68" w:rsidRPr="00596442" w:rsidRDefault="00A94E68" w:rsidP="00334FED">
      <w:pPr>
        <w:rPr>
          <w:lang w:eastAsia="en-US"/>
        </w:rPr>
      </w:pPr>
    </w:p>
    <w:p w14:paraId="35779EF9" w14:textId="556E2844" w:rsidR="00A94E68" w:rsidRPr="00596442" w:rsidRDefault="00A94E68" w:rsidP="00334FED">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 xml:space="preserve">Section </w:t>
      </w:r>
      <w:r w:rsidR="00AD5095" w:rsidRPr="00596442">
        <w:rPr>
          <w:rFonts w:ascii="Times New Roman" w:hAnsi="Times New Roman" w:cs="Times New Roman"/>
          <w:color w:val="000000"/>
          <w:sz w:val="24"/>
          <w:szCs w:val="24"/>
        </w:rPr>
        <w:t>9</w:t>
      </w:r>
      <w:r w:rsidRPr="00596442">
        <w:rPr>
          <w:rFonts w:ascii="Times New Roman" w:hAnsi="Times New Roman" w:cs="Times New Roman"/>
          <w:color w:val="000000"/>
          <w:sz w:val="24"/>
          <w:szCs w:val="24"/>
        </w:rPr>
        <w:t xml:space="preserve"> – Outline of what this </w:t>
      </w:r>
      <w:r w:rsidR="00032DD5">
        <w:rPr>
          <w:rFonts w:ascii="Times New Roman" w:hAnsi="Times New Roman" w:cs="Times New Roman"/>
          <w:color w:val="000000"/>
          <w:sz w:val="24"/>
          <w:szCs w:val="24"/>
        </w:rPr>
        <w:t>s</w:t>
      </w:r>
      <w:r w:rsidRPr="00596442">
        <w:rPr>
          <w:rFonts w:ascii="Times New Roman" w:hAnsi="Times New Roman" w:cs="Times New Roman"/>
          <w:color w:val="000000"/>
          <w:sz w:val="24"/>
          <w:szCs w:val="24"/>
        </w:rPr>
        <w:t>tandard does</w:t>
      </w:r>
    </w:p>
    <w:p w14:paraId="491A93D1" w14:textId="77777777" w:rsidR="00A94E68" w:rsidRPr="00596442" w:rsidRDefault="00A94E68" w:rsidP="00334FED">
      <w:pPr>
        <w:rPr>
          <w:lang w:eastAsia="en-US"/>
        </w:rPr>
      </w:pPr>
    </w:p>
    <w:p w14:paraId="3BD96568" w14:textId="2D1ABDEF" w:rsidR="00A94E68" w:rsidRPr="00596442" w:rsidRDefault="00A94E68" w:rsidP="00334FED">
      <w:pPr>
        <w:pStyle w:val="Normalspace"/>
      </w:pPr>
      <w:r w:rsidRPr="00596442">
        <w:t xml:space="preserve">This section outlines in broad terms the requirements of the Standard. A note to the section refers to paragraph 8(1)(b) of Schedule 2 to the BSA which makes it a </w:t>
      </w:r>
      <w:r w:rsidR="00217EC1">
        <w:t>condition</w:t>
      </w:r>
      <w:r w:rsidR="00217EC1" w:rsidRPr="00596442">
        <w:t xml:space="preserve"> </w:t>
      </w:r>
      <w:r w:rsidRPr="00596442">
        <w:t xml:space="preserve">of a commercial radio </w:t>
      </w:r>
      <w:r w:rsidRPr="00596442">
        <w:rPr>
          <w:rFonts w:ascii="Times New Roman" w:hAnsi="Times New Roman" w:cs="Times New Roman"/>
          <w:color w:val="000000"/>
        </w:rPr>
        <w:t>broadcasting</w:t>
      </w:r>
      <w:r w:rsidRPr="00596442">
        <w:t xml:space="preserve"> licence that the licensee will comply with program standards applicable to the licence under Part 9 of the BSA. The Standard is made under Part 9 of the BSA.</w:t>
      </w:r>
    </w:p>
    <w:p w14:paraId="1129F1DC" w14:textId="77777777" w:rsidR="006F76E3" w:rsidRPr="00596442" w:rsidRDefault="006F76E3" w:rsidP="00334FED">
      <w:pPr>
        <w:pStyle w:val="Heading3"/>
        <w:rPr>
          <w:rFonts w:ascii="Times New Roman" w:hAnsi="Times New Roman" w:cs="Times New Roman"/>
          <w:color w:val="000000"/>
          <w:sz w:val="24"/>
          <w:szCs w:val="24"/>
        </w:rPr>
      </w:pPr>
      <w:bookmarkStart w:id="1" w:name="_Toc318123443"/>
      <w:bookmarkStart w:id="2" w:name="_Toc318216964"/>
      <w:bookmarkStart w:id="3" w:name="_Toc89699056"/>
      <w:r w:rsidRPr="00596442">
        <w:rPr>
          <w:rFonts w:ascii="Times New Roman" w:hAnsi="Times New Roman" w:cs="Times New Roman"/>
          <w:color w:val="000000"/>
          <w:sz w:val="24"/>
          <w:szCs w:val="24"/>
        </w:rPr>
        <w:t>Part 3</w:t>
      </w:r>
      <w:r w:rsidRPr="00596442">
        <w:rPr>
          <w:rFonts w:ascii="Times New Roman" w:hAnsi="Times New Roman" w:cs="Times New Roman"/>
          <w:color w:val="000000"/>
          <w:sz w:val="24"/>
          <w:szCs w:val="24"/>
        </w:rPr>
        <w:tab/>
        <w:t>Disclosure of commercial agreements and other arrangements</w:t>
      </w:r>
      <w:bookmarkEnd w:id="1"/>
      <w:bookmarkEnd w:id="2"/>
      <w:bookmarkEnd w:id="3"/>
    </w:p>
    <w:p w14:paraId="1E14269E" w14:textId="6A08C075" w:rsidR="00A94E68" w:rsidRPr="00596442" w:rsidRDefault="00A94E68" w:rsidP="00334FED">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w:t>
      </w:r>
      <w:r w:rsidR="00AD5095" w:rsidRPr="00596442">
        <w:rPr>
          <w:rFonts w:ascii="Times New Roman" w:hAnsi="Times New Roman" w:cs="Times New Roman"/>
          <w:color w:val="000000"/>
          <w:sz w:val="24"/>
          <w:szCs w:val="24"/>
        </w:rPr>
        <w:t>o</w:t>
      </w:r>
      <w:r w:rsidRPr="00596442">
        <w:rPr>
          <w:rFonts w:ascii="Times New Roman" w:hAnsi="Times New Roman" w:cs="Times New Roman"/>
          <w:color w:val="000000"/>
          <w:sz w:val="24"/>
          <w:szCs w:val="24"/>
        </w:rPr>
        <w:t xml:space="preserve">n </w:t>
      </w:r>
      <w:r w:rsidR="00AD5095" w:rsidRPr="00596442">
        <w:rPr>
          <w:rFonts w:ascii="Times New Roman" w:hAnsi="Times New Roman" w:cs="Times New Roman"/>
          <w:color w:val="000000"/>
          <w:sz w:val="24"/>
          <w:szCs w:val="24"/>
        </w:rPr>
        <w:t>10</w:t>
      </w:r>
      <w:r w:rsidRPr="00596442">
        <w:rPr>
          <w:rFonts w:ascii="Times New Roman" w:hAnsi="Times New Roman" w:cs="Times New Roman"/>
          <w:color w:val="000000"/>
          <w:sz w:val="24"/>
          <w:szCs w:val="24"/>
        </w:rPr>
        <w:t xml:space="preserve"> – On-air disclosure of commercial agreements</w:t>
      </w:r>
    </w:p>
    <w:p w14:paraId="061A3B17" w14:textId="77777777" w:rsidR="00A94E68" w:rsidRPr="00596442" w:rsidRDefault="00A94E68" w:rsidP="00334FED">
      <w:pPr>
        <w:rPr>
          <w:lang w:eastAsia="en-US"/>
        </w:rPr>
      </w:pPr>
    </w:p>
    <w:p w14:paraId="04F426EE" w14:textId="7E0BABB7" w:rsidR="00A94E68" w:rsidRPr="00596442" w:rsidRDefault="00A94E68" w:rsidP="00334FED">
      <w:pPr>
        <w:pStyle w:val="Normalspace"/>
      </w:pPr>
      <w:r w:rsidRPr="00C177EA">
        <w:t>If a sponsor (or an agent of a sponsor) has a commercial agreement with a licensee, a related body corporate of the licensee, a presenter of the licensee or an associate of the presenter of the licensee</w:t>
      </w:r>
      <w:r w:rsidR="00A17B62" w:rsidRPr="00C177EA">
        <w:t>,</w:t>
      </w:r>
      <w:r w:rsidRPr="00C177EA">
        <w:t xml:space="preserve"> section </w:t>
      </w:r>
      <w:r w:rsidR="00FF3FD2" w:rsidRPr="00C177EA">
        <w:t>10</w:t>
      </w:r>
      <w:r w:rsidRPr="00C177EA">
        <w:t xml:space="preserve"> imposes an obligation on </w:t>
      </w:r>
      <w:r w:rsidR="00032DD5">
        <w:t>the</w:t>
      </w:r>
      <w:r w:rsidRPr="00C177EA">
        <w:t xml:space="preserve"> licensee to broadcast a disclosure </w:t>
      </w:r>
      <w:r w:rsidRPr="00C177EA">
        <w:rPr>
          <w:rFonts w:ascii="Times New Roman" w:hAnsi="Times New Roman" w:cs="Times New Roman"/>
          <w:color w:val="000000"/>
        </w:rPr>
        <w:t>announcement</w:t>
      </w:r>
      <w:r w:rsidRPr="00C177EA">
        <w:t xml:space="preserve"> whenever the licensee broadcasts prescribed material relating to that sponsor in a current affairs program.</w:t>
      </w:r>
    </w:p>
    <w:p w14:paraId="28F9D4B9" w14:textId="13412F73" w:rsidR="00A94E68" w:rsidRPr="00596442" w:rsidRDefault="00A94E68" w:rsidP="00334FED">
      <w:pPr>
        <w:pStyle w:val="Normalspace"/>
      </w:pPr>
      <w:r w:rsidRPr="00596442">
        <w:t xml:space="preserve">The situations in which a disclosure announcement must be broadcast include interviews with employees of sponsors about issues that concern a sponsor, as well as direct promotion of sponsors or their products or services. However, the section is not intended to </w:t>
      </w:r>
      <w:r w:rsidRPr="00596442">
        <w:rPr>
          <w:rFonts w:ascii="Times New Roman" w:hAnsi="Times New Roman" w:cs="Times New Roman"/>
          <w:color w:val="000000"/>
        </w:rPr>
        <w:t>apply</w:t>
      </w:r>
      <w:r w:rsidRPr="00596442">
        <w:t xml:space="preserve"> in circumstances where a presenter only mentions or refers to a sponsor or sponsor’s product in passing, as distinct from promoting the name, </w:t>
      </w:r>
      <w:proofErr w:type="gramStart"/>
      <w:r w:rsidRPr="00596442">
        <w:t>products</w:t>
      </w:r>
      <w:proofErr w:type="gramEnd"/>
      <w:r w:rsidRPr="00596442">
        <w:t xml:space="preserve"> or services of the sponsor, or doing one of the other things specified in paragraph </w:t>
      </w:r>
      <w:r w:rsidR="006F0192" w:rsidRPr="00596442">
        <w:t>10</w:t>
      </w:r>
      <w:r w:rsidRPr="00596442">
        <w:t>(1)(b).</w:t>
      </w:r>
    </w:p>
    <w:p w14:paraId="430DF54C" w14:textId="1C03B29D" w:rsidR="00A94E68" w:rsidRPr="00596442" w:rsidRDefault="00A94E68" w:rsidP="00BB74E7">
      <w:pPr>
        <w:pStyle w:val="Normalspace"/>
      </w:pPr>
      <w:r w:rsidRPr="00596442">
        <w:t xml:space="preserve">Subsection </w:t>
      </w:r>
      <w:r w:rsidR="0075214C" w:rsidRPr="00596442">
        <w:t>10</w:t>
      </w:r>
      <w:r w:rsidRPr="00596442">
        <w:t xml:space="preserve">(2) provides that a licensee must ensure that a disclosure announcement is clearly identifiable to a reasonable listener as a disclosure </w:t>
      </w:r>
      <w:proofErr w:type="gramStart"/>
      <w:r w:rsidRPr="00596442">
        <w:t>announcement, and</w:t>
      </w:r>
      <w:proofErr w:type="gramEnd"/>
      <w:r w:rsidRPr="00596442">
        <w:t xml:space="preserve"> must be broadcast on-air during the current affairs program. Section </w:t>
      </w:r>
      <w:r w:rsidR="006F0192" w:rsidRPr="00596442">
        <w:t xml:space="preserve">10 </w:t>
      </w:r>
      <w:r w:rsidRPr="00596442">
        <w:t xml:space="preserve">does not prescribe any particular form of words which must be used by a presenter in making a disclosure announcement. Whether a disclosure announcement is clearly identifiable to a reasonable listener will be assessed according to a range of factors including content, style, tone, </w:t>
      </w:r>
      <w:proofErr w:type="gramStart"/>
      <w:r w:rsidRPr="00596442">
        <w:t>scripting</w:t>
      </w:r>
      <w:proofErr w:type="gramEnd"/>
      <w:r w:rsidRPr="00596442">
        <w:t xml:space="preserve"> and placement of the disclosure.</w:t>
      </w:r>
    </w:p>
    <w:p w14:paraId="4B159058" w14:textId="48FFC7A0" w:rsidR="00A94E68" w:rsidRPr="00BE373E" w:rsidRDefault="00A94E68" w:rsidP="006F0192">
      <w:pPr>
        <w:pStyle w:val="Normalspace"/>
      </w:pPr>
      <w:r w:rsidRPr="00596442">
        <w:t xml:space="preserve">Subsection </w:t>
      </w:r>
      <w:r w:rsidR="0075214C" w:rsidRPr="00596442">
        <w:t>10</w:t>
      </w:r>
      <w:r w:rsidRPr="00596442">
        <w:t xml:space="preserve">(2) also provides that a relevant disclosure announcement must be made ‘at the time of, and as part of’ the broadcast of the material relating to a sponsor which </w:t>
      </w:r>
      <w:r w:rsidRPr="00596442">
        <w:lastRenderedPageBreak/>
        <w:t xml:space="preserve">triggers the obligation to make a disclosure announcement. In line with judicial authority, the ACMA will have regard to </w:t>
      </w:r>
      <w:r w:rsidRPr="00BE373E">
        <w:t>whether the announcement has been sufficiently close in time to have the necessary palliative effect</w:t>
      </w:r>
      <w:r w:rsidR="00F94BFE" w:rsidRPr="00BE373E" w:rsidDel="00F94BFE">
        <w:rPr>
          <w:rStyle w:val="FootnoteReference"/>
        </w:rPr>
        <w:t xml:space="preserve"> </w:t>
      </w:r>
      <w:r w:rsidR="00AF03D5" w:rsidRPr="00BE373E">
        <w:t>(</w:t>
      </w:r>
      <w:r w:rsidR="00CC092E" w:rsidRPr="00BE373E">
        <w:t>see</w:t>
      </w:r>
      <w:r w:rsidR="00AF03D5" w:rsidRPr="00BE373E">
        <w:rPr>
          <w:rFonts w:ascii="Times New Roman" w:hAnsi="Times New Roman" w:cs="Times New Roman"/>
          <w:i/>
          <w:iCs/>
          <w:lang w:eastAsia="en-AU"/>
        </w:rPr>
        <w:t xml:space="preserve"> </w:t>
      </w:r>
      <w:r w:rsidR="00AF03D5" w:rsidRPr="00BE373E">
        <w:rPr>
          <w:i/>
          <w:iCs/>
        </w:rPr>
        <w:t xml:space="preserve">Australian Communications and Media Authority v Radio 2UE Sydney Pty Ltd </w:t>
      </w:r>
      <w:r w:rsidR="00AF03D5" w:rsidRPr="00BE373E">
        <w:t>[2009] FCA 754 at 81</w:t>
      </w:r>
      <w:r w:rsidR="00F94BFE" w:rsidRPr="00BE373E">
        <w:rPr>
          <w:rStyle w:val="FootnoteReference"/>
        </w:rPr>
        <w:footnoteReference w:id="2"/>
      </w:r>
      <w:r w:rsidR="00AF03D5" w:rsidRPr="00BE373E">
        <w:t xml:space="preserve"> </w:t>
      </w:r>
      <w:r w:rsidR="00CC092E" w:rsidRPr="00BE373E">
        <w:t>(</w:t>
      </w:r>
      <w:r w:rsidR="00CC092E" w:rsidRPr="00BE373E">
        <w:rPr>
          <w:b/>
          <w:bCs/>
        </w:rPr>
        <w:t>Radio 2UE</w:t>
      </w:r>
      <w:r w:rsidR="00CC092E" w:rsidRPr="00BE373E">
        <w:t>)</w:t>
      </w:r>
      <w:r w:rsidR="00B7485D" w:rsidRPr="00BE373E">
        <w:t>)</w:t>
      </w:r>
      <w:r w:rsidR="00AF03D5" w:rsidRPr="00BE373E">
        <w:t>.</w:t>
      </w:r>
    </w:p>
    <w:p w14:paraId="2290D0B7" w14:textId="645990B6" w:rsidR="00A94E68" w:rsidRPr="00596442" w:rsidRDefault="00A94E68" w:rsidP="006F0192">
      <w:pPr>
        <w:pStyle w:val="Normalspace"/>
      </w:pPr>
      <w:r w:rsidRPr="00BE373E">
        <w:t xml:space="preserve">In </w:t>
      </w:r>
      <w:r w:rsidR="00CC092E" w:rsidRPr="00BE373E">
        <w:t>Radio 2UE</w:t>
      </w:r>
      <w:r w:rsidRPr="00BE373E">
        <w:t>, the Federal Court held that, where a disclosure announcement was made 90 seconds after a sponsor was mentioned on-air by a presenter, this constituted a contravention of the requirement to make an on-air disclosure at the time of</w:t>
      </w:r>
      <w:r w:rsidR="008A50BE" w:rsidRPr="00BE373E">
        <w:t>,</w:t>
      </w:r>
      <w:r w:rsidRPr="00BE373E">
        <w:t xml:space="preserve"> and as part of the broadcast of material relating to the sponsor. This indicates that in assessing whether a disclosure announcement was made ‘at the time of</w:t>
      </w:r>
      <w:r w:rsidR="00BF514E" w:rsidRPr="00BE373E">
        <w:t>,</w:t>
      </w:r>
      <w:r w:rsidRPr="00BE373E">
        <w:t xml:space="preserve"> and as part of’ the broadcast of relevant material, the impact of the timing of the disclosure announcement on its relationship with the types of activities in paragraph </w:t>
      </w:r>
      <w:r w:rsidR="00FE3A85" w:rsidRPr="00BE373E">
        <w:t>10</w:t>
      </w:r>
      <w:r w:rsidRPr="00BE373E">
        <w:t>(1)(b) must be considered, and generally, the announcement must be made at, or a very short time after</w:t>
      </w:r>
      <w:r w:rsidRPr="00596442">
        <w:t>, a sponsor, or sponsor’s product or service, is mentioned.</w:t>
      </w:r>
    </w:p>
    <w:p w14:paraId="28A3C071" w14:textId="77777777" w:rsidR="00A94E68" w:rsidRPr="00596442" w:rsidRDefault="00A94E68" w:rsidP="00334FED">
      <w:pPr>
        <w:rPr>
          <w:i/>
          <w:iCs/>
          <w:lang w:eastAsia="en-US"/>
        </w:rPr>
      </w:pPr>
      <w:r w:rsidRPr="00596442">
        <w:rPr>
          <w:i/>
          <w:iCs/>
          <w:lang w:eastAsia="en-US"/>
        </w:rPr>
        <w:t>Exception – News bulletins and advertisements</w:t>
      </w:r>
    </w:p>
    <w:p w14:paraId="2D1A7F3A" w14:textId="77777777" w:rsidR="00A94E68" w:rsidRPr="00596442" w:rsidRDefault="00A94E68" w:rsidP="00334FED">
      <w:pPr>
        <w:rPr>
          <w:lang w:eastAsia="en-US"/>
        </w:rPr>
      </w:pPr>
    </w:p>
    <w:p w14:paraId="5B5AFFFE" w14:textId="374DEB87" w:rsidR="00A94E68" w:rsidRPr="00596442" w:rsidRDefault="00A94E68" w:rsidP="006F0192">
      <w:pPr>
        <w:pStyle w:val="Normalspace"/>
      </w:pPr>
      <w:r w:rsidRPr="00596442">
        <w:t xml:space="preserve">Subsection </w:t>
      </w:r>
      <w:r w:rsidR="0075214C" w:rsidRPr="00596442">
        <w:t>10</w:t>
      </w:r>
      <w:r w:rsidRPr="00596442">
        <w:t xml:space="preserve">(3) provides that a disclosure announcement does not need to be made for material that would otherwise require one if that material forms part of a news broadcast or </w:t>
      </w:r>
      <w:proofErr w:type="gramStart"/>
      <w:r w:rsidRPr="00596442">
        <w:t>bulletin, or</w:t>
      </w:r>
      <w:proofErr w:type="gramEnd"/>
      <w:r w:rsidRPr="00596442">
        <w:t xml:space="preserve"> is an advertisement that is clearly identifiable to a reasonable listener as an advertisement. </w:t>
      </w:r>
      <w:r w:rsidR="001C5DCE">
        <w:t>Section</w:t>
      </w:r>
      <w:r w:rsidR="00BC4A8A">
        <w:t xml:space="preserve"> 4</w:t>
      </w:r>
      <w:r w:rsidRPr="00596442">
        <w:t xml:space="preserve"> of the </w:t>
      </w:r>
      <w:r w:rsidR="002A76E3">
        <w:t>Commercial Radio Code of Practice 2017</w:t>
      </w:r>
      <w:r w:rsidRPr="00596442">
        <w:t xml:space="preserve"> also requires that advertisement</w:t>
      </w:r>
      <w:r w:rsidR="00F57F95">
        <w:t>s broadcast by a licensee must</w:t>
      </w:r>
      <w:r w:rsidRPr="00596442">
        <w:t xml:space="preserve"> be presented in such a manner that </w:t>
      </w:r>
      <w:r w:rsidR="00D836C8">
        <w:t>a</w:t>
      </w:r>
      <w:r w:rsidRPr="00596442">
        <w:t xml:space="preserve"> reasonable listener is able to </w:t>
      </w:r>
      <w:r w:rsidR="00515D94">
        <w:t>identify them</w:t>
      </w:r>
      <w:r w:rsidRPr="00596442">
        <w:t xml:space="preserve">, at the time of </w:t>
      </w:r>
      <w:r w:rsidR="00515D94">
        <w:t xml:space="preserve">the </w:t>
      </w:r>
      <w:r w:rsidRPr="00596442">
        <w:t xml:space="preserve">broadcast, </w:t>
      </w:r>
      <w:r w:rsidR="00515D94">
        <w:t>as advertising</w:t>
      </w:r>
      <w:r w:rsidRPr="00596442">
        <w:t xml:space="preserve"> material.</w:t>
      </w:r>
    </w:p>
    <w:p w14:paraId="4D1B9DE5" w14:textId="5FFF28A1" w:rsidR="00A94E68" w:rsidRPr="00596442" w:rsidRDefault="00A94E68" w:rsidP="00334FED">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 xml:space="preserve">Section </w:t>
      </w:r>
      <w:r w:rsidR="0075214C" w:rsidRPr="00596442">
        <w:rPr>
          <w:rFonts w:ascii="Times New Roman" w:hAnsi="Times New Roman" w:cs="Times New Roman"/>
          <w:color w:val="000000"/>
          <w:sz w:val="24"/>
          <w:szCs w:val="24"/>
        </w:rPr>
        <w:t>11</w:t>
      </w:r>
      <w:r w:rsidRPr="00596442">
        <w:rPr>
          <w:rFonts w:ascii="Times New Roman" w:hAnsi="Times New Roman" w:cs="Times New Roman"/>
          <w:color w:val="000000"/>
          <w:sz w:val="24"/>
          <w:szCs w:val="24"/>
        </w:rPr>
        <w:t xml:space="preserve"> – On-air statement disclosing payment of production costs</w:t>
      </w:r>
    </w:p>
    <w:p w14:paraId="3785463D" w14:textId="77777777" w:rsidR="00A94E68" w:rsidRPr="00596442" w:rsidRDefault="00A94E68" w:rsidP="00334FED">
      <w:pPr>
        <w:rPr>
          <w:lang w:eastAsia="en-US"/>
        </w:rPr>
      </w:pPr>
    </w:p>
    <w:p w14:paraId="6BA2D295" w14:textId="589C9392" w:rsidR="00A94E68" w:rsidRPr="00596442" w:rsidRDefault="00A94E68" w:rsidP="006F0192">
      <w:pPr>
        <w:pStyle w:val="Normalspace"/>
      </w:pPr>
      <w:r w:rsidRPr="00596442">
        <w:t xml:space="preserve">This section applies where an advertiser or sponsor pays for, or contributes to, the production costs associated with a </w:t>
      </w:r>
      <w:proofErr w:type="gramStart"/>
      <w:r w:rsidRPr="00596442">
        <w:t>current affairs programs</w:t>
      </w:r>
      <w:proofErr w:type="gramEnd"/>
      <w:r w:rsidRPr="00596442">
        <w:t xml:space="preserve"> which the licensee broadcasts. In such cases, the licensee must ensure that an on-air disclosure statement is made at least once per hour throughout the program, which makes clear to a reasonable listener that the production costs associated with the program have been paid for, or contributed to, by the sponsor.</w:t>
      </w:r>
    </w:p>
    <w:p w14:paraId="1BAF6FF9" w14:textId="737D0A17" w:rsidR="00A94E68" w:rsidRPr="00596442" w:rsidRDefault="00A94E68" w:rsidP="006F0192">
      <w:pPr>
        <w:pStyle w:val="Normalspace"/>
      </w:pPr>
      <w:r w:rsidRPr="00596442">
        <w:t>The intention of this section is to ensure that a reasonable listener of a current affairs program on a commercial radio broadcasting service is made aware of any contributions or payments which have been made towards the production costs of that program which may, potentially, influence the content of that current affairs program.</w:t>
      </w:r>
    </w:p>
    <w:p w14:paraId="33DCA60F" w14:textId="77777777" w:rsidR="007C021A" w:rsidRPr="00596442" w:rsidRDefault="007C021A" w:rsidP="00FB0EF3">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Part 4</w:t>
      </w:r>
      <w:r w:rsidRPr="00596442">
        <w:rPr>
          <w:rFonts w:ascii="Times New Roman" w:hAnsi="Times New Roman" w:cs="Times New Roman"/>
          <w:color w:val="000000"/>
          <w:sz w:val="24"/>
          <w:szCs w:val="24"/>
        </w:rPr>
        <w:tab/>
        <w:t>Register of commercial agreements and other information</w:t>
      </w:r>
    </w:p>
    <w:p w14:paraId="3467628C" w14:textId="213CC84B" w:rsidR="00A94E68" w:rsidRPr="00596442" w:rsidRDefault="00A94E68" w:rsidP="00334FED">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1</w:t>
      </w:r>
      <w:r w:rsidR="0075214C" w:rsidRPr="00596442">
        <w:rPr>
          <w:rFonts w:ascii="Times New Roman" w:hAnsi="Times New Roman" w:cs="Times New Roman"/>
          <w:color w:val="000000"/>
          <w:sz w:val="24"/>
          <w:szCs w:val="24"/>
        </w:rPr>
        <w:t>2</w:t>
      </w:r>
      <w:r w:rsidRPr="00596442">
        <w:rPr>
          <w:rFonts w:ascii="Times New Roman" w:hAnsi="Times New Roman" w:cs="Times New Roman"/>
          <w:color w:val="000000"/>
          <w:sz w:val="24"/>
          <w:szCs w:val="24"/>
        </w:rPr>
        <w:t xml:space="preserve"> – Publicly available online register</w:t>
      </w:r>
    </w:p>
    <w:p w14:paraId="7D3C6C72" w14:textId="77777777" w:rsidR="00A94E68" w:rsidRPr="00596442" w:rsidRDefault="00A94E68" w:rsidP="00334FED">
      <w:pPr>
        <w:rPr>
          <w:lang w:eastAsia="en-US"/>
        </w:rPr>
      </w:pPr>
    </w:p>
    <w:p w14:paraId="12195E95" w14:textId="12359FF7" w:rsidR="00A94E68" w:rsidRPr="00596442" w:rsidRDefault="00A94E68" w:rsidP="006F0192">
      <w:pPr>
        <w:pStyle w:val="Normalspace"/>
      </w:pPr>
      <w:r w:rsidRPr="00596442">
        <w:t>Section 1</w:t>
      </w:r>
      <w:r w:rsidR="0075214C" w:rsidRPr="00596442">
        <w:t>2</w:t>
      </w:r>
      <w:r w:rsidRPr="00596442">
        <w:t xml:space="preserve"> imposes an obligation on licensees to create and maintain a register which contains the information specified in section 1</w:t>
      </w:r>
      <w:r w:rsidR="007C021A" w:rsidRPr="00596442">
        <w:t>3</w:t>
      </w:r>
      <w:r w:rsidRPr="00596442">
        <w:t xml:space="preserve">. The register must be published on a website operated by, or on behalf of, the licensee </w:t>
      </w:r>
      <w:proofErr w:type="gramStart"/>
      <w:r w:rsidRPr="00596442">
        <w:t>which</w:t>
      </w:r>
      <w:proofErr w:type="gramEnd"/>
      <w:r w:rsidRPr="00596442">
        <w:t xml:space="preserve"> is accessible online to the public </w:t>
      </w:r>
      <w:r w:rsidRPr="00596442">
        <w:lastRenderedPageBreak/>
        <w:t>and the licensee must provide a link from the homepage of the website to the webpage where the register can be accessed.</w:t>
      </w:r>
    </w:p>
    <w:p w14:paraId="0550DBCE" w14:textId="26C5ABAB" w:rsidR="00A94E68" w:rsidRPr="00596442" w:rsidRDefault="00A94E68" w:rsidP="00334FED">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Section 1</w:t>
      </w:r>
      <w:r w:rsidR="007C021A" w:rsidRPr="00596442">
        <w:rPr>
          <w:rFonts w:ascii="Times New Roman" w:hAnsi="Times New Roman" w:cs="Times New Roman"/>
          <w:color w:val="000000"/>
          <w:sz w:val="24"/>
          <w:szCs w:val="24"/>
        </w:rPr>
        <w:t>3</w:t>
      </w:r>
      <w:r w:rsidRPr="00596442">
        <w:rPr>
          <w:rFonts w:ascii="Times New Roman" w:hAnsi="Times New Roman" w:cs="Times New Roman"/>
          <w:color w:val="000000"/>
          <w:sz w:val="24"/>
          <w:szCs w:val="24"/>
        </w:rPr>
        <w:t xml:space="preserve"> – Contents of register</w:t>
      </w:r>
    </w:p>
    <w:p w14:paraId="0A0D2BCE" w14:textId="77777777" w:rsidR="00A94E68" w:rsidRPr="00596442" w:rsidRDefault="00A94E68" w:rsidP="00334FED">
      <w:pPr>
        <w:rPr>
          <w:lang w:eastAsia="en-US"/>
        </w:rPr>
      </w:pPr>
    </w:p>
    <w:p w14:paraId="24EDAD62" w14:textId="0820ECD5" w:rsidR="00A94E68" w:rsidRPr="00596442" w:rsidRDefault="00A94E68" w:rsidP="004F457D">
      <w:pPr>
        <w:pStyle w:val="Normalspace"/>
      </w:pPr>
      <w:r w:rsidRPr="00596442">
        <w:t>Section 1</w:t>
      </w:r>
      <w:r w:rsidR="007C021A" w:rsidRPr="00596442">
        <w:t>3</w:t>
      </w:r>
      <w:r w:rsidRPr="00596442">
        <w:t xml:space="preserve"> sets out the information which licensees must include in the online register referred to in section 1</w:t>
      </w:r>
      <w:r w:rsidR="004F457D" w:rsidRPr="00596442">
        <w:t>2</w:t>
      </w:r>
      <w:r w:rsidRPr="00596442">
        <w:t xml:space="preserve"> about each current commercial agreement. Where a presenter of a licensee is the presenter of a related broadcast (see section </w:t>
      </w:r>
      <w:r w:rsidR="00203983">
        <w:t>5</w:t>
      </w:r>
      <w:r w:rsidRPr="00596442">
        <w:t>) the register must contain information including the name of the licensee which produced or commissioned the program and where the public can find information about the current commercial agreements of that licensee.</w:t>
      </w:r>
    </w:p>
    <w:p w14:paraId="4D213E8D" w14:textId="77777777" w:rsidR="00A94E68" w:rsidRPr="00596442" w:rsidRDefault="00A94E68" w:rsidP="00334FED">
      <w:pPr>
        <w:rPr>
          <w:i/>
          <w:iCs/>
          <w:lang w:eastAsia="en-US"/>
        </w:rPr>
      </w:pPr>
      <w:r w:rsidRPr="00596442">
        <w:rPr>
          <w:i/>
          <w:iCs/>
          <w:lang w:eastAsia="en-US"/>
        </w:rPr>
        <w:t>Exception – part-time or casual presenters</w:t>
      </w:r>
    </w:p>
    <w:p w14:paraId="0F6978AC" w14:textId="77777777" w:rsidR="00A94E68" w:rsidRPr="00596442" w:rsidRDefault="00A94E68" w:rsidP="00334FED">
      <w:pPr>
        <w:rPr>
          <w:lang w:eastAsia="en-US"/>
        </w:rPr>
      </w:pPr>
    </w:p>
    <w:p w14:paraId="5C4722F8" w14:textId="722A6E68" w:rsidR="00A94E68" w:rsidRPr="00596442" w:rsidRDefault="00A94E68" w:rsidP="004F457D">
      <w:pPr>
        <w:pStyle w:val="Normalspace"/>
      </w:pPr>
      <w:r w:rsidRPr="00596442">
        <w:t>The effect of subsection 1</w:t>
      </w:r>
      <w:r w:rsidR="00954D3B" w:rsidRPr="00596442">
        <w:t>3</w:t>
      </w:r>
      <w:r w:rsidRPr="00596442">
        <w:t>(3) is that the obligations imposed by section 1</w:t>
      </w:r>
      <w:r w:rsidR="004C1BE4">
        <w:t>3</w:t>
      </w:r>
      <w:r w:rsidRPr="00596442">
        <w:t xml:space="preserve"> do not apply to a presenter who is a presenter of a current affairs program for less than an average of 3 hours per week over any </w:t>
      </w:r>
      <w:proofErr w:type="gramStart"/>
      <w:r w:rsidRPr="00596442">
        <w:t>4 week</w:t>
      </w:r>
      <w:proofErr w:type="gramEnd"/>
      <w:r w:rsidRPr="00596442">
        <w:t xml:space="preserve"> period. It should be noted, however, that the obligations imposed by section </w:t>
      </w:r>
      <w:r w:rsidR="004F457D" w:rsidRPr="00596442">
        <w:t>10</w:t>
      </w:r>
      <w:r w:rsidRPr="00596442">
        <w:t xml:space="preserve"> and section 1</w:t>
      </w:r>
      <w:r w:rsidR="004F457D" w:rsidRPr="00596442">
        <w:t>4</w:t>
      </w:r>
      <w:r w:rsidRPr="00596442">
        <w:t xml:space="preserve"> still apply in relation to presenters of that kind.</w:t>
      </w:r>
    </w:p>
    <w:p w14:paraId="30155EAF" w14:textId="15FA8BF9" w:rsidR="00A94E68" w:rsidRPr="00596442" w:rsidRDefault="00954D3B" w:rsidP="00FB0EF3">
      <w:pPr>
        <w:pStyle w:val="Heading3"/>
        <w:rPr>
          <w:rFonts w:ascii="Times New Roman" w:hAnsi="Times New Roman" w:cs="Times New Roman"/>
          <w:color w:val="000000"/>
          <w:sz w:val="24"/>
          <w:szCs w:val="24"/>
        </w:rPr>
      </w:pPr>
      <w:r w:rsidRPr="00596442">
        <w:rPr>
          <w:rFonts w:ascii="Times New Roman" w:hAnsi="Times New Roman" w:cs="Times New Roman"/>
          <w:color w:val="000000"/>
          <w:sz w:val="24"/>
          <w:szCs w:val="24"/>
        </w:rPr>
        <w:t>Part 5</w:t>
      </w:r>
      <w:r w:rsidRPr="00596442">
        <w:rPr>
          <w:rFonts w:ascii="Times New Roman" w:hAnsi="Times New Roman" w:cs="Times New Roman"/>
          <w:color w:val="000000"/>
          <w:sz w:val="24"/>
          <w:szCs w:val="24"/>
        </w:rPr>
        <w:tab/>
        <w:t>Licensee requirements in relation to presenters</w:t>
      </w:r>
    </w:p>
    <w:p w14:paraId="3EDE2A34" w14:textId="6FEA6E3D" w:rsidR="00A94E68" w:rsidRPr="00596442" w:rsidRDefault="00A94E68" w:rsidP="004F457D">
      <w:pPr>
        <w:jc w:val="both"/>
        <w:rPr>
          <w:b/>
          <w:bCs/>
          <w:lang w:eastAsia="en-US"/>
        </w:rPr>
      </w:pPr>
      <w:r w:rsidRPr="00596442">
        <w:rPr>
          <w:b/>
          <w:bCs/>
          <w:lang w:eastAsia="en-US"/>
        </w:rPr>
        <w:t>Section 1</w:t>
      </w:r>
      <w:r w:rsidR="00CE0CDF" w:rsidRPr="00596442">
        <w:rPr>
          <w:b/>
          <w:bCs/>
          <w:lang w:eastAsia="en-US"/>
        </w:rPr>
        <w:t>4</w:t>
      </w:r>
      <w:r w:rsidRPr="00596442">
        <w:rPr>
          <w:b/>
          <w:bCs/>
          <w:lang w:eastAsia="en-US"/>
        </w:rPr>
        <w:t xml:space="preserve"> – Licensee to require presenters to disclose commercial agreements to licensee</w:t>
      </w:r>
    </w:p>
    <w:p w14:paraId="6C05E36E" w14:textId="77777777" w:rsidR="00A94E68" w:rsidRPr="00596442" w:rsidRDefault="00A94E68" w:rsidP="00334FED">
      <w:pPr>
        <w:rPr>
          <w:lang w:eastAsia="en-US"/>
        </w:rPr>
      </w:pPr>
    </w:p>
    <w:p w14:paraId="5A3991A8" w14:textId="1F4522AC" w:rsidR="00A94E68" w:rsidRPr="00596442" w:rsidRDefault="00A94E68" w:rsidP="004F457D">
      <w:pPr>
        <w:pStyle w:val="Normalspace"/>
      </w:pPr>
      <w:r w:rsidRPr="00596442">
        <w:t>Section 1</w:t>
      </w:r>
      <w:r w:rsidR="00954D3B" w:rsidRPr="00596442">
        <w:t>4</w:t>
      </w:r>
      <w:r w:rsidRPr="00596442">
        <w:t xml:space="preserve"> imposes an obligation on licensees to require their presenters to provide information or documents (as relevant) about the commercial agreements with a sponsor (or agent of the sponsor) to which the presenter, or their associate is a party. The section also specifies the timeframe in which the information or documents must be provided to the licensee by the presenter, and the nature of the information which presenters must provide to licensees.</w:t>
      </w:r>
    </w:p>
    <w:p w14:paraId="26C2B9EA" w14:textId="1E63D8CD" w:rsidR="00A94E68" w:rsidRPr="00596442" w:rsidRDefault="00A94E68" w:rsidP="004F457D">
      <w:pPr>
        <w:pStyle w:val="Normalspace"/>
      </w:pPr>
      <w:r w:rsidRPr="00596442">
        <w:t>Where the presenter is a presenter of a related broadcast, the obligation applies to the licensee which produced or commissioned the current affairs program.</w:t>
      </w:r>
    </w:p>
    <w:p w14:paraId="176304BA" w14:textId="04B9B0AF" w:rsidR="00A94E68" w:rsidRPr="00596442" w:rsidRDefault="00A94E68" w:rsidP="004F457D">
      <w:pPr>
        <w:jc w:val="both"/>
        <w:rPr>
          <w:b/>
          <w:bCs/>
          <w:lang w:eastAsia="en-US"/>
        </w:rPr>
      </w:pPr>
      <w:r w:rsidRPr="00596442">
        <w:rPr>
          <w:b/>
          <w:bCs/>
          <w:lang w:eastAsia="en-US"/>
        </w:rPr>
        <w:t>Section 1</w:t>
      </w:r>
      <w:r w:rsidR="00954D3B" w:rsidRPr="00596442">
        <w:rPr>
          <w:b/>
          <w:bCs/>
          <w:lang w:eastAsia="en-US"/>
        </w:rPr>
        <w:t>5</w:t>
      </w:r>
      <w:r w:rsidRPr="00596442">
        <w:rPr>
          <w:b/>
          <w:bCs/>
          <w:lang w:eastAsia="en-US"/>
        </w:rPr>
        <w:t xml:space="preserve"> – Licensee must keep commercial agreements</w:t>
      </w:r>
    </w:p>
    <w:p w14:paraId="4CB90852" w14:textId="77777777" w:rsidR="00A94E68" w:rsidRPr="00596442" w:rsidRDefault="00A94E68" w:rsidP="00334FED">
      <w:pPr>
        <w:rPr>
          <w:lang w:eastAsia="en-US"/>
        </w:rPr>
      </w:pPr>
    </w:p>
    <w:p w14:paraId="7DEFF96F" w14:textId="33D47532" w:rsidR="00A94E68" w:rsidRPr="00596442" w:rsidRDefault="00A94E68" w:rsidP="004F457D">
      <w:pPr>
        <w:pStyle w:val="Normalspace"/>
      </w:pPr>
      <w:r w:rsidRPr="00596442">
        <w:t>Section 1</w:t>
      </w:r>
      <w:r w:rsidR="002B2CB3" w:rsidRPr="00596442">
        <w:t>5</w:t>
      </w:r>
      <w:r w:rsidRPr="00596442">
        <w:t xml:space="preserve"> imposes an obligation on licensees to keep specified information and documents about each commercial agreement to which the licensee, related body corporate of the licensee, presenter of the licensee or an associate of a presenter of a licensee, is a party, for 12 months after the agreement has expired.</w:t>
      </w:r>
    </w:p>
    <w:p w14:paraId="7A41126E" w14:textId="5B90A251" w:rsidR="00A94E68" w:rsidRPr="00596442" w:rsidRDefault="00A94E68" w:rsidP="00334FED">
      <w:pPr>
        <w:rPr>
          <w:b/>
          <w:bCs/>
          <w:lang w:eastAsia="en-US"/>
        </w:rPr>
      </w:pPr>
      <w:r w:rsidRPr="00596442">
        <w:rPr>
          <w:b/>
          <w:bCs/>
          <w:lang w:eastAsia="en-US"/>
        </w:rPr>
        <w:t>Section 1</w:t>
      </w:r>
      <w:r w:rsidR="002B2CB3" w:rsidRPr="00596442">
        <w:rPr>
          <w:b/>
          <w:bCs/>
          <w:lang w:eastAsia="en-US"/>
        </w:rPr>
        <w:t>6</w:t>
      </w:r>
      <w:r w:rsidRPr="00596442">
        <w:rPr>
          <w:b/>
          <w:bCs/>
          <w:lang w:eastAsia="en-US"/>
        </w:rPr>
        <w:t xml:space="preserve"> – Information or documents to be provided to the ACMA</w:t>
      </w:r>
    </w:p>
    <w:p w14:paraId="2D6CF096" w14:textId="77777777" w:rsidR="00A94E68" w:rsidRPr="00596442" w:rsidRDefault="00A94E68" w:rsidP="00334FED">
      <w:pPr>
        <w:rPr>
          <w:lang w:eastAsia="en-US"/>
        </w:rPr>
      </w:pPr>
    </w:p>
    <w:p w14:paraId="05464F54" w14:textId="77777777" w:rsidR="00411FE6" w:rsidRDefault="00A94E68" w:rsidP="004F457D">
      <w:pPr>
        <w:pStyle w:val="Normalspace"/>
        <w:sectPr w:rsidR="00411FE6" w:rsidSect="00F43D3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r w:rsidRPr="00596442">
        <w:t>Section 1</w:t>
      </w:r>
      <w:r w:rsidR="002B2CB3" w:rsidRPr="00596442">
        <w:t>6</w:t>
      </w:r>
      <w:r w:rsidRPr="00596442">
        <w:t xml:space="preserve"> permits the ACMA, by request in writing to a licensee, to require the licensee to provide any of the documents or information (relating to commercial agreements) that are specified in subsection 1</w:t>
      </w:r>
      <w:r w:rsidR="002B2CB3" w:rsidRPr="00596442">
        <w:t>6</w:t>
      </w:r>
      <w:r w:rsidRPr="00596442">
        <w:t>(1). Subsections 1</w:t>
      </w:r>
      <w:r w:rsidR="002B2CB3" w:rsidRPr="00596442">
        <w:t>6</w:t>
      </w:r>
      <w:r w:rsidRPr="00596442">
        <w:t>(3) and (4) also impose an obligation on licensees to inform the ACMA about any mistakes, changes or omissions relating to information or documents previously provided to the ACMA.</w:t>
      </w:r>
    </w:p>
    <w:p w14:paraId="2B2959EA" w14:textId="2E9A6915" w:rsidR="00A94E68" w:rsidRPr="00596442" w:rsidRDefault="00A94E68" w:rsidP="00FB0EF3">
      <w:pPr>
        <w:ind w:left="0" w:firstLine="0"/>
        <w:rPr>
          <w:b/>
          <w:bCs/>
          <w:lang w:eastAsia="en-US"/>
        </w:rPr>
      </w:pPr>
      <w:r w:rsidRPr="00596442">
        <w:rPr>
          <w:b/>
          <w:bCs/>
          <w:lang w:eastAsia="en-US"/>
        </w:rPr>
        <w:lastRenderedPageBreak/>
        <w:t>Section 1</w:t>
      </w:r>
      <w:r w:rsidR="002B2CB3" w:rsidRPr="00596442">
        <w:rPr>
          <w:b/>
          <w:bCs/>
          <w:lang w:eastAsia="en-US"/>
        </w:rPr>
        <w:t>7</w:t>
      </w:r>
      <w:r w:rsidRPr="00596442">
        <w:rPr>
          <w:b/>
          <w:bCs/>
          <w:lang w:eastAsia="en-US"/>
        </w:rPr>
        <w:t xml:space="preserve"> – Licensee must not engage or continue to engage presenters that do not assist the licensee to comply with obligations</w:t>
      </w:r>
      <w:r w:rsidR="00F3029E">
        <w:rPr>
          <w:b/>
          <w:bCs/>
          <w:lang w:eastAsia="en-US"/>
        </w:rPr>
        <w:t xml:space="preserve"> </w:t>
      </w:r>
    </w:p>
    <w:p w14:paraId="6C6B42EB" w14:textId="77777777" w:rsidR="00A94E68" w:rsidRPr="00596442" w:rsidRDefault="00A94E68" w:rsidP="00334FED">
      <w:pPr>
        <w:rPr>
          <w:lang w:eastAsia="en-US"/>
        </w:rPr>
      </w:pPr>
    </w:p>
    <w:p w14:paraId="7739D63B" w14:textId="5B1173B4" w:rsidR="007B5197" w:rsidRDefault="00A94E68" w:rsidP="00A524EA">
      <w:pPr>
        <w:pStyle w:val="Normalspace"/>
        <w:rPr>
          <w:b/>
          <w:bCs/>
        </w:rPr>
      </w:pPr>
      <w:r w:rsidRPr="00596442">
        <w:t>This section restricts licensees from engaging, or continuing to engage, the services of a presenter, unless it is a condition of the presenter’s engagement that the presenter will comply with the requirements of section 1</w:t>
      </w:r>
      <w:r w:rsidR="00334FED" w:rsidRPr="00596442">
        <w:t>4</w:t>
      </w:r>
      <w:r w:rsidRPr="00596442">
        <w:t xml:space="preserve"> of the Standard.</w:t>
      </w:r>
    </w:p>
    <w:p w14:paraId="113DBB07" w14:textId="489062E6" w:rsidR="00A94E68" w:rsidRPr="00596442" w:rsidRDefault="00A94E68" w:rsidP="00334FED">
      <w:pPr>
        <w:rPr>
          <w:b/>
          <w:bCs/>
          <w:lang w:eastAsia="en-US"/>
        </w:rPr>
      </w:pPr>
      <w:r w:rsidRPr="00596442">
        <w:rPr>
          <w:b/>
          <w:bCs/>
          <w:lang w:eastAsia="en-US"/>
        </w:rPr>
        <w:t>Section 1</w:t>
      </w:r>
      <w:r w:rsidR="002B2CB3" w:rsidRPr="00596442">
        <w:rPr>
          <w:b/>
          <w:bCs/>
          <w:lang w:eastAsia="en-US"/>
        </w:rPr>
        <w:t>8</w:t>
      </w:r>
      <w:r w:rsidRPr="00596442">
        <w:rPr>
          <w:b/>
          <w:bCs/>
          <w:lang w:eastAsia="en-US"/>
        </w:rPr>
        <w:t xml:space="preserve"> - Licensee to require presenters to comply with certain obligations</w:t>
      </w:r>
    </w:p>
    <w:p w14:paraId="083CA5E2" w14:textId="77777777" w:rsidR="00A94E68" w:rsidRPr="00596442" w:rsidRDefault="00A94E68" w:rsidP="00334FED">
      <w:pPr>
        <w:rPr>
          <w:lang w:eastAsia="en-US"/>
        </w:rPr>
      </w:pPr>
    </w:p>
    <w:p w14:paraId="19B47445" w14:textId="77777777" w:rsidR="00A94E68" w:rsidRPr="00596442" w:rsidRDefault="00A94E68" w:rsidP="004F457D">
      <w:pPr>
        <w:pStyle w:val="Normalspace"/>
      </w:pPr>
      <w:r w:rsidRPr="00596442">
        <w:t>Under this section, licensees must require that presenters of current affairs programs assist the licensee to comply with its obligations under the BSA, the code and the Standard, in relation to the broadcast of programs by the licensee.</w:t>
      </w:r>
    </w:p>
    <w:p w14:paraId="4AD85EA5" w14:textId="77777777" w:rsidR="00A94E68" w:rsidRPr="00596442" w:rsidRDefault="00A94E68" w:rsidP="00A94E68">
      <w:pPr>
        <w:rPr>
          <w:lang w:eastAsia="en-US"/>
        </w:rPr>
      </w:pPr>
    </w:p>
    <w:p w14:paraId="1B4DE961" w14:textId="77777777" w:rsidR="00A94E68" w:rsidRPr="00596442" w:rsidRDefault="00A94E68" w:rsidP="005E673D">
      <w:pPr>
        <w:pStyle w:val="Heading2"/>
        <w:ind w:left="720"/>
        <w:jc w:val="right"/>
        <w:rPr>
          <w:rFonts w:ascii="Times New Roman" w:hAnsi="Times New Roman" w:cs="Times New Roman"/>
          <w:i w:val="0"/>
          <w:iCs w:val="0"/>
        </w:rPr>
      </w:pPr>
    </w:p>
    <w:p w14:paraId="767EA815" w14:textId="77777777" w:rsidR="00334FED" w:rsidRPr="00596442" w:rsidRDefault="00334FED" w:rsidP="005E673D">
      <w:pPr>
        <w:pStyle w:val="Heading2"/>
        <w:ind w:left="720"/>
        <w:jc w:val="right"/>
        <w:rPr>
          <w:rFonts w:ascii="Times New Roman" w:hAnsi="Times New Roman" w:cs="Times New Roman"/>
          <w:i w:val="0"/>
          <w:iCs w:val="0"/>
        </w:rPr>
      </w:pPr>
    </w:p>
    <w:p w14:paraId="672FA78E" w14:textId="77777777" w:rsidR="00334FED" w:rsidRPr="00596442" w:rsidRDefault="00334FED">
      <w:pPr>
        <w:ind w:left="0" w:firstLine="0"/>
        <w:rPr>
          <w:b/>
          <w:bCs/>
          <w:sz w:val="28"/>
          <w:szCs w:val="28"/>
          <w:lang w:eastAsia="en-US"/>
        </w:rPr>
      </w:pPr>
      <w:r w:rsidRPr="00596442">
        <w:rPr>
          <w:i/>
          <w:iCs/>
        </w:rPr>
        <w:br w:type="page"/>
      </w:r>
    </w:p>
    <w:p w14:paraId="5C2D93C4" w14:textId="420F7CB3" w:rsidR="00D20D6E" w:rsidRPr="00596442" w:rsidRDefault="00D20D6E" w:rsidP="005E673D">
      <w:pPr>
        <w:pStyle w:val="Heading2"/>
        <w:ind w:left="720"/>
        <w:jc w:val="right"/>
        <w:rPr>
          <w:rFonts w:ascii="Times New Roman" w:hAnsi="Times New Roman" w:cs="Times New Roman"/>
          <w:i w:val="0"/>
          <w:iCs w:val="0"/>
        </w:rPr>
      </w:pPr>
      <w:r w:rsidRPr="00596442">
        <w:rPr>
          <w:rFonts w:ascii="Times New Roman" w:hAnsi="Times New Roman" w:cs="Times New Roman"/>
          <w:i w:val="0"/>
          <w:iCs w:val="0"/>
        </w:rPr>
        <w:lastRenderedPageBreak/>
        <w:t>Attachment B</w:t>
      </w:r>
    </w:p>
    <w:p w14:paraId="3603FAE2" w14:textId="62DD3B01" w:rsidR="00D20D6E" w:rsidRPr="00596442" w:rsidRDefault="00D20D6E" w:rsidP="005E673D">
      <w:pPr>
        <w:pStyle w:val="Heading2"/>
        <w:jc w:val="center"/>
        <w:rPr>
          <w:rFonts w:ascii="Times New Roman" w:hAnsi="Times New Roman" w:cs="Times New Roman"/>
          <w:i w:val="0"/>
          <w:iCs w:val="0"/>
        </w:rPr>
      </w:pPr>
      <w:r w:rsidRPr="00596442">
        <w:rPr>
          <w:rFonts w:ascii="Times New Roman" w:hAnsi="Times New Roman" w:cs="Times New Roman"/>
          <w:i w:val="0"/>
          <w:iCs w:val="0"/>
        </w:rPr>
        <w:t>Statement of Compatibility with Human Rights</w:t>
      </w:r>
    </w:p>
    <w:p w14:paraId="51BC82D2" w14:textId="77777777" w:rsidR="00D20D6E" w:rsidRPr="00596442" w:rsidRDefault="00D20D6E" w:rsidP="00D20D6E">
      <w:pPr>
        <w:spacing w:before="120" w:after="120"/>
        <w:jc w:val="center"/>
      </w:pPr>
      <w:r w:rsidRPr="00596442">
        <w:rPr>
          <w:i/>
        </w:rPr>
        <w:t>Prepared in accordance with Part 3 of the Human Rights (Parliamentary Scrutiny) Act 2011</w:t>
      </w:r>
    </w:p>
    <w:p w14:paraId="47F3A082" w14:textId="77777777" w:rsidR="00D20D6E" w:rsidRPr="00596442" w:rsidRDefault="00D20D6E" w:rsidP="00D20D6E">
      <w:pPr>
        <w:spacing w:before="120" w:after="120"/>
        <w:jc w:val="center"/>
      </w:pPr>
    </w:p>
    <w:p w14:paraId="7EF1720A" w14:textId="2E96CFCC" w:rsidR="00D20D6E" w:rsidRPr="00596442" w:rsidRDefault="006C00F0" w:rsidP="00D20D6E">
      <w:pPr>
        <w:spacing w:before="120" w:after="120"/>
        <w:jc w:val="center"/>
        <w:rPr>
          <w:b/>
          <w:i/>
          <w:iCs/>
        </w:rPr>
      </w:pPr>
      <w:r w:rsidRPr="00596442">
        <w:rPr>
          <w:b/>
          <w:i/>
          <w:iCs/>
        </w:rPr>
        <w:t>Broadcasting Services (Commercial Radio Current Affairs Disclosure) Standard 2022</w:t>
      </w:r>
    </w:p>
    <w:p w14:paraId="6AAE8BC4" w14:textId="77777777" w:rsidR="006C00F0" w:rsidRPr="00596442" w:rsidRDefault="006C00F0" w:rsidP="00D20D6E">
      <w:pPr>
        <w:spacing w:before="120" w:after="120"/>
        <w:jc w:val="center"/>
      </w:pPr>
    </w:p>
    <w:p w14:paraId="0FB0F767" w14:textId="2EEE08B4" w:rsidR="00D20D6E" w:rsidRPr="00596442" w:rsidRDefault="00D20D6E" w:rsidP="00D20D6E">
      <w:pPr>
        <w:tabs>
          <w:tab w:val="left" w:pos="4253"/>
        </w:tabs>
        <w:spacing w:before="120" w:after="120"/>
        <w:jc w:val="center"/>
      </w:pPr>
      <w:r w:rsidRPr="00596442">
        <w:t xml:space="preserve">This </w:t>
      </w:r>
      <w:r w:rsidR="002E4F5F" w:rsidRPr="00596442">
        <w:t>d</w:t>
      </w:r>
      <w:r w:rsidRPr="00596442">
        <w:t xml:space="preserve">isallowable </w:t>
      </w:r>
      <w:r w:rsidR="002E4F5F" w:rsidRPr="00596442">
        <w:t>l</w:t>
      </w:r>
      <w:r w:rsidRPr="00596442">
        <w:t xml:space="preserve">egislative </w:t>
      </w:r>
      <w:r w:rsidR="002E4F5F" w:rsidRPr="00596442">
        <w:t>i</w:t>
      </w:r>
      <w:r w:rsidRPr="00596442">
        <w:t xml:space="preserve">nstrument is compatible with the human rights and freedoms recognised or declared in the international instruments listed in section 3 of the </w:t>
      </w:r>
      <w:r w:rsidRPr="00596442">
        <w:rPr>
          <w:i/>
        </w:rPr>
        <w:t>Human Rights (Parliamentary Scrutiny) Act 2011</w:t>
      </w:r>
      <w:r w:rsidRPr="00596442">
        <w:t>.</w:t>
      </w:r>
    </w:p>
    <w:p w14:paraId="60D2021B" w14:textId="7CD0A2F3" w:rsidR="00D20D6E" w:rsidRPr="00596442" w:rsidRDefault="00D20D6E" w:rsidP="00D20D6E">
      <w:pPr>
        <w:pStyle w:val="Heading3"/>
        <w:rPr>
          <w:rFonts w:ascii="Times New Roman" w:hAnsi="Times New Roman" w:cs="Times New Roman"/>
          <w:sz w:val="24"/>
          <w:szCs w:val="24"/>
        </w:rPr>
      </w:pPr>
      <w:r w:rsidRPr="00596442">
        <w:rPr>
          <w:rFonts w:ascii="Times New Roman" w:hAnsi="Times New Roman" w:cs="Times New Roman"/>
          <w:sz w:val="24"/>
          <w:szCs w:val="24"/>
        </w:rPr>
        <w:t>Overview of the Instrument</w:t>
      </w:r>
    </w:p>
    <w:p w14:paraId="736AA122" w14:textId="4351693E" w:rsidR="005E1D4F" w:rsidRDefault="00D20D6E" w:rsidP="004F4DC5">
      <w:pPr>
        <w:spacing w:before="120" w:after="120"/>
        <w:ind w:left="0" w:firstLine="0"/>
      </w:pPr>
      <w:r w:rsidRPr="00596442">
        <w:t xml:space="preserve">The </w:t>
      </w:r>
      <w:r w:rsidR="005A3791" w:rsidRPr="00596442">
        <w:rPr>
          <w:i/>
          <w:iCs/>
        </w:rPr>
        <w:t xml:space="preserve">Broadcasting Services (Commercial Radio Current Affairs Disclosure) Standard 2022 </w:t>
      </w:r>
      <w:r w:rsidR="004F4DC5" w:rsidRPr="00596442">
        <w:t>(</w:t>
      </w:r>
      <w:r w:rsidR="004F4DC5" w:rsidRPr="00596442">
        <w:rPr>
          <w:b/>
          <w:bCs/>
        </w:rPr>
        <w:t>the Standard</w:t>
      </w:r>
      <w:r w:rsidR="004F4DC5" w:rsidRPr="00596442">
        <w:t xml:space="preserve">) </w:t>
      </w:r>
      <w:r w:rsidR="00125316" w:rsidRPr="00596442">
        <w:t>is made under subsection 1</w:t>
      </w:r>
      <w:r w:rsidR="005E1D4F" w:rsidRPr="00596442">
        <w:t>25(</w:t>
      </w:r>
      <w:r w:rsidR="00BB74E7" w:rsidRPr="00596442">
        <w:t>1</w:t>
      </w:r>
      <w:r w:rsidR="005E1D4F" w:rsidRPr="00596442">
        <w:t xml:space="preserve">) of the </w:t>
      </w:r>
      <w:r w:rsidR="005E1D4F" w:rsidRPr="00596442">
        <w:rPr>
          <w:i/>
        </w:rPr>
        <w:t>Broadcasting Services Act 1992</w:t>
      </w:r>
      <w:r w:rsidR="000F6A86" w:rsidRPr="00596442">
        <w:rPr>
          <w:i/>
        </w:rPr>
        <w:t xml:space="preserve"> </w:t>
      </w:r>
      <w:r w:rsidR="000F6A86" w:rsidRPr="00596442">
        <w:t>(</w:t>
      </w:r>
      <w:r w:rsidR="000F6A86" w:rsidRPr="00596442">
        <w:rPr>
          <w:b/>
          <w:bCs/>
        </w:rPr>
        <w:t>the BSA</w:t>
      </w:r>
      <w:r w:rsidR="000F6A86" w:rsidRPr="00596442">
        <w:t>)</w:t>
      </w:r>
      <w:r w:rsidR="005E1D4F" w:rsidRPr="00596442">
        <w:t xml:space="preserve">. </w:t>
      </w:r>
      <w:r w:rsidR="00377DB5" w:rsidRPr="00596442">
        <w:t xml:space="preserve">The Standard repeals the </w:t>
      </w:r>
      <w:r w:rsidR="005A3791" w:rsidRPr="00596442">
        <w:rPr>
          <w:i/>
        </w:rPr>
        <w:t>Broadcasting Services (Commercial Radio Current Affairs Disclosure) Standard 2012</w:t>
      </w:r>
      <w:r w:rsidR="00CD366B">
        <w:rPr>
          <w:i/>
        </w:rPr>
        <w:t xml:space="preserve"> </w:t>
      </w:r>
      <w:r w:rsidR="00CD366B">
        <w:rPr>
          <w:iCs/>
        </w:rPr>
        <w:t>(</w:t>
      </w:r>
      <w:r w:rsidR="00CD366B">
        <w:rPr>
          <w:b/>
          <w:bCs/>
          <w:iCs/>
        </w:rPr>
        <w:t>the 2012 Standard</w:t>
      </w:r>
      <w:r w:rsidR="00CD366B">
        <w:rPr>
          <w:iCs/>
        </w:rPr>
        <w:t>)</w:t>
      </w:r>
      <w:r w:rsidR="009717C9" w:rsidRPr="00596442">
        <w:t>,</w:t>
      </w:r>
      <w:r w:rsidR="0047300D" w:rsidRPr="00596442">
        <w:t xml:space="preserve"> which </w:t>
      </w:r>
      <w:r w:rsidR="00F3029E">
        <w:t>was</w:t>
      </w:r>
      <w:r w:rsidR="00C7423B" w:rsidRPr="00596442">
        <w:t xml:space="preserve"> </w:t>
      </w:r>
      <w:r w:rsidR="0047300D" w:rsidRPr="00596442">
        <w:t xml:space="preserve">due to sunset on 1 </w:t>
      </w:r>
      <w:r w:rsidR="00D67190" w:rsidRPr="00596442">
        <w:t>April 2022.</w:t>
      </w:r>
    </w:p>
    <w:p w14:paraId="0B6B07D5" w14:textId="414F71E0" w:rsidR="00CD366B" w:rsidRPr="00596442" w:rsidRDefault="00CD366B" w:rsidP="004F4DC5">
      <w:pPr>
        <w:spacing w:before="120" w:after="120"/>
        <w:ind w:left="0" w:firstLine="0"/>
        <w:rPr>
          <w:iCs/>
        </w:rPr>
      </w:pPr>
      <w:r>
        <w:t xml:space="preserve">The Standard does not significantly change the current requirements for commercial radio licensees under the 2012 Standard. </w:t>
      </w:r>
    </w:p>
    <w:p w14:paraId="2F73EE69" w14:textId="07E5A6D9" w:rsidR="00772F21" w:rsidRPr="00596442" w:rsidRDefault="005E1D4F" w:rsidP="00772F21">
      <w:pPr>
        <w:spacing w:before="120" w:after="120"/>
        <w:ind w:left="0" w:firstLine="0"/>
      </w:pPr>
      <w:r w:rsidRPr="00596442">
        <w:t>The Standard</w:t>
      </w:r>
      <w:r w:rsidRPr="00596442">
        <w:rPr>
          <w:i/>
          <w:iCs/>
        </w:rPr>
        <w:t xml:space="preserve"> </w:t>
      </w:r>
      <w:r w:rsidR="00D20D6E" w:rsidRPr="00596442">
        <w:t xml:space="preserve">aims </w:t>
      </w:r>
      <w:r w:rsidR="00DF559C" w:rsidRPr="00596442">
        <w:t>to ensure that each commercial radio service licensee that broadcasts a current affairs program discloses the existence of any commercial agreements between a presenter and a sponsor on-air when that agreement has the potential to affect the content of material being broadcast that relates to the sponsor</w:t>
      </w:r>
      <w:r w:rsidR="00A06A61">
        <w:t>. The</w:t>
      </w:r>
      <w:r w:rsidR="002325D2">
        <w:t xml:space="preserve"> purpose of the</w:t>
      </w:r>
      <w:r w:rsidR="00A06A61">
        <w:t xml:space="preserve"> Standard </w:t>
      </w:r>
      <w:r w:rsidR="002325D2">
        <w:t xml:space="preserve">is </w:t>
      </w:r>
      <w:r w:rsidR="00A06A61">
        <w:t xml:space="preserve">also </w:t>
      </w:r>
      <w:r w:rsidR="00D04C12">
        <w:t xml:space="preserve">to </w:t>
      </w:r>
      <w:r w:rsidR="00246DF8">
        <w:t xml:space="preserve">ensure that the existence of a </w:t>
      </w:r>
      <w:r w:rsidR="00D04C12">
        <w:t xml:space="preserve">commercial </w:t>
      </w:r>
      <w:r w:rsidR="00246DF8">
        <w:t>agreement</w:t>
      </w:r>
      <w:r w:rsidR="00D04C12">
        <w:t xml:space="preserve"> between </w:t>
      </w:r>
      <w:r w:rsidR="00246DF8">
        <w:t xml:space="preserve">a </w:t>
      </w:r>
      <w:r w:rsidR="00D04C12">
        <w:t xml:space="preserve">sponsor and </w:t>
      </w:r>
      <w:r w:rsidR="00293303">
        <w:t xml:space="preserve">a licensee </w:t>
      </w:r>
      <w:r w:rsidR="00246DF8">
        <w:t xml:space="preserve">is disclosed on-air </w:t>
      </w:r>
      <w:r w:rsidR="00CF69C0">
        <w:t xml:space="preserve">when the agreement has the potential to affect the </w:t>
      </w:r>
      <w:r w:rsidR="00EA49FA">
        <w:t>content of</w:t>
      </w:r>
      <w:r w:rsidR="00772F21" w:rsidRPr="00596442">
        <w:t xml:space="preserve"> material</w:t>
      </w:r>
      <w:r w:rsidR="00CF69C0">
        <w:t xml:space="preserve"> relating to the sponsor, and material</w:t>
      </w:r>
      <w:r w:rsidR="00772F21" w:rsidRPr="00596442">
        <w:t xml:space="preserve"> is broadcast by a presenter who has a prescribed financial interest that could result in the presenter benefitting </w:t>
      </w:r>
      <w:r w:rsidR="00F3029E">
        <w:t>from the agreement</w:t>
      </w:r>
      <w:r w:rsidR="00772F21" w:rsidRPr="00596442">
        <w:t>.</w:t>
      </w:r>
    </w:p>
    <w:p w14:paraId="6509C701" w14:textId="2B4DBEAC" w:rsidR="00265A93" w:rsidRPr="00596442" w:rsidRDefault="00772F21" w:rsidP="00772F21">
      <w:pPr>
        <w:spacing w:before="120" w:after="120"/>
        <w:ind w:left="0" w:firstLine="0"/>
      </w:pPr>
      <w:r w:rsidRPr="00596442">
        <w:t xml:space="preserve">The </w:t>
      </w:r>
      <w:r w:rsidR="00E10F21">
        <w:t>Standard</w:t>
      </w:r>
      <w:r w:rsidRPr="00596442">
        <w:t xml:space="preserve"> also requires that certain details about relevant commercial agreements must be placed on a register, available to be viewed by the public online.</w:t>
      </w:r>
      <w:r w:rsidR="005E673D" w:rsidRPr="00596442">
        <w:t xml:space="preserve"> </w:t>
      </w:r>
    </w:p>
    <w:p w14:paraId="50CAEA4E" w14:textId="58B36C89" w:rsidR="000F6A86" w:rsidRPr="00596442" w:rsidRDefault="000F6A86" w:rsidP="005E673D">
      <w:pPr>
        <w:spacing w:before="120" w:after="120"/>
        <w:ind w:left="0" w:firstLine="0"/>
      </w:pPr>
      <w:bookmarkStart w:id="4" w:name="_Hlk81581583"/>
      <w:r w:rsidRPr="00596442">
        <w:t xml:space="preserve">Under the BSA, compliance with the Standard is a licence condition for </w:t>
      </w:r>
      <w:r w:rsidR="008E6E0F">
        <w:t xml:space="preserve">a </w:t>
      </w:r>
      <w:r w:rsidR="003B2DFE" w:rsidRPr="00596442">
        <w:t>commercial radio</w:t>
      </w:r>
      <w:r w:rsidRPr="00596442">
        <w:t xml:space="preserve"> </w:t>
      </w:r>
      <w:r w:rsidR="008E6E0F">
        <w:t xml:space="preserve">broadcasting </w:t>
      </w:r>
      <w:r w:rsidR="00CA105A">
        <w:t>licen</w:t>
      </w:r>
      <w:r w:rsidR="00B907EB">
        <w:t>se</w:t>
      </w:r>
      <w:r w:rsidR="00CA105A">
        <w:t>e</w:t>
      </w:r>
      <w:r w:rsidR="00CA105A" w:rsidRPr="00596442">
        <w:t xml:space="preserve"> </w:t>
      </w:r>
      <w:r w:rsidRPr="00596442">
        <w:t xml:space="preserve">(see </w:t>
      </w:r>
      <w:r w:rsidR="0069292A">
        <w:t>paragraph</w:t>
      </w:r>
      <w:r w:rsidR="00E97264">
        <w:t xml:space="preserve"> 8</w:t>
      </w:r>
      <w:r w:rsidR="0069292A">
        <w:t>(1)(b)</w:t>
      </w:r>
      <w:r w:rsidR="00E97264">
        <w:t xml:space="preserve"> </w:t>
      </w:r>
      <w:r w:rsidRPr="00596442">
        <w:t xml:space="preserve">of Schedule 2 to the BSA). </w:t>
      </w:r>
    </w:p>
    <w:bookmarkEnd w:id="4"/>
    <w:p w14:paraId="370E51D8" w14:textId="569E31AD" w:rsidR="00D20D6E" w:rsidRPr="00596442" w:rsidRDefault="00D20D6E" w:rsidP="00D20D6E">
      <w:pPr>
        <w:pStyle w:val="Heading3"/>
        <w:rPr>
          <w:rFonts w:ascii="Times New Roman" w:hAnsi="Times New Roman" w:cs="Times New Roman"/>
          <w:sz w:val="24"/>
          <w:szCs w:val="24"/>
        </w:rPr>
      </w:pPr>
      <w:r w:rsidRPr="00596442">
        <w:rPr>
          <w:rFonts w:ascii="Times New Roman" w:hAnsi="Times New Roman" w:cs="Times New Roman"/>
          <w:sz w:val="24"/>
          <w:szCs w:val="24"/>
        </w:rPr>
        <w:t>Human rights implications</w:t>
      </w:r>
    </w:p>
    <w:p w14:paraId="5FB5C335" w14:textId="75F70312" w:rsidR="00140591" w:rsidRPr="00596442" w:rsidRDefault="00140591" w:rsidP="00140591">
      <w:pPr>
        <w:rPr>
          <w:color w:val="000000"/>
        </w:rPr>
      </w:pPr>
      <w:r w:rsidRPr="00596442">
        <w:rPr>
          <w:color w:val="000000"/>
        </w:rPr>
        <w:t xml:space="preserve">The </w:t>
      </w:r>
      <w:r w:rsidR="00E10F21">
        <w:rPr>
          <w:color w:val="000000"/>
        </w:rPr>
        <w:t>Standard</w:t>
      </w:r>
      <w:r w:rsidRPr="00596442">
        <w:rPr>
          <w:color w:val="000000"/>
        </w:rPr>
        <w:t xml:space="preserve"> engages the following human rights:</w:t>
      </w:r>
    </w:p>
    <w:p w14:paraId="38DD6077" w14:textId="6F30CB39" w:rsidR="00583784" w:rsidRPr="00596442" w:rsidRDefault="00583784" w:rsidP="00583784">
      <w:pPr>
        <w:pStyle w:val="Default"/>
        <w:spacing w:before="240" w:after="120"/>
        <w:rPr>
          <w:i/>
          <w:iCs/>
        </w:rPr>
      </w:pPr>
      <w:r w:rsidRPr="00596442">
        <w:rPr>
          <w:i/>
          <w:iCs/>
        </w:rPr>
        <w:t>Freedom of expression</w:t>
      </w:r>
    </w:p>
    <w:p w14:paraId="3A0D49A2" w14:textId="6A499A6B" w:rsidR="00583784" w:rsidRPr="00596442" w:rsidRDefault="00583784" w:rsidP="00583784">
      <w:pPr>
        <w:pStyle w:val="Default"/>
        <w:spacing w:before="240" w:after="120"/>
      </w:pPr>
      <w:r w:rsidRPr="00596442">
        <w:t xml:space="preserve">Under the International Covenant on Civil and Political Rights (the </w:t>
      </w:r>
      <w:r w:rsidRPr="00596442">
        <w:rPr>
          <w:b/>
          <w:bCs/>
        </w:rPr>
        <w:t>ICCPR</w:t>
      </w:r>
      <w:r w:rsidRPr="00596442">
        <w:t>), any measures that restrict freedom of expression must be necessary and proportionate to the legitimate aims being sought.</w:t>
      </w:r>
    </w:p>
    <w:p w14:paraId="530AFC3E" w14:textId="203DC446" w:rsidR="00583784" w:rsidRPr="00596442" w:rsidRDefault="00583784" w:rsidP="00583784">
      <w:pPr>
        <w:pStyle w:val="Default"/>
        <w:spacing w:before="240" w:after="120"/>
      </w:pPr>
      <w:r w:rsidRPr="00596442">
        <w:t xml:space="preserve">The </w:t>
      </w:r>
      <w:r w:rsidR="00E10F21">
        <w:t xml:space="preserve">Standard </w:t>
      </w:r>
      <w:r w:rsidRPr="00596442">
        <w:t xml:space="preserve">engages the right to freedom of expression in only a limited way. It does not interfere with the ability of commercial radio presenters, </w:t>
      </w:r>
      <w:proofErr w:type="gramStart"/>
      <w:r w:rsidRPr="00596442">
        <w:t>licensees</w:t>
      </w:r>
      <w:proofErr w:type="gramEnd"/>
      <w:r w:rsidRPr="00596442">
        <w:t xml:space="preserve"> or sponsors to hold opinions and does not operate to prevent those parties seeking, receiving or imparting information or ideas through radio communications.</w:t>
      </w:r>
    </w:p>
    <w:p w14:paraId="0F2111D9" w14:textId="7C9F7948" w:rsidR="00583784" w:rsidRPr="00596442" w:rsidRDefault="00583784" w:rsidP="00583784">
      <w:pPr>
        <w:pStyle w:val="Default"/>
        <w:spacing w:before="240" w:after="120"/>
      </w:pPr>
      <w:r w:rsidRPr="00596442">
        <w:lastRenderedPageBreak/>
        <w:t xml:space="preserve">The </w:t>
      </w:r>
      <w:r w:rsidR="00AA0CFF">
        <w:t>Standard</w:t>
      </w:r>
      <w:r w:rsidR="00AA0CFF" w:rsidRPr="00596442">
        <w:t xml:space="preserve"> </w:t>
      </w:r>
      <w:r w:rsidRPr="00596442">
        <w:t>imposes responsibilities on commercial radio licensees and presenters to make disclosure announcements about commercial agreements that have the potential to influence the content of current affairs programs.</w:t>
      </w:r>
    </w:p>
    <w:p w14:paraId="2C2264CF" w14:textId="0FF56BFC" w:rsidR="00583784" w:rsidRPr="00596442" w:rsidRDefault="00583784" w:rsidP="00583784">
      <w:pPr>
        <w:pStyle w:val="Default"/>
        <w:spacing w:before="240" w:after="120"/>
      </w:pPr>
      <w:r w:rsidRPr="00596442">
        <w:t>Imposing these responsibilities on commercial radio licensees is proportionate and reasonable as it does not place restrictions on the information or ideas licensees disseminate. It is intended to ensure that listeners are made aware of the potential for commercial interests to influence current affairs information.</w:t>
      </w:r>
    </w:p>
    <w:p w14:paraId="3E822F85" w14:textId="73D66361" w:rsidR="00583784" w:rsidRPr="00596442" w:rsidRDefault="00583784" w:rsidP="00583784">
      <w:pPr>
        <w:pStyle w:val="Default"/>
        <w:spacing w:before="240" w:after="120"/>
      </w:pPr>
      <w:r w:rsidRPr="00596442">
        <w:t xml:space="preserve">The </w:t>
      </w:r>
      <w:r w:rsidR="00AA0CFF">
        <w:t xml:space="preserve">Standard </w:t>
      </w:r>
      <w:r w:rsidRPr="00596442">
        <w:t xml:space="preserve">is therefore consistent with Article 19 of the ICCPR, in that the </w:t>
      </w:r>
      <w:r w:rsidR="005E084D">
        <w:t xml:space="preserve">requirements </w:t>
      </w:r>
      <w:r w:rsidRPr="00596442">
        <w:t xml:space="preserve">imposed by </w:t>
      </w:r>
      <w:r w:rsidR="005E084D">
        <w:t>it</w:t>
      </w:r>
      <w:r w:rsidR="00AA0CFF" w:rsidRPr="00596442">
        <w:t xml:space="preserve"> </w:t>
      </w:r>
      <w:r w:rsidRPr="00596442">
        <w:t xml:space="preserve">are </w:t>
      </w:r>
      <w:r w:rsidR="005E084D">
        <w:t>designed</w:t>
      </w:r>
      <w:r w:rsidRPr="00596442">
        <w:t xml:space="preserve"> to ensure that the </w:t>
      </w:r>
      <w:r w:rsidR="00B87F6B">
        <w:t xml:space="preserve">legitimate </w:t>
      </w:r>
      <w:r w:rsidRPr="00596442">
        <w:t xml:space="preserve">rights of others </w:t>
      </w:r>
      <w:r w:rsidR="00B87F6B">
        <w:t xml:space="preserve">to receive relevant information </w:t>
      </w:r>
      <w:r w:rsidRPr="00596442">
        <w:t>are respected.</w:t>
      </w:r>
    </w:p>
    <w:p w14:paraId="14B8092A" w14:textId="77777777" w:rsidR="00583784" w:rsidRPr="00596442" w:rsidRDefault="00583784" w:rsidP="00583784">
      <w:pPr>
        <w:pStyle w:val="Default"/>
        <w:spacing w:before="240" w:after="120"/>
        <w:rPr>
          <w:i/>
          <w:iCs/>
        </w:rPr>
      </w:pPr>
      <w:r w:rsidRPr="00596442">
        <w:rPr>
          <w:i/>
          <w:iCs/>
        </w:rPr>
        <w:t>Right to privacy</w:t>
      </w:r>
    </w:p>
    <w:p w14:paraId="3C488B04" w14:textId="1C50F611" w:rsidR="00583784" w:rsidRPr="00596442" w:rsidRDefault="00583784" w:rsidP="00583784">
      <w:pPr>
        <w:pStyle w:val="Default"/>
        <w:spacing w:before="240" w:after="120"/>
      </w:pPr>
      <w:r w:rsidRPr="00596442">
        <w:t>A person’s right not to be subjected to unlawful interference with her or his privacy is protected in Article 17 of the ICCPR. The right to privacy protects against the unwarranted intrusion by society into an individual’s private sphere.</w:t>
      </w:r>
    </w:p>
    <w:p w14:paraId="07A68D27" w14:textId="58726B06" w:rsidR="00583784" w:rsidRPr="00596442" w:rsidRDefault="00583784" w:rsidP="00583784">
      <w:pPr>
        <w:pStyle w:val="Default"/>
        <w:spacing w:before="240" w:after="120"/>
      </w:pPr>
      <w:r w:rsidRPr="00596442">
        <w:t xml:space="preserve">The </w:t>
      </w:r>
      <w:r w:rsidR="0067207A">
        <w:t>Standard</w:t>
      </w:r>
      <w:r w:rsidR="0067207A" w:rsidRPr="00596442">
        <w:t xml:space="preserve"> </w:t>
      </w:r>
      <w:r w:rsidRPr="00596442">
        <w:t>engages the right to privacy in only a limited way and is directed towards the publication (on-air and in a publicly available online register) of prescribed information relating to commercial agreements entered into by licensees and presenters, including the disclosure of a limited amount of personal information.</w:t>
      </w:r>
    </w:p>
    <w:p w14:paraId="5D9B1184" w14:textId="79363BA6" w:rsidR="00583784" w:rsidRPr="00596442" w:rsidRDefault="00583784" w:rsidP="00583784">
      <w:pPr>
        <w:pStyle w:val="Default"/>
        <w:spacing w:before="240" w:after="120"/>
      </w:pPr>
      <w:r w:rsidRPr="00596442">
        <w:t>Section 1</w:t>
      </w:r>
      <w:r w:rsidR="00140591" w:rsidRPr="00596442">
        <w:t>4</w:t>
      </w:r>
      <w:r w:rsidRPr="00596442">
        <w:t xml:space="preserve"> of the </w:t>
      </w:r>
      <w:r w:rsidR="0067207A">
        <w:t>Standard</w:t>
      </w:r>
      <w:r w:rsidR="0067207A" w:rsidRPr="00596442">
        <w:t xml:space="preserve"> </w:t>
      </w:r>
      <w:r w:rsidRPr="00596442">
        <w:t xml:space="preserve">is crucial to ensuring that commercial radio </w:t>
      </w:r>
      <w:proofErr w:type="spellStart"/>
      <w:r w:rsidRPr="00596442">
        <w:t>licensees</w:t>
      </w:r>
      <w:proofErr w:type="spellEnd"/>
      <w:r w:rsidRPr="00596442">
        <w:t xml:space="preserve"> are responsive to the need for fair and accurate coverage of matters of public interest. The </w:t>
      </w:r>
      <w:r w:rsidR="0067207A">
        <w:t>Standard</w:t>
      </w:r>
      <w:r w:rsidRPr="00596442">
        <w:t xml:space="preserve"> requires current affairs presenters to disclose certain information about relevant commercial agreements with sponsors which have the potential to affect the content of the current affairs program. These disclosure requirements affect the right to privacy but serve the legitimate aim of ensuring the fair and accurate coverage of matters of public interest. Both the on-air and register disclosure requirements apply only to documents and information that are necessary to inform commercial radio listeners of potential commercial influence on current affairs programs. The application of the </w:t>
      </w:r>
      <w:r w:rsidR="009F4286">
        <w:t>Standard</w:t>
      </w:r>
      <w:r w:rsidR="009F4286" w:rsidRPr="00596442">
        <w:t xml:space="preserve"> </w:t>
      </w:r>
      <w:r w:rsidRPr="00596442">
        <w:t>is limited to information concerning commercial agreements between sponsors and either licensees or their current affairs presenters.</w:t>
      </w:r>
    </w:p>
    <w:p w14:paraId="78D420EC" w14:textId="17C1F0F4" w:rsidR="00583784" w:rsidRPr="00596442" w:rsidRDefault="00583784" w:rsidP="00583784">
      <w:pPr>
        <w:pStyle w:val="Default"/>
        <w:spacing w:before="240" w:after="120"/>
        <w:rPr>
          <w:b/>
          <w:bCs/>
        </w:rPr>
      </w:pPr>
      <w:r w:rsidRPr="00596442">
        <w:rPr>
          <w:b/>
          <w:bCs/>
        </w:rPr>
        <w:t>Conclusion</w:t>
      </w:r>
    </w:p>
    <w:p w14:paraId="7CFFEF9F" w14:textId="0BD1A073" w:rsidR="00583784" w:rsidRDefault="00583784" w:rsidP="00583784">
      <w:pPr>
        <w:pStyle w:val="Default"/>
        <w:spacing w:before="240" w:after="120"/>
      </w:pPr>
      <w:r w:rsidRPr="00596442">
        <w:t xml:space="preserve">The </w:t>
      </w:r>
      <w:r w:rsidR="009F4286">
        <w:t>Standard</w:t>
      </w:r>
      <w:r w:rsidR="009F4286" w:rsidRPr="00596442">
        <w:t xml:space="preserve"> </w:t>
      </w:r>
      <w:r w:rsidRPr="00596442">
        <w:t>is compatible with human rights and</w:t>
      </w:r>
      <w:r w:rsidR="00EF4788">
        <w:t>,</w:t>
      </w:r>
      <w:r w:rsidRPr="00596442">
        <w:t xml:space="preserve"> to the extent that it may limit human rights</w:t>
      </w:r>
      <w:r w:rsidR="00EF4788">
        <w:t>,</w:t>
      </w:r>
      <w:r w:rsidRPr="00596442">
        <w:t xml:space="preserve"> those limitations are reasonable, </w:t>
      </w:r>
      <w:proofErr w:type="gramStart"/>
      <w:r w:rsidRPr="00596442">
        <w:t>necessary</w:t>
      </w:r>
      <w:proofErr w:type="gramEnd"/>
      <w:r w:rsidRPr="00596442">
        <w:t xml:space="preserve"> and proportionate.</w:t>
      </w:r>
    </w:p>
    <w:p w14:paraId="0198AA91" w14:textId="77777777" w:rsidR="00583784" w:rsidRDefault="00583784" w:rsidP="00583784">
      <w:pPr>
        <w:pStyle w:val="Default"/>
        <w:spacing w:before="240" w:after="120"/>
      </w:pPr>
    </w:p>
    <w:p w14:paraId="47D05921" w14:textId="3954567A" w:rsidR="005A3791" w:rsidRPr="00140591" w:rsidRDefault="005A3791" w:rsidP="00140591">
      <w:pPr>
        <w:pStyle w:val="Default"/>
        <w:spacing w:before="240" w:after="120"/>
      </w:pPr>
    </w:p>
    <w:p w14:paraId="5CF0E22A" w14:textId="77777777" w:rsidR="005A3791" w:rsidRPr="003B2DFE" w:rsidRDefault="005A3791" w:rsidP="00E5777F">
      <w:pPr>
        <w:spacing w:after="240"/>
        <w:ind w:left="0" w:firstLine="0"/>
        <w:rPr>
          <w:b/>
          <w:i/>
        </w:rPr>
      </w:pPr>
    </w:p>
    <w:sectPr w:rsidR="005A3791" w:rsidRPr="003B2DFE" w:rsidSect="00F43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A40F" w14:textId="77777777" w:rsidR="001F390D" w:rsidRDefault="001F390D" w:rsidP="00BA20DD">
      <w:r>
        <w:separator/>
      </w:r>
    </w:p>
  </w:endnote>
  <w:endnote w:type="continuationSeparator" w:id="0">
    <w:p w14:paraId="4F72E2B8" w14:textId="77777777" w:rsidR="001F390D" w:rsidRDefault="001F390D" w:rsidP="00BA20DD">
      <w:r>
        <w:continuationSeparator/>
      </w:r>
    </w:p>
  </w:endnote>
  <w:endnote w:type="continuationNotice" w:id="1">
    <w:p w14:paraId="48A99C38" w14:textId="77777777" w:rsidR="001F390D" w:rsidRDefault="001F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2EC1" w14:textId="77777777" w:rsidR="00A662DA" w:rsidRDefault="00A66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25CC" w14:textId="77777777" w:rsidR="00644B9C" w:rsidRDefault="00644B9C" w:rsidP="00644B9C">
    <w:pPr>
      <w:pStyle w:val="ACMAReportDate"/>
      <w:pBdr>
        <w:top w:val="single" w:sz="4" w:space="1" w:color="auto"/>
      </w:pBdr>
      <w:jc w:val="center"/>
      <w:rPr>
        <w:lang w:val="en-US"/>
      </w:rPr>
    </w:pPr>
  </w:p>
  <w:p w14:paraId="6606DFA5" w14:textId="77777777" w:rsidR="00644B9C" w:rsidRPr="005E673D" w:rsidRDefault="00644B9C" w:rsidP="00644B9C">
    <w:pPr>
      <w:pStyle w:val="ACMAReportDate"/>
      <w:pBdr>
        <w:top w:val="single" w:sz="4" w:space="1" w:color="auto"/>
      </w:pBdr>
      <w:jc w:val="center"/>
      <w:rPr>
        <w:i/>
        <w:iCs/>
        <w:lang w:val="en-US"/>
      </w:rPr>
    </w:pPr>
    <w:r>
      <w:rPr>
        <w:lang w:val="en-US"/>
      </w:rPr>
      <w:t xml:space="preserve">Explanatory Statement to the </w:t>
    </w:r>
    <w:r w:rsidRPr="002B2D37">
      <w:rPr>
        <w:i/>
        <w:iCs/>
        <w:lang w:val="en-US"/>
      </w:rPr>
      <w:t>Broadcasting Services (Commercial Radio Current Affairs Disclosure)</w:t>
    </w:r>
    <w:r>
      <w:rPr>
        <w:i/>
        <w:iCs/>
        <w:lang w:val="en-US"/>
      </w:rPr>
      <w:br/>
    </w:r>
    <w:r w:rsidRPr="002B2D37">
      <w:rPr>
        <w:i/>
        <w:iCs/>
        <w:lang w:val="en-US"/>
      </w:rPr>
      <w:t>Standard 2022</w:t>
    </w:r>
  </w:p>
  <w:p w14:paraId="61D93E13" w14:textId="3A26592B" w:rsidR="007D0087" w:rsidRPr="00A524EA" w:rsidRDefault="00644B9C" w:rsidP="00A524EA">
    <w:pPr>
      <w:pStyle w:val="Footer"/>
      <w:tabs>
        <w:tab w:val="clear" w:pos="8306"/>
      </w:tabs>
      <w:ind w:left="0" w:right="-483" w:firstLine="0"/>
      <w:jc w:val="right"/>
      <w:rPr>
        <w:sz w:val="20"/>
        <w:szCs w:val="20"/>
      </w:rPr>
    </w:pPr>
    <w:r w:rsidRPr="00233211">
      <w:rPr>
        <w:snapToGrid w:val="0"/>
        <w:sz w:val="20"/>
        <w:szCs w:val="20"/>
        <w:lang w:eastAsia="en-US"/>
      </w:rPr>
      <w:fldChar w:fldCharType="begin"/>
    </w:r>
    <w:r w:rsidRPr="00233211">
      <w:instrText xml:space="preserve"> PAGE   \* MERGEFORMAT </w:instrText>
    </w:r>
    <w:r w:rsidRPr="00233211">
      <w:rPr>
        <w:snapToGrid w:val="0"/>
        <w:sz w:val="20"/>
        <w:szCs w:val="20"/>
        <w:lang w:eastAsia="en-US"/>
      </w:rPr>
      <w:fldChar w:fldCharType="separate"/>
    </w:r>
    <w:r>
      <w:t>3</w:t>
    </w:r>
    <w:r w:rsidRPr="00233211">
      <w:rPr>
        <w:noProof/>
        <w:snapToGrid w:val="0"/>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CF2C" w14:textId="77777777" w:rsidR="00A662DA" w:rsidRDefault="00A66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F82D" w14:textId="77777777" w:rsidR="00F43D34" w:rsidRDefault="00F43D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BC01" w14:textId="77777777" w:rsidR="007A15A1" w:rsidRDefault="007A15A1" w:rsidP="007A15A1">
    <w:pPr>
      <w:pStyle w:val="ACMAReportDate"/>
      <w:pBdr>
        <w:top w:val="single" w:sz="4" w:space="1" w:color="auto"/>
      </w:pBdr>
      <w:jc w:val="center"/>
      <w:rPr>
        <w:lang w:val="en-US"/>
      </w:rPr>
    </w:pPr>
  </w:p>
  <w:p w14:paraId="41CDFFCE" w14:textId="2BD48EE5" w:rsidR="007A15A1" w:rsidRPr="005E673D" w:rsidRDefault="007A15A1" w:rsidP="007A15A1">
    <w:pPr>
      <w:pStyle w:val="ACMAReportDate"/>
      <w:pBdr>
        <w:top w:val="single" w:sz="4" w:space="1" w:color="auto"/>
      </w:pBdr>
      <w:jc w:val="center"/>
      <w:rPr>
        <w:i/>
        <w:iCs/>
        <w:lang w:val="en-US"/>
      </w:rPr>
    </w:pPr>
    <w:r>
      <w:rPr>
        <w:lang w:val="en-US"/>
      </w:rPr>
      <w:t xml:space="preserve">Explanatory Statement to the </w:t>
    </w:r>
    <w:r w:rsidRPr="002B2D37">
      <w:rPr>
        <w:i/>
        <w:iCs/>
        <w:lang w:val="en-US"/>
      </w:rPr>
      <w:t>Broadcasting Services (Commercial Radio Current Affairs Disclosure)</w:t>
    </w:r>
    <w:r w:rsidR="00A662DA">
      <w:rPr>
        <w:i/>
        <w:iCs/>
        <w:lang w:val="en-US"/>
      </w:rPr>
      <w:br/>
    </w:r>
    <w:r w:rsidRPr="002B2D37">
      <w:rPr>
        <w:i/>
        <w:iCs/>
        <w:lang w:val="en-US"/>
      </w:rPr>
      <w:t>Standard 2022</w:t>
    </w:r>
  </w:p>
  <w:p w14:paraId="55E7E177" w14:textId="1C97A8F7" w:rsidR="00F43D34" w:rsidRPr="00A524EA" w:rsidRDefault="00644B9C" w:rsidP="00A524EA">
    <w:pPr>
      <w:pStyle w:val="Footer"/>
      <w:jc w:val="right"/>
      <w:rPr>
        <w:sz w:val="20"/>
        <w:szCs w:val="20"/>
      </w:rPr>
    </w:pPr>
    <w:r w:rsidRPr="00A524EA">
      <w:rPr>
        <w:sz w:val="20"/>
        <w:szCs w:val="20"/>
      </w:rPr>
      <w:fldChar w:fldCharType="begin"/>
    </w:r>
    <w:r w:rsidRPr="00A524EA">
      <w:rPr>
        <w:sz w:val="20"/>
        <w:szCs w:val="20"/>
      </w:rPr>
      <w:instrText xml:space="preserve"> PAGE   \* MERGEFORMAT </w:instrText>
    </w:r>
    <w:r w:rsidRPr="00A524EA">
      <w:rPr>
        <w:sz w:val="20"/>
        <w:szCs w:val="20"/>
      </w:rPr>
      <w:fldChar w:fldCharType="separate"/>
    </w:r>
    <w:r w:rsidRPr="00A524EA">
      <w:rPr>
        <w:noProof/>
        <w:sz w:val="20"/>
        <w:szCs w:val="20"/>
      </w:rPr>
      <w:t>1</w:t>
    </w:r>
    <w:r w:rsidRPr="00A524EA">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ED3" w14:textId="77777777" w:rsidR="00F43D34" w:rsidRDefault="00F4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E148" w14:textId="77777777" w:rsidR="001F390D" w:rsidRDefault="001F390D" w:rsidP="00BA20DD">
      <w:r>
        <w:separator/>
      </w:r>
    </w:p>
  </w:footnote>
  <w:footnote w:type="continuationSeparator" w:id="0">
    <w:p w14:paraId="3B499685" w14:textId="77777777" w:rsidR="001F390D" w:rsidRDefault="001F390D" w:rsidP="00BA20DD">
      <w:r>
        <w:continuationSeparator/>
      </w:r>
    </w:p>
  </w:footnote>
  <w:footnote w:type="continuationNotice" w:id="1">
    <w:p w14:paraId="1C10F6A6" w14:textId="77777777" w:rsidR="001F390D" w:rsidRDefault="001F390D"/>
  </w:footnote>
  <w:footnote w:id="2">
    <w:p w14:paraId="7023B22D" w14:textId="307F45F4" w:rsidR="00F94BFE" w:rsidRDefault="00F94BFE" w:rsidP="002458F2">
      <w:pPr>
        <w:pStyle w:val="FootnoteText"/>
        <w:ind w:left="0" w:firstLine="0"/>
      </w:pPr>
      <w:r>
        <w:rPr>
          <w:rStyle w:val="FootnoteReference"/>
        </w:rPr>
        <w:footnoteRef/>
      </w:r>
      <w:r>
        <w:t xml:space="preserve"> </w:t>
      </w:r>
      <w:r w:rsidRPr="00F94BFE">
        <w:t xml:space="preserve">This case was decided under the </w:t>
      </w:r>
      <w:r w:rsidRPr="00F94BFE">
        <w:rPr>
          <w:i/>
          <w:iCs/>
        </w:rPr>
        <w:t>Broadcasting Services (Commercial Radio Current Affairs Disclosure) Standard 2000</w:t>
      </w:r>
      <w:r w:rsidR="001C5DCE">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DBE9" w14:textId="74373DCA" w:rsidR="007D0087" w:rsidRDefault="00BE6515" w:rsidP="00BA20DD">
    <w:pPr>
      <w:pStyle w:val="Header"/>
    </w:pPr>
    <w:r>
      <w:rPr>
        <w:noProof/>
      </w:rPr>
      <mc:AlternateContent>
        <mc:Choice Requires="wps">
          <w:drawing>
            <wp:anchor distT="0" distB="0" distL="114300" distR="114300" simplePos="0" relativeHeight="251658241" behindDoc="1" locked="0" layoutInCell="0" allowOverlap="1" wp14:anchorId="4319E8EC" wp14:editId="14039A4B">
              <wp:simplePos x="0" y="0"/>
              <wp:positionH relativeFrom="margin">
                <wp:align>center</wp:align>
              </wp:positionH>
              <wp:positionV relativeFrom="margin">
                <wp:align>center</wp:align>
              </wp:positionV>
              <wp:extent cx="5311140" cy="2124075"/>
              <wp:effectExtent l="0" t="1352550" r="0" b="122872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9C76B7"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19E8EC" id="_x0000_t202" coordsize="21600,21600" o:spt="202" path="m,l,21600r21600,l21600,xe">
              <v:stroke joinstyle="miter"/>
              <v:path gradientshapeok="t" o:connecttype="rect"/>
            </v:shapetype>
            <v:shape id="WordArt 4" o:spid="_x0000_s1026" type="#_x0000_t202" style="position:absolute;left:0;text-align:left;margin-left:0;margin-top:0;width:418.2pt;height:16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" o:allowincell="f" filled="f" stroked="f">
              <v:stroke joinstyle="round"/>
              <o:lock v:ext="edit" shapetype="t"/>
              <v:textbox style="mso-fit-shape-to-text:t">
                <w:txbxContent>
                  <w:p w14:paraId="439C76B7"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FCDA" w14:textId="064A5D21" w:rsidR="00310967" w:rsidRPr="00310967" w:rsidRDefault="00310967" w:rsidP="00310967">
    <w:pPr>
      <w:pStyle w:val="Header"/>
      <w:jc w:val="right"/>
      <w:rPr>
        <w:rFonts w:ascii="Arial" w:hAnsi="Arial" w:cs="Arial"/>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C714" w14:textId="5AFE98C2" w:rsidR="007D0087" w:rsidRDefault="00BE6515" w:rsidP="00BA20DD">
    <w:pPr>
      <w:pStyle w:val="Header"/>
    </w:pPr>
    <w:r>
      <w:rPr>
        <w:noProof/>
      </w:rPr>
      <mc:AlternateContent>
        <mc:Choice Requires="wps">
          <w:drawing>
            <wp:anchor distT="0" distB="0" distL="114300" distR="114300" simplePos="0" relativeHeight="251658240" behindDoc="1" locked="0" layoutInCell="0" allowOverlap="1" wp14:anchorId="0B9DFA02" wp14:editId="6969A9F1">
              <wp:simplePos x="0" y="0"/>
              <wp:positionH relativeFrom="margin">
                <wp:align>center</wp:align>
              </wp:positionH>
              <wp:positionV relativeFrom="margin">
                <wp:align>center</wp:align>
              </wp:positionV>
              <wp:extent cx="5311140" cy="2124075"/>
              <wp:effectExtent l="0" t="1352550" r="0" b="12287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32F27B"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9DFA02" id="_x0000_t202" coordsize="21600,21600" o:spt="202" path="m,l,21600r21600,l21600,xe">
              <v:stroke joinstyle="miter"/>
              <v:path gradientshapeok="t" o:connecttype="rect"/>
            </v:shapetype>
            <v:shape id="WordArt 3" o:spid="_x0000_s1027" type="#_x0000_t202" style="position:absolute;left:0;text-align:left;margin-left:0;margin-top:0;width:418.2pt;height:167.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" o:allowincell="f" filled="f" stroked="f">
              <v:stroke joinstyle="round"/>
              <o:lock v:ext="edit" shapetype="t"/>
              <v:textbox style="mso-fit-shape-to-text:t">
                <w:txbxContent>
                  <w:p w14:paraId="7732F27B"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9426" w14:textId="4BC37DDD" w:rsidR="00F43D34" w:rsidRDefault="00F43D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03B7" w14:textId="25C06938" w:rsidR="00F43D34" w:rsidRDefault="00F43D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6609" w14:textId="6DE38072" w:rsidR="00F43D34" w:rsidRDefault="00F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F9"/>
    <w:multiLevelType w:val="hybridMultilevel"/>
    <w:tmpl w:val="693CA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8B57DC"/>
    <w:multiLevelType w:val="hybridMultilevel"/>
    <w:tmpl w:val="DAE8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A1E9C"/>
    <w:multiLevelType w:val="hybridMultilevel"/>
    <w:tmpl w:val="166C76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4296F"/>
    <w:multiLevelType w:val="hybridMultilevel"/>
    <w:tmpl w:val="656C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D47CF"/>
    <w:multiLevelType w:val="hybridMultilevel"/>
    <w:tmpl w:val="2888718E"/>
    <w:lvl w:ilvl="0" w:tplc="68CE2092">
      <w:start w:val="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673D"/>
    <w:multiLevelType w:val="hybridMultilevel"/>
    <w:tmpl w:val="B6E879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B7B67"/>
    <w:multiLevelType w:val="hybridMultilevel"/>
    <w:tmpl w:val="E26AB0EE"/>
    <w:lvl w:ilvl="0" w:tplc="D6F296C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E8F1758"/>
    <w:multiLevelType w:val="hybridMultilevel"/>
    <w:tmpl w:val="782A72C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D0C9D"/>
    <w:multiLevelType w:val="hybridMultilevel"/>
    <w:tmpl w:val="1B46D67A"/>
    <w:lvl w:ilvl="0" w:tplc="38FECAA2">
      <w:start w:val="1"/>
      <w:numFmt w:val="bullet"/>
      <w:lvlText w:val=""/>
      <w:lvlJc w:val="left"/>
      <w:pPr>
        <w:tabs>
          <w:tab w:val="num" w:pos="901"/>
        </w:tabs>
        <w:ind w:left="901" w:hanging="360"/>
      </w:pPr>
      <w:rPr>
        <w:rFonts w:ascii="Symbol" w:hAnsi="Symbol" w:hint="default"/>
      </w:rPr>
    </w:lvl>
    <w:lvl w:ilvl="1" w:tplc="0C090003" w:tentative="1">
      <w:start w:val="1"/>
      <w:numFmt w:val="bullet"/>
      <w:lvlText w:val="o"/>
      <w:lvlJc w:val="left"/>
      <w:pPr>
        <w:tabs>
          <w:tab w:val="num" w:pos="901"/>
        </w:tabs>
        <w:ind w:left="901" w:hanging="360"/>
      </w:pPr>
      <w:rPr>
        <w:rFonts w:ascii="Courier New" w:hAnsi="Courier New" w:cs="Courier New" w:hint="default"/>
      </w:rPr>
    </w:lvl>
    <w:lvl w:ilvl="2" w:tplc="0C090005" w:tentative="1">
      <w:start w:val="1"/>
      <w:numFmt w:val="bullet"/>
      <w:lvlText w:val=""/>
      <w:lvlJc w:val="left"/>
      <w:pPr>
        <w:tabs>
          <w:tab w:val="num" w:pos="1621"/>
        </w:tabs>
        <w:ind w:left="1621" w:hanging="360"/>
      </w:pPr>
      <w:rPr>
        <w:rFonts w:ascii="Wingdings" w:hAnsi="Wingdings" w:hint="default"/>
      </w:rPr>
    </w:lvl>
    <w:lvl w:ilvl="3" w:tplc="0C090001" w:tentative="1">
      <w:start w:val="1"/>
      <w:numFmt w:val="bullet"/>
      <w:lvlText w:val=""/>
      <w:lvlJc w:val="left"/>
      <w:pPr>
        <w:tabs>
          <w:tab w:val="num" w:pos="2341"/>
        </w:tabs>
        <w:ind w:left="2341" w:hanging="360"/>
      </w:pPr>
      <w:rPr>
        <w:rFonts w:ascii="Symbol" w:hAnsi="Symbol" w:hint="default"/>
      </w:rPr>
    </w:lvl>
    <w:lvl w:ilvl="4" w:tplc="0C090003" w:tentative="1">
      <w:start w:val="1"/>
      <w:numFmt w:val="bullet"/>
      <w:lvlText w:val="o"/>
      <w:lvlJc w:val="left"/>
      <w:pPr>
        <w:tabs>
          <w:tab w:val="num" w:pos="3061"/>
        </w:tabs>
        <w:ind w:left="3061" w:hanging="360"/>
      </w:pPr>
      <w:rPr>
        <w:rFonts w:ascii="Courier New" w:hAnsi="Courier New" w:cs="Courier New" w:hint="default"/>
      </w:rPr>
    </w:lvl>
    <w:lvl w:ilvl="5" w:tplc="0C090005" w:tentative="1">
      <w:start w:val="1"/>
      <w:numFmt w:val="bullet"/>
      <w:lvlText w:val=""/>
      <w:lvlJc w:val="left"/>
      <w:pPr>
        <w:tabs>
          <w:tab w:val="num" w:pos="3781"/>
        </w:tabs>
        <w:ind w:left="3781" w:hanging="360"/>
      </w:pPr>
      <w:rPr>
        <w:rFonts w:ascii="Wingdings" w:hAnsi="Wingdings" w:hint="default"/>
      </w:rPr>
    </w:lvl>
    <w:lvl w:ilvl="6" w:tplc="0C090001" w:tentative="1">
      <w:start w:val="1"/>
      <w:numFmt w:val="bullet"/>
      <w:lvlText w:val=""/>
      <w:lvlJc w:val="left"/>
      <w:pPr>
        <w:tabs>
          <w:tab w:val="num" w:pos="4501"/>
        </w:tabs>
        <w:ind w:left="4501" w:hanging="360"/>
      </w:pPr>
      <w:rPr>
        <w:rFonts w:ascii="Symbol" w:hAnsi="Symbol" w:hint="default"/>
      </w:rPr>
    </w:lvl>
    <w:lvl w:ilvl="7" w:tplc="0C090003" w:tentative="1">
      <w:start w:val="1"/>
      <w:numFmt w:val="bullet"/>
      <w:lvlText w:val="o"/>
      <w:lvlJc w:val="left"/>
      <w:pPr>
        <w:tabs>
          <w:tab w:val="num" w:pos="5221"/>
        </w:tabs>
        <w:ind w:left="5221" w:hanging="360"/>
      </w:pPr>
      <w:rPr>
        <w:rFonts w:ascii="Courier New" w:hAnsi="Courier New" w:cs="Courier New" w:hint="default"/>
      </w:rPr>
    </w:lvl>
    <w:lvl w:ilvl="8" w:tplc="0C090005" w:tentative="1">
      <w:start w:val="1"/>
      <w:numFmt w:val="bullet"/>
      <w:lvlText w:val=""/>
      <w:lvlJc w:val="left"/>
      <w:pPr>
        <w:tabs>
          <w:tab w:val="num" w:pos="5941"/>
        </w:tabs>
        <w:ind w:left="5941" w:hanging="360"/>
      </w:pPr>
      <w:rPr>
        <w:rFonts w:ascii="Wingdings" w:hAnsi="Wingdings" w:hint="default"/>
      </w:rPr>
    </w:lvl>
  </w:abstractNum>
  <w:abstractNum w:abstractNumId="1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8442A"/>
    <w:multiLevelType w:val="hybridMultilevel"/>
    <w:tmpl w:val="876C9BD6"/>
    <w:lvl w:ilvl="0" w:tplc="CB34FF4A">
      <w:start w:val="2"/>
      <w:numFmt w:val="decimal"/>
      <w:lvlText w:val="%1."/>
      <w:lvlJc w:val="left"/>
      <w:pPr>
        <w:ind w:left="1798" w:hanging="360"/>
      </w:pPr>
      <w:rPr>
        <w:rFonts w:hint="default"/>
      </w:r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2" w15:restartNumberingAfterBreak="0">
    <w:nsid w:val="30CD5817"/>
    <w:multiLevelType w:val="hybridMultilevel"/>
    <w:tmpl w:val="569881B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A57AB5"/>
    <w:multiLevelType w:val="hybridMultilevel"/>
    <w:tmpl w:val="7F901900"/>
    <w:lvl w:ilvl="0" w:tplc="3B161044">
      <w:start w:val="1"/>
      <w:numFmt w:val="bullet"/>
      <w:lvlText w:val=""/>
      <w:lvlJc w:val="left"/>
      <w:pPr>
        <w:tabs>
          <w:tab w:val="num" w:pos="902"/>
        </w:tabs>
        <w:ind w:left="902" w:hanging="362"/>
      </w:pPr>
      <w:rPr>
        <w:rFonts w:ascii="Symbol" w:hAnsi="Symbol" w:hint="default"/>
      </w:rPr>
    </w:lvl>
    <w:lvl w:ilvl="1" w:tplc="0C090003" w:tentative="1">
      <w:start w:val="1"/>
      <w:numFmt w:val="bullet"/>
      <w:lvlText w:val="o"/>
      <w:lvlJc w:val="left"/>
      <w:pPr>
        <w:tabs>
          <w:tab w:val="num" w:pos="2161"/>
        </w:tabs>
        <w:ind w:left="2161" w:hanging="360"/>
      </w:pPr>
      <w:rPr>
        <w:rFonts w:ascii="Courier New" w:hAnsi="Courier New" w:cs="Courier New"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14" w15:restartNumberingAfterBreak="0">
    <w:nsid w:val="344A30AB"/>
    <w:multiLevelType w:val="hybridMultilevel"/>
    <w:tmpl w:val="BF06F5E0"/>
    <w:lvl w:ilvl="0" w:tplc="0C09000F">
      <w:start w:val="1"/>
      <w:numFmt w:val="decimal"/>
      <w:lvlText w:val="%1."/>
      <w:lvlJc w:val="left"/>
      <w:pPr>
        <w:ind w:left="1259" w:hanging="360"/>
      </w:p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5" w15:restartNumberingAfterBreak="0">
    <w:nsid w:val="35204608"/>
    <w:multiLevelType w:val="hybridMultilevel"/>
    <w:tmpl w:val="EC704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45E0A"/>
    <w:multiLevelType w:val="hybridMultilevel"/>
    <w:tmpl w:val="6E8C5038"/>
    <w:lvl w:ilvl="0" w:tplc="FD2647AA">
      <w:start w:val="1"/>
      <w:numFmt w:val="bullet"/>
      <w:lvlText w:val=""/>
      <w:lvlJc w:val="left"/>
      <w:pPr>
        <w:tabs>
          <w:tab w:val="num" w:pos="1441"/>
        </w:tabs>
        <w:ind w:left="1441" w:hanging="901"/>
      </w:pPr>
      <w:rPr>
        <w:rFonts w:ascii="Symbol" w:hAnsi="Symbol" w:hint="default"/>
      </w:rPr>
    </w:lvl>
    <w:lvl w:ilvl="1" w:tplc="2A3227F0">
      <w:numFmt w:val="bullet"/>
      <w:lvlText w:val="·"/>
      <w:lvlJc w:val="left"/>
      <w:pPr>
        <w:ind w:left="2311" w:hanging="510"/>
      </w:pPr>
      <w:rPr>
        <w:rFonts w:ascii="Calibri" w:eastAsia="Calibri" w:hAnsi="Calibri" w:cs="Calibri"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17" w15:restartNumberingAfterBreak="0">
    <w:nsid w:val="37020905"/>
    <w:multiLevelType w:val="hybridMultilevel"/>
    <w:tmpl w:val="439C364A"/>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B1517C"/>
    <w:multiLevelType w:val="hybridMultilevel"/>
    <w:tmpl w:val="7E12EFAA"/>
    <w:lvl w:ilvl="0" w:tplc="0C090001">
      <w:start w:val="1"/>
      <w:numFmt w:val="bullet"/>
      <w:lvlText w:val=""/>
      <w:lvlJc w:val="left"/>
      <w:pPr>
        <w:tabs>
          <w:tab w:val="num" w:pos="901"/>
        </w:tabs>
        <w:ind w:left="901" w:hanging="360"/>
      </w:pPr>
      <w:rPr>
        <w:rFonts w:ascii="Symbol" w:hAnsi="Symbol" w:hint="default"/>
      </w:rPr>
    </w:lvl>
    <w:lvl w:ilvl="1" w:tplc="0C090003" w:tentative="1">
      <w:start w:val="1"/>
      <w:numFmt w:val="bullet"/>
      <w:lvlText w:val="o"/>
      <w:lvlJc w:val="left"/>
      <w:pPr>
        <w:tabs>
          <w:tab w:val="num" w:pos="1621"/>
        </w:tabs>
        <w:ind w:left="1621" w:hanging="360"/>
      </w:pPr>
      <w:rPr>
        <w:rFonts w:ascii="Courier New" w:hAnsi="Courier New" w:cs="Courier New" w:hint="default"/>
      </w:rPr>
    </w:lvl>
    <w:lvl w:ilvl="2" w:tplc="0C090005" w:tentative="1">
      <w:start w:val="1"/>
      <w:numFmt w:val="bullet"/>
      <w:lvlText w:val=""/>
      <w:lvlJc w:val="left"/>
      <w:pPr>
        <w:tabs>
          <w:tab w:val="num" w:pos="2341"/>
        </w:tabs>
        <w:ind w:left="2341" w:hanging="360"/>
      </w:pPr>
      <w:rPr>
        <w:rFonts w:ascii="Wingdings" w:hAnsi="Wingdings" w:hint="default"/>
      </w:rPr>
    </w:lvl>
    <w:lvl w:ilvl="3" w:tplc="0C090001" w:tentative="1">
      <w:start w:val="1"/>
      <w:numFmt w:val="bullet"/>
      <w:lvlText w:val=""/>
      <w:lvlJc w:val="left"/>
      <w:pPr>
        <w:tabs>
          <w:tab w:val="num" w:pos="3061"/>
        </w:tabs>
        <w:ind w:left="3061" w:hanging="360"/>
      </w:pPr>
      <w:rPr>
        <w:rFonts w:ascii="Symbol" w:hAnsi="Symbol" w:hint="default"/>
      </w:rPr>
    </w:lvl>
    <w:lvl w:ilvl="4" w:tplc="0C090003" w:tentative="1">
      <w:start w:val="1"/>
      <w:numFmt w:val="bullet"/>
      <w:lvlText w:val="o"/>
      <w:lvlJc w:val="left"/>
      <w:pPr>
        <w:tabs>
          <w:tab w:val="num" w:pos="3781"/>
        </w:tabs>
        <w:ind w:left="3781" w:hanging="360"/>
      </w:pPr>
      <w:rPr>
        <w:rFonts w:ascii="Courier New" w:hAnsi="Courier New" w:cs="Courier New" w:hint="default"/>
      </w:rPr>
    </w:lvl>
    <w:lvl w:ilvl="5" w:tplc="0C090005" w:tentative="1">
      <w:start w:val="1"/>
      <w:numFmt w:val="bullet"/>
      <w:lvlText w:val=""/>
      <w:lvlJc w:val="left"/>
      <w:pPr>
        <w:tabs>
          <w:tab w:val="num" w:pos="4501"/>
        </w:tabs>
        <w:ind w:left="4501" w:hanging="360"/>
      </w:pPr>
      <w:rPr>
        <w:rFonts w:ascii="Wingdings" w:hAnsi="Wingdings" w:hint="default"/>
      </w:rPr>
    </w:lvl>
    <w:lvl w:ilvl="6" w:tplc="0C090001" w:tentative="1">
      <w:start w:val="1"/>
      <w:numFmt w:val="bullet"/>
      <w:lvlText w:val=""/>
      <w:lvlJc w:val="left"/>
      <w:pPr>
        <w:tabs>
          <w:tab w:val="num" w:pos="5221"/>
        </w:tabs>
        <w:ind w:left="5221" w:hanging="360"/>
      </w:pPr>
      <w:rPr>
        <w:rFonts w:ascii="Symbol" w:hAnsi="Symbol" w:hint="default"/>
      </w:rPr>
    </w:lvl>
    <w:lvl w:ilvl="7" w:tplc="0C090003" w:tentative="1">
      <w:start w:val="1"/>
      <w:numFmt w:val="bullet"/>
      <w:lvlText w:val="o"/>
      <w:lvlJc w:val="left"/>
      <w:pPr>
        <w:tabs>
          <w:tab w:val="num" w:pos="5941"/>
        </w:tabs>
        <w:ind w:left="5941" w:hanging="360"/>
      </w:pPr>
      <w:rPr>
        <w:rFonts w:ascii="Courier New" w:hAnsi="Courier New" w:cs="Courier New" w:hint="default"/>
      </w:rPr>
    </w:lvl>
    <w:lvl w:ilvl="8" w:tplc="0C090005" w:tentative="1">
      <w:start w:val="1"/>
      <w:numFmt w:val="bullet"/>
      <w:lvlText w:val=""/>
      <w:lvlJc w:val="left"/>
      <w:pPr>
        <w:tabs>
          <w:tab w:val="num" w:pos="6661"/>
        </w:tabs>
        <w:ind w:left="6661" w:hanging="360"/>
      </w:pPr>
      <w:rPr>
        <w:rFonts w:ascii="Wingdings" w:hAnsi="Wingdings" w:hint="default"/>
      </w:rPr>
    </w:lvl>
  </w:abstractNum>
  <w:abstractNum w:abstractNumId="19" w15:restartNumberingAfterBreak="0">
    <w:nsid w:val="383E6C60"/>
    <w:multiLevelType w:val="hybridMultilevel"/>
    <w:tmpl w:val="D37852D2"/>
    <w:lvl w:ilvl="0" w:tplc="D6F296C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D4951A1"/>
    <w:multiLevelType w:val="hybridMultilevel"/>
    <w:tmpl w:val="BC686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234893"/>
    <w:multiLevelType w:val="hybridMultilevel"/>
    <w:tmpl w:val="DD5C9F4A"/>
    <w:lvl w:ilvl="0" w:tplc="FD2647AA">
      <w:start w:val="1"/>
      <w:numFmt w:val="bullet"/>
      <w:lvlText w:val=""/>
      <w:lvlJc w:val="left"/>
      <w:pPr>
        <w:tabs>
          <w:tab w:val="num" w:pos="901"/>
        </w:tabs>
        <w:ind w:left="901" w:hanging="901"/>
      </w:pPr>
      <w:rPr>
        <w:rFonts w:ascii="Symbol" w:hAnsi="Symbol" w:hint="default"/>
      </w:rPr>
    </w:lvl>
    <w:lvl w:ilvl="1" w:tplc="0C090003" w:tentative="1">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620" w:hanging="360"/>
      </w:pPr>
      <w:rPr>
        <w:rFonts w:ascii="Wingdings" w:hAnsi="Wingdings" w:hint="default"/>
      </w:rPr>
    </w:lvl>
    <w:lvl w:ilvl="3" w:tplc="0C090001" w:tentative="1">
      <w:start w:val="1"/>
      <w:numFmt w:val="bullet"/>
      <w:lvlText w:val=""/>
      <w:lvlJc w:val="left"/>
      <w:pPr>
        <w:ind w:left="2340" w:hanging="360"/>
      </w:pPr>
      <w:rPr>
        <w:rFonts w:ascii="Symbol" w:hAnsi="Symbol" w:hint="default"/>
      </w:rPr>
    </w:lvl>
    <w:lvl w:ilvl="4" w:tplc="0C090003" w:tentative="1">
      <w:start w:val="1"/>
      <w:numFmt w:val="bullet"/>
      <w:lvlText w:val="o"/>
      <w:lvlJc w:val="left"/>
      <w:pPr>
        <w:ind w:left="3060" w:hanging="360"/>
      </w:pPr>
      <w:rPr>
        <w:rFonts w:ascii="Courier New" w:hAnsi="Courier New" w:cs="Courier New" w:hint="default"/>
      </w:rPr>
    </w:lvl>
    <w:lvl w:ilvl="5" w:tplc="0C090005" w:tentative="1">
      <w:start w:val="1"/>
      <w:numFmt w:val="bullet"/>
      <w:lvlText w:val=""/>
      <w:lvlJc w:val="left"/>
      <w:pPr>
        <w:ind w:left="3780" w:hanging="360"/>
      </w:pPr>
      <w:rPr>
        <w:rFonts w:ascii="Wingdings" w:hAnsi="Wingdings" w:hint="default"/>
      </w:rPr>
    </w:lvl>
    <w:lvl w:ilvl="6" w:tplc="0C090001" w:tentative="1">
      <w:start w:val="1"/>
      <w:numFmt w:val="bullet"/>
      <w:lvlText w:val=""/>
      <w:lvlJc w:val="left"/>
      <w:pPr>
        <w:ind w:left="4500" w:hanging="360"/>
      </w:pPr>
      <w:rPr>
        <w:rFonts w:ascii="Symbol" w:hAnsi="Symbol" w:hint="default"/>
      </w:rPr>
    </w:lvl>
    <w:lvl w:ilvl="7" w:tplc="0C090003" w:tentative="1">
      <w:start w:val="1"/>
      <w:numFmt w:val="bullet"/>
      <w:lvlText w:val="o"/>
      <w:lvlJc w:val="left"/>
      <w:pPr>
        <w:ind w:left="5220" w:hanging="360"/>
      </w:pPr>
      <w:rPr>
        <w:rFonts w:ascii="Courier New" w:hAnsi="Courier New" w:cs="Courier New" w:hint="default"/>
      </w:rPr>
    </w:lvl>
    <w:lvl w:ilvl="8" w:tplc="0C090005" w:tentative="1">
      <w:start w:val="1"/>
      <w:numFmt w:val="bullet"/>
      <w:lvlText w:val=""/>
      <w:lvlJc w:val="left"/>
      <w:pPr>
        <w:ind w:left="5940" w:hanging="360"/>
      </w:pPr>
      <w:rPr>
        <w:rFonts w:ascii="Wingdings" w:hAnsi="Wingdings" w:hint="default"/>
      </w:rPr>
    </w:lvl>
  </w:abstractNum>
  <w:abstractNum w:abstractNumId="22" w15:restartNumberingAfterBreak="0">
    <w:nsid w:val="41C6078D"/>
    <w:multiLevelType w:val="hybridMultilevel"/>
    <w:tmpl w:val="0A884550"/>
    <w:lvl w:ilvl="0" w:tplc="CB34FF4A">
      <w:start w:val="2"/>
      <w:numFmt w:val="decimal"/>
      <w:lvlText w:val="%1."/>
      <w:lvlJc w:val="left"/>
      <w:pPr>
        <w:ind w:left="1798" w:hanging="360"/>
      </w:pPr>
      <w:rPr>
        <w:rFonts w:hint="default"/>
      </w:rPr>
    </w:lvl>
    <w:lvl w:ilvl="1" w:tplc="5F5EF748">
      <w:start w:val="1"/>
      <w:numFmt w:val="lowerLetter"/>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221ABA"/>
    <w:multiLevelType w:val="hybridMultilevel"/>
    <w:tmpl w:val="EF401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6D7183"/>
    <w:multiLevelType w:val="hybridMultilevel"/>
    <w:tmpl w:val="168C6B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330498"/>
    <w:multiLevelType w:val="hybridMultilevel"/>
    <w:tmpl w:val="EE7CAE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70CD8"/>
    <w:multiLevelType w:val="hybridMultilevel"/>
    <w:tmpl w:val="0F2AFD12"/>
    <w:lvl w:ilvl="0" w:tplc="D37600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E822F3"/>
    <w:multiLevelType w:val="hybridMultilevel"/>
    <w:tmpl w:val="EFD8E5EE"/>
    <w:lvl w:ilvl="0" w:tplc="D6F296C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87D5D95"/>
    <w:multiLevelType w:val="hybridMultilevel"/>
    <w:tmpl w:val="08C2417A"/>
    <w:lvl w:ilvl="0" w:tplc="62B67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8B71FA"/>
    <w:multiLevelType w:val="hybridMultilevel"/>
    <w:tmpl w:val="5B901B00"/>
    <w:lvl w:ilvl="0" w:tplc="DA045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90A47"/>
    <w:multiLevelType w:val="hybridMultilevel"/>
    <w:tmpl w:val="FC0A9FEC"/>
    <w:lvl w:ilvl="0" w:tplc="30D48B06">
      <w:start w:val="1"/>
      <w:numFmt w:val="bullet"/>
      <w:lvlText w:val=""/>
      <w:lvlJc w:val="left"/>
      <w:pPr>
        <w:tabs>
          <w:tab w:val="num" w:pos="901"/>
        </w:tabs>
        <w:ind w:left="90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391C84"/>
    <w:multiLevelType w:val="hybridMultilevel"/>
    <w:tmpl w:val="78222E28"/>
    <w:lvl w:ilvl="0" w:tplc="468E1D64">
      <w:start w:val="1"/>
      <w:numFmt w:val="bullet"/>
      <w:lvlText w:val=""/>
      <w:lvlJc w:val="left"/>
      <w:pPr>
        <w:tabs>
          <w:tab w:val="num" w:pos="902"/>
        </w:tabs>
        <w:ind w:left="902" w:hanging="362"/>
      </w:pPr>
      <w:rPr>
        <w:rFonts w:ascii="Symbol" w:hAnsi="Symbol" w:hint="default"/>
      </w:rPr>
    </w:lvl>
    <w:lvl w:ilvl="1" w:tplc="0C090003">
      <w:start w:val="1"/>
      <w:numFmt w:val="bullet"/>
      <w:lvlText w:val="o"/>
      <w:lvlJc w:val="left"/>
      <w:pPr>
        <w:tabs>
          <w:tab w:val="num" w:pos="2161"/>
        </w:tabs>
        <w:ind w:left="2161" w:hanging="360"/>
      </w:pPr>
      <w:rPr>
        <w:rFonts w:ascii="Courier New" w:hAnsi="Courier New" w:cs="Courier New"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32" w15:restartNumberingAfterBreak="0">
    <w:nsid w:val="7C2E523E"/>
    <w:multiLevelType w:val="hybridMultilevel"/>
    <w:tmpl w:val="36D85372"/>
    <w:lvl w:ilvl="0" w:tplc="0C090001">
      <w:start w:val="1"/>
      <w:numFmt w:val="bullet"/>
      <w:lvlText w:val=""/>
      <w:lvlJc w:val="left"/>
      <w:pPr>
        <w:tabs>
          <w:tab w:val="num" w:pos="360"/>
        </w:tabs>
        <w:ind w:left="360" w:hanging="360"/>
      </w:pPr>
      <w:rPr>
        <w:rFonts w:ascii="Symbol" w:hAnsi="Symbol" w:hint="default"/>
      </w:rPr>
    </w:lvl>
    <w:lvl w:ilvl="1" w:tplc="68CE2092">
      <w:start w:val="2"/>
      <w:numFmt w:val="bullet"/>
      <w:lvlText w:val="-"/>
      <w:lvlJc w:val="left"/>
      <w:pPr>
        <w:tabs>
          <w:tab w:val="num" w:pos="1080"/>
        </w:tabs>
        <w:ind w:left="1080" w:hanging="360"/>
      </w:pPr>
      <w:rPr>
        <w:rFonts w:ascii="Times New Roman" w:eastAsia="Times New Roman" w:hAnsi="Times New Roman"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8B1A03"/>
    <w:multiLevelType w:val="hybridMultilevel"/>
    <w:tmpl w:val="333E2ED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F6D447E"/>
    <w:multiLevelType w:val="hybridMultilevel"/>
    <w:tmpl w:val="C4B2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4"/>
  </w:num>
  <w:num w:numId="4">
    <w:abstractNumId w:val="32"/>
  </w:num>
  <w:num w:numId="5">
    <w:abstractNumId w:val="4"/>
  </w:num>
  <w:num w:numId="6">
    <w:abstractNumId w:val="1"/>
  </w:num>
  <w:num w:numId="7">
    <w:abstractNumId w:val="2"/>
  </w:num>
  <w:num w:numId="8">
    <w:abstractNumId w:val="12"/>
  </w:num>
  <w:num w:numId="9">
    <w:abstractNumId w:val="16"/>
  </w:num>
  <w:num w:numId="10">
    <w:abstractNumId w:val="33"/>
  </w:num>
  <w:num w:numId="11">
    <w:abstractNumId w:val="25"/>
  </w:num>
  <w:num w:numId="12">
    <w:abstractNumId w:val="10"/>
  </w:num>
  <w:num w:numId="13">
    <w:abstractNumId w:val="14"/>
  </w:num>
  <w:num w:numId="14">
    <w:abstractNumId w:val="11"/>
  </w:num>
  <w:num w:numId="15">
    <w:abstractNumId w:val="6"/>
  </w:num>
  <w:num w:numId="16">
    <w:abstractNumId w:val="19"/>
  </w:num>
  <w:num w:numId="17">
    <w:abstractNumId w:val="27"/>
  </w:num>
  <w:num w:numId="18">
    <w:abstractNumId w:val="22"/>
  </w:num>
  <w:num w:numId="19">
    <w:abstractNumId w:val="18"/>
  </w:num>
  <w:num w:numId="20">
    <w:abstractNumId w:val="34"/>
  </w:num>
  <w:num w:numId="21">
    <w:abstractNumId w:val="9"/>
  </w:num>
  <w:num w:numId="22">
    <w:abstractNumId w:val="13"/>
  </w:num>
  <w:num w:numId="23">
    <w:abstractNumId w:val="30"/>
  </w:num>
  <w:num w:numId="24">
    <w:abstractNumId w:val="31"/>
  </w:num>
  <w:num w:numId="25">
    <w:abstractNumId w:val="26"/>
  </w:num>
  <w:num w:numId="26">
    <w:abstractNumId w:val="8"/>
  </w:num>
  <w:num w:numId="27">
    <w:abstractNumId w:val="23"/>
  </w:num>
  <w:num w:numId="28">
    <w:abstractNumId w:val="0"/>
  </w:num>
  <w:num w:numId="29">
    <w:abstractNumId w:val="20"/>
  </w:num>
  <w:num w:numId="30">
    <w:abstractNumId w:val="21"/>
  </w:num>
  <w:num w:numId="31">
    <w:abstractNumId w:val="17"/>
  </w:num>
  <w:num w:numId="32">
    <w:abstractNumId w:val="3"/>
  </w:num>
  <w:num w:numId="33">
    <w:abstractNumId w:val="7"/>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B4"/>
    <w:rsid w:val="00001140"/>
    <w:rsid w:val="00003814"/>
    <w:rsid w:val="00003C8A"/>
    <w:rsid w:val="00007156"/>
    <w:rsid w:val="00011197"/>
    <w:rsid w:val="00013A67"/>
    <w:rsid w:val="0001497B"/>
    <w:rsid w:val="00020F3A"/>
    <w:rsid w:val="00023F9C"/>
    <w:rsid w:val="00025257"/>
    <w:rsid w:val="00031F26"/>
    <w:rsid w:val="00032DD5"/>
    <w:rsid w:val="000361E1"/>
    <w:rsid w:val="000369E1"/>
    <w:rsid w:val="00037B97"/>
    <w:rsid w:val="000461EE"/>
    <w:rsid w:val="00050B57"/>
    <w:rsid w:val="00052A07"/>
    <w:rsid w:val="000566FD"/>
    <w:rsid w:val="00057C39"/>
    <w:rsid w:val="00057CF5"/>
    <w:rsid w:val="00060952"/>
    <w:rsid w:val="000627AF"/>
    <w:rsid w:val="000637AF"/>
    <w:rsid w:val="0006692C"/>
    <w:rsid w:val="000725C3"/>
    <w:rsid w:val="00072BAF"/>
    <w:rsid w:val="0007301B"/>
    <w:rsid w:val="00073D02"/>
    <w:rsid w:val="00080115"/>
    <w:rsid w:val="0008547D"/>
    <w:rsid w:val="000907B2"/>
    <w:rsid w:val="000A0133"/>
    <w:rsid w:val="000A150F"/>
    <w:rsid w:val="000A1984"/>
    <w:rsid w:val="000A63CA"/>
    <w:rsid w:val="000B04B9"/>
    <w:rsid w:val="000B1DAC"/>
    <w:rsid w:val="000B1FD4"/>
    <w:rsid w:val="000B2512"/>
    <w:rsid w:val="000B6252"/>
    <w:rsid w:val="000B7CF2"/>
    <w:rsid w:val="000B7EFF"/>
    <w:rsid w:val="000C19DB"/>
    <w:rsid w:val="000C28A3"/>
    <w:rsid w:val="000C447F"/>
    <w:rsid w:val="000C6559"/>
    <w:rsid w:val="000C77AC"/>
    <w:rsid w:val="000D34FF"/>
    <w:rsid w:val="000D778E"/>
    <w:rsid w:val="000E646D"/>
    <w:rsid w:val="000F016C"/>
    <w:rsid w:val="000F2589"/>
    <w:rsid w:val="000F2ABC"/>
    <w:rsid w:val="000F4CD6"/>
    <w:rsid w:val="000F6A86"/>
    <w:rsid w:val="00102422"/>
    <w:rsid w:val="001053CE"/>
    <w:rsid w:val="00112CB5"/>
    <w:rsid w:val="0011353D"/>
    <w:rsid w:val="00121038"/>
    <w:rsid w:val="00121AC1"/>
    <w:rsid w:val="00125316"/>
    <w:rsid w:val="0013122F"/>
    <w:rsid w:val="00140591"/>
    <w:rsid w:val="00142592"/>
    <w:rsid w:val="00145FF4"/>
    <w:rsid w:val="0015444D"/>
    <w:rsid w:val="00154FEE"/>
    <w:rsid w:val="001570DB"/>
    <w:rsid w:val="00165591"/>
    <w:rsid w:val="001658EC"/>
    <w:rsid w:val="0016611B"/>
    <w:rsid w:val="00166C08"/>
    <w:rsid w:val="00170504"/>
    <w:rsid w:val="001736F9"/>
    <w:rsid w:val="00174F74"/>
    <w:rsid w:val="00175F4F"/>
    <w:rsid w:val="00186806"/>
    <w:rsid w:val="001A13F1"/>
    <w:rsid w:val="001B09B1"/>
    <w:rsid w:val="001B4052"/>
    <w:rsid w:val="001B6B51"/>
    <w:rsid w:val="001B78AE"/>
    <w:rsid w:val="001C2F89"/>
    <w:rsid w:val="001C5DCE"/>
    <w:rsid w:val="001D2DB5"/>
    <w:rsid w:val="001D69F4"/>
    <w:rsid w:val="001D7299"/>
    <w:rsid w:val="001E1649"/>
    <w:rsid w:val="001E1D30"/>
    <w:rsid w:val="001F0056"/>
    <w:rsid w:val="001F0B03"/>
    <w:rsid w:val="001F241F"/>
    <w:rsid w:val="001F390D"/>
    <w:rsid w:val="001F4745"/>
    <w:rsid w:val="0020264A"/>
    <w:rsid w:val="00203983"/>
    <w:rsid w:val="00205761"/>
    <w:rsid w:val="002165D3"/>
    <w:rsid w:val="00217EC1"/>
    <w:rsid w:val="00223CF4"/>
    <w:rsid w:val="002247B5"/>
    <w:rsid w:val="00227E30"/>
    <w:rsid w:val="0023243A"/>
    <w:rsid w:val="002324AC"/>
    <w:rsid w:val="002325D2"/>
    <w:rsid w:val="00233916"/>
    <w:rsid w:val="00233A9C"/>
    <w:rsid w:val="002430D2"/>
    <w:rsid w:val="002439A1"/>
    <w:rsid w:val="00244EBB"/>
    <w:rsid w:val="002458F2"/>
    <w:rsid w:val="002458F6"/>
    <w:rsid w:val="00246DF8"/>
    <w:rsid w:val="00255EEA"/>
    <w:rsid w:val="00265A93"/>
    <w:rsid w:val="00267428"/>
    <w:rsid w:val="00267D0A"/>
    <w:rsid w:val="00271EF2"/>
    <w:rsid w:val="00275350"/>
    <w:rsid w:val="00282CE6"/>
    <w:rsid w:val="002842AF"/>
    <w:rsid w:val="0028450A"/>
    <w:rsid w:val="00284EB0"/>
    <w:rsid w:val="00287F94"/>
    <w:rsid w:val="002900F9"/>
    <w:rsid w:val="00293303"/>
    <w:rsid w:val="002947DE"/>
    <w:rsid w:val="002966D1"/>
    <w:rsid w:val="002A0671"/>
    <w:rsid w:val="002A21F5"/>
    <w:rsid w:val="002A2713"/>
    <w:rsid w:val="002A3C79"/>
    <w:rsid w:val="002A76E3"/>
    <w:rsid w:val="002A7AE4"/>
    <w:rsid w:val="002A7BB5"/>
    <w:rsid w:val="002A7E41"/>
    <w:rsid w:val="002A7F96"/>
    <w:rsid w:val="002B271C"/>
    <w:rsid w:val="002B2CB3"/>
    <w:rsid w:val="002B2D37"/>
    <w:rsid w:val="002B53A0"/>
    <w:rsid w:val="002B6272"/>
    <w:rsid w:val="002C5559"/>
    <w:rsid w:val="002C74F5"/>
    <w:rsid w:val="002D0E32"/>
    <w:rsid w:val="002D306A"/>
    <w:rsid w:val="002D428A"/>
    <w:rsid w:val="002E4991"/>
    <w:rsid w:val="002E4F5F"/>
    <w:rsid w:val="002E51BF"/>
    <w:rsid w:val="002E6409"/>
    <w:rsid w:val="002F1A5B"/>
    <w:rsid w:val="002F1D7C"/>
    <w:rsid w:val="002F5C5C"/>
    <w:rsid w:val="002F5F8E"/>
    <w:rsid w:val="002F6A4D"/>
    <w:rsid w:val="00310967"/>
    <w:rsid w:val="00310C25"/>
    <w:rsid w:val="00313213"/>
    <w:rsid w:val="00320FB6"/>
    <w:rsid w:val="00322B40"/>
    <w:rsid w:val="00322CA3"/>
    <w:rsid w:val="00323EB0"/>
    <w:rsid w:val="00334FED"/>
    <w:rsid w:val="00336FB7"/>
    <w:rsid w:val="003419BA"/>
    <w:rsid w:val="003420C5"/>
    <w:rsid w:val="00343C0F"/>
    <w:rsid w:val="00347594"/>
    <w:rsid w:val="00352C89"/>
    <w:rsid w:val="003539B6"/>
    <w:rsid w:val="0035405A"/>
    <w:rsid w:val="003541A8"/>
    <w:rsid w:val="00357D2F"/>
    <w:rsid w:val="003639A9"/>
    <w:rsid w:val="003646C8"/>
    <w:rsid w:val="00365954"/>
    <w:rsid w:val="0036735C"/>
    <w:rsid w:val="00367A51"/>
    <w:rsid w:val="00371992"/>
    <w:rsid w:val="00372CAE"/>
    <w:rsid w:val="003737B6"/>
    <w:rsid w:val="0037595D"/>
    <w:rsid w:val="003778E4"/>
    <w:rsid w:val="00377DB5"/>
    <w:rsid w:val="00380143"/>
    <w:rsid w:val="003804F6"/>
    <w:rsid w:val="003856F4"/>
    <w:rsid w:val="00387440"/>
    <w:rsid w:val="003928C9"/>
    <w:rsid w:val="00394A25"/>
    <w:rsid w:val="00395C0E"/>
    <w:rsid w:val="00396022"/>
    <w:rsid w:val="003A3C5F"/>
    <w:rsid w:val="003A3F64"/>
    <w:rsid w:val="003A40C5"/>
    <w:rsid w:val="003B2DFE"/>
    <w:rsid w:val="003B35CA"/>
    <w:rsid w:val="003B472F"/>
    <w:rsid w:val="003B6B90"/>
    <w:rsid w:val="003C0EDF"/>
    <w:rsid w:val="003C1D1D"/>
    <w:rsid w:val="003C2520"/>
    <w:rsid w:val="003C7A0A"/>
    <w:rsid w:val="003D60A7"/>
    <w:rsid w:val="003E14F7"/>
    <w:rsid w:val="003E5F65"/>
    <w:rsid w:val="003F347B"/>
    <w:rsid w:val="003F795B"/>
    <w:rsid w:val="004032D0"/>
    <w:rsid w:val="00407DA2"/>
    <w:rsid w:val="00411B73"/>
    <w:rsid w:val="00411DE1"/>
    <w:rsid w:val="00411FE6"/>
    <w:rsid w:val="0041207C"/>
    <w:rsid w:val="00413D1C"/>
    <w:rsid w:val="004140BD"/>
    <w:rsid w:val="00415275"/>
    <w:rsid w:val="00417E46"/>
    <w:rsid w:val="00425C1E"/>
    <w:rsid w:val="0042648D"/>
    <w:rsid w:val="00432372"/>
    <w:rsid w:val="00432936"/>
    <w:rsid w:val="004329F2"/>
    <w:rsid w:val="004335A6"/>
    <w:rsid w:val="00434AD2"/>
    <w:rsid w:val="00435864"/>
    <w:rsid w:val="004376BA"/>
    <w:rsid w:val="00437D5D"/>
    <w:rsid w:val="00440CC2"/>
    <w:rsid w:val="0044154C"/>
    <w:rsid w:val="00442A11"/>
    <w:rsid w:val="00443DAE"/>
    <w:rsid w:val="004559E8"/>
    <w:rsid w:val="004619B7"/>
    <w:rsid w:val="00465760"/>
    <w:rsid w:val="0047300D"/>
    <w:rsid w:val="004751F9"/>
    <w:rsid w:val="00475B31"/>
    <w:rsid w:val="00477E6A"/>
    <w:rsid w:val="00482A7F"/>
    <w:rsid w:val="00482C1D"/>
    <w:rsid w:val="00486AA7"/>
    <w:rsid w:val="0048700D"/>
    <w:rsid w:val="00490ADA"/>
    <w:rsid w:val="004918C8"/>
    <w:rsid w:val="00492410"/>
    <w:rsid w:val="00495182"/>
    <w:rsid w:val="0049652D"/>
    <w:rsid w:val="004A7A40"/>
    <w:rsid w:val="004B0005"/>
    <w:rsid w:val="004B350F"/>
    <w:rsid w:val="004B3937"/>
    <w:rsid w:val="004B3D22"/>
    <w:rsid w:val="004C1BE4"/>
    <w:rsid w:val="004C1EE0"/>
    <w:rsid w:val="004C302D"/>
    <w:rsid w:val="004C4138"/>
    <w:rsid w:val="004C50A7"/>
    <w:rsid w:val="004D415F"/>
    <w:rsid w:val="004E1DCE"/>
    <w:rsid w:val="004E66BA"/>
    <w:rsid w:val="004F1022"/>
    <w:rsid w:val="004F1276"/>
    <w:rsid w:val="004F457D"/>
    <w:rsid w:val="004F4678"/>
    <w:rsid w:val="004F4DC5"/>
    <w:rsid w:val="00502F3C"/>
    <w:rsid w:val="005035D0"/>
    <w:rsid w:val="0050666C"/>
    <w:rsid w:val="005069DC"/>
    <w:rsid w:val="00510B32"/>
    <w:rsid w:val="005112F1"/>
    <w:rsid w:val="005116CD"/>
    <w:rsid w:val="00511D0F"/>
    <w:rsid w:val="00515AFE"/>
    <w:rsid w:val="00515D94"/>
    <w:rsid w:val="00517782"/>
    <w:rsid w:val="00517E97"/>
    <w:rsid w:val="00521746"/>
    <w:rsid w:val="0052240A"/>
    <w:rsid w:val="0052522B"/>
    <w:rsid w:val="0052661B"/>
    <w:rsid w:val="00526C84"/>
    <w:rsid w:val="00537DE9"/>
    <w:rsid w:val="0054338D"/>
    <w:rsid w:val="00544FB3"/>
    <w:rsid w:val="005467DB"/>
    <w:rsid w:val="00546BAD"/>
    <w:rsid w:val="00551BB8"/>
    <w:rsid w:val="00553620"/>
    <w:rsid w:val="005538E4"/>
    <w:rsid w:val="005545E2"/>
    <w:rsid w:val="005567D1"/>
    <w:rsid w:val="00557C36"/>
    <w:rsid w:val="00561406"/>
    <w:rsid w:val="00563AD9"/>
    <w:rsid w:val="00565569"/>
    <w:rsid w:val="005662CA"/>
    <w:rsid w:val="005709DF"/>
    <w:rsid w:val="00571CEE"/>
    <w:rsid w:val="00573341"/>
    <w:rsid w:val="005804AF"/>
    <w:rsid w:val="00580F9A"/>
    <w:rsid w:val="00583784"/>
    <w:rsid w:val="00587770"/>
    <w:rsid w:val="00591815"/>
    <w:rsid w:val="00594758"/>
    <w:rsid w:val="00596442"/>
    <w:rsid w:val="005A2B1E"/>
    <w:rsid w:val="005A3791"/>
    <w:rsid w:val="005A5A0B"/>
    <w:rsid w:val="005A66C4"/>
    <w:rsid w:val="005A6C0E"/>
    <w:rsid w:val="005B05AF"/>
    <w:rsid w:val="005B12FC"/>
    <w:rsid w:val="005B2340"/>
    <w:rsid w:val="005B3602"/>
    <w:rsid w:val="005B4198"/>
    <w:rsid w:val="005B62D0"/>
    <w:rsid w:val="005C5605"/>
    <w:rsid w:val="005C6413"/>
    <w:rsid w:val="005C77EC"/>
    <w:rsid w:val="005D0168"/>
    <w:rsid w:val="005D1084"/>
    <w:rsid w:val="005D3025"/>
    <w:rsid w:val="005D4417"/>
    <w:rsid w:val="005D648C"/>
    <w:rsid w:val="005D6BAE"/>
    <w:rsid w:val="005D75BD"/>
    <w:rsid w:val="005E084D"/>
    <w:rsid w:val="005E14E3"/>
    <w:rsid w:val="005E1D4F"/>
    <w:rsid w:val="005E4F14"/>
    <w:rsid w:val="005E673D"/>
    <w:rsid w:val="005E72EC"/>
    <w:rsid w:val="005F42C9"/>
    <w:rsid w:val="005F50B6"/>
    <w:rsid w:val="00601F1F"/>
    <w:rsid w:val="00605697"/>
    <w:rsid w:val="0060591B"/>
    <w:rsid w:val="00605ED4"/>
    <w:rsid w:val="00606663"/>
    <w:rsid w:val="006074B4"/>
    <w:rsid w:val="00607856"/>
    <w:rsid w:val="00611205"/>
    <w:rsid w:val="00613AD2"/>
    <w:rsid w:val="00613B4A"/>
    <w:rsid w:val="00614600"/>
    <w:rsid w:val="00615B0E"/>
    <w:rsid w:val="00615FAF"/>
    <w:rsid w:val="00622B3F"/>
    <w:rsid w:val="00622F9E"/>
    <w:rsid w:val="006248A2"/>
    <w:rsid w:val="00627A3F"/>
    <w:rsid w:val="00630476"/>
    <w:rsid w:val="00631C25"/>
    <w:rsid w:val="0063567A"/>
    <w:rsid w:val="00644B9C"/>
    <w:rsid w:val="00650E48"/>
    <w:rsid w:val="006549AC"/>
    <w:rsid w:val="00654B1B"/>
    <w:rsid w:val="006569BC"/>
    <w:rsid w:val="0066085E"/>
    <w:rsid w:val="00663A57"/>
    <w:rsid w:val="00665EE1"/>
    <w:rsid w:val="00672050"/>
    <w:rsid w:val="0067207A"/>
    <w:rsid w:val="006724CA"/>
    <w:rsid w:val="00672558"/>
    <w:rsid w:val="006768BD"/>
    <w:rsid w:val="006828BA"/>
    <w:rsid w:val="00683F43"/>
    <w:rsid w:val="00685AD8"/>
    <w:rsid w:val="006865CE"/>
    <w:rsid w:val="00691124"/>
    <w:rsid w:val="00691D3B"/>
    <w:rsid w:val="0069292A"/>
    <w:rsid w:val="00694B06"/>
    <w:rsid w:val="006A50D1"/>
    <w:rsid w:val="006A5882"/>
    <w:rsid w:val="006A58F2"/>
    <w:rsid w:val="006B1800"/>
    <w:rsid w:val="006B4C82"/>
    <w:rsid w:val="006B6850"/>
    <w:rsid w:val="006C00F0"/>
    <w:rsid w:val="006C6207"/>
    <w:rsid w:val="006C6490"/>
    <w:rsid w:val="006C6B3A"/>
    <w:rsid w:val="006D3DB8"/>
    <w:rsid w:val="006D669C"/>
    <w:rsid w:val="006E184F"/>
    <w:rsid w:val="006E1DD5"/>
    <w:rsid w:val="006E39A3"/>
    <w:rsid w:val="006E5419"/>
    <w:rsid w:val="006E6E03"/>
    <w:rsid w:val="006F0192"/>
    <w:rsid w:val="006F4831"/>
    <w:rsid w:val="006F50F7"/>
    <w:rsid w:val="006F5761"/>
    <w:rsid w:val="006F627A"/>
    <w:rsid w:val="006F76E3"/>
    <w:rsid w:val="00700A37"/>
    <w:rsid w:val="00703D0B"/>
    <w:rsid w:val="0070583B"/>
    <w:rsid w:val="00707F18"/>
    <w:rsid w:val="00710BB9"/>
    <w:rsid w:val="00712A02"/>
    <w:rsid w:val="00713AB9"/>
    <w:rsid w:val="007220B5"/>
    <w:rsid w:val="00725442"/>
    <w:rsid w:val="0073033E"/>
    <w:rsid w:val="007329BF"/>
    <w:rsid w:val="00735ECD"/>
    <w:rsid w:val="00736188"/>
    <w:rsid w:val="00736561"/>
    <w:rsid w:val="00740385"/>
    <w:rsid w:val="00751610"/>
    <w:rsid w:val="00751867"/>
    <w:rsid w:val="0075214C"/>
    <w:rsid w:val="00753F3A"/>
    <w:rsid w:val="00754208"/>
    <w:rsid w:val="00757620"/>
    <w:rsid w:val="007602DC"/>
    <w:rsid w:val="00764947"/>
    <w:rsid w:val="00767217"/>
    <w:rsid w:val="00772D76"/>
    <w:rsid w:val="00772F21"/>
    <w:rsid w:val="0077382A"/>
    <w:rsid w:val="00777150"/>
    <w:rsid w:val="00782995"/>
    <w:rsid w:val="007879B4"/>
    <w:rsid w:val="00787EEF"/>
    <w:rsid w:val="007A02CB"/>
    <w:rsid w:val="007A15A1"/>
    <w:rsid w:val="007A3CFC"/>
    <w:rsid w:val="007A5F9E"/>
    <w:rsid w:val="007A77FD"/>
    <w:rsid w:val="007B0062"/>
    <w:rsid w:val="007B019E"/>
    <w:rsid w:val="007B076B"/>
    <w:rsid w:val="007B3293"/>
    <w:rsid w:val="007B5197"/>
    <w:rsid w:val="007B67E4"/>
    <w:rsid w:val="007C021A"/>
    <w:rsid w:val="007C33D6"/>
    <w:rsid w:val="007C656E"/>
    <w:rsid w:val="007D0087"/>
    <w:rsid w:val="007D0909"/>
    <w:rsid w:val="007D732E"/>
    <w:rsid w:val="007E540D"/>
    <w:rsid w:val="007E5AA8"/>
    <w:rsid w:val="007E5E46"/>
    <w:rsid w:val="007E6AEE"/>
    <w:rsid w:val="007F0172"/>
    <w:rsid w:val="007F183B"/>
    <w:rsid w:val="007F2A89"/>
    <w:rsid w:val="007F358B"/>
    <w:rsid w:val="007F4956"/>
    <w:rsid w:val="007F4A91"/>
    <w:rsid w:val="007F70EC"/>
    <w:rsid w:val="00801D52"/>
    <w:rsid w:val="0080701D"/>
    <w:rsid w:val="00807FF2"/>
    <w:rsid w:val="00810D7D"/>
    <w:rsid w:val="00813F63"/>
    <w:rsid w:val="00814081"/>
    <w:rsid w:val="0081440D"/>
    <w:rsid w:val="00815FE5"/>
    <w:rsid w:val="0082323D"/>
    <w:rsid w:val="008235D4"/>
    <w:rsid w:val="00823AF7"/>
    <w:rsid w:val="008245DC"/>
    <w:rsid w:val="0082554D"/>
    <w:rsid w:val="008306BB"/>
    <w:rsid w:val="0083306E"/>
    <w:rsid w:val="00842658"/>
    <w:rsid w:val="00845D44"/>
    <w:rsid w:val="008474DD"/>
    <w:rsid w:val="00850340"/>
    <w:rsid w:val="008601E9"/>
    <w:rsid w:val="008610D2"/>
    <w:rsid w:val="00864B21"/>
    <w:rsid w:val="00865296"/>
    <w:rsid w:val="0086734E"/>
    <w:rsid w:val="00871919"/>
    <w:rsid w:val="00872CC4"/>
    <w:rsid w:val="00874331"/>
    <w:rsid w:val="0087524F"/>
    <w:rsid w:val="00875685"/>
    <w:rsid w:val="0087674C"/>
    <w:rsid w:val="00877381"/>
    <w:rsid w:val="00877E13"/>
    <w:rsid w:val="0088322B"/>
    <w:rsid w:val="008851CB"/>
    <w:rsid w:val="008867A6"/>
    <w:rsid w:val="008868D4"/>
    <w:rsid w:val="00886CCD"/>
    <w:rsid w:val="00887AE5"/>
    <w:rsid w:val="0089125C"/>
    <w:rsid w:val="00892499"/>
    <w:rsid w:val="00893E94"/>
    <w:rsid w:val="008A21F5"/>
    <w:rsid w:val="008A4EFE"/>
    <w:rsid w:val="008A50BE"/>
    <w:rsid w:val="008A5672"/>
    <w:rsid w:val="008B032E"/>
    <w:rsid w:val="008B0CD2"/>
    <w:rsid w:val="008B40C3"/>
    <w:rsid w:val="008B568F"/>
    <w:rsid w:val="008B73F3"/>
    <w:rsid w:val="008C023C"/>
    <w:rsid w:val="008C16D7"/>
    <w:rsid w:val="008C2DBA"/>
    <w:rsid w:val="008C4074"/>
    <w:rsid w:val="008C41B3"/>
    <w:rsid w:val="008C6333"/>
    <w:rsid w:val="008D1C86"/>
    <w:rsid w:val="008D2CD6"/>
    <w:rsid w:val="008D32FF"/>
    <w:rsid w:val="008D402A"/>
    <w:rsid w:val="008D5B2E"/>
    <w:rsid w:val="008E6E0F"/>
    <w:rsid w:val="008E7B8B"/>
    <w:rsid w:val="008F0F13"/>
    <w:rsid w:val="008F21EF"/>
    <w:rsid w:val="008F3A3C"/>
    <w:rsid w:val="008F509E"/>
    <w:rsid w:val="00900E5C"/>
    <w:rsid w:val="00901349"/>
    <w:rsid w:val="00906A4A"/>
    <w:rsid w:val="00910F0A"/>
    <w:rsid w:val="009148AD"/>
    <w:rsid w:val="009174CE"/>
    <w:rsid w:val="00920C02"/>
    <w:rsid w:val="00922070"/>
    <w:rsid w:val="0092355D"/>
    <w:rsid w:val="00923622"/>
    <w:rsid w:val="00926746"/>
    <w:rsid w:val="00932C0D"/>
    <w:rsid w:val="00933902"/>
    <w:rsid w:val="0094238B"/>
    <w:rsid w:val="00943EBA"/>
    <w:rsid w:val="00943F70"/>
    <w:rsid w:val="009453A7"/>
    <w:rsid w:val="0094667F"/>
    <w:rsid w:val="00954D3B"/>
    <w:rsid w:val="00962E44"/>
    <w:rsid w:val="0096358C"/>
    <w:rsid w:val="00964976"/>
    <w:rsid w:val="00967D91"/>
    <w:rsid w:val="009717C9"/>
    <w:rsid w:val="00980830"/>
    <w:rsid w:val="00994159"/>
    <w:rsid w:val="0099530B"/>
    <w:rsid w:val="009A02A4"/>
    <w:rsid w:val="009A5712"/>
    <w:rsid w:val="009A59D7"/>
    <w:rsid w:val="009A5DEC"/>
    <w:rsid w:val="009B2397"/>
    <w:rsid w:val="009B507E"/>
    <w:rsid w:val="009B5FEB"/>
    <w:rsid w:val="009C1C6F"/>
    <w:rsid w:val="009D1389"/>
    <w:rsid w:val="009D68AE"/>
    <w:rsid w:val="009D79C6"/>
    <w:rsid w:val="009E03BD"/>
    <w:rsid w:val="009E113B"/>
    <w:rsid w:val="009E25E4"/>
    <w:rsid w:val="009F1D20"/>
    <w:rsid w:val="009F4286"/>
    <w:rsid w:val="009F7512"/>
    <w:rsid w:val="009F75C0"/>
    <w:rsid w:val="00A031CD"/>
    <w:rsid w:val="00A06A61"/>
    <w:rsid w:val="00A079DF"/>
    <w:rsid w:val="00A144D1"/>
    <w:rsid w:val="00A14B00"/>
    <w:rsid w:val="00A164D4"/>
    <w:rsid w:val="00A17B62"/>
    <w:rsid w:val="00A3035D"/>
    <w:rsid w:val="00A32A7A"/>
    <w:rsid w:val="00A34DEF"/>
    <w:rsid w:val="00A35ED3"/>
    <w:rsid w:val="00A41460"/>
    <w:rsid w:val="00A44B45"/>
    <w:rsid w:val="00A4608A"/>
    <w:rsid w:val="00A524EA"/>
    <w:rsid w:val="00A56C83"/>
    <w:rsid w:val="00A607D2"/>
    <w:rsid w:val="00A60A5F"/>
    <w:rsid w:val="00A6135E"/>
    <w:rsid w:val="00A61C55"/>
    <w:rsid w:val="00A662DA"/>
    <w:rsid w:val="00A67181"/>
    <w:rsid w:val="00A70641"/>
    <w:rsid w:val="00A71221"/>
    <w:rsid w:val="00A726BC"/>
    <w:rsid w:val="00A74357"/>
    <w:rsid w:val="00A82611"/>
    <w:rsid w:val="00A85CC0"/>
    <w:rsid w:val="00A869E8"/>
    <w:rsid w:val="00A90730"/>
    <w:rsid w:val="00A91A7C"/>
    <w:rsid w:val="00A91B7E"/>
    <w:rsid w:val="00A948F8"/>
    <w:rsid w:val="00A94E68"/>
    <w:rsid w:val="00AA01B4"/>
    <w:rsid w:val="00AA0CFF"/>
    <w:rsid w:val="00AA36B2"/>
    <w:rsid w:val="00AA3AE8"/>
    <w:rsid w:val="00AA4401"/>
    <w:rsid w:val="00AB2743"/>
    <w:rsid w:val="00AB334C"/>
    <w:rsid w:val="00AC7BCA"/>
    <w:rsid w:val="00AD5095"/>
    <w:rsid w:val="00AD5E8D"/>
    <w:rsid w:val="00AD6FF1"/>
    <w:rsid w:val="00AE0ACA"/>
    <w:rsid w:val="00AF03D5"/>
    <w:rsid w:val="00AF34FE"/>
    <w:rsid w:val="00AF4BB0"/>
    <w:rsid w:val="00B024E6"/>
    <w:rsid w:val="00B02FDF"/>
    <w:rsid w:val="00B03E39"/>
    <w:rsid w:val="00B07763"/>
    <w:rsid w:val="00B11946"/>
    <w:rsid w:val="00B12583"/>
    <w:rsid w:val="00B17399"/>
    <w:rsid w:val="00B173AD"/>
    <w:rsid w:val="00B2042C"/>
    <w:rsid w:val="00B208F7"/>
    <w:rsid w:val="00B31227"/>
    <w:rsid w:val="00B3647E"/>
    <w:rsid w:val="00B36701"/>
    <w:rsid w:val="00B37CDE"/>
    <w:rsid w:val="00B419FE"/>
    <w:rsid w:val="00B41F00"/>
    <w:rsid w:val="00B42753"/>
    <w:rsid w:val="00B451FE"/>
    <w:rsid w:val="00B46634"/>
    <w:rsid w:val="00B474C1"/>
    <w:rsid w:val="00B524B9"/>
    <w:rsid w:val="00B52A0B"/>
    <w:rsid w:val="00B535F1"/>
    <w:rsid w:val="00B53C63"/>
    <w:rsid w:val="00B54D6F"/>
    <w:rsid w:val="00B55043"/>
    <w:rsid w:val="00B558F4"/>
    <w:rsid w:val="00B56422"/>
    <w:rsid w:val="00B61E5F"/>
    <w:rsid w:val="00B63D3D"/>
    <w:rsid w:val="00B65C7E"/>
    <w:rsid w:val="00B662FC"/>
    <w:rsid w:val="00B66BBA"/>
    <w:rsid w:val="00B715B7"/>
    <w:rsid w:val="00B72609"/>
    <w:rsid w:val="00B7485D"/>
    <w:rsid w:val="00B75733"/>
    <w:rsid w:val="00B806E1"/>
    <w:rsid w:val="00B845FC"/>
    <w:rsid w:val="00B85567"/>
    <w:rsid w:val="00B858E6"/>
    <w:rsid w:val="00B8608C"/>
    <w:rsid w:val="00B87237"/>
    <w:rsid w:val="00B87F6B"/>
    <w:rsid w:val="00B907BC"/>
    <w:rsid w:val="00B907EB"/>
    <w:rsid w:val="00B90BE5"/>
    <w:rsid w:val="00B94594"/>
    <w:rsid w:val="00B973F1"/>
    <w:rsid w:val="00BA20DD"/>
    <w:rsid w:val="00BA3016"/>
    <w:rsid w:val="00BA61BB"/>
    <w:rsid w:val="00BA7A9D"/>
    <w:rsid w:val="00BB20AA"/>
    <w:rsid w:val="00BB2D09"/>
    <w:rsid w:val="00BB2EAB"/>
    <w:rsid w:val="00BB385A"/>
    <w:rsid w:val="00BB4B7E"/>
    <w:rsid w:val="00BB6D1F"/>
    <w:rsid w:val="00BB74E7"/>
    <w:rsid w:val="00BC282E"/>
    <w:rsid w:val="00BC2D17"/>
    <w:rsid w:val="00BC4A8A"/>
    <w:rsid w:val="00BC685C"/>
    <w:rsid w:val="00BD0B4D"/>
    <w:rsid w:val="00BD1EB5"/>
    <w:rsid w:val="00BD2FFF"/>
    <w:rsid w:val="00BD3539"/>
    <w:rsid w:val="00BD4865"/>
    <w:rsid w:val="00BD6940"/>
    <w:rsid w:val="00BE373E"/>
    <w:rsid w:val="00BE6515"/>
    <w:rsid w:val="00BF1646"/>
    <w:rsid w:val="00BF27A3"/>
    <w:rsid w:val="00BF514E"/>
    <w:rsid w:val="00C039BC"/>
    <w:rsid w:val="00C03E97"/>
    <w:rsid w:val="00C11C97"/>
    <w:rsid w:val="00C146B8"/>
    <w:rsid w:val="00C148C2"/>
    <w:rsid w:val="00C1592B"/>
    <w:rsid w:val="00C177EA"/>
    <w:rsid w:val="00C22922"/>
    <w:rsid w:val="00C22C94"/>
    <w:rsid w:val="00C2517D"/>
    <w:rsid w:val="00C30196"/>
    <w:rsid w:val="00C30D5E"/>
    <w:rsid w:val="00C331D9"/>
    <w:rsid w:val="00C37CC4"/>
    <w:rsid w:val="00C450DF"/>
    <w:rsid w:val="00C51FFE"/>
    <w:rsid w:val="00C612DE"/>
    <w:rsid w:val="00C6154A"/>
    <w:rsid w:val="00C660AE"/>
    <w:rsid w:val="00C67825"/>
    <w:rsid w:val="00C678E7"/>
    <w:rsid w:val="00C702E6"/>
    <w:rsid w:val="00C707BD"/>
    <w:rsid w:val="00C723C5"/>
    <w:rsid w:val="00C72CFD"/>
    <w:rsid w:val="00C732DB"/>
    <w:rsid w:val="00C7423B"/>
    <w:rsid w:val="00C75BE2"/>
    <w:rsid w:val="00C87894"/>
    <w:rsid w:val="00C92335"/>
    <w:rsid w:val="00C92449"/>
    <w:rsid w:val="00C93F14"/>
    <w:rsid w:val="00C943BD"/>
    <w:rsid w:val="00C97673"/>
    <w:rsid w:val="00CA105A"/>
    <w:rsid w:val="00CA38E6"/>
    <w:rsid w:val="00CA4955"/>
    <w:rsid w:val="00CA52F7"/>
    <w:rsid w:val="00CB4050"/>
    <w:rsid w:val="00CB6971"/>
    <w:rsid w:val="00CC092E"/>
    <w:rsid w:val="00CC19E4"/>
    <w:rsid w:val="00CC1D85"/>
    <w:rsid w:val="00CC262B"/>
    <w:rsid w:val="00CC3537"/>
    <w:rsid w:val="00CC6144"/>
    <w:rsid w:val="00CC660D"/>
    <w:rsid w:val="00CD28D5"/>
    <w:rsid w:val="00CD366B"/>
    <w:rsid w:val="00CD58BB"/>
    <w:rsid w:val="00CD5D97"/>
    <w:rsid w:val="00CE0CDF"/>
    <w:rsid w:val="00CE5AC5"/>
    <w:rsid w:val="00CE5B57"/>
    <w:rsid w:val="00CF0930"/>
    <w:rsid w:val="00CF4FF0"/>
    <w:rsid w:val="00CF69C0"/>
    <w:rsid w:val="00D02181"/>
    <w:rsid w:val="00D04658"/>
    <w:rsid w:val="00D04C12"/>
    <w:rsid w:val="00D05B53"/>
    <w:rsid w:val="00D069A3"/>
    <w:rsid w:val="00D150DC"/>
    <w:rsid w:val="00D20D6E"/>
    <w:rsid w:val="00D21201"/>
    <w:rsid w:val="00D248F1"/>
    <w:rsid w:val="00D25590"/>
    <w:rsid w:val="00D27686"/>
    <w:rsid w:val="00D323D3"/>
    <w:rsid w:val="00D35509"/>
    <w:rsid w:val="00D355C4"/>
    <w:rsid w:val="00D375A0"/>
    <w:rsid w:val="00D37F39"/>
    <w:rsid w:val="00D402F4"/>
    <w:rsid w:val="00D43B70"/>
    <w:rsid w:val="00D44BB7"/>
    <w:rsid w:val="00D45705"/>
    <w:rsid w:val="00D501DE"/>
    <w:rsid w:val="00D529BC"/>
    <w:rsid w:val="00D579D7"/>
    <w:rsid w:val="00D60C4C"/>
    <w:rsid w:val="00D65496"/>
    <w:rsid w:val="00D663AF"/>
    <w:rsid w:val="00D67190"/>
    <w:rsid w:val="00D72927"/>
    <w:rsid w:val="00D74115"/>
    <w:rsid w:val="00D75804"/>
    <w:rsid w:val="00D774DD"/>
    <w:rsid w:val="00D81A8E"/>
    <w:rsid w:val="00D8214D"/>
    <w:rsid w:val="00D82ABF"/>
    <w:rsid w:val="00D836C8"/>
    <w:rsid w:val="00D875D6"/>
    <w:rsid w:val="00D9328E"/>
    <w:rsid w:val="00D9341E"/>
    <w:rsid w:val="00D94F94"/>
    <w:rsid w:val="00DA2ACA"/>
    <w:rsid w:val="00DA3701"/>
    <w:rsid w:val="00DA3B0E"/>
    <w:rsid w:val="00DA412C"/>
    <w:rsid w:val="00DA4B3D"/>
    <w:rsid w:val="00DA6AFE"/>
    <w:rsid w:val="00DB0E51"/>
    <w:rsid w:val="00DB7B4B"/>
    <w:rsid w:val="00DC60BE"/>
    <w:rsid w:val="00DC7A44"/>
    <w:rsid w:val="00DD4541"/>
    <w:rsid w:val="00DD5737"/>
    <w:rsid w:val="00DE035D"/>
    <w:rsid w:val="00DE1B01"/>
    <w:rsid w:val="00DE53E6"/>
    <w:rsid w:val="00DF33F7"/>
    <w:rsid w:val="00DF35DD"/>
    <w:rsid w:val="00DF559C"/>
    <w:rsid w:val="00DF7B99"/>
    <w:rsid w:val="00E0191B"/>
    <w:rsid w:val="00E0200F"/>
    <w:rsid w:val="00E03F70"/>
    <w:rsid w:val="00E10F21"/>
    <w:rsid w:val="00E209CB"/>
    <w:rsid w:val="00E22845"/>
    <w:rsid w:val="00E264E7"/>
    <w:rsid w:val="00E33F6F"/>
    <w:rsid w:val="00E34B5F"/>
    <w:rsid w:val="00E35E22"/>
    <w:rsid w:val="00E369CA"/>
    <w:rsid w:val="00E37524"/>
    <w:rsid w:val="00E376CD"/>
    <w:rsid w:val="00E4067F"/>
    <w:rsid w:val="00E411F2"/>
    <w:rsid w:val="00E47C1E"/>
    <w:rsid w:val="00E50505"/>
    <w:rsid w:val="00E53D36"/>
    <w:rsid w:val="00E5777F"/>
    <w:rsid w:val="00E578B3"/>
    <w:rsid w:val="00E57EB6"/>
    <w:rsid w:val="00E608FF"/>
    <w:rsid w:val="00E61EBF"/>
    <w:rsid w:val="00E6462D"/>
    <w:rsid w:val="00E65898"/>
    <w:rsid w:val="00E83A57"/>
    <w:rsid w:val="00E840D2"/>
    <w:rsid w:val="00E90EF2"/>
    <w:rsid w:val="00E91223"/>
    <w:rsid w:val="00E928C6"/>
    <w:rsid w:val="00E9294B"/>
    <w:rsid w:val="00E93828"/>
    <w:rsid w:val="00E938A0"/>
    <w:rsid w:val="00E97264"/>
    <w:rsid w:val="00E97684"/>
    <w:rsid w:val="00EA17B3"/>
    <w:rsid w:val="00EA2714"/>
    <w:rsid w:val="00EA49FA"/>
    <w:rsid w:val="00EB175E"/>
    <w:rsid w:val="00EB2158"/>
    <w:rsid w:val="00EB2E0E"/>
    <w:rsid w:val="00EB5EC8"/>
    <w:rsid w:val="00EC0AFC"/>
    <w:rsid w:val="00EC6770"/>
    <w:rsid w:val="00EC73F1"/>
    <w:rsid w:val="00ED1F40"/>
    <w:rsid w:val="00ED2F6E"/>
    <w:rsid w:val="00ED3283"/>
    <w:rsid w:val="00EE26F0"/>
    <w:rsid w:val="00EE4577"/>
    <w:rsid w:val="00EF265F"/>
    <w:rsid w:val="00EF4788"/>
    <w:rsid w:val="00EF5A86"/>
    <w:rsid w:val="00EF7C1C"/>
    <w:rsid w:val="00F06951"/>
    <w:rsid w:val="00F07A70"/>
    <w:rsid w:val="00F17F9F"/>
    <w:rsid w:val="00F220B6"/>
    <w:rsid w:val="00F23069"/>
    <w:rsid w:val="00F24B6A"/>
    <w:rsid w:val="00F26B2C"/>
    <w:rsid w:val="00F3029E"/>
    <w:rsid w:val="00F31601"/>
    <w:rsid w:val="00F31AA9"/>
    <w:rsid w:val="00F329CB"/>
    <w:rsid w:val="00F32BF5"/>
    <w:rsid w:val="00F33F23"/>
    <w:rsid w:val="00F3633C"/>
    <w:rsid w:val="00F365E7"/>
    <w:rsid w:val="00F40869"/>
    <w:rsid w:val="00F41F47"/>
    <w:rsid w:val="00F43D34"/>
    <w:rsid w:val="00F4637C"/>
    <w:rsid w:val="00F469B5"/>
    <w:rsid w:val="00F50227"/>
    <w:rsid w:val="00F55038"/>
    <w:rsid w:val="00F5521B"/>
    <w:rsid w:val="00F56447"/>
    <w:rsid w:val="00F57F95"/>
    <w:rsid w:val="00F607BA"/>
    <w:rsid w:val="00F61608"/>
    <w:rsid w:val="00F6271E"/>
    <w:rsid w:val="00F65417"/>
    <w:rsid w:val="00F6680A"/>
    <w:rsid w:val="00F721B7"/>
    <w:rsid w:val="00F82145"/>
    <w:rsid w:val="00F840D4"/>
    <w:rsid w:val="00F8431A"/>
    <w:rsid w:val="00F90A54"/>
    <w:rsid w:val="00F94BFE"/>
    <w:rsid w:val="00F9639A"/>
    <w:rsid w:val="00FA1232"/>
    <w:rsid w:val="00FA129B"/>
    <w:rsid w:val="00FA1CC7"/>
    <w:rsid w:val="00FA29F5"/>
    <w:rsid w:val="00FB0EF3"/>
    <w:rsid w:val="00FB5BD1"/>
    <w:rsid w:val="00FB69A5"/>
    <w:rsid w:val="00FC1906"/>
    <w:rsid w:val="00FC4A9F"/>
    <w:rsid w:val="00FC4D5F"/>
    <w:rsid w:val="00FC5A1E"/>
    <w:rsid w:val="00FC6032"/>
    <w:rsid w:val="00FD5DF8"/>
    <w:rsid w:val="00FE3A85"/>
    <w:rsid w:val="00FE4C91"/>
    <w:rsid w:val="00FE74BB"/>
    <w:rsid w:val="00FF1A72"/>
    <w:rsid w:val="00FF2F01"/>
    <w:rsid w:val="00FF34A1"/>
    <w:rsid w:val="00FF3FD2"/>
    <w:rsid w:val="00FF7434"/>
    <w:rsid w:val="18F13329"/>
    <w:rsid w:val="203A7580"/>
    <w:rsid w:val="4F01F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71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F3"/>
    <w:pPr>
      <w:ind w:left="720" w:hanging="720"/>
    </w:pPr>
    <w:rPr>
      <w:sz w:val="24"/>
      <w:szCs w:val="24"/>
    </w:rPr>
  </w:style>
  <w:style w:type="paragraph" w:styleId="Heading1">
    <w:name w:val="heading 1"/>
    <w:aliases w:val="h1,c"/>
    <w:basedOn w:val="Normal"/>
    <w:next w:val="Normal"/>
    <w:link w:val="Heading1Char"/>
    <w:qFormat/>
    <w:rsid w:val="007F70EC"/>
    <w:pPr>
      <w:autoSpaceDE w:val="0"/>
      <w:autoSpaceDN w:val="0"/>
      <w:spacing w:before="240"/>
      <w:ind w:left="0" w:right="288" w:firstLine="0"/>
      <w:outlineLvl w:val="0"/>
    </w:pPr>
    <w:rPr>
      <w:rFonts w:ascii="Univers (W1)" w:hAnsi="Univers (W1)" w:cs="Univers (W1)"/>
      <w:b/>
      <w:bCs/>
      <w:u w:val="single"/>
      <w:lang w:eastAsia="en-US"/>
    </w:rPr>
  </w:style>
  <w:style w:type="paragraph" w:styleId="Heading2">
    <w:name w:val="heading 2"/>
    <w:basedOn w:val="Normal"/>
    <w:next w:val="Normal"/>
    <w:link w:val="Heading2Char"/>
    <w:qFormat/>
    <w:rsid w:val="007F70EC"/>
    <w:pPr>
      <w:keepNext/>
      <w:spacing w:before="240" w:after="60"/>
      <w:ind w:left="0" w:firstLine="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7F70EC"/>
    <w:pPr>
      <w:keepNext/>
      <w:spacing w:before="240" w:after="60"/>
      <w:ind w:left="0" w:firstLine="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1B4"/>
    <w:pPr>
      <w:tabs>
        <w:tab w:val="center" w:pos="4153"/>
        <w:tab w:val="right" w:pos="8306"/>
      </w:tabs>
    </w:pPr>
  </w:style>
  <w:style w:type="paragraph" w:styleId="Footer">
    <w:name w:val="footer"/>
    <w:basedOn w:val="Normal"/>
    <w:link w:val="FooterChar"/>
    <w:uiPriority w:val="99"/>
    <w:rsid w:val="00AA01B4"/>
    <w:pPr>
      <w:tabs>
        <w:tab w:val="center" w:pos="4153"/>
        <w:tab w:val="right" w:pos="8306"/>
      </w:tabs>
    </w:pPr>
  </w:style>
  <w:style w:type="paragraph" w:customStyle="1" w:styleId="ACMAReportDate">
    <w:name w:val="ACMA Report Date"/>
    <w:rsid w:val="00AA01B4"/>
    <w:rPr>
      <w:snapToGrid w:val="0"/>
      <w:lang w:eastAsia="en-US"/>
    </w:rPr>
  </w:style>
  <w:style w:type="paragraph" w:styleId="BalloonText">
    <w:name w:val="Balloon Text"/>
    <w:basedOn w:val="Normal"/>
    <w:semiHidden/>
    <w:rsid w:val="007F358B"/>
    <w:rPr>
      <w:rFonts w:ascii="Tahoma" w:hAnsi="Tahoma" w:cs="Tahoma"/>
      <w:sz w:val="16"/>
      <w:szCs w:val="16"/>
    </w:rPr>
  </w:style>
  <w:style w:type="paragraph" w:customStyle="1" w:styleId="ABABodyText">
    <w:name w:val="ABA Body Text"/>
    <w:rsid w:val="007F358B"/>
    <w:pPr>
      <w:suppressAutoHyphens/>
      <w:spacing w:before="80" w:after="120" w:line="280" w:lineRule="atLeast"/>
    </w:pPr>
    <w:rPr>
      <w:snapToGrid w:val="0"/>
      <w:sz w:val="24"/>
      <w:lang w:eastAsia="en-US"/>
    </w:rPr>
  </w:style>
  <w:style w:type="paragraph" w:customStyle="1" w:styleId="ABAHeading2">
    <w:name w:val="ABA Heading 2"/>
    <w:next w:val="ABABodyText"/>
    <w:rsid w:val="007F358B"/>
    <w:pPr>
      <w:keepNext/>
      <w:suppressAutoHyphens/>
      <w:spacing w:before="240"/>
      <w:outlineLvl w:val="2"/>
    </w:pPr>
    <w:rPr>
      <w:rFonts w:ascii="Arial" w:hAnsi="Arial"/>
      <w:b/>
      <w:sz w:val="28"/>
      <w:lang w:eastAsia="en-US"/>
    </w:rPr>
  </w:style>
  <w:style w:type="paragraph" w:customStyle="1" w:styleId="ABAHeading3">
    <w:name w:val="ABA Heading 3"/>
    <w:next w:val="ABABodyText"/>
    <w:link w:val="ABAHeading3Char"/>
    <w:rsid w:val="007F358B"/>
    <w:pPr>
      <w:keepNext/>
      <w:suppressAutoHyphens/>
      <w:spacing w:before="120"/>
    </w:pPr>
    <w:rPr>
      <w:rFonts w:ascii="Arial" w:hAnsi="Arial"/>
      <w:b/>
      <w:sz w:val="24"/>
      <w:lang w:eastAsia="en-US"/>
    </w:rPr>
  </w:style>
  <w:style w:type="character" w:customStyle="1" w:styleId="ABAHeading3Char">
    <w:name w:val="ABA Heading 3 Char"/>
    <w:link w:val="ABAHeading3"/>
    <w:rsid w:val="007F358B"/>
    <w:rPr>
      <w:rFonts w:ascii="Arial" w:hAnsi="Arial"/>
      <w:b/>
      <w:sz w:val="24"/>
      <w:lang w:val="en-AU" w:eastAsia="en-US" w:bidi="ar-SA"/>
    </w:rPr>
  </w:style>
  <w:style w:type="paragraph" w:customStyle="1" w:styleId="Default">
    <w:name w:val="Default"/>
    <w:rsid w:val="00B72609"/>
    <w:pPr>
      <w:autoSpaceDE w:val="0"/>
      <w:autoSpaceDN w:val="0"/>
      <w:adjustRightInd w:val="0"/>
    </w:pPr>
    <w:rPr>
      <w:color w:val="000000"/>
      <w:sz w:val="24"/>
      <w:szCs w:val="24"/>
    </w:rPr>
  </w:style>
  <w:style w:type="paragraph" w:styleId="NormalWeb">
    <w:name w:val="Normal (Web)"/>
    <w:basedOn w:val="Normal"/>
    <w:rsid w:val="00777150"/>
    <w:pPr>
      <w:spacing w:before="100" w:beforeAutospacing="1" w:after="100" w:afterAutospacing="1"/>
    </w:pPr>
  </w:style>
  <w:style w:type="paragraph" w:customStyle="1" w:styleId="ABABulletLevel1">
    <w:name w:val="ABA Bullet Level 1"/>
    <w:rsid w:val="00313213"/>
    <w:pPr>
      <w:tabs>
        <w:tab w:val="num" w:pos="360"/>
      </w:tabs>
      <w:ind w:left="360" w:hanging="360"/>
    </w:pPr>
    <w:rPr>
      <w:sz w:val="24"/>
      <w:lang w:eastAsia="en-US"/>
    </w:rPr>
  </w:style>
  <w:style w:type="paragraph" w:customStyle="1" w:styleId="ABANumberedList">
    <w:name w:val="ABA Numbered List"/>
    <w:rsid w:val="00313213"/>
    <w:pPr>
      <w:spacing w:before="20" w:after="20"/>
      <w:ind w:left="360" w:hanging="360"/>
    </w:pPr>
    <w:rPr>
      <w:sz w:val="24"/>
      <w:lang w:eastAsia="en-US"/>
    </w:rPr>
  </w:style>
  <w:style w:type="character" w:styleId="CommentReference">
    <w:name w:val="annotation reference"/>
    <w:semiHidden/>
    <w:rsid w:val="00C97673"/>
    <w:rPr>
      <w:sz w:val="16"/>
      <w:szCs w:val="16"/>
    </w:rPr>
  </w:style>
  <w:style w:type="paragraph" w:styleId="CommentText">
    <w:name w:val="annotation text"/>
    <w:basedOn w:val="Normal"/>
    <w:link w:val="CommentTextChar"/>
    <w:semiHidden/>
    <w:rsid w:val="00C97673"/>
    <w:rPr>
      <w:sz w:val="20"/>
      <w:szCs w:val="20"/>
    </w:rPr>
  </w:style>
  <w:style w:type="paragraph" w:styleId="CommentSubject">
    <w:name w:val="annotation subject"/>
    <w:basedOn w:val="CommentText"/>
    <w:next w:val="CommentText"/>
    <w:semiHidden/>
    <w:rsid w:val="00C97673"/>
    <w:rPr>
      <w:b/>
      <w:bCs/>
    </w:rPr>
  </w:style>
  <w:style w:type="character" w:styleId="Hyperlink">
    <w:name w:val="Hyperlink"/>
    <w:rsid w:val="00CC19E4"/>
    <w:rPr>
      <w:color w:val="0000FF"/>
      <w:u w:val="single"/>
    </w:rPr>
  </w:style>
  <w:style w:type="paragraph" w:customStyle="1" w:styleId="ACMANumberedList">
    <w:name w:val="ACMA Numbered List"/>
    <w:rsid w:val="00502F3C"/>
    <w:pPr>
      <w:numPr>
        <w:numId w:val="12"/>
      </w:numPr>
      <w:tabs>
        <w:tab w:val="clear" w:pos="720"/>
        <w:tab w:val="num" w:pos="360"/>
      </w:tabs>
      <w:spacing w:before="20" w:after="20"/>
      <w:ind w:left="0" w:firstLine="0"/>
    </w:pPr>
    <w:rPr>
      <w:sz w:val="24"/>
      <w:lang w:eastAsia="en-US"/>
    </w:rPr>
  </w:style>
  <w:style w:type="paragraph" w:customStyle="1" w:styleId="ACMABodyText">
    <w:name w:val="ACMA Body Text"/>
    <w:rsid w:val="00502F3C"/>
    <w:pPr>
      <w:suppressAutoHyphens/>
      <w:spacing w:before="80" w:after="120" w:line="280" w:lineRule="atLeast"/>
    </w:pPr>
    <w:rPr>
      <w:snapToGrid w:val="0"/>
      <w:sz w:val="24"/>
      <w:lang w:eastAsia="en-US"/>
    </w:rPr>
  </w:style>
  <w:style w:type="paragraph" w:customStyle="1" w:styleId="ACMAQuote">
    <w:name w:val="ACMA Quote"/>
    <w:rsid w:val="00502F3C"/>
    <w:pPr>
      <w:spacing w:line="240" w:lineRule="atLeast"/>
      <w:ind w:left="562" w:right="562"/>
    </w:pPr>
    <w:rPr>
      <w:sz w:val="22"/>
      <w:lang w:eastAsia="en-US"/>
    </w:rPr>
  </w:style>
  <w:style w:type="character" w:styleId="FollowedHyperlink">
    <w:name w:val="FollowedHyperlink"/>
    <w:rsid w:val="007F4A91"/>
    <w:rPr>
      <w:color w:val="800080"/>
      <w:u w:val="single"/>
    </w:rPr>
  </w:style>
  <w:style w:type="paragraph" w:customStyle="1" w:styleId="Contactdetails">
    <w:name w:val="Contact details"/>
    <w:basedOn w:val="Normal"/>
    <w:rsid w:val="008A21F5"/>
    <w:pPr>
      <w:tabs>
        <w:tab w:val="left" w:pos="1134"/>
        <w:tab w:val="left" w:pos="4536"/>
        <w:tab w:val="left" w:pos="6237"/>
      </w:tabs>
      <w:ind w:left="0" w:firstLine="0"/>
    </w:pPr>
  </w:style>
  <w:style w:type="character" w:customStyle="1" w:styleId="Heading1Char">
    <w:name w:val="Heading 1 Char"/>
    <w:aliases w:val="h1 Char,c Char"/>
    <w:link w:val="Heading1"/>
    <w:rsid w:val="007F70EC"/>
    <w:rPr>
      <w:rFonts w:ascii="Univers (W1)" w:hAnsi="Univers (W1)" w:cs="Univers (W1)"/>
      <w:b/>
      <w:bCs/>
      <w:sz w:val="24"/>
      <w:szCs w:val="24"/>
      <w:u w:val="single"/>
      <w:lang w:eastAsia="en-US"/>
    </w:rPr>
  </w:style>
  <w:style w:type="character" w:customStyle="1" w:styleId="Heading2Char">
    <w:name w:val="Heading 2 Char"/>
    <w:link w:val="Heading2"/>
    <w:rsid w:val="007F70EC"/>
    <w:rPr>
      <w:rFonts w:ascii="Arial" w:hAnsi="Arial" w:cs="Arial"/>
      <w:b/>
      <w:bCs/>
      <w:i/>
      <w:iCs/>
      <w:sz w:val="28"/>
      <w:szCs w:val="28"/>
      <w:lang w:eastAsia="en-US"/>
    </w:rPr>
  </w:style>
  <w:style w:type="character" w:customStyle="1" w:styleId="Heading3Char">
    <w:name w:val="Heading 3 Char"/>
    <w:link w:val="Heading3"/>
    <w:rsid w:val="007F70EC"/>
    <w:rPr>
      <w:rFonts w:ascii="Arial" w:hAnsi="Arial" w:cs="Arial"/>
      <w:b/>
      <w:bCs/>
      <w:sz w:val="26"/>
      <w:szCs w:val="26"/>
      <w:lang w:eastAsia="en-US"/>
    </w:rPr>
  </w:style>
  <w:style w:type="paragraph" w:customStyle="1" w:styleId="Normalspace">
    <w:name w:val="Normal + space"/>
    <w:basedOn w:val="Normal"/>
    <w:rsid w:val="007F70EC"/>
    <w:pPr>
      <w:autoSpaceDE w:val="0"/>
      <w:autoSpaceDN w:val="0"/>
      <w:spacing w:after="240"/>
      <w:ind w:left="0" w:right="288" w:firstLine="0"/>
    </w:pPr>
    <w:rPr>
      <w:rFonts w:ascii="CG Times (W1)" w:hAnsi="CG Times (W1)" w:cs="CG Times (W1)"/>
      <w:lang w:eastAsia="en-US"/>
    </w:rPr>
  </w:style>
  <w:style w:type="character" w:customStyle="1" w:styleId="CommentTextChar">
    <w:name w:val="Comment Text Char"/>
    <w:basedOn w:val="DefaultParagraphFont"/>
    <w:link w:val="CommentText"/>
    <w:semiHidden/>
    <w:rsid w:val="004751F9"/>
  </w:style>
  <w:style w:type="paragraph" w:styleId="Revision">
    <w:name w:val="Revision"/>
    <w:hidden/>
    <w:uiPriority w:val="99"/>
    <w:semiHidden/>
    <w:rsid w:val="004751F9"/>
    <w:rPr>
      <w:sz w:val="24"/>
      <w:szCs w:val="24"/>
    </w:rPr>
  </w:style>
  <w:style w:type="paragraph" w:styleId="ListParagraph">
    <w:name w:val="List Paragraph"/>
    <w:basedOn w:val="Normal"/>
    <w:uiPriority w:val="34"/>
    <w:qFormat/>
    <w:rsid w:val="0089125C"/>
    <w:pPr>
      <w:spacing w:after="160" w:line="256" w:lineRule="auto"/>
      <w:ind w:firstLine="0"/>
      <w:contextualSpacing/>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20D6E"/>
    <w:rPr>
      <w:sz w:val="24"/>
      <w:szCs w:val="24"/>
    </w:rPr>
  </w:style>
  <w:style w:type="character" w:customStyle="1" w:styleId="FooterChar">
    <w:name w:val="Footer Char"/>
    <w:basedOn w:val="DefaultParagraphFont"/>
    <w:link w:val="Footer"/>
    <w:uiPriority w:val="99"/>
    <w:rsid w:val="00D20D6E"/>
    <w:rPr>
      <w:sz w:val="24"/>
      <w:szCs w:val="24"/>
    </w:rPr>
  </w:style>
  <w:style w:type="character" w:customStyle="1" w:styleId="normaltextrun">
    <w:name w:val="normaltextrun"/>
    <w:basedOn w:val="DefaultParagraphFont"/>
    <w:rsid w:val="005E673D"/>
  </w:style>
  <w:style w:type="character" w:customStyle="1" w:styleId="findhit">
    <w:name w:val="findhit"/>
    <w:basedOn w:val="DefaultParagraphFont"/>
    <w:rsid w:val="005E673D"/>
  </w:style>
  <w:style w:type="character" w:styleId="UnresolvedMention">
    <w:name w:val="Unresolved Mention"/>
    <w:basedOn w:val="DefaultParagraphFont"/>
    <w:uiPriority w:val="99"/>
    <w:semiHidden/>
    <w:unhideWhenUsed/>
    <w:rsid w:val="00D774DD"/>
    <w:rPr>
      <w:color w:val="605E5C"/>
      <w:shd w:val="clear" w:color="auto" w:fill="E1DFDD"/>
    </w:rPr>
  </w:style>
  <w:style w:type="paragraph" w:customStyle="1" w:styleId="P1">
    <w:name w:val="P1"/>
    <w:aliases w:val="(a)"/>
    <w:basedOn w:val="Normal"/>
    <w:rsid w:val="00920C02"/>
    <w:pPr>
      <w:tabs>
        <w:tab w:val="right" w:pos="1191"/>
      </w:tabs>
      <w:spacing w:before="60" w:line="260" w:lineRule="exact"/>
      <w:ind w:left="1418" w:hanging="1418"/>
      <w:jc w:val="both"/>
    </w:pPr>
    <w:rPr>
      <w:lang w:eastAsia="en-US"/>
    </w:rPr>
  </w:style>
  <w:style w:type="character" w:customStyle="1" w:styleId="CharPartNo">
    <w:name w:val="CharPartNo"/>
    <w:basedOn w:val="DefaultParagraphFont"/>
    <w:rsid w:val="00BB385A"/>
  </w:style>
  <w:style w:type="character" w:customStyle="1" w:styleId="CharPartText">
    <w:name w:val="CharPartText"/>
    <w:basedOn w:val="DefaultParagraphFont"/>
    <w:rsid w:val="00BB385A"/>
  </w:style>
  <w:style w:type="paragraph" w:customStyle="1" w:styleId="HP">
    <w:name w:val="HP"/>
    <w:aliases w:val="Part Heading"/>
    <w:basedOn w:val="Normal"/>
    <w:next w:val="Normal"/>
    <w:rsid w:val="00BB385A"/>
    <w:pPr>
      <w:keepNext/>
      <w:keepLines/>
      <w:spacing w:before="360"/>
      <w:ind w:left="2410" w:hanging="2410"/>
    </w:pPr>
    <w:rPr>
      <w:rFonts w:ascii="Arial" w:hAnsi="Arial"/>
      <w:b/>
      <w:sz w:val="32"/>
    </w:rPr>
  </w:style>
  <w:style w:type="paragraph" w:styleId="FootnoteText">
    <w:name w:val="footnote text"/>
    <w:basedOn w:val="Normal"/>
    <w:link w:val="FootnoteTextChar"/>
    <w:uiPriority w:val="99"/>
    <w:semiHidden/>
    <w:unhideWhenUsed/>
    <w:rsid w:val="009B5FEB"/>
    <w:rPr>
      <w:sz w:val="20"/>
      <w:szCs w:val="20"/>
    </w:rPr>
  </w:style>
  <w:style w:type="character" w:customStyle="1" w:styleId="FootnoteTextChar">
    <w:name w:val="Footnote Text Char"/>
    <w:basedOn w:val="DefaultParagraphFont"/>
    <w:link w:val="FootnoteText"/>
    <w:uiPriority w:val="99"/>
    <w:semiHidden/>
    <w:rsid w:val="009B5FEB"/>
  </w:style>
  <w:style w:type="character" w:styleId="FootnoteReference">
    <w:name w:val="footnote reference"/>
    <w:basedOn w:val="DefaultParagraphFont"/>
    <w:uiPriority w:val="99"/>
    <w:semiHidden/>
    <w:unhideWhenUsed/>
    <w:rsid w:val="009B5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5963">
      <w:bodyDiv w:val="1"/>
      <w:marLeft w:val="0"/>
      <w:marRight w:val="0"/>
      <w:marTop w:val="0"/>
      <w:marBottom w:val="0"/>
      <w:divBdr>
        <w:top w:val="none" w:sz="0" w:space="0" w:color="auto"/>
        <w:left w:val="none" w:sz="0" w:space="0" w:color="auto"/>
        <w:bottom w:val="none" w:sz="0" w:space="0" w:color="auto"/>
        <w:right w:val="none" w:sz="0" w:space="0" w:color="auto"/>
      </w:divBdr>
      <w:divsChild>
        <w:div w:id="1416248062">
          <w:marLeft w:val="0"/>
          <w:marRight w:val="0"/>
          <w:marTop w:val="0"/>
          <w:marBottom w:val="0"/>
          <w:divBdr>
            <w:top w:val="none" w:sz="0" w:space="0" w:color="auto"/>
            <w:left w:val="none" w:sz="0" w:space="0" w:color="auto"/>
            <w:bottom w:val="none" w:sz="0" w:space="0" w:color="auto"/>
            <w:right w:val="none" w:sz="0" w:space="0" w:color="auto"/>
          </w:divBdr>
          <w:divsChild>
            <w:div w:id="1778018797">
              <w:marLeft w:val="0"/>
              <w:marRight w:val="0"/>
              <w:marTop w:val="0"/>
              <w:marBottom w:val="0"/>
              <w:divBdr>
                <w:top w:val="none" w:sz="0" w:space="0" w:color="auto"/>
                <w:left w:val="none" w:sz="0" w:space="0" w:color="auto"/>
                <w:bottom w:val="none" w:sz="0" w:space="0" w:color="auto"/>
                <w:right w:val="none" w:sz="0" w:space="0" w:color="auto"/>
              </w:divBdr>
              <w:divsChild>
                <w:div w:id="12277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47737">
      <w:bodyDiv w:val="1"/>
      <w:marLeft w:val="0"/>
      <w:marRight w:val="0"/>
      <w:marTop w:val="0"/>
      <w:marBottom w:val="0"/>
      <w:divBdr>
        <w:top w:val="none" w:sz="0" w:space="0" w:color="auto"/>
        <w:left w:val="none" w:sz="0" w:space="0" w:color="auto"/>
        <w:bottom w:val="none" w:sz="0" w:space="0" w:color="auto"/>
        <w:right w:val="none" w:sz="0" w:space="0" w:color="auto"/>
      </w:divBdr>
    </w:div>
    <w:div w:id="419913432">
      <w:bodyDiv w:val="1"/>
      <w:marLeft w:val="0"/>
      <w:marRight w:val="0"/>
      <w:marTop w:val="0"/>
      <w:marBottom w:val="0"/>
      <w:divBdr>
        <w:top w:val="none" w:sz="0" w:space="0" w:color="auto"/>
        <w:left w:val="none" w:sz="0" w:space="0" w:color="auto"/>
        <w:bottom w:val="none" w:sz="0" w:space="0" w:color="auto"/>
        <w:right w:val="none" w:sz="0" w:space="0" w:color="auto"/>
      </w:divBdr>
      <w:divsChild>
        <w:div w:id="166218784">
          <w:marLeft w:val="0"/>
          <w:marRight w:val="0"/>
          <w:marTop w:val="0"/>
          <w:marBottom w:val="0"/>
          <w:divBdr>
            <w:top w:val="none" w:sz="0" w:space="0" w:color="auto"/>
            <w:left w:val="none" w:sz="0" w:space="0" w:color="auto"/>
            <w:bottom w:val="none" w:sz="0" w:space="0" w:color="auto"/>
            <w:right w:val="none" w:sz="0" w:space="0" w:color="auto"/>
          </w:divBdr>
        </w:div>
      </w:divsChild>
    </w:div>
    <w:div w:id="536747504">
      <w:bodyDiv w:val="1"/>
      <w:marLeft w:val="0"/>
      <w:marRight w:val="0"/>
      <w:marTop w:val="0"/>
      <w:marBottom w:val="0"/>
      <w:divBdr>
        <w:top w:val="none" w:sz="0" w:space="0" w:color="auto"/>
        <w:left w:val="none" w:sz="0" w:space="0" w:color="auto"/>
        <w:bottom w:val="none" w:sz="0" w:space="0" w:color="auto"/>
        <w:right w:val="none" w:sz="0" w:space="0" w:color="auto"/>
      </w:divBdr>
      <w:divsChild>
        <w:div w:id="2040933753">
          <w:marLeft w:val="0"/>
          <w:marRight w:val="0"/>
          <w:marTop w:val="0"/>
          <w:marBottom w:val="0"/>
          <w:divBdr>
            <w:top w:val="none" w:sz="0" w:space="0" w:color="auto"/>
            <w:left w:val="none" w:sz="0" w:space="0" w:color="auto"/>
            <w:bottom w:val="none" w:sz="0" w:space="0" w:color="auto"/>
            <w:right w:val="none" w:sz="0" w:space="0" w:color="auto"/>
          </w:divBdr>
        </w:div>
      </w:divsChild>
    </w:div>
    <w:div w:id="807478494">
      <w:bodyDiv w:val="1"/>
      <w:marLeft w:val="0"/>
      <w:marRight w:val="0"/>
      <w:marTop w:val="0"/>
      <w:marBottom w:val="0"/>
      <w:divBdr>
        <w:top w:val="none" w:sz="0" w:space="0" w:color="auto"/>
        <w:left w:val="none" w:sz="0" w:space="0" w:color="auto"/>
        <w:bottom w:val="none" w:sz="0" w:space="0" w:color="auto"/>
        <w:right w:val="none" w:sz="0" w:space="0" w:color="auto"/>
      </w:divBdr>
      <w:divsChild>
        <w:div w:id="1664622919">
          <w:marLeft w:val="0"/>
          <w:marRight w:val="0"/>
          <w:marTop w:val="0"/>
          <w:marBottom w:val="0"/>
          <w:divBdr>
            <w:top w:val="none" w:sz="0" w:space="0" w:color="auto"/>
            <w:left w:val="none" w:sz="0" w:space="0" w:color="auto"/>
            <w:bottom w:val="none" w:sz="0" w:space="0" w:color="auto"/>
            <w:right w:val="none" w:sz="0" w:space="0" w:color="auto"/>
          </w:divBdr>
        </w:div>
      </w:divsChild>
    </w:div>
    <w:div w:id="971593260">
      <w:bodyDiv w:val="1"/>
      <w:marLeft w:val="0"/>
      <w:marRight w:val="0"/>
      <w:marTop w:val="0"/>
      <w:marBottom w:val="0"/>
      <w:divBdr>
        <w:top w:val="none" w:sz="0" w:space="0" w:color="auto"/>
        <w:left w:val="none" w:sz="0" w:space="0" w:color="auto"/>
        <w:bottom w:val="none" w:sz="0" w:space="0" w:color="auto"/>
        <w:right w:val="none" w:sz="0" w:space="0" w:color="auto"/>
      </w:divBdr>
      <w:divsChild>
        <w:div w:id="1726677867">
          <w:marLeft w:val="0"/>
          <w:marRight w:val="0"/>
          <w:marTop w:val="0"/>
          <w:marBottom w:val="0"/>
          <w:divBdr>
            <w:top w:val="none" w:sz="0" w:space="0" w:color="auto"/>
            <w:left w:val="none" w:sz="0" w:space="0" w:color="auto"/>
            <w:bottom w:val="none" w:sz="0" w:space="0" w:color="auto"/>
            <w:right w:val="none" w:sz="0" w:space="0" w:color="auto"/>
          </w:divBdr>
        </w:div>
      </w:divsChild>
    </w:div>
    <w:div w:id="1139884360">
      <w:bodyDiv w:val="1"/>
      <w:marLeft w:val="0"/>
      <w:marRight w:val="0"/>
      <w:marTop w:val="0"/>
      <w:marBottom w:val="0"/>
      <w:divBdr>
        <w:top w:val="none" w:sz="0" w:space="0" w:color="auto"/>
        <w:left w:val="none" w:sz="0" w:space="0" w:color="auto"/>
        <w:bottom w:val="none" w:sz="0" w:space="0" w:color="auto"/>
        <w:right w:val="none" w:sz="0" w:space="0" w:color="auto"/>
      </w:divBdr>
      <w:divsChild>
        <w:div w:id="198397806">
          <w:marLeft w:val="0"/>
          <w:marRight w:val="0"/>
          <w:marTop w:val="0"/>
          <w:marBottom w:val="0"/>
          <w:divBdr>
            <w:top w:val="none" w:sz="0" w:space="0" w:color="auto"/>
            <w:left w:val="none" w:sz="0" w:space="0" w:color="auto"/>
            <w:bottom w:val="none" w:sz="0" w:space="0" w:color="auto"/>
            <w:right w:val="none" w:sz="0" w:space="0" w:color="auto"/>
          </w:divBdr>
        </w:div>
      </w:divsChild>
    </w:div>
    <w:div w:id="1522429947">
      <w:bodyDiv w:val="1"/>
      <w:marLeft w:val="0"/>
      <w:marRight w:val="0"/>
      <w:marTop w:val="0"/>
      <w:marBottom w:val="0"/>
      <w:divBdr>
        <w:top w:val="none" w:sz="0" w:space="0" w:color="auto"/>
        <w:left w:val="none" w:sz="0" w:space="0" w:color="auto"/>
        <w:bottom w:val="none" w:sz="0" w:space="0" w:color="auto"/>
        <w:right w:val="none" w:sz="0" w:space="0" w:color="auto"/>
      </w:divBdr>
    </w:div>
    <w:div w:id="1565875150">
      <w:bodyDiv w:val="1"/>
      <w:marLeft w:val="0"/>
      <w:marRight w:val="0"/>
      <w:marTop w:val="0"/>
      <w:marBottom w:val="0"/>
      <w:divBdr>
        <w:top w:val="none" w:sz="0" w:space="0" w:color="auto"/>
        <w:left w:val="none" w:sz="0" w:space="0" w:color="auto"/>
        <w:bottom w:val="none" w:sz="0" w:space="0" w:color="auto"/>
        <w:right w:val="none" w:sz="0" w:space="0" w:color="auto"/>
      </w:divBdr>
    </w:div>
    <w:div w:id="1612467097">
      <w:bodyDiv w:val="1"/>
      <w:marLeft w:val="0"/>
      <w:marRight w:val="0"/>
      <w:marTop w:val="0"/>
      <w:marBottom w:val="0"/>
      <w:divBdr>
        <w:top w:val="none" w:sz="0" w:space="0" w:color="auto"/>
        <w:left w:val="none" w:sz="0" w:space="0" w:color="auto"/>
        <w:bottom w:val="none" w:sz="0" w:space="0" w:color="auto"/>
        <w:right w:val="none" w:sz="0" w:space="0" w:color="auto"/>
      </w:divBdr>
    </w:div>
    <w:div w:id="1789009190">
      <w:bodyDiv w:val="1"/>
      <w:marLeft w:val="0"/>
      <w:marRight w:val="0"/>
      <w:marTop w:val="0"/>
      <w:marBottom w:val="0"/>
      <w:divBdr>
        <w:top w:val="none" w:sz="0" w:space="0" w:color="auto"/>
        <w:left w:val="none" w:sz="0" w:space="0" w:color="auto"/>
        <w:bottom w:val="none" w:sz="0" w:space="0" w:color="auto"/>
        <w:right w:val="none" w:sz="0" w:space="0" w:color="auto"/>
      </w:divBdr>
    </w:div>
    <w:div w:id="1803766532">
      <w:bodyDiv w:val="1"/>
      <w:marLeft w:val="0"/>
      <w:marRight w:val="0"/>
      <w:marTop w:val="0"/>
      <w:marBottom w:val="0"/>
      <w:divBdr>
        <w:top w:val="none" w:sz="0" w:space="0" w:color="auto"/>
        <w:left w:val="none" w:sz="0" w:space="0" w:color="auto"/>
        <w:bottom w:val="none" w:sz="0" w:space="0" w:color="auto"/>
        <w:right w:val="none" w:sz="0" w:space="0" w:color="auto"/>
      </w:divBdr>
    </w:div>
    <w:div w:id="2014338596">
      <w:bodyDiv w:val="1"/>
      <w:marLeft w:val="0"/>
      <w:marRight w:val="0"/>
      <w:marTop w:val="0"/>
      <w:marBottom w:val="0"/>
      <w:divBdr>
        <w:top w:val="none" w:sz="0" w:space="0" w:color="auto"/>
        <w:left w:val="none" w:sz="0" w:space="0" w:color="auto"/>
        <w:bottom w:val="none" w:sz="0" w:space="0" w:color="auto"/>
        <w:right w:val="none" w:sz="0" w:space="0" w:color="auto"/>
      </w:divBdr>
    </w:div>
    <w:div w:id="2136214190">
      <w:bodyDiv w:val="1"/>
      <w:marLeft w:val="0"/>
      <w:marRight w:val="0"/>
      <w:marTop w:val="0"/>
      <w:marBottom w:val="0"/>
      <w:divBdr>
        <w:top w:val="none" w:sz="0" w:space="0" w:color="auto"/>
        <w:left w:val="none" w:sz="0" w:space="0" w:color="auto"/>
        <w:bottom w:val="none" w:sz="0" w:space="0" w:color="auto"/>
        <w:right w:val="none" w:sz="0" w:space="0" w:color="auto"/>
      </w:divBdr>
      <w:divsChild>
        <w:div w:id="470711902">
          <w:marLeft w:val="0"/>
          <w:marRight w:val="0"/>
          <w:marTop w:val="0"/>
          <w:marBottom w:val="0"/>
          <w:divBdr>
            <w:top w:val="none" w:sz="0" w:space="0" w:color="auto"/>
            <w:left w:val="none" w:sz="0" w:space="0" w:color="auto"/>
            <w:bottom w:val="none" w:sz="0" w:space="0" w:color="auto"/>
            <w:right w:val="none" w:sz="0" w:space="0" w:color="auto"/>
          </w:divBdr>
          <w:divsChild>
            <w:div w:id="601450714">
              <w:marLeft w:val="0"/>
              <w:marRight w:val="0"/>
              <w:marTop w:val="0"/>
              <w:marBottom w:val="0"/>
              <w:divBdr>
                <w:top w:val="none" w:sz="0" w:space="0" w:color="auto"/>
                <w:left w:val="none" w:sz="0" w:space="0" w:color="auto"/>
                <w:bottom w:val="none" w:sz="0" w:space="0" w:color="auto"/>
                <w:right w:val="none" w:sz="0" w:space="0" w:color="auto"/>
              </w:divBdr>
              <w:divsChild>
                <w:div w:id="16814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C1DE2C11835940B08D4194865AD7AA" ma:contentTypeVersion="11" ma:contentTypeDescription="Create a new document." ma:contentTypeScope="" ma:versionID="626a9f7e7931b5c33ff26d0ffbd9153d">
  <xsd:schema xmlns:xsd="http://www.w3.org/2001/XMLSchema" xmlns:xs="http://www.w3.org/2001/XMLSchema" xmlns:p="http://schemas.microsoft.com/office/2006/metadata/properties" xmlns:ns2="acd9d9e3-675e-49d3-a50f-c6d218a6cff8" xmlns:ns3="2f6869c8-0c6c-470b-8185-dbfd49956539" targetNamespace="http://schemas.microsoft.com/office/2006/metadata/properties" ma:root="true" ma:fieldsID="d943a9ea1aa75aebbacaf5b19776488a" ns2:_="" ns3:_="">
    <xsd:import namespace="acd9d9e3-675e-49d3-a50f-c6d218a6cff8"/>
    <xsd:import namespace="2f6869c8-0c6c-470b-8185-dbfd499565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9d9e3-675e-49d3-a50f-c6d218a6c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869c8-0c6c-470b-8185-dbfd499565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2F7CC-7BD6-4E2B-B3BA-F71CF3696651}">
  <ds:schemaRefs>
    <ds:schemaRef ds:uri="http://schemas.openxmlformats.org/officeDocument/2006/bibliography"/>
  </ds:schemaRefs>
</ds:datastoreItem>
</file>

<file path=customXml/itemProps2.xml><?xml version="1.0" encoding="utf-8"?>
<ds:datastoreItem xmlns:ds="http://schemas.openxmlformats.org/officeDocument/2006/customXml" ds:itemID="{FD88506C-6627-4CD1-9BA6-6D96B688CF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6869c8-0c6c-470b-8185-dbfd49956539"/>
    <ds:schemaRef ds:uri="acd9d9e3-675e-49d3-a50f-c6d218a6cff8"/>
    <ds:schemaRef ds:uri="http://www.w3.org/XML/1998/namespace"/>
    <ds:schemaRef ds:uri="http://purl.org/dc/dcmitype/"/>
  </ds:schemaRefs>
</ds:datastoreItem>
</file>

<file path=customXml/itemProps3.xml><?xml version="1.0" encoding="utf-8"?>
<ds:datastoreItem xmlns:ds="http://schemas.openxmlformats.org/officeDocument/2006/customXml" ds:itemID="{5E584EAC-3F6A-43F5-A54A-7C438EF5961B}">
  <ds:schemaRefs>
    <ds:schemaRef ds:uri="http://schemas.microsoft.com/sharepoint/v3/contenttype/forms"/>
  </ds:schemaRefs>
</ds:datastoreItem>
</file>

<file path=customXml/itemProps4.xml><?xml version="1.0" encoding="utf-8"?>
<ds:datastoreItem xmlns:ds="http://schemas.openxmlformats.org/officeDocument/2006/customXml" ds:itemID="{902B2316-E286-43B5-9134-D3A96560B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9d9e3-675e-49d3-a50f-c6d218a6cff8"/>
    <ds:schemaRef ds:uri="2f6869c8-0c6c-470b-8185-dbfd49956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LEGISLATIVE INSTRUMENTS ACT 2003</vt:lpstr>
    </vt:vector>
  </TitlesOfParts>
  <LinksUpToDate>false</LinksUpToDate>
  <CharactersWithSpaces>23776</CharactersWithSpaces>
  <SharedDoc>false</SharedDoc>
  <HLinks>
    <vt:vector size="12" baseType="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INSTRUMENTS ACT 2003</dc:title>
  <dc:subject/>
  <dc:creator/>
  <cp:keywords/>
  <cp:lastModifiedBy/>
  <cp:revision>1</cp:revision>
  <cp:lastPrinted>2008-11-12T20:04:00Z</cp:lastPrinted>
  <dcterms:created xsi:type="dcterms:W3CDTF">2022-03-10T00:40:00Z</dcterms:created>
  <dcterms:modified xsi:type="dcterms:W3CDTF">2022-03-10T00:40:00Z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d99ce62c-0173-4020-b977-4f07cd2df09a</vt:lpwstr>
  </property>
  <property fmtid="{D5CDD505-2E9C-101B-9397-08002B2CF9AE}" pid="4" name="ContentTypeId">
    <vt:lpwstr>0x01010063C1DE2C11835940B08D4194865AD7AA</vt:lpwstr>
  </property>
</Properties>
</file>