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B7160" w14:textId="77777777" w:rsidR="00D80F90" w:rsidRPr="00B2546F" w:rsidRDefault="00D80F90" w:rsidP="00D80F90">
      <w:pPr>
        <w:spacing w:before="0" w:after="0"/>
        <w:jc w:val="center"/>
        <w:rPr>
          <w:b/>
          <w:sz w:val="22"/>
          <w:szCs w:val="22"/>
          <w:u w:val="single"/>
        </w:rPr>
      </w:pPr>
      <w:r w:rsidRPr="00B2546F">
        <w:rPr>
          <w:b/>
          <w:sz w:val="22"/>
          <w:szCs w:val="22"/>
          <w:u w:val="single"/>
        </w:rPr>
        <w:t>EXPLANATORY STATEMENT</w:t>
      </w:r>
    </w:p>
    <w:p w14:paraId="0D792215" w14:textId="77777777" w:rsidR="00D80F90" w:rsidRPr="00B2546F" w:rsidRDefault="00D80F90" w:rsidP="00D80F90">
      <w:pPr>
        <w:spacing w:before="0" w:after="0"/>
        <w:jc w:val="center"/>
        <w:rPr>
          <w:i/>
          <w:sz w:val="22"/>
          <w:szCs w:val="22"/>
        </w:rPr>
      </w:pPr>
    </w:p>
    <w:p w14:paraId="7B1D2790" w14:textId="77777777" w:rsidR="00D80F90" w:rsidRPr="00B2546F" w:rsidRDefault="00D80F90" w:rsidP="00D80F90">
      <w:pPr>
        <w:spacing w:before="0" w:after="0"/>
        <w:jc w:val="center"/>
        <w:rPr>
          <w:i/>
          <w:sz w:val="22"/>
          <w:szCs w:val="22"/>
        </w:rPr>
      </w:pPr>
      <w:r w:rsidRPr="00B2546F">
        <w:rPr>
          <w:i/>
          <w:sz w:val="22"/>
          <w:szCs w:val="22"/>
        </w:rPr>
        <w:t>Therapeutic Goods Act 1989</w:t>
      </w:r>
    </w:p>
    <w:p w14:paraId="2883B866" w14:textId="77777777" w:rsidR="00D80F90" w:rsidRPr="00B2546F" w:rsidRDefault="00D80F90" w:rsidP="00D80F90">
      <w:pPr>
        <w:spacing w:before="0" w:after="0"/>
        <w:jc w:val="center"/>
        <w:rPr>
          <w:i/>
          <w:sz w:val="22"/>
          <w:szCs w:val="22"/>
        </w:rPr>
      </w:pPr>
    </w:p>
    <w:p w14:paraId="6045E8E9" w14:textId="71E51F64" w:rsidR="00D80F90" w:rsidRPr="00B2546F" w:rsidRDefault="00D80F90" w:rsidP="00D80F90">
      <w:pPr>
        <w:spacing w:before="0" w:after="0"/>
        <w:jc w:val="center"/>
        <w:rPr>
          <w:sz w:val="22"/>
          <w:szCs w:val="22"/>
        </w:rPr>
      </w:pPr>
      <w:bookmarkStart w:id="0" w:name="_Hlk88734622"/>
      <w:r w:rsidRPr="00B2546F">
        <w:rPr>
          <w:i/>
          <w:sz w:val="22"/>
          <w:szCs w:val="22"/>
          <w:lang w:val="en-AU"/>
        </w:rPr>
        <w:t xml:space="preserve">Therapeutic Goods (Standard for </w:t>
      </w:r>
      <w:r w:rsidR="005C7A88" w:rsidRPr="00B2546F">
        <w:rPr>
          <w:i/>
          <w:sz w:val="22"/>
          <w:szCs w:val="22"/>
          <w:lang w:val="en-AU"/>
        </w:rPr>
        <w:t>H</w:t>
      </w:r>
      <w:r w:rsidRPr="00B2546F">
        <w:rPr>
          <w:i/>
          <w:sz w:val="22"/>
          <w:szCs w:val="22"/>
          <w:lang w:val="en-AU"/>
        </w:rPr>
        <w:t xml:space="preserve">uman </w:t>
      </w:r>
      <w:r w:rsidR="005C7A88" w:rsidRPr="00B2546F">
        <w:rPr>
          <w:i/>
          <w:sz w:val="22"/>
          <w:szCs w:val="22"/>
          <w:lang w:val="en-AU"/>
        </w:rPr>
        <w:t>A</w:t>
      </w:r>
      <w:r w:rsidRPr="00B2546F">
        <w:rPr>
          <w:i/>
          <w:sz w:val="22"/>
          <w:szCs w:val="22"/>
          <w:lang w:val="en-AU"/>
        </w:rPr>
        <w:t xml:space="preserve">lbumin) (TGO </w:t>
      </w:r>
      <w:r w:rsidR="004F01D8" w:rsidRPr="00B2546F">
        <w:rPr>
          <w:i/>
          <w:sz w:val="22"/>
          <w:szCs w:val="22"/>
          <w:lang w:val="en-AU"/>
        </w:rPr>
        <w:t>111</w:t>
      </w:r>
      <w:r w:rsidRPr="00B2546F">
        <w:rPr>
          <w:i/>
          <w:sz w:val="22"/>
          <w:szCs w:val="22"/>
          <w:lang w:val="en-AU"/>
        </w:rPr>
        <w:t>) Order 202</w:t>
      </w:r>
      <w:r w:rsidR="004F01D8" w:rsidRPr="00B2546F">
        <w:rPr>
          <w:i/>
          <w:sz w:val="22"/>
          <w:szCs w:val="22"/>
          <w:lang w:val="en-AU"/>
        </w:rPr>
        <w:t>2</w:t>
      </w:r>
    </w:p>
    <w:bookmarkEnd w:id="0"/>
    <w:p w14:paraId="750513E6" w14:textId="77777777" w:rsidR="00D80F90" w:rsidRPr="00B2546F" w:rsidRDefault="00D80F90" w:rsidP="00D80F90">
      <w:pPr>
        <w:spacing w:before="0" w:after="0"/>
        <w:rPr>
          <w:sz w:val="22"/>
          <w:szCs w:val="22"/>
        </w:rPr>
      </w:pPr>
    </w:p>
    <w:p w14:paraId="5ED955EA" w14:textId="77777777" w:rsidR="00D80F90" w:rsidRPr="00B2546F" w:rsidRDefault="00D80F90" w:rsidP="00D80F90">
      <w:pPr>
        <w:spacing w:before="0" w:after="0"/>
        <w:rPr>
          <w:sz w:val="22"/>
          <w:szCs w:val="22"/>
        </w:rPr>
      </w:pPr>
      <w:r w:rsidRPr="00B2546F">
        <w:rPr>
          <w:sz w:val="22"/>
          <w:szCs w:val="22"/>
        </w:rPr>
        <w:t xml:space="preserve">The </w:t>
      </w:r>
      <w:r w:rsidRPr="00B2546F">
        <w:rPr>
          <w:i/>
          <w:sz w:val="22"/>
          <w:szCs w:val="22"/>
        </w:rPr>
        <w:t>Therapeutic Goods Act 1989</w:t>
      </w:r>
      <w:r w:rsidRPr="00B2546F">
        <w:rPr>
          <w:sz w:val="22"/>
          <w:szCs w:val="22"/>
        </w:rPr>
        <w:t xml:space="preserve"> (“the Act”) provides for the establishment and maintenance of a national system of controls for the quality, safety, </w:t>
      </w:r>
      <w:proofErr w:type="gramStart"/>
      <w:r w:rsidRPr="00B2546F">
        <w:rPr>
          <w:sz w:val="22"/>
          <w:szCs w:val="22"/>
        </w:rPr>
        <w:t>efficacy</w:t>
      </w:r>
      <w:proofErr w:type="gramEnd"/>
      <w:r w:rsidRPr="00B2546F">
        <w:rPr>
          <w:sz w:val="22"/>
          <w:szCs w:val="22"/>
        </w:rPr>
        <w:t xml:space="preserve"> and timely availability of therapeutic goods that are used in, or exported from, Australia. The Act is administered by the Therapeutic Goods Administration (“the TGA”) within the Australian Government Department of Health.</w:t>
      </w:r>
    </w:p>
    <w:p w14:paraId="52C1D97C" w14:textId="77777777" w:rsidR="00D80F90" w:rsidRPr="00B2546F" w:rsidRDefault="00D80F90" w:rsidP="00D80F90">
      <w:pPr>
        <w:spacing w:before="0" w:after="0"/>
        <w:rPr>
          <w:sz w:val="22"/>
          <w:szCs w:val="22"/>
        </w:rPr>
      </w:pPr>
    </w:p>
    <w:p w14:paraId="0F7B6BFB" w14:textId="4D97C8EC" w:rsidR="005C7A88" w:rsidRPr="00B2546F" w:rsidRDefault="00D80F90" w:rsidP="0061288B">
      <w:pPr>
        <w:spacing w:before="0" w:after="0"/>
        <w:rPr>
          <w:sz w:val="22"/>
          <w:szCs w:val="22"/>
        </w:rPr>
      </w:pPr>
      <w:bookmarkStart w:id="1" w:name="_Hlk95988838"/>
      <w:r w:rsidRPr="00B2546F">
        <w:rPr>
          <w:sz w:val="22"/>
          <w:szCs w:val="22"/>
        </w:rPr>
        <w:t>S</w:t>
      </w:r>
      <w:r w:rsidR="005C7A88" w:rsidRPr="00B2546F">
        <w:rPr>
          <w:sz w:val="22"/>
          <w:szCs w:val="22"/>
        </w:rPr>
        <w:t>ubs</w:t>
      </w:r>
      <w:r w:rsidRPr="00B2546F">
        <w:rPr>
          <w:sz w:val="22"/>
          <w:szCs w:val="22"/>
        </w:rPr>
        <w:t>ection 10</w:t>
      </w:r>
      <w:r w:rsidR="005C7A88" w:rsidRPr="00B2546F">
        <w:rPr>
          <w:sz w:val="22"/>
          <w:szCs w:val="22"/>
        </w:rPr>
        <w:t>(1)</w:t>
      </w:r>
      <w:r w:rsidRPr="00B2546F">
        <w:rPr>
          <w:sz w:val="22"/>
          <w:szCs w:val="22"/>
        </w:rPr>
        <w:t xml:space="preserve"> of the Act provides that the Minister may</w:t>
      </w:r>
      <w:r w:rsidR="005C7A88" w:rsidRPr="00B2546F">
        <w:rPr>
          <w:sz w:val="22"/>
          <w:szCs w:val="22"/>
        </w:rPr>
        <w:t>, by legislative instrument, make an order</w:t>
      </w:r>
      <w:r w:rsidRPr="00B2546F">
        <w:rPr>
          <w:sz w:val="22"/>
          <w:szCs w:val="22"/>
        </w:rPr>
        <w:t xml:space="preserve"> determin</w:t>
      </w:r>
      <w:r w:rsidR="005C7A88" w:rsidRPr="00B2546F">
        <w:rPr>
          <w:sz w:val="22"/>
          <w:szCs w:val="22"/>
        </w:rPr>
        <w:t>ing that matters specified in the order constitute a</w:t>
      </w:r>
      <w:r w:rsidRPr="00B2546F">
        <w:rPr>
          <w:sz w:val="22"/>
          <w:szCs w:val="22"/>
        </w:rPr>
        <w:t xml:space="preserve"> standard for therapeutic goods</w:t>
      </w:r>
      <w:r w:rsidR="005C7A88" w:rsidRPr="00B2546F">
        <w:rPr>
          <w:sz w:val="22"/>
          <w:szCs w:val="22"/>
        </w:rPr>
        <w:t xml:space="preserve"> or a class of therapeutic goods identified in the order</w:t>
      </w:r>
      <w:r w:rsidR="0063063B" w:rsidRPr="00B2546F">
        <w:rPr>
          <w:sz w:val="22"/>
          <w:szCs w:val="22"/>
        </w:rPr>
        <w:t>.</w:t>
      </w:r>
      <w:r w:rsidR="005C7A88" w:rsidRPr="00B2546F">
        <w:rPr>
          <w:sz w:val="22"/>
          <w:szCs w:val="22"/>
        </w:rPr>
        <w:t xml:space="preserve"> Subsection 10(2) provides that an order establishing a standard for therapeutic goods may be specified by reference to (among others) a monograph in the British Pharmacopoeia or the European Pharmacopoeia. Under subsection 10(3A) of the Act, the Minister may vary</w:t>
      </w:r>
      <w:r w:rsidRPr="00B2546F">
        <w:rPr>
          <w:sz w:val="22"/>
          <w:szCs w:val="22"/>
        </w:rPr>
        <w:t xml:space="preserve"> or revoke </w:t>
      </w:r>
      <w:r w:rsidR="005C7A88" w:rsidRPr="00B2546F">
        <w:rPr>
          <w:sz w:val="22"/>
          <w:szCs w:val="22"/>
        </w:rPr>
        <w:t>an order made under subsection 10(1) by legislative instrument.</w:t>
      </w:r>
    </w:p>
    <w:p w14:paraId="11F37862" w14:textId="77777777" w:rsidR="005C7A88" w:rsidRPr="00B2546F" w:rsidRDefault="005C7A88" w:rsidP="0061288B">
      <w:pPr>
        <w:spacing w:before="0" w:after="0"/>
        <w:rPr>
          <w:sz w:val="22"/>
          <w:szCs w:val="22"/>
        </w:rPr>
      </w:pPr>
    </w:p>
    <w:p w14:paraId="4B784EC5" w14:textId="71711F09" w:rsidR="00280050" w:rsidRPr="00B2546F" w:rsidRDefault="005C7A88" w:rsidP="0061288B">
      <w:pPr>
        <w:spacing w:before="0" w:after="0"/>
        <w:rPr>
          <w:sz w:val="22"/>
          <w:szCs w:val="22"/>
        </w:rPr>
      </w:pPr>
      <w:r w:rsidRPr="00B2546F">
        <w:rPr>
          <w:sz w:val="22"/>
          <w:szCs w:val="22"/>
        </w:rPr>
        <w:t xml:space="preserve">Importantly, a person who imports, </w:t>
      </w:r>
      <w:proofErr w:type="gramStart"/>
      <w:r w:rsidRPr="00B2546F">
        <w:rPr>
          <w:sz w:val="22"/>
          <w:szCs w:val="22"/>
        </w:rPr>
        <w:t>exports</w:t>
      </w:r>
      <w:proofErr w:type="gramEnd"/>
      <w:r w:rsidRPr="00B2546F">
        <w:rPr>
          <w:sz w:val="22"/>
          <w:szCs w:val="22"/>
        </w:rPr>
        <w:t xml:space="preserve"> or supplies therapeutic goods that do not conform to an applicable standard may be subject to offence and civil penalty provisions in sections 14 and 14A of the Act. The Secretary may, however, give</w:t>
      </w:r>
      <w:r w:rsidR="003C5297" w:rsidRPr="00B2546F">
        <w:rPr>
          <w:sz w:val="22"/>
          <w:szCs w:val="22"/>
        </w:rPr>
        <w:t xml:space="preserve"> consent</w:t>
      </w:r>
      <w:r w:rsidR="004F01D8" w:rsidRPr="00B2546F">
        <w:rPr>
          <w:sz w:val="22"/>
          <w:szCs w:val="22"/>
        </w:rPr>
        <w:t xml:space="preserve"> in writing in relation to the importation, exportation or supply of therapeutic goods that do not conform to</w:t>
      </w:r>
      <w:r w:rsidR="003C5297" w:rsidRPr="00B2546F">
        <w:rPr>
          <w:sz w:val="22"/>
          <w:szCs w:val="22"/>
        </w:rPr>
        <w:t xml:space="preserve"> </w:t>
      </w:r>
      <w:r w:rsidR="004B0F12" w:rsidRPr="00B2546F">
        <w:rPr>
          <w:sz w:val="22"/>
          <w:szCs w:val="22"/>
        </w:rPr>
        <w:t xml:space="preserve">an </w:t>
      </w:r>
      <w:r w:rsidR="003C5297" w:rsidRPr="00B2546F">
        <w:rPr>
          <w:sz w:val="22"/>
          <w:szCs w:val="22"/>
        </w:rPr>
        <w:t>applicable standard</w:t>
      </w:r>
      <w:r w:rsidR="004F01D8" w:rsidRPr="00B2546F">
        <w:rPr>
          <w:sz w:val="22"/>
          <w:szCs w:val="22"/>
        </w:rPr>
        <w:t>, in accordance with those sections</w:t>
      </w:r>
      <w:r w:rsidR="003C5297" w:rsidRPr="00B2546F">
        <w:rPr>
          <w:sz w:val="22"/>
          <w:szCs w:val="22"/>
        </w:rPr>
        <w:t>.</w:t>
      </w:r>
    </w:p>
    <w:p w14:paraId="4E03A9ED" w14:textId="7D9AC5C8" w:rsidR="0061288B" w:rsidRPr="00B2546F" w:rsidRDefault="0061288B" w:rsidP="0061288B">
      <w:pPr>
        <w:spacing w:before="0" w:after="0"/>
        <w:rPr>
          <w:sz w:val="22"/>
          <w:szCs w:val="22"/>
        </w:rPr>
      </w:pPr>
    </w:p>
    <w:p w14:paraId="35A27DF2" w14:textId="0119103D" w:rsidR="0061288B" w:rsidRPr="00B2546F" w:rsidRDefault="0061288B" w:rsidP="0061288B">
      <w:pPr>
        <w:spacing w:before="0" w:after="0"/>
        <w:rPr>
          <w:sz w:val="22"/>
          <w:szCs w:val="22"/>
        </w:rPr>
      </w:pPr>
      <w:r w:rsidRPr="00B2546F">
        <w:rPr>
          <w:sz w:val="22"/>
          <w:szCs w:val="22"/>
        </w:rPr>
        <w:t xml:space="preserve">The </w:t>
      </w:r>
      <w:r w:rsidRPr="00B2546F">
        <w:rPr>
          <w:i/>
          <w:iCs/>
          <w:sz w:val="22"/>
          <w:szCs w:val="22"/>
        </w:rPr>
        <w:t xml:space="preserve">Therapeutic Goods (Standard for </w:t>
      </w:r>
      <w:r w:rsidR="004B0F12" w:rsidRPr="00B2546F">
        <w:rPr>
          <w:i/>
          <w:iCs/>
          <w:sz w:val="22"/>
          <w:szCs w:val="22"/>
        </w:rPr>
        <w:t>H</w:t>
      </w:r>
      <w:r w:rsidRPr="00B2546F">
        <w:rPr>
          <w:i/>
          <w:iCs/>
          <w:sz w:val="22"/>
          <w:szCs w:val="22"/>
        </w:rPr>
        <w:t xml:space="preserve">uman </w:t>
      </w:r>
      <w:r w:rsidR="004B0F12" w:rsidRPr="00B2546F">
        <w:rPr>
          <w:i/>
          <w:iCs/>
          <w:sz w:val="22"/>
          <w:szCs w:val="22"/>
        </w:rPr>
        <w:t>A</w:t>
      </w:r>
      <w:r w:rsidRPr="00B2546F">
        <w:rPr>
          <w:i/>
          <w:iCs/>
          <w:sz w:val="22"/>
          <w:szCs w:val="22"/>
        </w:rPr>
        <w:t xml:space="preserve">lbumin) (TGO </w:t>
      </w:r>
      <w:r w:rsidR="004F01D8" w:rsidRPr="00B2546F">
        <w:rPr>
          <w:i/>
          <w:iCs/>
          <w:sz w:val="22"/>
          <w:szCs w:val="22"/>
        </w:rPr>
        <w:t>111</w:t>
      </w:r>
      <w:r w:rsidRPr="00B2546F">
        <w:rPr>
          <w:i/>
          <w:iCs/>
          <w:sz w:val="22"/>
          <w:szCs w:val="22"/>
        </w:rPr>
        <w:t>) Order 202</w:t>
      </w:r>
      <w:r w:rsidR="00C4451A" w:rsidRPr="00B2546F">
        <w:rPr>
          <w:i/>
          <w:iCs/>
          <w:sz w:val="22"/>
          <w:szCs w:val="22"/>
        </w:rPr>
        <w:t>2</w:t>
      </w:r>
      <w:r w:rsidRPr="00B2546F">
        <w:rPr>
          <w:i/>
          <w:iCs/>
          <w:sz w:val="22"/>
          <w:szCs w:val="22"/>
        </w:rPr>
        <w:t xml:space="preserve"> </w:t>
      </w:r>
      <w:r w:rsidRPr="00B2546F">
        <w:rPr>
          <w:sz w:val="22"/>
          <w:szCs w:val="22"/>
        </w:rPr>
        <w:t>(“the Order”) is made under section 10 of the Act</w:t>
      </w:r>
      <w:r w:rsidR="00A2114C" w:rsidRPr="00B2546F">
        <w:rPr>
          <w:sz w:val="22"/>
          <w:szCs w:val="22"/>
        </w:rPr>
        <w:t xml:space="preserve"> for</w:t>
      </w:r>
      <w:r w:rsidRPr="00B2546F">
        <w:rPr>
          <w:sz w:val="22"/>
          <w:szCs w:val="22"/>
        </w:rPr>
        <w:t xml:space="preserve"> </w:t>
      </w:r>
      <w:r w:rsidR="00A2114C" w:rsidRPr="00B2546F">
        <w:rPr>
          <w:sz w:val="22"/>
          <w:szCs w:val="22"/>
        </w:rPr>
        <w:t>t</w:t>
      </w:r>
      <w:r w:rsidRPr="00B2546F">
        <w:rPr>
          <w:sz w:val="22"/>
          <w:szCs w:val="22"/>
        </w:rPr>
        <w:t xml:space="preserve">he purpose of </w:t>
      </w:r>
      <w:r w:rsidR="00A2114C" w:rsidRPr="00B2546F">
        <w:rPr>
          <w:sz w:val="22"/>
          <w:szCs w:val="22"/>
        </w:rPr>
        <w:t>establishing a ministerial standard for human albumin</w:t>
      </w:r>
      <w:r w:rsidR="00A37655" w:rsidRPr="00B2546F">
        <w:rPr>
          <w:sz w:val="22"/>
          <w:szCs w:val="22"/>
        </w:rPr>
        <w:t xml:space="preserve"> used as a therapeutic good</w:t>
      </w:r>
      <w:r w:rsidR="004B0F12" w:rsidRPr="00B2546F">
        <w:rPr>
          <w:sz w:val="22"/>
          <w:szCs w:val="22"/>
        </w:rPr>
        <w:t>,</w:t>
      </w:r>
      <w:r w:rsidR="00A2114C" w:rsidRPr="00B2546F">
        <w:rPr>
          <w:sz w:val="22"/>
          <w:szCs w:val="22"/>
        </w:rPr>
        <w:t xml:space="preserve"> by reference to the</w:t>
      </w:r>
      <w:r w:rsidR="00A37655" w:rsidRPr="00B2546F">
        <w:rPr>
          <w:sz w:val="22"/>
          <w:szCs w:val="22"/>
        </w:rPr>
        <w:t xml:space="preserve"> monograph for human albumin in the</w:t>
      </w:r>
      <w:r w:rsidR="00A2114C" w:rsidRPr="00B2546F">
        <w:rPr>
          <w:sz w:val="22"/>
          <w:szCs w:val="22"/>
        </w:rPr>
        <w:t xml:space="preserve"> British Pharmacopoeia and </w:t>
      </w:r>
      <w:r w:rsidR="00A37655" w:rsidRPr="00B2546F">
        <w:rPr>
          <w:sz w:val="22"/>
          <w:szCs w:val="22"/>
        </w:rPr>
        <w:t>the European Pharmacopoeia. T</w:t>
      </w:r>
      <w:r w:rsidRPr="00B2546F">
        <w:rPr>
          <w:sz w:val="22"/>
          <w:szCs w:val="22"/>
        </w:rPr>
        <w:t>he Order repeal</w:t>
      </w:r>
      <w:r w:rsidR="00A37655" w:rsidRPr="00B2546F">
        <w:rPr>
          <w:sz w:val="22"/>
          <w:szCs w:val="22"/>
        </w:rPr>
        <w:t>s</w:t>
      </w:r>
      <w:r w:rsidRPr="00B2546F">
        <w:rPr>
          <w:sz w:val="22"/>
          <w:szCs w:val="22"/>
        </w:rPr>
        <w:t xml:space="preserve"> and replace</w:t>
      </w:r>
      <w:r w:rsidR="00A37655" w:rsidRPr="00B2546F">
        <w:rPr>
          <w:sz w:val="22"/>
          <w:szCs w:val="22"/>
        </w:rPr>
        <w:t>s</w:t>
      </w:r>
      <w:r w:rsidRPr="00B2546F">
        <w:rPr>
          <w:sz w:val="22"/>
          <w:szCs w:val="22"/>
        </w:rPr>
        <w:t xml:space="preserve"> the Therapeutic Goods Order No. 90 Standard for human albumin (“the </w:t>
      </w:r>
      <w:r w:rsidR="00BA0B1E" w:rsidRPr="00B2546F">
        <w:rPr>
          <w:sz w:val="22"/>
          <w:szCs w:val="22"/>
        </w:rPr>
        <w:t>F</w:t>
      </w:r>
      <w:r w:rsidRPr="00B2546F">
        <w:rPr>
          <w:sz w:val="22"/>
          <w:szCs w:val="22"/>
        </w:rPr>
        <w:t xml:space="preserve">ormer Order”), </w:t>
      </w:r>
      <w:r w:rsidR="00A1565F" w:rsidRPr="00B2546F">
        <w:rPr>
          <w:sz w:val="22"/>
          <w:szCs w:val="22"/>
        </w:rPr>
        <w:t xml:space="preserve">which </w:t>
      </w:r>
      <w:r w:rsidR="00A2114C" w:rsidRPr="00B2546F">
        <w:rPr>
          <w:sz w:val="22"/>
          <w:szCs w:val="22"/>
        </w:rPr>
        <w:t xml:space="preserve">would </w:t>
      </w:r>
      <w:proofErr w:type="gramStart"/>
      <w:r w:rsidR="00A2114C" w:rsidRPr="00B2546F">
        <w:rPr>
          <w:sz w:val="22"/>
          <w:szCs w:val="22"/>
        </w:rPr>
        <w:t>otherwise</w:t>
      </w:r>
      <w:proofErr w:type="gramEnd"/>
      <w:r w:rsidR="00A2114C" w:rsidRPr="00B2546F">
        <w:rPr>
          <w:sz w:val="22"/>
          <w:szCs w:val="22"/>
        </w:rPr>
        <w:t xml:space="preserve"> </w:t>
      </w:r>
      <w:r w:rsidRPr="00B2546F">
        <w:rPr>
          <w:sz w:val="22"/>
          <w:szCs w:val="22"/>
        </w:rPr>
        <w:t xml:space="preserve">sunset on </w:t>
      </w:r>
      <w:r w:rsidR="001C33ED" w:rsidRPr="00B2546F">
        <w:rPr>
          <w:sz w:val="22"/>
          <w:szCs w:val="22"/>
        </w:rPr>
        <w:t>1 April 2022</w:t>
      </w:r>
      <w:r w:rsidRPr="00B2546F">
        <w:rPr>
          <w:sz w:val="22"/>
          <w:szCs w:val="22"/>
        </w:rPr>
        <w:t>.</w:t>
      </w:r>
    </w:p>
    <w:p w14:paraId="3029F70A" w14:textId="54F710CD" w:rsidR="0061288B" w:rsidRPr="00B2546F" w:rsidRDefault="0061288B" w:rsidP="0061288B">
      <w:pPr>
        <w:spacing w:before="0" w:after="0"/>
        <w:rPr>
          <w:sz w:val="22"/>
          <w:szCs w:val="22"/>
        </w:rPr>
      </w:pPr>
    </w:p>
    <w:p w14:paraId="254C5DF8" w14:textId="4BCEE8FE" w:rsidR="0061288B" w:rsidRPr="00B2546F" w:rsidRDefault="0061288B" w:rsidP="0061288B">
      <w:pPr>
        <w:spacing w:before="0" w:after="0"/>
        <w:rPr>
          <w:b/>
          <w:bCs/>
          <w:sz w:val="22"/>
          <w:szCs w:val="22"/>
        </w:rPr>
      </w:pPr>
      <w:r w:rsidRPr="00B2546F">
        <w:rPr>
          <w:b/>
          <w:bCs/>
          <w:sz w:val="22"/>
          <w:szCs w:val="22"/>
        </w:rPr>
        <w:t>Background</w:t>
      </w:r>
    </w:p>
    <w:p w14:paraId="5BCD42BF" w14:textId="6C86777F" w:rsidR="0061288B" w:rsidRPr="00B2546F" w:rsidRDefault="0061288B" w:rsidP="0061288B">
      <w:pPr>
        <w:spacing w:before="0" w:after="0"/>
        <w:rPr>
          <w:b/>
          <w:bCs/>
          <w:sz w:val="22"/>
          <w:szCs w:val="22"/>
        </w:rPr>
      </w:pPr>
    </w:p>
    <w:p w14:paraId="2F8195A4" w14:textId="3990AB02" w:rsidR="00A37655" w:rsidRPr="00B2546F" w:rsidRDefault="00A37655" w:rsidP="0061288B">
      <w:pPr>
        <w:spacing w:before="0" w:after="0"/>
        <w:rPr>
          <w:sz w:val="22"/>
          <w:szCs w:val="22"/>
        </w:rPr>
      </w:pPr>
      <w:r w:rsidRPr="00B2546F">
        <w:rPr>
          <w:sz w:val="22"/>
          <w:szCs w:val="22"/>
        </w:rPr>
        <w:t xml:space="preserve">The Australian Government is responsible for regulating the quality, </w:t>
      </w:r>
      <w:proofErr w:type="gramStart"/>
      <w:r w:rsidRPr="00B2546F">
        <w:rPr>
          <w:sz w:val="22"/>
          <w:szCs w:val="22"/>
        </w:rPr>
        <w:t>safety</w:t>
      </w:r>
      <w:proofErr w:type="gramEnd"/>
      <w:r w:rsidRPr="00B2546F">
        <w:rPr>
          <w:sz w:val="22"/>
          <w:szCs w:val="22"/>
        </w:rPr>
        <w:t xml:space="preserve"> and efficacy of therapeutic goods. This is achieved in part by specifying ministerial standards under section 10 of the Act by reference to a range of matters, including </w:t>
      </w:r>
      <w:r w:rsidR="00A1565F" w:rsidRPr="00B2546F">
        <w:rPr>
          <w:sz w:val="22"/>
          <w:szCs w:val="22"/>
          <w:lang w:eastAsia="en-AU"/>
        </w:rPr>
        <w:t>the manufacture of therapeutic goods, and</w:t>
      </w:r>
      <w:r w:rsidR="00A1565F" w:rsidRPr="00B2546F">
        <w:rPr>
          <w:lang w:eastAsia="en-AU"/>
        </w:rPr>
        <w:t xml:space="preserve"> </w:t>
      </w:r>
      <w:r w:rsidRPr="00B2546F">
        <w:rPr>
          <w:sz w:val="22"/>
          <w:szCs w:val="22"/>
        </w:rPr>
        <w:t>by</w:t>
      </w:r>
      <w:r w:rsidR="00A1565F" w:rsidRPr="00B2546F">
        <w:rPr>
          <w:sz w:val="22"/>
          <w:szCs w:val="22"/>
        </w:rPr>
        <w:t xml:space="preserve"> otherwise applying default standards that are constituted by statements in </w:t>
      </w:r>
      <w:r w:rsidRPr="00B2546F">
        <w:rPr>
          <w:sz w:val="22"/>
          <w:szCs w:val="22"/>
        </w:rPr>
        <w:t xml:space="preserve">international pharmacopoeias defined in </w:t>
      </w:r>
      <w:r w:rsidR="005F274C" w:rsidRPr="00B2546F">
        <w:rPr>
          <w:sz w:val="22"/>
          <w:szCs w:val="22"/>
        </w:rPr>
        <w:t xml:space="preserve">subsection 3(1) of </w:t>
      </w:r>
      <w:r w:rsidRPr="00B2546F">
        <w:rPr>
          <w:sz w:val="22"/>
          <w:szCs w:val="22"/>
        </w:rPr>
        <w:t>the Act</w:t>
      </w:r>
      <w:r w:rsidR="00A1565F" w:rsidRPr="00B2546F">
        <w:rPr>
          <w:sz w:val="22"/>
          <w:szCs w:val="22"/>
        </w:rPr>
        <w:t>,</w:t>
      </w:r>
      <w:r w:rsidR="00A1565F" w:rsidRPr="00B2546F">
        <w:rPr>
          <w:lang w:eastAsia="en-AU"/>
        </w:rPr>
        <w:t xml:space="preserve"> </w:t>
      </w:r>
      <w:r w:rsidR="00A1565F" w:rsidRPr="00B2546F">
        <w:rPr>
          <w:sz w:val="22"/>
          <w:szCs w:val="22"/>
          <w:lang w:eastAsia="en-AU"/>
        </w:rPr>
        <w:t>being the</w:t>
      </w:r>
      <w:r w:rsidR="00A1565F" w:rsidRPr="00B2546F">
        <w:rPr>
          <w:lang w:eastAsia="en-AU"/>
        </w:rPr>
        <w:t xml:space="preserve"> </w:t>
      </w:r>
      <w:r w:rsidR="00A1565F" w:rsidRPr="00B2546F">
        <w:rPr>
          <w:sz w:val="22"/>
          <w:szCs w:val="22"/>
        </w:rPr>
        <w:t>British Pharmacopoeia</w:t>
      </w:r>
      <w:r w:rsidR="00A1565F" w:rsidRPr="00B2546F">
        <w:rPr>
          <w:lang w:eastAsia="en-AU"/>
        </w:rPr>
        <w:t xml:space="preserve">, </w:t>
      </w:r>
      <w:r w:rsidR="00A1565F" w:rsidRPr="00B2546F">
        <w:rPr>
          <w:sz w:val="22"/>
          <w:szCs w:val="22"/>
        </w:rPr>
        <w:t>European Pharmacopoeia</w:t>
      </w:r>
      <w:r w:rsidR="00A1565F" w:rsidRPr="00B2546F">
        <w:rPr>
          <w:lang w:eastAsia="en-AU"/>
        </w:rPr>
        <w:t xml:space="preserve"> and </w:t>
      </w:r>
      <w:r w:rsidR="00A1565F" w:rsidRPr="00B2546F">
        <w:rPr>
          <w:sz w:val="22"/>
          <w:szCs w:val="22"/>
        </w:rPr>
        <w:t>United States Pharmacopeia-National Formulary</w:t>
      </w:r>
      <w:r w:rsidRPr="00B2546F">
        <w:rPr>
          <w:sz w:val="22"/>
          <w:szCs w:val="22"/>
        </w:rPr>
        <w:t>.</w:t>
      </w:r>
    </w:p>
    <w:p w14:paraId="23D9E7A3" w14:textId="77777777" w:rsidR="00A37655" w:rsidRPr="00B2546F" w:rsidRDefault="00A37655" w:rsidP="0061288B">
      <w:pPr>
        <w:spacing w:before="0" w:after="0"/>
        <w:rPr>
          <w:sz w:val="22"/>
          <w:szCs w:val="22"/>
        </w:rPr>
      </w:pPr>
    </w:p>
    <w:p w14:paraId="0481AE33" w14:textId="580BD67B" w:rsidR="00AC0921" w:rsidRPr="00B2546F" w:rsidRDefault="0061288B" w:rsidP="0061288B">
      <w:pPr>
        <w:spacing w:before="0" w:after="0"/>
        <w:rPr>
          <w:sz w:val="22"/>
          <w:szCs w:val="22"/>
        </w:rPr>
      </w:pPr>
      <w:r w:rsidRPr="00B2546F">
        <w:rPr>
          <w:sz w:val="22"/>
          <w:szCs w:val="22"/>
        </w:rPr>
        <w:t xml:space="preserve">The </w:t>
      </w:r>
      <w:r w:rsidR="00BA0B1E" w:rsidRPr="00B2546F">
        <w:rPr>
          <w:sz w:val="22"/>
          <w:szCs w:val="22"/>
        </w:rPr>
        <w:t>F</w:t>
      </w:r>
      <w:r w:rsidRPr="00B2546F">
        <w:rPr>
          <w:sz w:val="22"/>
          <w:szCs w:val="22"/>
        </w:rPr>
        <w:t xml:space="preserve">ormer Order is a standard that specifies that </w:t>
      </w:r>
      <w:r w:rsidR="00EA3C3D" w:rsidRPr="00B2546F">
        <w:rPr>
          <w:sz w:val="22"/>
          <w:szCs w:val="22"/>
        </w:rPr>
        <w:t xml:space="preserve">albumin from </w:t>
      </w:r>
      <w:r w:rsidRPr="00B2546F">
        <w:rPr>
          <w:sz w:val="22"/>
          <w:szCs w:val="22"/>
        </w:rPr>
        <w:t>human</w:t>
      </w:r>
      <w:r w:rsidR="00EA3C3D" w:rsidRPr="00B2546F">
        <w:rPr>
          <w:sz w:val="22"/>
          <w:szCs w:val="22"/>
        </w:rPr>
        <w:t>s</w:t>
      </w:r>
      <w:r w:rsidR="00D96C32" w:rsidRPr="00B2546F">
        <w:rPr>
          <w:sz w:val="22"/>
          <w:szCs w:val="22"/>
        </w:rPr>
        <w:t xml:space="preserve"> must</w:t>
      </w:r>
      <w:r w:rsidRPr="00B2546F">
        <w:rPr>
          <w:sz w:val="22"/>
          <w:szCs w:val="22"/>
        </w:rPr>
        <w:t xml:space="preserve"> compl</w:t>
      </w:r>
      <w:r w:rsidR="00D96C32" w:rsidRPr="00B2546F">
        <w:rPr>
          <w:sz w:val="22"/>
          <w:szCs w:val="22"/>
        </w:rPr>
        <w:t>y</w:t>
      </w:r>
      <w:r w:rsidRPr="00B2546F">
        <w:rPr>
          <w:sz w:val="22"/>
          <w:szCs w:val="22"/>
        </w:rPr>
        <w:t xml:space="preserve"> with the monograph</w:t>
      </w:r>
      <w:r w:rsidR="00D96C32" w:rsidRPr="00B2546F">
        <w:rPr>
          <w:sz w:val="22"/>
          <w:szCs w:val="22"/>
        </w:rPr>
        <w:t xml:space="preserve"> for human albumin in</w:t>
      </w:r>
      <w:r w:rsidRPr="00B2546F">
        <w:rPr>
          <w:sz w:val="22"/>
          <w:szCs w:val="22"/>
        </w:rPr>
        <w:t xml:space="preserve"> the British Pharmacopoeia or the European Pharmacopoeia</w:t>
      </w:r>
      <w:r w:rsidR="00C81E0A" w:rsidRPr="00B2546F">
        <w:rPr>
          <w:sz w:val="22"/>
          <w:szCs w:val="22"/>
        </w:rPr>
        <w:t>,</w:t>
      </w:r>
      <w:r w:rsidR="00D96C32" w:rsidRPr="00B2546F">
        <w:rPr>
          <w:sz w:val="22"/>
          <w:szCs w:val="22"/>
        </w:rPr>
        <w:t xml:space="preserve"> </w:t>
      </w:r>
      <w:r w:rsidR="00BA0B1E" w:rsidRPr="00B2546F">
        <w:rPr>
          <w:sz w:val="22"/>
          <w:szCs w:val="22"/>
        </w:rPr>
        <w:t xml:space="preserve">with the effect of </w:t>
      </w:r>
      <w:r w:rsidR="00C81E0A" w:rsidRPr="00B2546F">
        <w:rPr>
          <w:sz w:val="22"/>
          <w:szCs w:val="22"/>
        </w:rPr>
        <w:t xml:space="preserve">principally </w:t>
      </w:r>
      <w:r w:rsidRPr="00B2546F">
        <w:rPr>
          <w:sz w:val="22"/>
          <w:szCs w:val="22"/>
        </w:rPr>
        <w:t>exclud</w:t>
      </w:r>
      <w:r w:rsidR="00BA0B1E" w:rsidRPr="00B2546F">
        <w:rPr>
          <w:sz w:val="22"/>
          <w:szCs w:val="22"/>
        </w:rPr>
        <w:t>ing</w:t>
      </w:r>
      <w:r w:rsidRPr="00B2546F">
        <w:rPr>
          <w:sz w:val="22"/>
          <w:szCs w:val="22"/>
        </w:rPr>
        <w:t xml:space="preserve"> </w:t>
      </w:r>
      <w:r w:rsidR="003C5297" w:rsidRPr="00B2546F">
        <w:rPr>
          <w:sz w:val="22"/>
          <w:szCs w:val="22"/>
        </w:rPr>
        <w:t>the monograph</w:t>
      </w:r>
      <w:r w:rsidR="00C81E0A" w:rsidRPr="00B2546F">
        <w:rPr>
          <w:sz w:val="22"/>
          <w:szCs w:val="22"/>
        </w:rPr>
        <w:t xml:space="preserve"> for human albumin</w:t>
      </w:r>
      <w:r w:rsidR="003C5297" w:rsidRPr="00B2546F">
        <w:rPr>
          <w:sz w:val="22"/>
          <w:szCs w:val="22"/>
        </w:rPr>
        <w:t xml:space="preserve"> </w:t>
      </w:r>
      <w:r w:rsidR="00C81E0A" w:rsidRPr="00B2546F">
        <w:rPr>
          <w:sz w:val="22"/>
          <w:szCs w:val="22"/>
        </w:rPr>
        <w:t>in</w:t>
      </w:r>
      <w:r w:rsidR="003C5297" w:rsidRPr="00B2546F">
        <w:rPr>
          <w:sz w:val="22"/>
          <w:szCs w:val="22"/>
        </w:rPr>
        <w:t xml:space="preserve"> the United States Pharmacopeia-National Formulary</w:t>
      </w:r>
      <w:r w:rsidR="000C06A6" w:rsidRPr="00B2546F">
        <w:rPr>
          <w:sz w:val="22"/>
          <w:szCs w:val="22"/>
        </w:rPr>
        <w:t>.</w:t>
      </w:r>
      <w:r w:rsidR="00AC0921" w:rsidRPr="00B2546F">
        <w:rPr>
          <w:sz w:val="22"/>
          <w:szCs w:val="22"/>
        </w:rPr>
        <w:t xml:space="preserve"> The United States Pharmacopeia-National Formulary was excluded </w:t>
      </w:r>
      <w:r w:rsidR="00BA0B1E" w:rsidRPr="00B2546F">
        <w:rPr>
          <w:sz w:val="22"/>
          <w:szCs w:val="22"/>
        </w:rPr>
        <w:t>by</w:t>
      </w:r>
      <w:r w:rsidR="00AC0921" w:rsidRPr="00B2546F">
        <w:rPr>
          <w:sz w:val="22"/>
          <w:szCs w:val="22"/>
        </w:rPr>
        <w:t xml:space="preserve"> the </w:t>
      </w:r>
      <w:r w:rsidR="00BA0B1E" w:rsidRPr="00B2546F">
        <w:rPr>
          <w:sz w:val="22"/>
          <w:szCs w:val="22"/>
        </w:rPr>
        <w:t>F</w:t>
      </w:r>
      <w:r w:rsidR="00AC0921" w:rsidRPr="00B2546F">
        <w:rPr>
          <w:sz w:val="22"/>
          <w:szCs w:val="22"/>
        </w:rPr>
        <w:t>ormer Order due to:</w:t>
      </w:r>
    </w:p>
    <w:p w14:paraId="0573E163" w14:textId="59300FD0" w:rsidR="00AC0921" w:rsidRPr="00B2546F" w:rsidRDefault="00AC0921" w:rsidP="007C2734">
      <w:pPr>
        <w:pStyle w:val="ListParagraph"/>
        <w:numPr>
          <w:ilvl w:val="0"/>
          <w:numId w:val="2"/>
        </w:numPr>
        <w:spacing w:before="0" w:after="0"/>
        <w:rPr>
          <w:sz w:val="22"/>
          <w:szCs w:val="22"/>
        </w:rPr>
      </w:pPr>
      <w:r w:rsidRPr="00B2546F">
        <w:rPr>
          <w:sz w:val="22"/>
          <w:szCs w:val="22"/>
        </w:rPr>
        <w:t>concerns regarding the potential clinical implications or regulatory impacts arising from significant inconsistencies in the requirements set out in the United States Pharmacopeia-National formulary in comparison to the British Pharmacopoeia and the European Pharmacopoeia, including the lack of Nucleic Acid Amplification Technology testing of starting plasma</w:t>
      </w:r>
      <w:r w:rsidR="00842846" w:rsidRPr="00B2546F">
        <w:rPr>
          <w:sz w:val="22"/>
          <w:szCs w:val="22"/>
        </w:rPr>
        <w:t>, and concerns that this</w:t>
      </w:r>
      <w:r w:rsidRPr="00B2546F">
        <w:rPr>
          <w:sz w:val="22"/>
          <w:szCs w:val="22"/>
        </w:rPr>
        <w:t xml:space="preserve"> could present an increased risk of infectious disease and inadequate product </w:t>
      </w:r>
      <w:proofErr w:type="spellStart"/>
      <w:r w:rsidRPr="00B2546F">
        <w:rPr>
          <w:sz w:val="22"/>
          <w:szCs w:val="22"/>
        </w:rPr>
        <w:t>characterisation</w:t>
      </w:r>
      <w:proofErr w:type="spellEnd"/>
      <w:r w:rsidRPr="00B2546F">
        <w:rPr>
          <w:sz w:val="22"/>
          <w:szCs w:val="22"/>
        </w:rPr>
        <w:t>; and</w:t>
      </w:r>
    </w:p>
    <w:p w14:paraId="193E9E32" w14:textId="117BD2DE" w:rsidR="00AC0921" w:rsidRPr="00B2546F" w:rsidRDefault="00BA0B1E" w:rsidP="007C2734">
      <w:pPr>
        <w:pStyle w:val="ListParagraph"/>
        <w:numPr>
          <w:ilvl w:val="0"/>
          <w:numId w:val="2"/>
        </w:numPr>
        <w:spacing w:before="0" w:after="0"/>
        <w:rPr>
          <w:sz w:val="22"/>
          <w:szCs w:val="22"/>
        </w:rPr>
      </w:pPr>
      <w:r w:rsidRPr="00B2546F">
        <w:rPr>
          <w:sz w:val="22"/>
          <w:szCs w:val="22"/>
        </w:rPr>
        <w:t xml:space="preserve">the monograph not being self-contained. </w:t>
      </w:r>
      <w:r w:rsidR="007C2734" w:rsidRPr="00B2546F">
        <w:rPr>
          <w:sz w:val="22"/>
          <w:szCs w:val="22"/>
        </w:rPr>
        <w:t xml:space="preserve">That is, </w:t>
      </w:r>
      <w:r w:rsidRPr="00B2546F">
        <w:rPr>
          <w:sz w:val="22"/>
          <w:szCs w:val="22"/>
        </w:rPr>
        <w:t xml:space="preserve">the monograph </w:t>
      </w:r>
      <w:r w:rsidR="00AC0921" w:rsidRPr="00B2546F">
        <w:rPr>
          <w:sz w:val="22"/>
          <w:szCs w:val="22"/>
        </w:rPr>
        <w:t>refer</w:t>
      </w:r>
      <w:r w:rsidR="007C2734" w:rsidRPr="00B2546F">
        <w:rPr>
          <w:sz w:val="22"/>
          <w:szCs w:val="22"/>
        </w:rPr>
        <w:t>s</w:t>
      </w:r>
      <w:r w:rsidR="00AC0921" w:rsidRPr="00B2546F">
        <w:rPr>
          <w:sz w:val="22"/>
          <w:szCs w:val="22"/>
        </w:rPr>
        <w:t xml:space="preserve"> to, or rel</w:t>
      </w:r>
      <w:r w:rsidR="007C2734" w:rsidRPr="00B2546F">
        <w:rPr>
          <w:sz w:val="22"/>
          <w:szCs w:val="22"/>
        </w:rPr>
        <w:t>ies</w:t>
      </w:r>
      <w:r w:rsidR="00AC0921" w:rsidRPr="00B2546F">
        <w:rPr>
          <w:sz w:val="22"/>
          <w:szCs w:val="22"/>
        </w:rPr>
        <w:t xml:space="preserve"> on, United States of America (US) legislation or decisions of the US Food and Drug Administration.</w:t>
      </w:r>
    </w:p>
    <w:p w14:paraId="5C6C6D9D" w14:textId="77777777" w:rsidR="000C06A6" w:rsidRPr="00B2546F" w:rsidRDefault="000C06A6" w:rsidP="0061288B">
      <w:pPr>
        <w:spacing w:before="0" w:after="0"/>
        <w:rPr>
          <w:sz w:val="22"/>
          <w:szCs w:val="22"/>
        </w:rPr>
      </w:pPr>
    </w:p>
    <w:p w14:paraId="069E1A54" w14:textId="75B870A5" w:rsidR="003C5297" w:rsidRPr="00B2546F" w:rsidRDefault="003C5297" w:rsidP="0061288B">
      <w:pPr>
        <w:spacing w:before="0" w:after="0"/>
        <w:rPr>
          <w:sz w:val="22"/>
          <w:szCs w:val="22"/>
        </w:rPr>
      </w:pPr>
      <w:r w:rsidRPr="00B2546F">
        <w:rPr>
          <w:sz w:val="22"/>
          <w:szCs w:val="22"/>
        </w:rPr>
        <w:lastRenderedPageBreak/>
        <w:t>The</w:t>
      </w:r>
      <w:r w:rsidR="00842846" w:rsidRPr="00B2546F">
        <w:rPr>
          <w:sz w:val="22"/>
          <w:szCs w:val="22"/>
        </w:rPr>
        <w:t xml:space="preserve">se concerns remain current in relation to the approach taken in the </w:t>
      </w:r>
      <w:r w:rsidR="00250198" w:rsidRPr="00B2546F">
        <w:rPr>
          <w:sz w:val="22"/>
          <w:szCs w:val="22"/>
        </w:rPr>
        <w:t>United States Pharmacopeia-National Formulary</w:t>
      </w:r>
      <w:r w:rsidR="00842846" w:rsidRPr="00B2546F">
        <w:rPr>
          <w:sz w:val="22"/>
          <w:szCs w:val="22"/>
        </w:rPr>
        <w:t>, and accordingly the</w:t>
      </w:r>
      <w:r w:rsidRPr="00B2546F">
        <w:rPr>
          <w:sz w:val="22"/>
          <w:szCs w:val="22"/>
        </w:rPr>
        <w:t xml:space="preserve"> Order </w:t>
      </w:r>
      <w:r w:rsidR="000C06A6" w:rsidRPr="00B2546F">
        <w:rPr>
          <w:sz w:val="22"/>
          <w:szCs w:val="22"/>
        </w:rPr>
        <w:t xml:space="preserve">has the effect of </w:t>
      </w:r>
      <w:r w:rsidRPr="00B2546F">
        <w:rPr>
          <w:sz w:val="22"/>
          <w:szCs w:val="22"/>
        </w:rPr>
        <w:t>repeal</w:t>
      </w:r>
      <w:r w:rsidR="000C06A6" w:rsidRPr="00B2546F">
        <w:rPr>
          <w:sz w:val="22"/>
          <w:szCs w:val="22"/>
        </w:rPr>
        <w:t>ing</w:t>
      </w:r>
      <w:r w:rsidRPr="00B2546F">
        <w:rPr>
          <w:sz w:val="22"/>
          <w:szCs w:val="22"/>
        </w:rPr>
        <w:t xml:space="preserve"> and replac</w:t>
      </w:r>
      <w:r w:rsidR="000C06A6" w:rsidRPr="00B2546F">
        <w:rPr>
          <w:sz w:val="22"/>
          <w:szCs w:val="22"/>
        </w:rPr>
        <w:t>ing</w:t>
      </w:r>
      <w:r w:rsidRPr="00B2546F">
        <w:rPr>
          <w:sz w:val="22"/>
          <w:szCs w:val="22"/>
        </w:rPr>
        <w:t xml:space="preserve"> the </w:t>
      </w:r>
      <w:r w:rsidR="00133FB9" w:rsidRPr="00B2546F">
        <w:rPr>
          <w:sz w:val="22"/>
          <w:szCs w:val="22"/>
        </w:rPr>
        <w:t>F</w:t>
      </w:r>
      <w:r w:rsidRPr="00B2546F">
        <w:rPr>
          <w:sz w:val="22"/>
          <w:szCs w:val="22"/>
        </w:rPr>
        <w:t>ormer Order</w:t>
      </w:r>
      <w:r w:rsidR="000C06A6" w:rsidRPr="00B2546F">
        <w:rPr>
          <w:sz w:val="22"/>
          <w:szCs w:val="22"/>
        </w:rPr>
        <w:t xml:space="preserve"> without modification</w:t>
      </w:r>
      <w:r w:rsidRPr="00B2546F">
        <w:rPr>
          <w:sz w:val="22"/>
          <w:szCs w:val="22"/>
        </w:rPr>
        <w:t>.</w:t>
      </w:r>
      <w:bookmarkEnd w:id="1"/>
    </w:p>
    <w:p w14:paraId="1D5873E7" w14:textId="77777777" w:rsidR="00F80E89" w:rsidRPr="00B2546F" w:rsidRDefault="00F80E89" w:rsidP="0061288B">
      <w:pPr>
        <w:spacing w:before="0" w:after="0"/>
        <w:rPr>
          <w:sz w:val="22"/>
          <w:szCs w:val="22"/>
        </w:rPr>
      </w:pPr>
    </w:p>
    <w:p w14:paraId="719CF2FE" w14:textId="77777777" w:rsidR="00F80E89" w:rsidRPr="00B2546F" w:rsidRDefault="00F80E89" w:rsidP="007C6894">
      <w:pPr>
        <w:keepNext/>
        <w:autoSpaceDE w:val="0"/>
        <w:autoSpaceDN w:val="0"/>
        <w:adjustRightInd w:val="0"/>
        <w:spacing w:before="0" w:after="0"/>
        <w:rPr>
          <w:sz w:val="22"/>
          <w:szCs w:val="22"/>
          <w:lang w:eastAsia="en-AU"/>
        </w:rPr>
      </w:pPr>
      <w:r w:rsidRPr="00B2546F">
        <w:rPr>
          <w:b/>
          <w:bCs/>
          <w:sz w:val="22"/>
          <w:szCs w:val="22"/>
          <w:lang w:eastAsia="en-AU"/>
        </w:rPr>
        <w:t>Incorporation by reference</w:t>
      </w:r>
    </w:p>
    <w:p w14:paraId="2D23002C" w14:textId="77777777" w:rsidR="00F80E89" w:rsidRPr="00B2546F" w:rsidRDefault="00F80E89" w:rsidP="007C6894">
      <w:pPr>
        <w:keepNext/>
        <w:autoSpaceDE w:val="0"/>
        <w:autoSpaceDN w:val="0"/>
        <w:adjustRightInd w:val="0"/>
        <w:spacing w:before="0" w:after="0"/>
        <w:rPr>
          <w:sz w:val="22"/>
          <w:szCs w:val="22"/>
          <w:lang w:eastAsia="en-AU"/>
        </w:rPr>
      </w:pPr>
    </w:p>
    <w:p w14:paraId="32CA623D" w14:textId="54E5BEC1" w:rsidR="00F80E89" w:rsidRPr="00B2546F" w:rsidRDefault="00F80E89" w:rsidP="007C6894">
      <w:pPr>
        <w:keepNext/>
        <w:autoSpaceDE w:val="0"/>
        <w:autoSpaceDN w:val="0"/>
        <w:adjustRightInd w:val="0"/>
        <w:spacing w:before="0" w:after="0"/>
        <w:rPr>
          <w:sz w:val="22"/>
          <w:szCs w:val="22"/>
          <w:lang w:eastAsia="en-AU"/>
        </w:rPr>
      </w:pPr>
      <w:r w:rsidRPr="00B2546F">
        <w:rPr>
          <w:sz w:val="22"/>
          <w:szCs w:val="22"/>
          <w:lang w:eastAsia="en-AU"/>
        </w:rPr>
        <w:t xml:space="preserve">The Order specifies requirements for human albumin by reference to the British Pharmacopoeia and the European Pharmacopoeia. The note in section 4 of the Order makes it clear that each pharmacopoeia </w:t>
      </w:r>
      <w:r w:rsidR="00133FB9" w:rsidRPr="00B2546F">
        <w:rPr>
          <w:sz w:val="22"/>
          <w:szCs w:val="22"/>
          <w:lang w:eastAsia="en-AU"/>
        </w:rPr>
        <w:t>is</w:t>
      </w:r>
      <w:r w:rsidRPr="00B2546F">
        <w:rPr>
          <w:sz w:val="22"/>
          <w:szCs w:val="22"/>
          <w:lang w:eastAsia="en-AU"/>
        </w:rPr>
        <w:t xml:space="preserve"> as defined in subsection 3(1) of the Act. Subsection 10(4) of the Act expressly allows for dynamic incorporation of documents in an order made under subsection 10(1) of the Act, despite subsection 14(2) of the </w:t>
      </w:r>
      <w:r w:rsidRPr="00B2546F">
        <w:rPr>
          <w:i/>
          <w:iCs/>
          <w:sz w:val="22"/>
          <w:szCs w:val="22"/>
          <w:lang w:eastAsia="en-AU"/>
        </w:rPr>
        <w:t>Legislation Act 2003</w:t>
      </w:r>
      <w:r w:rsidRPr="00B2546F">
        <w:rPr>
          <w:sz w:val="22"/>
          <w:szCs w:val="22"/>
          <w:lang w:eastAsia="en-AU"/>
        </w:rPr>
        <w:t xml:space="preserve"> (“the Legislation Act”). These pharmacopoeia</w:t>
      </w:r>
      <w:r w:rsidR="00672868" w:rsidRPr="00B2546F">
        <w:rPr>
          <w:sz w:val="22"/>
          <w:szCs w:val="22"/>
          <w:lang w:eastAsia="en-AU"/>
        </w:rPr>
        <w:t>s</w:t>
      </w:r>
      <w:r w:rsidRPr="00B2546F">
        <w:rPr>
          <w:sz w:val="22"/>
          <w:szCs w:val="22"/>
          <w:lang w:eastAsia="en-AU"/>
        </w:rPr>
        <w:t xml:space="preserve"> are incorporated in the Order as in force or existing from time to time, in accordance with these provisions and may be accessed from www.pharmacopoeia.com/ and https://pheur.edqm.eu/home.</w:t>
      </w:r>
    </w:p>
    <w:p w14:paraId="1927983A" w14:textId="77777777" w:rsidR="00F80E89" w:rsidRPr="00B2546F" w:rsidRDefault="00F80E89" w:rsidP="00F80E89">
      <w:pPr>
        <w:autoSpaceDE w:val="0"/>
        <w:autoSpaceDN w:val="0"/>
        <w:adjustRightInd w:val="0"/>
        <w:spacing w:before="0" w:after="0"/>
        <w:rPr>
          <w:sz w:val="22"/>
          <w:szCs w:val="22"/>
          <w:lang w:eastAsia="en-AU"/>
        </w:rPr>
      </w:pPr>
    </w:p>
    <w:p w14:paraId="1F07A949" w14:textId="66C5CEB4" w:rsidR="00F80E89" w:rsidRPr="00B2546F" w:rsidRDefault="00F80E89" w:rsidP="00F80E89">
      <w:pPr>
        <w:autoSpaceDE w:val="0"/>
        <w:autoSpaceDN w:val="0"/>
        <w:adjustRightInd w:val="0"/>
        <w:spacing w:before="0" w:after="0"/>
        <w:rPr>
          <w:sz w:val="22"/>
          <w:szCs w:val="22"/>
          <w:lang w:eastAsia="en-AU"/>
        </w:rPr>
      </w:pPr>
      <w:r w:rsidRPr="00B2546F">
        <w:rPr>
          <w:sz w:val="22"/>
          <w:szCs w:val="22"/>
          <w:lang w:eastAsia="en-AU"/>
        </w:rPr>
        <w:t>While unfortunately the</w:t>
      </w:r>
      <w:r w:rsidR="0046202F" w:rsidRPr="00B2546F">
        <w:rPr>
          <w:sz w:val="22"/>
          <w:szCs w:val="22"/>
          <w:lang w:eastAsia="en-AU"/>
        </w:rPr>
        <w:t>se</w:t>
      </w:r>
      <w:r w:rsidRPr="00B2546F">
        <w:rPr>
          <w:sz w:val="22"/>
          <w:szCs w:val="22"/>
          <w:lang w:eastAsia="en-AU"/>
        </w:rPr>
        <w:t xml:space="preserve"> pharmacopoeia</w:t>
      </w:r>
      <w:r w:rsidR="00672868" w:rsidRPr="00B2546F">
        <w:rPr>
          <w:sz w:val="22"/>
          <w:szCs w:val="22"/>
          <w:lang w:eastAsia="en-AU"/>
        </w:rPr>
        <w:t>s</w:t>
      </w:r>
      <w:r w:rsidRPr="00B2546F">
        <w:rPr>
          <w:sz w:val="22"/>
          <w:szCs w:val="22"/>
          <w:lang w:eastAsia="en-AU"/>
        </w:rPr>
        <w:t xml:space="preserve"> are not available for free, it is anticipated that the persons most affected by their adoption in this Order (sponsors of human albumin for therapeutic use), would be in possession of these documents </w:t>
      </w:r>
      <w:proofErr w:type="gramStart"/>
      <w:r w:rsidRPr="00B2546F">
        <w:rPr>
          <w:sz w:val="22"/>
          <w:szCs w:val="22"/>
          <w:lang w:eastAsia="en-AU"/>
        </w:rPr>
        <w:t>in order to</w:t>
      </w:r>
      <w:proofErr w:type="gramEnd"/>
      <w:r w:rsidRPr="00B2546F">
        <w:rPr>
          <w:sz w:val="22"/>
          <w:szCs w:val="22"/>
          <w:lang w:eastAsia="en-AU"/>
        </w:rPr>
        <w:t xml:space="preserve"> manufacture the medicine or ingredients. As important international benchmarks for the safety and quality of human albumin products, it would be infeasible </w:t>
      </w:r>
      <w:r w:rsidR="004B0F12" w:rsidRPr="00B2546F">
        <w:rPr>
          <w:sz w:val="22"/>
          <w:szCs w:val="22"/>
          <w:lang w:eastAsia="en-AU"/>
        </w:rPr>
        <w:t>from</w:t>
      </w:r>
      <w:r w:rsidRPr="00B2546F">
        <w:rPr>
          <w:sz w:val="22"/>
          <w:szCs w:val="22"/>
          <w:lang w:eastAsia="en-AU"/>
        </w:rPr>
        <w:t xml:space="preserve"> a regulatory perspective to not adopt such </w:t>
      </w:r>
      <w:r w:rsidR="00A64984" w:rsidRPr="00B2546F">
        <w:rPr>
          <w:sz w:val="22"/>
          <w:szCs w:val="22"/>
          <w:lang w:eastAsia="en-AU"/>
        </w:rPr>
        <w:t>benchmarks</w:t>
      </w:r>
      <w:r w:rsidRPr="00B2546F">
        <w:rPr>
          <w:sz w:val="22"/>
          <w:szCs w:val="22"/>
          <w:lang w:eastAsia="en-AU"/>
        </w:rPr>
        <w:t xml:space="preserve"> on the basis that the publications are not available for free.</w:t>
      </w:r>
    </w:p>
    <w:p w14:paraId="03F6228D" w14:textId="77777777" w:rsidR="00F80E89" w:rsidRPr="00B2546F" w:rsidRDefault="00F80E89" w:rsidP="00F80E89">
      <w:pPr>
        <w:autoSpaceDE w:val="0"/>
        <w:autoSpaceDN w:val="0"/>
        <w:adjustRightInd w:val="0"/>
        <w:spacing w:before="0" w:after="0"/>
        <w:rPr>
          <w:sz w:val="22"/>
          <w:szCs w:val="22"/>
          <w:lang w:eastAsia="en-AU"/>
        </w:rPr>
      </w:pPr>
    </w:p>
    <w:p w14:paraId="14982436" w14:textId="697173B4" w:rsidR="00F80E89" w:rsidRPr="00B2546F" w:rsidRDefault="00F80E89" w:rsidP="00F80E89">
      <w:pPr>
        <w:autoSpaceDE w:val="0"/>
        <w:autoSpaceDN w:val="0"/>
        <w:adjustRightInd w:val="0"/>
        <w:spacing w:before="0" w:after="0"/>
        <w:rPr>
          <w:sz w:val="22"/>
          <w:szCs w:val="22"/>
          <w:lang w:eastAsia="en-AU"/>
        </w:rPr>
      </w:pPr>
      <w:r w:rsidRPr="00B2546F">
        <w:rPr>
          <w:sz w:val="22"/>
          <w:szCs w:val="22"/>
          <w:lang w:eastAsia="en-AU"/>
        </w:rPr>
        <w:t>However, by prior written arrangement with the TGA, members of the public may request to view the pharmacopoeia</w:t>
      </w:r>
      <w:r w:rsidR="001A3294" w:rsidRPr="00B2546F">
        <w:rPr>
          <w:sz w:val="22"/>
          <w:szCs w:val="22"/>
          <w:lang w:eastAsia="en-AU"/>
        </w:rPr>
        <w:t>s</w:t>
      </w:r>
      <w:r w:rsidRPr="00B2546F">
        <w:rPr>
          <w:sz w:val="22"/>
          <w:szCs w:val="22"/>
          <w:lang w:eastAsia="en-AU"/>
        </w:rPr>
        <w:t xml:space="preserve"> without charge at the TGA office in </w:t>
      </w:r>
      <w:proofErr w:type="spellStart"/>
      <w:r w:rsidRPr="00B2546F">
        <w:rPr>
          <w:sz w:val="22"/>
          <w:szCs w:val="22"/>
          <w:lang w:eastAsia="en-AU"/>
        </w:rPr>
        <w:t>Symonston</w:t>
      </w:r>
      <w:proofErr w:type="spellEnd"/>
      <w:r w:rsidRPr="00B2546F">
        <w:rPr>
          <w:sz w:val="22"/>
          <w:szCs w:val="22"/>
          <w:lang w:eastAsia="en-AU"/>
        </w:rPr>
        <w:t>, ACT.</w:t>
      </w:r>
    </w:p>
    <w:p w14:paraId="2BB1ECCE" w14:textId="77777777" w:rsidR="00F80E89" w:rsidRPr="00B2546F" w:rsidRDefault="00F80E89" w:rsidP="00F80E89">
      <w:pPr>
        <w:autoSpaceDE w:val="0"/>
        <w:autoSpaceDN w:val="0"/>
        <w:adjustRightInd w:val="0"/>
        <w:spacing w:before="0" w:after="0"/>
        <w:rPr>
          <w:sz w:val="22"/>
          <w:szCs w:val="22"/>
          <w:lang w:eastAsia="en-AU"/>
        </w:rPr>
      </w:pPr>
    </w:p>
    <w:p w14:paraId="63D675B9" w14:textId="48130058" w:rsidR="00F80E89" w:rsidRPr="00B2546F" w:rsidRDefault="00F80E89" w:rsidP="00F80E89">
      <w:pPr>
        <w:autoSpaceDE w:val="0"/>
        <w:autoSpaceDN w:val="0"/>
        <w:adjustRightInd w:val="0"/>
        <w:spacing w:before="0" w:after="0"/>
        <w:rPr>
          <w:sz w:val="22"/>
          <w:szCs w:val="22"/>
          <w:lang w:eastAsia="en-AU"/>
        </w:rPr>
      </w:pPr>
      <w:r w:rsidRPr="00B2546F">
        <w:rPr>
          <w:sz w:val="22"/>
          <w:szCs w:val="22"/>
          <w:lang w:eastAsia="en-AU"/>
        </w:rPr>
        <w:t>It should also be noted that the National Library’s Trove online system (www.trove.nla.gov.au) allows user</w:t>
      </w:r>
      <w:r w:rsidR="004B0F12" w:rsidRPr="00B2546F">
        <w:rPr>
          <w:sz w:val="22"/>
          <w:szCs w:val="22"/>
          <w:lang w:eastAsia="en-AU"/>
        </w:rPr>
        <w:t>s</w:t>
      </w:r>
      <w:r w:rsidRPr="00B2546F">
        <w:rPr>
          <w:sz w:val="22"/>
          <w:szCs w:val="22"/>
          <w:lang w:eastAsia="en-AU"/>
        </w:rPr>
        <w:t xml:space="preserve"> to identify libraries in Australia that are open to the public where editions (in most cases, earlier editions) of the pharmacopoeia</w:t>
      </w:r>
      <w:r w:rsidR="001A3294" w:rsidRPr="00B2546F">
        <w:rPr>
          <w:sz w:val="22"/>
          <w:szCs w:val="22"/>
          <w:lang w:eastAsia="en-AU"/>
        </w:rPr>
        <w:t>s</w:t>
      </w:r>
      <w:r w:rsidRPr="00B2546F">
        <w:rPr>
          <w:sz w:val="22"/>
          <w:szCs w:val="22"/>
          <w:lang w:eastAsia="en-AU"/>
        </w:rPr>
        <w:t xml:space="preserve"> may be viewed (for example, the University of Tasmania or the University of Western Australia in relation to the British Pharmacopoeia). Members of the public may also approach any library that participates in inter-library loans with those university libraries to request an inter-library loan, or to obtain a photocopy of a particular part of a monograph for personal study or research (but not for commercial purposes)</w:t>
      </w:r>
      <w:r w:rsidR="00133FB9" w:rsidRPr="00B2546F">
        <w:rPr>
          <w:sz w:val="22"/>
          <w:szCs w:val="22"/>
          <w:lang w:eastAsia="en-AU"/>
        </w:rPr>
        <w:t>. Fees apply in relation to the making of such a request. E</w:t>
      </w:r>
      <w:r w:rsidRPr="00B2546F">
        <w:rPr>
          <w:sz w:val="22"/>
          <w:szCs w:val="22"/>
          <w:lang w:eastAsia="en-AU"/>
        </w:rPr>
        <w:t xml:space="preserve">nquiries should be made with local libraries, </w:t>
      </w:r>
      <w:r w:rsidR="001A3294" w:rsidRPr="00B2546F">
        <w:rPr>
          <w:sz w:val="22"/>
          <w:szCs w:val="22"/>
          <w:lang w:eastAsia="en-AU"/>
        </w:rPr>
        <w:t>s</w:t>
      </w:r>
      <w:r w:rsidRPr="00B2546F">
        <w:rPr>
          <w:sz w:val="22"/>
          <w:szCs w:val="22"/>
          <w:lang w:eastAsia="en-AU"/>
        </w:rPr>
        <w:t xml:space="preserve">tate libraries </w:t>
      </w:r>
      <w:r w:rsidR="001A3294" w:rsidRPr="00B2546F">
        <w:rPr>
          <w:sz w:val="22"/>
          <w:szCs w:val="22"/>
          <w:lang w:eastAsia="en-AU"/>
        </w:rPr>
        <w:t>or</w:t>
      </w:r>
      <w:r w:rsidRPr="00B2546F">
        <w:rPr>
          <w:sz w:val="22"/>
          <w:szCs w:val="22"/>
          <w:lang w:eastAsia="en-AU"/>
        </w:rPr>
        <w:t xml:space="preserve"> the National Library.</w:t>
      </w:r>
    </w:p>
    <w:p w14:paraId="356F20B6" w14:textId="77777777" w:rsidR="00F80E89" w:rsidRPr="00B2546F" w:rsidRDefault="00F80E89" w:rsidP="00F80E89">
      <w:pPr>
        <w:autoSpaceDE w:val="0"/>
        <w:autoSpaceDN w:val="0"/>
        <w:adjustRightInd w:val="0"/>
        <w:spacing w:before="0" w:after="0"/>
        <w:rPr>
          <w:sz w:val="22"/>
          <w:szCs w:val="22"/>
          <w:lang w:eastAsia="en-AU"/>
        </w:rPr>
      </w:pPr>
    </w:p>
    <w:p w14:paraId="1FD2DF96" w14:textId="77777777" w:rsidR="003C5297" w:rsidRPr="00B2546F" w:rsidRDefault="003C5297" w:rsidP="003C5297">
      <w:pPr>
        <w:autoSpaceDE w:val="0"/>
        <w:autoSpaceDN w:val="0"/>
        <w:adjustRightInd w:val="0"/>
        <w:spacing w:before="0" w:after="0"/>
        <w:rPr>
          <w:b/>
          <w:sz w:val="22"/>
          <w:szCs w:val="22"/>
          <w:lang w:eastAsia="en-AU"/>
        </w:rPr>
      </w:pPr>
      <w:r w:rsidRPr="00B2546F">
        <w:rPr>
          <w:b/>
          <w:sz w:val="22"/>
          <w:szCs w:val="22"/>
          <w:lang w:eastAsia="en-AU"/>
        </w:rPr>
        <w:t>Consultation</w:t>
      </w:r>
    </w:p>
    <w:p w14:paraId="77D82E31" w14:textId="77777777" w:rsidR="003C5297" w:rsidRPr="00B2546F" w:rsidRDefault="003C5297" w:rsidP="003C5297">
      <w:pPr>
        <w:autoSpaceDE w:val="0"/>
        <w:autoSpaceDN w:val="0"/>
        <w:adjustRightInd w:val="0"/>
        <w:spacing w:before="0" w:after="0"/>
        <w:rPr>
          <w:b/>
          <w:sz w:val="22"/>
          <w:szCs w:val="22"/>
          <w:lang w:eastAsia="en-AU"/>
        </w:rPr>
      </w:pPr>
    </w:p>
    <w:p w14:paraId="3B71108D" w14:textId="62EDE11F" w:rsidR="003C5297" w:rsidRPr="00B2546F" w:rsidRDefault="0036239A" w:rsidP="003C5297">
      <w:pPr>
        <w:autoSpaceDE w:val="0"/>
        <w:autoSpaceDN w:val="0"/>
        <w:adjustRightInd w:val="0"/>
        <w:spacing w:before="0" w:after="0"/>
        <w:rPr>
          <w:color w:val="000000"/>
          <w:sz w:val="22"/>
          <w:szCs w:val="22"/>
          <w:shd w:val="clear" w:color="auto" w:fill="FFFFFF"/>
        </w:rPr>
      </w:pPr>
      <w:r w:rsidRPr="00B2546F">
        <w:rPr>
          <w:color w:val="000000"/>
          <w:sz w:val="22"/>
          <w:szCs w:val="22"/>
          <w:shd w:val="clear" w:color="auto" w:fill="FFFFFF"/>
        </w:rPr>
        <w:t>A</w:t>
      </w:r>
      <w:r w:rsidR="0046202F" w:rsidRPr="00B2546F">
        <w:rPr>
          <w:color w:val="000000"/>
          <w:sz w:val="22"/>
          <w:szCs w:val="22"/>
          <w:shd w:val="clear" w:color="auto" w:fill="FFFFFF"/>
        </w:rPr>
        <w:t xml:space="preserve"> </w:t>
      </w:r>
      <w:r w:rsidR="001A3294" w:rsidRPr="00B2546F">
        <w:rPr>
          <w:color w:val="000000"/>
          <w:sz w:val="22"/>
          <w:szCs w:val="22"/>
          <w:shd w:val="clear" w:color="auto" w:fill="FFFFFF"/>
        </w:rPr>
        <w:t>R</w:t>
      </w:r>
      <w:r w:rsidR="0046202F" w:rsidRPr="00B2546F">
        <w:rPr>
          <w:color w:val="000000"/>
          <w:sz w:val="22"/>
          <w:szCs w:val="22"/>
          <w:shd w:val="clear" w:color="auto" w:fill="FFFFFF"/>
        </w:rPr>
        <w:t xml:space="preserve">egulation </w:t>
      </w:r>
      <w:r w:rsidR="001A3294" w:rsidRPr="00B2546F">
        <w:rPr>
          <w:color w:val="000000"/>
          <w:sz w:val="22"/>
          <w:szCs w:val="22"/>
          <w:shd w:val="clear" w:color="auto" w:fill="FFFFFF"/>
        </w:rPr>
        <w:t>I</w:t>
      </w:r>
      <w:r w:rsidR="0046202F" w:rsidRPr="00B2546F">
        <w:rPr>
          <w:color w:val="000000"/>
          <w:sz w:val="22"/>
          <w:szCs w:val="22"/>
          <w:shd w:val="clear" w:color="auto" w:fill="FFFFFF"/>
        </w:rPr>
        <w:t xml:space="preserve">mpact </w:t>
      </w:r>
      <w:r w:rsidR="001A3294" w:rsidRPr="00B2546F">
        <w:rPr>
          <w:color w:val="000000"/>
          <w:sz w:val="22"/>
          <w:szCs w:val="22"/>
          <w:shd w:val="clear" w:color="auto" w:fill="FFFFFF"/>
        </w:rPr>
        <w:t>S</w:t>
      </w:r>
      <w:r w:rsidR="0046202F" w:rsidRPr="00B2546F">
        <w:rPr>
          <w:color w:val="000000"/>
          <w:sz w:val="22"/>
          <w:szCs w:val="22"/>
          <w:shd w:val="clear" w:color="auto" w:fill="FFFFFF"/>
        </w:rPr>
        <w:t xml:space="preserve">tatement </w:t>
      </w:r>
      <w:r w:rsidRPr="00B2546F">
        <w:rPr>
          <w:color w:val="000000"/>
          <w:sz w:val="22"/>
          <w:szCs w:val="22"/>
          <w:shd w:val="clear" w:color="auto" w:fill="FFFFFF"/>
        </w:rPr>
        <w:t>is</w:t>
      </w:r>
      <w:r w:rsidR="0046202F" w:rsidRPr="00B2546F">
        <w:rPr>
          <w:color w:val="000000"/>
          <w:sz w:val="22"/>
          <w:szCs w:val="22"/>
          <w:shd w:val="clear" w:color="auto" w:fill="FFFFFF"/>
        </w:rPr>
        <w:t xml:space="preserve"> not required in relation to the making of the Order on the basis that the Order remakes the </w:t>
      </w:r>
      <w:r w:rsidR="00133FB9" w:rsidRPr="00B2546F">
        <w:rPr>
          <w:color w:val="000000"/>
          <w:sz w:val="22"/>
          <w:szCs w:val="22"/>
          <w:shd w:val="clear" w:color="auto" w:fill="FFFFFF"/>
        </w:rPr>
        <w:t>F</w:t>
      </w:r>
      <w:r w:rsidR="0046202F" w:rsidRPr="00B2546F">
        <w:rPr>
          <w:color w:val="000000"/>
          <w:sz w:val="22"/>
          <w:szCs w:val="22"/>
          <w:shd w:val="clear" w:color="auto" w:fill="FFFFFF"/>
        </w:rPr>
        <w:t>ormer Order without substantive changes (OPBR</w:t>
      </w:r>
      <w:r w:rsidR="00AA26D3" w:rsidRPr="00B2546F">
        <w:rPr>
          <w:color w:val="000000"/>
          <w:sz w:val="22"/>
          <w:szCs w:val="22"/>
          <w:shd w:val="clear" w:color="auto" w:fill="FFFFFF"/>
        </w:rPr>
        <w:t>21-01205</w:t>
      </w:r>
      <w:r w:rsidR="0046202F" w:rsidRPr="00B2546F">
        <w:rPr>
          <w:color w:val="000000"/>
          <w:sz w:val="22"/>
          <w:szCs w:val="22"/>
          <w:shd w:val="clear" w:color="auto" w:fill="FFFFFF"/>
        </w:rPr>
        <w:t>)</w:t>
      </w:r>
      <w:r w:rsidR="003C5297" w:rsidRPr="00B2546F">
        <w:rPr>
          <w:color w:val="000000"/>
          <w:sz w:val="22"/>
          <w:szCs w:val="22"/>
          <w:shd w:val="clear" w:color="auto" w:fill="FFFFFF"/>
        </w:rPr>
        <w:t>.</w:t>
      </w:r>
    </w:p>
    <w:p w14:paraId="1015B2AA" w14:textId="2B73D24A" w:rsidR="000C06A6" w:rsidRPr="00B2546F" w:rsidRDefault="000C06A6" w:rsidP="003C5297">
      <w:pPr>
        <w:autoSpaceDE w:val="0"/>
        <w:autoSpaceDN w:val="0"/>
        <w:adjustRightInd w:val="0"/>
        <w:spacing w:before="0" w:after="0"/>
        <w:rPr>
          <w:color w:val="000000"/>
          <w:sz w:val="22"/>
          <w:szCs w:val="22"/>
          <w:shd w:val="clear" w:color="auto" w:fill="FFFFFF"/>
        </w:rPr>
      </w:pPr>
    </w:p>
    <w:p w14:paraId="15573302" w14:textId="6B23E81A" w:rsidR="000C06A6" w:rsidRPr="00B2546F" w:rsidRDefault="006410C2" w:rsidP="003C5297">
      <w:pPr>
        <w:autoSpaceDE w:val="0"/>
        <w:autoSpaceDN w:val="0"/>
        <w:adjustRightInd w:val="0"/>
        <w:spacing w:before="0" w:after="0"/>
        <w:rPr>
          <w:color w:val="000000"/>
          <w:sz w:val="22"/>
          <w:szCs w:val="22"/>
          <w:shd w:val="clear" w:color="auto" w:fill="FFFFFF"/>
        </w:rPr>
      </w:pPr>
      <w:r w:rsidRPr="00B2546F">
        <w:rPr>
          <w:color w:val="000000"/>
          <w:sz w:val="22"/>
          <w:szCs w:val="22"/>
          <w:shd w:val="clear" w:color="auto" w:fill="FFFFFF"/>
        </w:rPr>
        <w:t xml:space="preserve">Between 22 October and 19 November </w:t>
      </w:r>
      <w:r w:rsidR="007A429D" w:rsidRPr="00B2546F">
        <w:rPr>
          <w:color w:val="000000"/>
          <w:sz w:val="22"/>
          <w:szCs w:val="22"/>
          <w:shd w:val="clear" w:color="auto" w:fill="FFFFFF"/>
        </w:rPr>
        <w:t>2021, the TGA undertook targeted consultation with peak industry stakeholders and selected medicine sponsors that would be directly impacted by the Order. The TGA only received 2 responses (</w:t>
      </w:r>
      <w:r w:rsidR="00133FB9" w:rsidRPr="00B2546F">
        <w:rPr>
          <w:color w:val="000000"/>
          <w:sz w:val="22"/>
          <w:szCs w:val="22"/>
          <w:shd w:val="clear" w:color="auto" w:fill="FFFFFF"/>
        </w:rPr>
        <w:t>one</w:t>
      </w:r>
      <w:r w:rsidR="007A429D" w:rsidRPr="00B2546F">
        <w:rPr>
          <w:color w:val="000000"/>
          <w:sz w:val="22"/>
          <w:szCs w:val="22"/>
          <w:shd w:val="clear" w:color="auto" w:fill="FFFFFF"/>
        </w:rPr>
        <w:t xml:space="preserve"> from a peak body, the other from an industry sponsor), both of which stated their support for the making of the Order </w:t>
      </w:r>
      <w:r w:rsidR="00276CEB" w:rsidRPr="00B2546F">
        <w:rPr>
          <w:color w:val="000000"/>
          <w:sz w:val="22"/>
          <w:szCs w:val="22"/>
          <w:shd w:val="clear" w:color="auto" w:fill="FFFFFF"/>
        </w:rPr>
        <w:t>in</w:t>
      </w:r>
      <w:r w:rsidR="007A429D" w:rsidRPr="00B2546F">
        <w:rPr>
          <w:color w:val="000000"/>
          <w:sz w:val="22"/>
          <w:szCs w:val="22"/>
          <w:shd w:val="clear" w:color="auto" w:fill="FFFFFF"/>
        </w:rPr>
        <w:t xml:space="preserve"> the same terms as the </w:t>
      </w:r>
      <w:r w:rsidR="00133FB9" w:rsidRPr="00B2546F">
        <w:rPr>
          <w:color w:val="000000"/>
          <w:sz w:val="22"/>
          <w:szCs w:val="22"/>
          <w:shd w:val="clear" w:color="auto" w:fill="FFFFFF"/>
        </w:rPr>
        <w:t>F</w:t>
      </w:r>
      <w:r w:rsidR="007A429D" w:rsidRPr="00B2546F">
        <w:rPr>
          <w:color w:val="000000"/>
          <w:sz w:val="22"/>
          <w:szCs w:val="22"/>
          <w:shd w:val="clear" w:color="auto" w:fill="FFFFFF"/>
        </w:rPr>
        <w:t>ormer Order.</w:t>
      </w:r>
    </w:p>
    <w:p w14:paraId="7B94C9B6" w14:textId="77777777" w:rsidR="003C5297" w:rsidRPr="00B2546F" w:rsidRDefault="003C5297" w:rsidP="003C5297">
      <w:pPr>
        <w:autoSpaceDE w:val="0"/>
        <w:autoSpaceDN w:val="0"/>
        <w:adjustRightInd w:val="0"/>
        <w:spacing w:before="0" w:after="0"/>
        <w:rPr>
          <w:rFonts w:eastAsiaTheme="minorHAnsi"/>
          <w:strike/>
          <w:color w:val="000000"/>
          <w:sz w:val="22"/>
          <w:szCs w:val="22"/>
          <w:lang w:val="en-AU"/>
        </w:rPr>
      </w:pPr>
    </w:p>
    <w:p w14:paraId="478F5A67" w14:textId="4F4E6886" w:rsidR="003C5297" w:rsidRPr="00B2546F" w:rsidRDefault="003C5297" w:rsidP="003C5297">
      <w:pPr>
        <w:autoSpaceDE w:val="0"/>
        <w:autoSpaceDN w:val="0"/>
        <w:adjustRightInd w:val="0"/>
        <w:spacing w:before="0" w:after="0"/>
        <w:rPr>
          <w:sz w:val="22"/>
          <w:szCs w:val="22"/>
          <w:lang w:eastAsia="en-AU"/>
        </w:rPr>
      </w:pPr>
      <w:r w:rsidRPr="00B2546F">
        <w:rPr>
          <w:sz w:val="22"/>
          <w:szCs w:val="22"/>
          <w:lang w:eastAsia="en-AU"/>
        </w:rPr>
        <w:t xml:space="preserve">Details of the </w:t>
      </w:r>
      <w:r w:rsidR="00516B5A" w:rsidRPr="00B2546F">
        <w:rPr>
          <w:sz w:val="22"/>
          <w:szCs w:val="22"/>
          <w:lang w:eastAsia="en-AU"/>
        </w:rPr>
        <w:t xml:space="preserve">Order </w:t>
      </w:r>
      <w:r w:rsidRPr="00B2546F">
        <w:rPr>
          <w:sz w:val="22"/>
          <w:szCs w:val="22"/>
          <w:lang w:eastAsia="en-AU"/>
        </w:rPr>
        <w:t xml:space="preserve">are set out in </w:t>
      </w:r>
      <w:r w:rsidRPr="00B2546F">
        <w:rPr>
          <w:b/>
          <w:sz w:val="22"/>
          <w:szCs w:val="22"/>
          <w:lang w:eastAsia="en-AU"/>
        </w:rPr>
        <w:t>Attachment A</w:t>
      </w:r>
      <w:r w:rsidRPr="00B2546F">
        <w:rPr>
          <w:sz w:val="22"/>
          <w:szCs w:val="22"/>
          <w:lang w:eastAsia="en-AU"/>
        </w:rPr>
        <w:t>.</w:t>
      </w:r>
    </w:p>
    <w:p w14:paraId="618C0F43" w14:textId="77777777" w:rsidR="003C5297" w:rsidRPr="00B2546F" w:rsidRDefault="003C5297" w:rsidP="003C5297">
      <w:pPr>
        <w:autoSpaceDE w:val="0"/>
        <w:autoSpaceDN w:val="0"/>
        <w:adjustRightInd w:val="0"/>
        <w:spacing w:before="0" w:after="0"/>
        <w:rPr>
          <w:sz w:val="22"/>
          <w:szCs w:val="22"/>
          <w:lang w:eastAsia="en-AU"/>
        </w:rPr>
      </w:pPr>
    </w:p>
    <w:p w14:paraId="5532621E" w14:textId="7C82095D" w:rsidR="003C5297" w:rsidRPr="00B2546F" w:rsidRDefault="003C5297" w:rsidP="003C5297">
      <w:pPr>
        <w:autoSpaceDE w:val="0"/>
        <w:autoSpaceDN w:val="0"/>
        <w:adjustRightInd w:val="0"/>
        <w:spacing w:before="0" w:after="0"/>
        <w:rPr>
          <w:sz w:val="22"/>
          <w:szCs w:val="22"/>
          <w:lang w:eastAsia="en-AU"/>
        </w:rPr>
      </w:pPr>
      <w:r w:rsidRPr="00B2546F">
        <w:rPr>
          <w:sz w:val="22"/>
          <w:szCs w:val="22"/>
          <w:lang w:eastAsia="en-AU"/>
        </w:rPr>
        <w:t xml:space="preserve">The </w:t>
      </w:r>
      <w:r w:rsidR="00141FA8" w:rsidRPr="00B2546F">
        <w:rPr>
          <w:sz w:val="22"/>
          <w:szCs w:val="22"/>
          <w:lang w:eastAsia="en-AU"/>
        </w:rPr>
        <w:t>Order</w:t>
      </w:r>
      <w:r w:rsidRPr="00B2546F">
        <w:rPr>
          <w:sz w:val="22"/>
          <w:szCs w:val="22"/>
          <w:lang w:eastAsia="en-AU"/>
        </w:rPr>
        <w:t xml:space="preserve"> is compatible with the human rights and freedoms </w:t>
      </w:r>
      <w:proofErr w:type="spellStart"/>
      <w:r w:rsidRPr="00B2546F">
        <w:rPr>
          <w:sz w:val="22"/>
          <w:szCs w:val="22"/>
          <w:lang w:eastAsia="en-AU"/>
        </w:rPr>
        <w:t>recognised</w:t>
      </w:r>
      <w:proofErr w:type="spellEnd"/>
      <w:r w:rsidRPr="00B2546F">
        <w:rPr>
          <w:sz w:val="22"/>
          <w:szCs w:val="22"/>
          <w:lang w:eastAsia="en-AU"/>
        </w:rPr>
        <w:t xml:space="preserve"> or declared under section 3 of the </w:t>
      </w:r>
      <w:r w:rsidRPr="00B2546F">
        <w:rPr>
          <w:i/>
          <w:sz w:val="22"/>
          <w:szCs w:val="22"/>
          <w:lang w:eastAsia="en-AU"/>
        </w:rPr>
        <w:t>Human Rights (Parliamentary Scrutiny) Act 2011</w:t>
      </w:r>
      <w:r w:rsidRPr="00B2546F">
        <w:rPr>
          <w:sz w:val="22"/>
          <w:szCs w:val="22"/>
          <w:lang w:eastAsia="en-AU"/>
        </w:rPr>
        <w:t xml:space="preserve">. A full statement of compatibility is set out in </w:t>
      </w:r>
      <w:r w:rsidRPr="00B2546F">
        <w:rPr>
          <w:b/>
          <w:sz w:val="22"/>
          <w:szCs w:val="22"/>
          <w:lang w:eastAsia="en-AU"/>
        </w:rPr>
        <w:t>Attachment B</w:t>
      </w:r>
      <w:r w:rsidRPr="00B2546F">
        <w:rPr>
          <w:sz w:val="22"/>
          <w:szCs w:val="22"/>
          <w:lang w:eastAsia="en-AU"/>
        </w:rPr>
        <w:t>.</w:t>
      </w:r>
    </w:p>
    <w:p w14:paraId="08EAFE81" w14:textId="77777777" w:rsidR="003C5297" w:rsidRPr="00B2546F" w:rsidRDefault="003C5297" w:rsidP="003C5297">
      <w:pPr>
        <w:autoSpaceDE w:val="0"/>
        <w:autoSpaceDN w:val="0"/>
        <w:adjustRightInd w:val="0"/>
        <w:spacing w:before="0" w:after="0"/>
        <w:rPr>
          <w:sz w:val="22"/>
          <w:szCs w:val="22"/>
          <w:lang w:eastAsia="en-AU"/>
        </w:rPr>
      </w:pPr>
    </w:p>
    <w:p w14:paraId="3A325A07" w14:textId="7CCD9788" w:rsidR="00141FA8" w:rsidRPr="00B2546F" w:rsidRDefault="00516B5A" w:rsidP="003C5297">
      <w:pPr>
        <w:autoSpaceDE w:val="0"/>
        <w:autoSpaceDN w:val="0"/>
        <w:adjustRightInd w:val="0"/>
        <w:spacing w:before="0" w:after="0"/>
        <w:rPr>
          <w:sz w:val="22"/>
          <w:szCs w:val="22"/>
          <w:lang w:eastAsia="en-AU"/>
        </w:rPr>
      </w:pPr>
      <w:r w:rsidRPr="00B2546F">
        <w:rPr>
          <w:sz w:val="22"/>
          <w:szCs w:val="22"/>
          <w:lang w:eastAsia="en-AU"/>
        </w:rPr>
        <w:t>The Order</w:t>
      </w:r>
      <w:r w:rsidR="00A96396" w:rsidRPr="00B2546F">
        <w:rPr>
          <w:sz w:val="22"/>
          <w:szCs w:val="22"/>
          <w:lang w:eastAsia="en-AU"/>
        </w:rPr>
        <w:t xml:space="preserve"> </w:t>
      </w:r>
      <w:r w:rsidRPr="00B2546F">
        <w:rPr>
          <w:sz w:val="22"/>
          <w:szCs w:val="22"/>
          <w:lang w:eastAsia="en-AU"/>
        </w:rPr>
        <w:t>is a disallowable legislative instrument for the purposes of the Legislation Act</w:t>
      </w:r>
      <w:r w:rsidRPr="00B2546F">
        <w:rPr>
          <w:i/>
          <w:sz w:val="22"/>
          <w:szCs w:val="22"/>
          <w:lang w:eastAsia="en-AU"/>
        </w:rPr>
        <w:t xml:space="preserve"> </w:t>
      </w:r>
      <w:r w:rsidRPr="00B2546F">
        <w:rPr>
          <w:iCs/>
          <w:sz w:val="22"/>
          <w:szCs w:val="22"/>
          <w:lang w:eastAsia="en-AU"/>
        </w:rPr>
        <w:t xml:space="preserve">and commences on </w:t>
      </w:r>
      <w:r w:rsidR="00DD2C74" w:rsidRPr="00B2546F">
        <w:rPr>
          <w:iCs/>
          <w:sz w:val="22"/>
          <w:szCs w:val="22"/>
          <w:lang w:eastAsia="en-AU"/>
        </w:rPr>
        <w:t>31 March 2022</w:t>
      </w:r>
      <w:r w:rsidRPr="00B2546F">
        <w:rPr>
          <w:sz w:val="22"/>
          <w:szCs w:val="22"/>
          <w:lang w:eastAsia="en-AU"/>
        </w:rPr>
        <w:t>.</w:t>
      </w:r>
    </w:p>
    <w:p w14:paraId="513F1C95" w14:textId="77777777" w:rsidR="00141FA8" w:rsidRPr="00B2546F" w:rsidRDefault="00141FA8">
      <w:pPr>
        <w:spacing w:before="0" w:after="160" w:line="259" w:lineRule="auto"/>
        <w:rPr>
          <w:sz w:val="22"/>
          <w:szCs w:val="22"/>
          <w:lang w:eastAsia="en-AU"/>
        </w:rPr>
      </w:pPr>
      <w:r w:rsidRPr="00B2546F">
        <w:rPr>
          <w:sz w:val="22"/>
          <w:szCs w:val="22"/>
          <w:lang w:eastAsia="en-AU"/>
        </w:rPr>
        <w:br w:type="page"/>
      </w:r>
    </w:p>
    <w:p w14:paraId="5876270B" w14:textId="77777777" w:rsidR="00141FA8" w:rsidRPr="00B2546F" w:rsidRDefault="00141FA8" w:rsidP="00141FA8">
      <w:pPr>
        <w:spacing w:before="0" w:after="0"/>
        <w:jc w:val="right"/>
        <w:rPr>
          <w:b/>
          <w:bCs/>
          <w:sz w:val="22"/>
          <w:szCs w:val="22"/>
          <w:lang w:eastAsia="en-AU"/>
        </w:rPr>
      </w:pPr>
      <w:r w:rsidRPr="00B2546F">
        <w:rPr>
          <w:b/>
          <w:bCs/>
          <w:sz w:val="22"/>
          <w:szCs w:val="22"/>
          <w:lang w:eastAsia="en-AU"/>
        </w:rPr>
        <w:lastRenderedPageBreak/>
        <w:t>Attachment A</w:t>
      </w:r>
    </w:p>
    <w:p w14:paraId="47C4C37D" w14:textId="77777777" w:rsidR="00141FA8" w:rsidRPr="00B2546F" w:rsidRDefault="00141FA8" w:rsidP="00141FA8">
      <w:pPr>
        <w:spacing w:before="0" w:after="0"/>
        <w:rPr>
          <w:b/>
          <w:bCs/>
          <w:sz w:val="22"/>
          <w:szCs w:val="22"/>
          <w:lang w:eastAsia="en-AU"/>
        </w:rPr>
      </w:pPr>
      <w:bookmarkStart w:id="2" w:name="_Toc199566624"/>
    </w:p>
    <w:p w14:paraId="1989F085" w14:textId="1CE07C1E" w:rsidR="00141FA8" w:rsidRPr="00B2546F" w:rsidRDefault="00141FA8" w:rsidP="00141FA8">
      <w:pPr>
        <w:spacing w:before="0" w:after="0"/>
        <w:rPr>
          <w:b/>
          <w:bCs/>
          <w:i/>
          <w:sz w:val="22"/>
          <w:szCs w:val="22"/>
          <w:lang w:eastAsia="en-AU"/>
        </w:rPr>
      </w:pPr>
      <w:r w:rsidRPr="00B2546F">
        <w:rPr>
          <w:b/>
          <w:bCs/>
          <w:sz w:val="22"/>
          <w:szCs w:val="22"/>
          <w:lang w:eastAsia="en-AU"/>
        </w:rPr>
        <w:t>Details of</w:t>
      </w:r>
      <w:r w:rsidRPr="00B2546F">
        <w:rPr>
          <w:b/>
          <w:sz w:val="22"/>
          <w:szCs w:val="22"/>
          <w:lang w:eastAsia="en-AU"/>
        </w:rPr>
        <w:t> </w:t>
      </w:r>
      <w:bookmarkEnd w:id="2"/>
      <w:r w:rsidRPr="00B2546F">
        <w:rPr>
          <w:b/>
          <w:sz w:val="22"/>
          <w:szCs w:val="22"/>
          <w:lang w:eastAsia="en-AU"/>
        </w:rPr>
        <w:t>the</w:t>
      </w:r>
      <w:r w:rsidRPr="00B2546F">
        <w:rPr>
          <w:sz w:val="22"/>
          <w:szCs w:val="22"/>
          <w:lang w:eastAsia="en-AU"/>
        </w:rPr>
        <w:t xml:space="preserve"> </w:t>
      </w:r>
      <w:r w:rsidRPr="00B2546F">
        <w:rPr>
          <w:b/>
          <w:bCs/>
          <w:i/>
          <w:sz w:val="22"/>
          <w:szCs w:val="22"/>
          <w:lang w:val="en-AU" w:eastAsia="en-AU"/>
        </w:rPr>
        <w:t xml:space="preserve">Therapeutic Goods (Standard for </w:t>
      </w:r>
      <w:r w:rsidR="009C45C1" w:rsidRPr="00B2546F">
        <w:rPr>
          <w:b/>
          <w:bCs/>
          <w:i/>
          <w:sz w:val="22"/>
          <w:szCs w:val="22"/>
          <w:lang w:val="en-AU" w:eastAsia="en-AU"/>
        </w:rPr>
        <w:t>H</w:t>
      </w:r>
      <w:r w:rsidRPr="00B2546F">
        <w:rPr>
          <w:b/>
          <w:bCs/>
          <w:i/>
          <w:sz w:val="22"/>
          <w:szCs w:val="22"/>
          <w:lang w:val="en-AU" w:eastAsia="en-AU"/>
        </w:rPr>
        <w:t xml:space="preserve">uman </w:t>
      </w:r>
      <w:r w:rsidR="009C45C1" w:rsidRPr="00B2546F">
        <w:rPr>
          <w:b/>
          <w:bCs/>
          <w:i/>
          <w:sz w:val="22"/>
          <w:szCs w:val="22"/>
          <w:lang w:val="en-AU" w:eastAsia="en-AU"/>
        </w:rPr>
        <w:t>A</w:t>
      </w:r>
      <w:r w:rsidRPr="00B2546F">
        <w:rPr>
          <w:b/>
          <w:bCs/>
          <w:i/>
          <w:sz w:val="22"/>
          <w:szCs w:val="22"/>
          <w:lang w:val="en-AU" w:eastAsia="en-AU"/>
        </w:rPr>
        <w:t xml:space="preserve">lbumin) (TGO </w:t>
      </w:r>
      <w:r w:rsidR="009C45C1" w:rsidRPr="00B2546F">
        <w:rPr>
          <w:b/>
          <w:bCs/>
          <w:i/>
          <w:sz w:val="22"/>
          <w:szCs w:val="22"/>
          <w:lang w:val="en-AU" w:eastAsia="en-AU"/>
        </w:rPr>
        <w:t>111</w:t>
      </w:r>
      <w:r w:rsidRPr="00B2546F">
        <w:rPr>
          <w:b/>
          <w:bCs/>
          <w:i/>
          <w:sz w:val="22"/>
          <w:szCs w:val="22"/>
          <w:lang w:val="en-AU" w:eastAsia="en-AU"/>
        </w:rPr>
        <w:t>) Order 202</w:t>
      </w:r>
      <w:r w:rsidR="009C45C1" w:rsidRPr="00B2546F">
        <w:rPr>
          <w:b/>
          <w:bCs/>
          <w:i/>
          <w:sz w:val="22"/>
          <w:szCs w:val="22"/>
          <w:lang w:val="en-AU" w:eastAsia="en-AU"/>
        </w:rPr>
        <w:t>2</w:t>
      </w:r>
    </w:p>
    <w:p w14:paraId="3D86C2ED" w14:textId="5BDCE187" w:rsidR="00141FA8" w:rsidRPr="00B2546F" w:rsidRDefault="00141FA8" w:rsidP="00141FA8">
      <w:pPr>
        <w:spacing w:before="0" w:after="0"/>
        <w:rPr>
          <w:sz w:val="22"/>
          <w:szCs w:val="22"/>
          <w:lang w:eastAsia="en-AU"/>
        </w:rPr>
      </w:pPr>
    </w:p>
    <w:p w14:paraId="75F0D47D" w14:textId="77777777" w:rsidR="00141FA8" w:rsidRPr="00B2546F" w:rsidRDefault="00141FA8" w:rsidP="00141FA8">
      <w:pPr>
        <w:spacing w:before="0" w:after="0"/>
        <w:rPr>
          <w:b/>
          <w:bCs/>
          <w:sz w:val="22"/>
          <w:szCs w:val="22"/>
          <w:lang w:eastAsia="en-AU"/>
        </w:rPr>
      </w:pPr>
      <w:r w:rsidRPr="00B2546F">
        <w:rPr>
          <w:b/>
          <w:bCs/>
          <w:sz w:val="22"/>
          <w:szCs w:val="22"/>
          <w:lang w:eastAsia="en-AU"/>
        </w:rPr>
        <w:t>Section 1 – Name</w:t>
      </w:r>
    </w:p>
    <w:p w14:paraId="3314A9CF" w14:textId="77777777" w:rsidR="00141FA8" w:rsidRPr="00B2546F" w:rsidRDefault="00141FA8" w:rsidP="00141FA8">
      <w:pPr>
        <w:spacing w:before="0" w:after="0"/>
        <w:rPr>
          <w:sz w:val="22"/>
          <w:szCs w:val="22"/>
          <w:lang w:eastAsia="en-AU"/>
        </w:rPr>
      </w:pPr>
    </w:p>
    <w:p w14:paraId="3AC34157" w14:textId="0654B816" w:rsidR="00141FA8" w:rsidRPr="00B2546F" w:rsidRDefault="00141FA8" w:rsidP="00141FA8">
      <w:pPr>
        <w:spacing w:before="0" w:after="0"/>
        <w:rPr>
          <w:i/>
          <w:sz w:val="22"/>
          <w:szCs w:val="22"/>
          <w:lang w:eastAsia="en-AU"/>
        </w:rPr>
      </w:pPr>
      <w:r w:rsidRPr="00B2546F">
        <w:rPr>
          <w:sz w:val="22"/>
          <w:szCs w:val="22"/>
          <w:lang w:eastAsia="en-AU"/>
        </w:rPr>
        <w:t xml:space="preserve">This section provides that the name of the instrument is the </w:t>
      </w:r>
      <w:r w:rsidRPr="00B2546F">
        <w:rPr>
          <w:i/>
          <w:sz w:val="22"/>
          <w:szCs w:val="22"/>
          <w:lang w:val="en-AU" w:eastAsia="en-AU"/>
        </w:rPr>
        <w:t xml:space="preserve">Therapeutic Goods (Standard for </w:t>
      </w:r>
      <w:r w:rsidR="009C45C1" w:rsidRPr="00B2546F">
        <w:rPr>
          <w:i/>
          <w:sz w:val="22"/>
          <w:szCs w:val="22"/>
          <w:lang w:val="en-AU" w:eastAsia="en-AU"/>
        </w:rPr>
        <w:t>H</w:t>
      </w:r>
      <w:r w:rsidRPr="00B2546F">
        <w:rPr>
          <w:i/>
          <w:sz w:val="22"/>
          <w:szCs w:val="22"/>
          <w:lang w:val="en-AU" w:eastAsia="en-AU"/>
        </w:rPr>
        <w:t xml:space="preserve">uman </w:t>
      </w:r>
      <w:r w:rsidR="009C45C1" w:rsidRPr="00B2546F">
        <w:rPr>
          <w:i/>
          <w:sz w:val="22"/>
          <w:szCs w:val="22"/>
          <w:lang w:val="en-AU" w:eastAsia="en-AU"/>
        </w:rPr>
        <w:t>A</w:t>
      </w:r>
      <w:r w:rsidRPr="00B2546F">
        <w:rPr>
          <w:i/>
          <w:sz w:val="22"/>
          <w:szCs w:val="22"/>
          <w:lang w:val="en-AU" w:eastAsia="en-AU"/>
        </w:rPr>
        <w:t xml:space="preserve">lbumin) (TGO </w:t>
      </w:r>
      <w:r w:rsidR="009C45C1" w:rsidRPr="00B2546F">
        <w:rPr>
          <w:i/>
          <w:sz w:val="22"/>
          <w:szCs w:val="22"/>
          <w:lang w:val="en-AU" w:eastAsia="en-AU"/>
        </w:rPr>
        <w:t>111</w:t>
      </w:r>
      <w:r w:rsidRPr="00B2546F">
        <w:rPr>
          <w:i/>
          <w:sz w:val="22"/>
          <w:szCs w:val="22"/>
          <w:lang w:val="en-AU" w:eastAsia="en-AU"/>
        </w:rPr>
        <w:t>) Order 202</w:t>
      </w:r>
      <w:r w:rsidR="009C45C1" w:rsidRPr="00B2546F">
        <w:rPr>
          <w:i/>
          <w:sz w:val="22"/>
          <w:szCs w:val="22"/>
          <w:lang w:val="en-AU" w:eastAsia="en-AU"/>
        </w:rPr>
        <w:t>2</w:t>
      </w:r>
      <w:r w:rsidR="009C45C1" w:rsidRPr="00B2546F">
        <w:rPr>
          <w:iCs/>
          <w:sz w:val="22"/>
          <w:szCs w:val="22"/>
          <w:lang w:val="en-AU" w:eastAsia="en-AU"/>
        </w:rPr>
        <w:t xml:space="preserve"> (“the Order”)</w:t>
      </w:r>
      <w:r w:rsidR="0029457E" w:rsidRPr="00B2546F">
        <w:rPr>
          <w:iCs/>
          <w:sz w:val="22"/>
          <w:szCs w:val="22"/>
          <w:lang w:val="en-AU" w:eastAsia="en-AU"/>
        </w:rPr>
        <w:t>, and that the Order may also be cited as TGO 111</w:t>
      </w:r>
      <w:r w:rsidRPr="00B2546F">
        <w:rPr>
          <w:iCs/>
          <w:sz w:val="22"/>
          <w:szCs w:val="22"/>
          <w:lang w:val="en-AU" w:eastAsia="en-AU"/>
        </w:rPr>
        <w:t>.</w:t>
      </w:r>
    </w:p>
    <w:p w14:paraId="15EF76AA" w14:textId="77777777" w:rsidR="00141FA8" w:rsidRPr="00B2546F" w:rsidRDefault="00141FA8" w:rsidP="00141FA8">
      <w:pPr>
        <w:spacing w:before="0" w:after="0"/>
        <w:rPr>
          <w:sz w:val="22"/>
          <w:szCs w:val="22"/>
          <w:lang w:eastAsia="en-AU"/>
        </w:rPr>
      </w:pPr>
    </w:p>
    <w:p w14:paraId="1EA81893" w14:textId="77777777" w:rsidR="00141FA8" w:rsidRPr="00B2546F" w:rsidRDefault="00141FA8" w:rsidP="00141FA8">
      <w:pPr>
        <w:spacing w:before="0" w:after="0"/>
        <w:rPr>
          <w:b/>
          <w:bCs/>
          <w:sz w:val="22"/>
          <w:szCs w:val="22"/>
          <w:lang w:eastAsia="en-AU"/>
        </w:rPr>
      </w:pPr>
      <w:r w:rsidRPr="00B2546F">
        <w:rPr>
          <w:b/>
          <w:bCs/>
          <w:sz w:val="22"/>
          <w:szCs w:val="22"/>
          <w:lang w:eastAsia="en-AU"/>
        </w:rPr>
        <w:t>Section 2 – Commencement</w:t>
      </w:r>
    </w:p>
    <w:p w14:paraId="31C37773" w14:textId="77777777" w:rsidR="00141FA8" w:rsidRPr="00B2546F" w:rsidRDefault="00141FA8" w:rsidP="00141FA8">
      <w:pPr>
        <w:spacing w:before="0" w:after="0"/>
        <w:rPr>
          <w:sz w:val="22"/>
          <w:szCs w:val="22"/>
          <w:lang w:eastAsia="en-AU"/>
        </w:rPr>
      </w:pPr>
    </w:p>
    <w:p w14:paraId="32CA4B86" w14:textId="38F7A740" w:rsidR="00141FA8" w:rsidRPr="00B2546F" w:rsidRDefault="00141FA8" w:rsidP="00141FA8">
      <w:pPr>
        <w:spacing w:before="0" w:after="0"/>
        <w:rPr>
          <w:sz w:val="22"/>
          <w:szCs w:val="22"/>
          <w:lang w:eastAsia="en-AU"/>
        </w:rPr>
      </w:pPr>
      <w:r w:rsidRPr="00B2546F">
        <w:rPr>
          <w:sz w:val="22"/>
          <w:szCs w:val="22"/>
          <w:lang w:eastAsia="en-AU"/>
        </w:rPr>
        <w:t xml:space="preserve">This section provides that the </w:t>
      </w:r>
      <w:r w:rsidR="009C45C1" w:rsidRPr="00B2546F">
        <w:rPr>
          <w:sz w:val="22"/>
          <w:szCs w:val="22"/>
          <w:lang w:eastAsia="en-AU"/>
        </w:rPr>
        <w:t>Order</w:t>
      </w:r>
      <w:r w:rsidRPr="00B2546F">
        <w:rPr>
          <w:sz w:val="22"/>
          <w:szCs w:val="22"/>
          <w:lang w:eastAsia="en-AU"/>
        </w:rPr>
        <w:t xml:space="preserve"> commences on </w:t>
      </w:r>
      <w:r w:rsidR="00DD2C74" w:rsidRPr="00B2546F">
        <w:rPr>
          <w:sz w:val="22"/>
          <w:szCs w:val="22"/>
          <w:lang w:eastAsia="en-AU"/>
        </w:rPr>
        <w:t>31 March 2022</w:t>
      </w:r>
      <w:r w:rsidR="009C45C1" w:rsidRPr="00B2546F">
        <w:rPr>
          <w:sz w:val="22"/>
          <w:szCs w:val="22"/>
          <w:lang w:eastAsia="en-AU"/>
        </w:rPr>
        <w:t>.</w:t>
      </w:r>
    </w:p>
    <w:p w14:paraId="15C017DE" w14:textId="77777777" w:rsidR="00141FA8" w:rsidRPr="00B2546F" w:rsidRDefault="00141FA8" w:rsidP="00141FA8">
      <w:pPr>
        <w:spacing w:before="0" w:after="0"/>
        <w:rPr>
          <w:sz w:val="22"/>
          <w:szCs w:val="22"/>
          <w:lang w:eastAsia="en-AU"/>
        </w:rPr>
      </w:pPr>
    </w:p>
    <w:p w14:paraId="05605E5E" w14:textId="77777777" w:rsidR="00141FA8" w:rsidRPr="00B2546F" w:rsidRDefault="00141FA8" w:rsidP="00141FA8">
      <w:pPr>
        <w:spacing w:before="0" w:after="0"/>
        <w:rPr>
          <w:b/>
          <w:bCs/>
          <w:sz w:val="22"/>
          <w:szCs w:val="22"/>
          <w:lang w:eastAsia="en-AU"/>
        </w:rPr>
      </w:pPr>
      <w:r w:rsidRPr="00B2546F">
        <w:rPr>
          <w:b/>
          <w:bCs/>
          <w:sz w:val="22"/>
          <w:szCs w:val="22"/>
          <w:lang w:eastAsia="en-AU"/>
        </w:rPr>
        <w:t>Section 3 – Authority</w:t>
      </w:r>
    </w:p>
    <w:p w14:paraId="5D10F0E6" w14:textId="77777777" w:rsidR="00141FA8" w:rsidRPr="00B2546F" w:rsidRDefault="00141FA8" w:rsidP="00141FA8">
      <w:pPr>
        <w:spacing w:before="0" w:after="0"/>
        <w:rPr>
          <w:sz w:val="22"/>
          <w:szCs w:val="22"/>
          <w:lang w:eastAsia="en-AU"/>
        </w:rPr>
      </w:pPr>
    </w:p>
    <w:p w14:paraId="77E57303" w14:textId="77777777" w:rsidR="00133FB9" w:rsidRPr="00B2546F" w:rsidRDefault="00141FA8" w:rsidP="00141FA8">
      <w:pPr>
        <w:spacing w:before="0" w:after="0"/>
        <w:rPr>
          <w:sz w:val="22"/>
          <w:szCs w:val="22"/>
          <w:lang w:eastAsia="en-AU"/>
        </w:rPr>
      </w:pPr>
      <w:r w:rsidRPr="00B2546F">
        <w:rPr>
          <w:sz w:val="22"/>
          <w:szCs w:val="22"/>
          <w:lang w:eastAsia="en-AU"/>
        </w:rPr>
        <w:t xml:space="preserve">This section provides that the legislative authority for making the </w:t>
      </w:r>
      <w:r w:rsidR="0029457E" w:rsidRPr="00B2546F">
        <w:rPr>
          <w:sz w:val="22"/>
          <w:szCs w:val="22"/>
          <w:lang w:eastAsia="en-AU"/>
        </w:rPr>
        <w:t xml:space="preserve">Order </w:t>
      </w:r>
      <w:r w:rsidRPr="00B2546F">
        <w:rPr>
          <w:sz w:val="22"/>
          <w:szCs w:val="22"/>
          <w:lang w:eastAsia="en-AU"/>
        </w:rPr>
        <w:t xml:space="preserve">is section 10 of the </w:t>
      </w:r>
      <w:r w:rsidRPr="00B2546F">
        <w:rPr>
          <w:i/>
          <w:sz w:val="22"/>
          <w:szCs w:val="22"/>
          <w:lang w:eastAsia="en-AU"/>
        </w:rPr>
        <w:t>Therapeutic Goods Act 1989</w:t>
      </w:r>
      <w:r w:rsidRPr="00B2546F">
        <w:rPr>
          <w:sz w:val="22"/>
          <w:szCs w:val="22"/>
          <w:lang w:eastAsia="en-AU"/>
        </w:rPr>
        <w:t xml:space="preserve"> (“the Act”).</w:t>
      </w:r>
    </w:p>
    <w:p w14:paraId="44463F21" w14:textId="77777777" w:rsidR="00133FB9" w:rsidRPr="00B2546F" w:rsidRDefault="00133FB9" w:rsidP="00141FA8">
      <w:pPr>
        <w:spacing w:before="0" w:after="0"/>
        <w:rPr>
          <w:sz w:val="22"/>
          <w:szCs w:val="22"/>
          <w:lang w:eastAsia="en-AU"/>
        </w:rPr>
      </w:pPr>
    </w:p>
    <w:p w14:paraId="6DF67C99" w14:textId="70BC8667" w:rsidR="00141FA8" w:rsidRPr="00B2546F" w:rsidRDefault="00133FB9" w:rsidP="00141FA8">
      <w:pPr>
        <w:spacing w:before="0" w:after="0"/>
        <w:rPr>
          <w:sz w:val="22"/>
          <w:szCs w:val="22"/>
          <w:lang w:eastAsia="en-AU"/>
        </w:rPr>
      </w:pPr>
      <w:r w:rsidRPr="00B2546F">
        <w:rPr>
          <w:sz w:val="22"/>
          <w:szCs w:val="22"/>
        </w:rPr>
        <w:t>Subsection 10(1) of the Act provides that the Minister may, by legislative instrument, make an order determining that matters specified in the order constitute a standard for therapeutic goods or a class of therapeutic goods identified in the order. Under subsection 10(3A) of the Act, the Minister may vary or revoke an order made under subsection 10(1) by legislative instrument</w:t>
      </w:r>
      <w:r w:rsidR="008B5319" w:rsidRPr="00B2546F">
        <w:rPr>
          <w:sz w:val="22"/>
          <w:szCs w:val="22"/>
        </w:rPr>
        <w:t>.</w:t>
      </w:r>
    </w:p>
    <w:p w14:paraId="20455D57" w14:textId="77777777" w:rsidR="00141FA8" w:rsidRPr="00B2546F" w:rsidRDefault="00141FA8" w:rsidP="00141FA8">
      <w:pPr>
        <w:spacing w:before="0" w:after="0"/>
        <w:rPr>
          <w:sz w:val="22"/>
          <w:szCs w:val="22"/>
          <w:lang w:eastAsia="en-AU"/>
        </w:rPr>
      </w:pPr>
    </w:p>
    <w:p w14:paraId="201A9153" w14:textId="20C4C5E6" w:rsidR="00141FA8" w:rsidRPr="00B2546F" w:rsidRDefault="00141FA8" w:rsidP="00141FA8">
      <w:pPr>
        <w:spacing w:before="0" w:after="0"/>
        <w:rPr>
          <w:b/>
          <w:bCs/>
          <w:sz w:val="22"/>
          <w:szCs w:val="22"/>
          <w:lang w:eastAsia="en-AU"/>
        </w:rPr>
      </w:pPr>
      <w:r w:rsidRPr="00B2546F">
        <w:rPr>
          <w:b/>
          <w:bCs/>
          <w:sz w:val="22"/>
          <w:szCs w:val="22"/>
          <w:lang w:eastAsia="en-AU"/>
        </w:rPr>
        <w:t xml:space="preserve">Section 4 – </w:t>
      </w:r>
      <w:r w:rsidR="00096D4A" w:rsidRPr="00B2546F">
        <w:rPr>
          <w:b/>
          <w:bCs/>
          <w:sz w:val="22"/>
          <w:szCs w:val="22"/>
          <w:lang w:eastAsia="en-AU"/>
        </w:rPr>
        <w:t>Definitions</w:t>
      </w:r>
    </w:p>
    <w:p w14:paraId="3645D1E7" w14:textId="77777777" w:rsidR="00141FA8" w:rsidRPr="00B2546F" w:rsidRDefault="00141FA8" w:rsidP="00141FA8">
      <w:pPr>
        <w:spacing w:before="0" w:after="0"/>
        <w:rPr>
          <w:b/>
          <w:bCs/>
          <w:sz w:val="22"/>
          <w:szCs w:val="22"/>
          <w:lang w:eastAsia="en-AU"/>
        </w:rPr>
      </w:pPr>
    </w:p>
    <w:p w14:paraId="2F925FF7" w14:textId="74377329" w:rsidR="00141FA8" w:rsidRPr="00B2546F" w:rsidRDefault="00096D4A" w:rsidP="00141FA8">
      <w:pPr>
        <w:spacing w:before="0" w:after="0"/>
        <w:rPr>
          <w:sz w:val="22"/>
          <w:szCs w:val="22"/>
        </w:rPr>
      </w:pPr>
      <w:r w:rsidRPr="00B2546F">
        <w:rPr>
          <w:sz w:val="22"/>
          <w:szCs w:val="22"/>
          <w:lang w:eastAsia="en-AU"/>
        </w:rPr>
        <w:t>This section provides the definition</w:t>
      </w:r>
      <w:r w:rsidR="009C45C1" w:rsidRPr="00B2546F">
        <w:rPr>
          <w:sz w:val="22"/>
          <w:szCs w:val="22"/>
          <w:lang w:eastAsia="en-AU"/>
        </w:rPr>
        <w:t>s</w:t>
      </w:r>
      <w:r w:rsidRPr="00B2546F">
        <w:rPr>
          <w:sz w:val="22"/>
          <w:szCs w:val="22"/>
          <w:lang w:eastAsia="en-AU"/>
        </w:rPr>
        <w:t xml:space="preserve"> of </w:t>
      </w:r>
      <w:r w:rsidR="009C45C1" w:rsidRPr="00B2546F">
        <w:rPr>
          <w:sz w:val="22"/>
          <w:szCs w:val="22"/>
          <w:lang w:eastAsia="en-AU"/>
        </w:rPr>
        <w:t xml:space="preserve">key </w:t>
      </w:r>
      <w:r w:rsidRPr="00B2546F">
        <w:rPr>
          <w:sz w:val="22"/>
          <w:szCs w:val="22"/>
          <w:lang w:eastAsia="en-AU"/>
        </w:rPr>
        <w:t xml:space="preserve">terms used in the </w:t>
      </w:r>
      <w:r w:rsidR="009C45C1" w:rsidRPr="00B2546F">
        <w:rPr>
          <w:sz w:val="22"/>
          <w:szCs w:val="22"/>
          <w:lang w:eastAsia="en-AU"/>
        </w:rPr>
        <w:t xml:space="preserve">Order, </w:t>
      </w:r>
      <w:r w:rsidR="000F1154" w:rsidRPr="00B2546F">
        <w:rPr>
          <w:sz w:val="22"/>
          <w:szCs w:val="22"/>
          <w:lang w:eastAsia="en-AU"/>
        </w:rPr>
        <w:t>being</w:t>
      </w:r>
      <w:r w:rsidR="009C45C1" w:rsidRPr="00B2546F">
        <w:rPr>
          <w:sz w:val="22"/>
          <w:szCs w:val="22"/>
          <w:lang w:eastAsia="en-AU"/>
        </w:rPr>
        <w:t xml:space="preserve"> ‘Act’ and ‘human albumin’. </w:t>
      </w:r>
      <w:r w:rsidR="00224D33" w:rsidRPr="00B2546F">
        <w:rPr>
          <w:sz w:val="22"/>
          <w:szCs w:val="22"/>
        </w:rPr>
        <w:t>Th</w:t>
      </w:r>
      <w:r w:rsidR="009C45C1" w:rsidRPr="00B2546F">
        <w:rPr>
          <w:sz w:val="22"/>
          <w:szCs w:val="22"/>
        </w:rPr>
        <w:t>is</w:t>
      </w:r>
      <w:r w:rsidR="00224D33" w:rsidRPr="00B2546F">
        <w:rPr>
          <w:sz w:val="22"/>
          <w:szCs w:val="22"/>
        </w:rPr>
        <w:t xml:space="preserve"> section</w:t>
      </w:r>
      <w:r w:rsidR="009C45C1" w:rsidRPr="00B2546F">
        <w:rPr>
          <w:sz w:val="22"/>
          <w:szCs w:val="22"/>
        </w:rPr>
        <w:t xml:space="preserve"> also</w:t>
      </w:r>
      <w:r w:rsidR="00224D33" w:rsidRPr="00B2546F">
        <w:rPr>
          <w:sz w:val="22"/>
          <w:szCs w:val="22"/>
        </w:rPr>
        <w:t xml:space="preserve"> notes that some </w:t>
      </w:r>
      <w:r w:rsidR="009C45C1" w:rsidRPr="00B2546F">
        <w:rPr>
          <w:sz w:val="22"/>
          <w:szCs w:val="22"/>
        </w:rPr>
        <w:t xml:space="preserve">expressions used in the Order, </w:t>
      </w:r>
      <w:r w:rsidR="000F1154" w:rsidRPr="00B2546F">
        <w:rPr>
          <w:sz w:val="22"/>
          <w:szCs w:val="22"/>
        </w:rPr>
        <w:t>including</w:t>
      </w:r>
      <w:r w:rsidR="009C45C1" w:rsidRPr="00B2546F">
        <w:rPr>
          <w:sz w:val="22"/>
          <w:szCs w:val="22"/>
        </w:rPr>
        <w:t xml:space="preserve"> ‘British Pharmacopoeia’, European Pharmacopoeia’, ‘export only medicine’</w:t>
      </w:r>
      <w:r w:rsidR="000F1154" w:rsidRPr="00B2546F">
        <w:rPr>
          <w:sz w:val="22"/>
          <w:szCs w:val="22"/>
        </w:rPr>
        <w:t xml:space="preserve"> and</w:t>
      </w:r>
      <w:r w:rsidR="009C45C1" w:rsidRPr="00B2546F">
        <w:rPr>
          <w:sz w:val="22"/>
          <w:szCs w:val="22"/>
        </w:rPr>
        <w:t xml:space="preserve"> ‘standard’</w:t>
      </w:r>
      <w:r w:rsidR="000F1154" w:rsidRPr="00B2546F">
        <w:rPr>
          <w:sz w:val="22"/>
          <w:szCs w:val="22"/>
        </w:rPr>
        <w:t>,</w:t>
      </w:r>
      <w:r w:rsidR="009C45C1" w:rsidRPr="00B2546F">
        <w:rPr>
          <w:sz w:val="22"/>
          <w:szCs w:val="22"/>
        </w:rPr>
        <w:t xml:space="preserve"> </w:t>
      </w:r>
      <w:r w:rsidR="00224D33" w:rsidRPr="00B2546F">
        <w:rPr>
          <w:sz w:val="22"/>
          <w:szCs w:val="22"/>
        </w:rPr>
        <w:t>have the</w:t>
      </w:r>
      <w:r w:rsidR="009C45C1" w:rsidRPr="00B2546F">
        <w:rPr>
          <w:sz w:val="22"/>
          <w:szCs w:val="22"/>
        </w:rPr>
        <w:t xml:space="preserve"> same</w:t>
      </w:r>
      <w:r w:rsidR="00224D33" w:rsidRPr="00B2546F">
        <w:rPr>
          <w:sz w:val="22"/>
          <w:szCs w:val="22"/>
        </w:rPr>
        <w:t xml:space="preserve"> meaning </w:t>
      </w:r>
      <w:r w:rsidR="009C45C1" w:rsidRPr="00B2546F">
        <w:rPr>
          <w:sz w:val="22"/>
          <w:szCs w:val="22"/>
        </w:rPr>
        <w:t xml:space="preserve">as </w:t>
      </w:r>
      <w:r w:rsidR="00224D33" w:rsidRPr="00B2546F">
        <w:rPr>
          <w:sz w:val="22"/>
          <w:szCs w:val="22"/>
        </w:rPr>
        <w:t>in the Act</w:t>
      </w:r>
      <w:r w:rsidR="009C45C1" w:rsidRPr="00B2546F">
        <w:rPr>
          <w:sz w:val="22"/>
          <w:szCs w:val="22"/>
        </w:rPr>
        <w:t>.</w:t>
      </w:r>
    </w:p>
    <w:p w14:paraId="4E10DD10" w14:textId="77FD874D" w:rsidR="00096D4A" w:rsidRPr="00B2546F" w:rsidRDefault="00096D4A" w:rsidP="00141FA8">
      <w:pPr>
        <w:spacing w:before="0" w:after="0"/>
        <w:rPr>
          <w:sz w:val="22"/>
          <w:szCs w:val="22"/>
          <w:lang w:eastAsia="en-AU"/>
        </w:rPr>
      </w:pPr>
    </w:p>
    <w:p w14:paraId="543C82AB" w14:textId="272B03AA" w:rsidR="00096D4A" w:rsidRPr="00B2546F" w:rsidRDefault="00096D4A" w:rsidP="00141FA8">
      <w:pPr>
        <w:spacing w:before="0" w:after="0"/>
        <w:rPr>
          <w:b/>
          <w:bCs/>
          <w:sz w:val="22"/>
          <w:szCs w:val="22"/>
          <w:lang w:eastAsia="en-AU"/>
        </w:rPr>
      </w:pPr>
      <w:r w:rsidRPr="00B2546F">
        <w:rPr>
          <w:b/>
          <w:bCs/>
          <w:sz w:val="22"/>
          <w:szCs w:val="22"/>
          <w:lang w:eastAsia="en-AU"/>
        </w:rPr>
        <w:t>Section 5 – Standard</w:t>
      </w:r>
    </w:p>
    <w:p w14:paraId="38384FEC" w14:textId="77777777" w:rsidR="00096D4A" w:rsidRPr="00B2546F" w:rsidRDefault="00096D4A" w:rsidP="00141FA8">
      <w:pPr>
        <w:spacing w:before="0" w:after="0"/>
        <w:rPr>
          <w:b/>
          <w:bCs/>
          <w:sz w:val="22"/>
          <w:szCs w:val="22"/>
          <w:lang w:eastAsia="en-AU"/>
        </w:rPr>
      </w:pPr>
    </w:p>
    <w:p w14:paraId="10400694" w14:textId="17A366A0" w:rsidR="00096D4A" w:rsidRPr="00B2546F" w:rsidRDefault="00096D4A" w:rsidP="00141FA8">
      <w:pPr>
        <w:spacing w:before="0" w:after="0"/>
        <w:rPr>
          <w:sz w:val="22"/>
          <w:szCs w:val="22"/>
          <w:lang w:eastAsia="en-AU"/>
        </w:rPr>
      </w:pPr>
      <w:r w:rsidRPr="00B2546F">
        <w:rPr>
          <w:sz w:val="22"/>
          <w:szCs w:val="22"/>
          <w:lang w:eastAsia="en-AU"/>
        </w:rPr>
        <w:t xml:space="preserve">This section provides that </w:t>
      </w:r>
      <w:r w:rsidR="000F1154" w:rsidRPr="00B2546F">
        <w:rPr>
          <w:sz w:val="22"/>
          <w:szCs w:val="22"/>
          <w:lang w:eastAsia="en-AU"/>
        </w:rPr>
        <w:t xml:space="preserve">matters specified in </w:t>
      </w:r>
      <w:r w:rsidRPr="00B2546F">
        <w:rPr>
          <w:sz w:val="22"/>
          <w:szCs w:val="22"/>
          <w:lang w:eastAsia="en-AU"/>
        </w:rPr>
        <w:t xml:space="preserve">the </w:t>
      </w:r>
      <w:r w:rsidR="009C45C1" w:rsidRPr="00B2546F">
        <w:rPr>
          <w:sz w:val="22"/>
          <w:szCs w:val="22"/>
          <w:lang w:eastAsia="en-AU"/>
        </w:rPr>
        <w:t xml:space="preserve">Order constitute </w:t>
      </w:r>
      <w:r w:rsidRPr="00B2546F">
        <w:rPr>
          <w:sz w:val="22"/>
          <w:szCs w:val="22"/>
          <w:lang w:eastAsia="en-AU"/>
        </w:rPr>
        <w:t>a standard for human albumin.</w:t>
      </w:r>
    </w:p>
    <w:p w14:paraId="1D78406D" w14:textId="635EEF4B" w:rsidR="00141FA8" w:rsidRPr="00B2546F" w:rsidRDefault="00141FA8" w:rsidP="00141FA8">
      <w:pPr>
        <w:spacing w:before="0" w:after="0"/>
        <w:rPr>
          <w:sz w:val="22"/>
          <w:szCs w:val="22"/>
          <w:lang w:eastAsia="en-AU"/>
        </w:rPr>
      </w:pPr>
    </w:p>
    <w:p w14:paraId="4C0EF2ED" w14:textId="07C7E207" w:rsidR="00096D4A" w:rsidRPr="00B2546F" w:rsidRDefault="00096D4A" w:rsidP="00141FA8">
      <w:pPr>
        <w:spacing w:before="0" w:after="0"/>
        <w:rPr>
          <w:b/>
          <w:bCs/>
          <w:sz w:val="22"/>
          <w:szCs w:val="22"/>
          <w:lang w:eastAsia="en-AU"/>
        </w:rPr>
      </w:pPr>
      <w:r w:rsidRPr="00B2546F">
        <w:rPr>
          <w:b/>
          <w:bCs/>
          <w:sz w:val="22"/>
          <w:szCs w:val="22"/>
          <w:lang w:eastAsia="en-AU"/>
        </w:rPr>
        <w:t>Section 6 – Application</w:t>
      </w:r>
    </w:p>
    <w:p w14:paraId="1A36E662" w14:textId="47310E26" w:rsidR="00096D4A" w:rsidRPr="00B2546F" w:rsidRDefault="00096D4A" w:rsidP="00141FA8">
      <w:pPr>
        <w:spacing w:before="0" w:after="0"/>
        <w:rPr>
          <w:sz w:val="22"/>
          <w:szCs w:val="22"/>
          <w:lang w:eastAsia="en-AU"/>
        </w:rPr>
      </w:pPr>
    </w:p>
    <w:p w14:paraId="3FF8ABC2" w14:textId="3C23F846" w:rsidR="00096D4A" w:rsidRPr="00B2546F" w:rsidRDefault="00096D4A" w:rsidP="00141FA8">
      <w:pPr>
        <w:spacing w:before="0" w:after="0"/>
        <w:rPr>
          <w:sz w:val="22"/>
          <w:szCs w:val="22"/>
          <w:lang w:eastAsia="en-AU"/>
        </w:rPr>
      </w:pPr>
      <w:r w:rsidRPr="00B2546F">
        <w:rPr>
          <w:sz w:val="22"/>
          <w:szCs w:val="22"/>
          <w:lang w:eastAsia="en-AU"/>
        </w:rPr>
        <w:t xml:space="preserve">This section provides that the </w:t>
      </w:r>
      <w:r w:rsidR="009C45C1" w:rsidRPr="00B2546F">
        <w:rPr>
          <w:sz w:val="22"/>
          <w:szCs w:val="22"/>
          <w:lang w:eastAsia="en-AU"/>
        </w:rPr>
        <w:t>Order</w:t>
      </w:r>
      <w:r w:rsidR="000F1154" w:rsidRPr="00B2546F">
        <w:rPr>
          <w:sz w:val="22"/>
          <w:szCs w:val="22"/>
          <w:lang w:eastAsia="en-AU"/>
        </w:rPr>
        <w:t xml:space="preserve"> applies to human albumin, other than</w:t>
      </w:r>
      <w:r w:rsidRPr="00B2546F">
        <w:rPr>
          <w:sz w:val="22"/>
          <w:szCs w:val="22"/>
          <w:lang w:eastAsia="en-AU"/>
        </w:rPr>
        <w:t xml:space="preserve"> human albumin </w:t>
      </w:r>
      <w:r w:rsidR="000F1154" w:rsidRPr="00B2546F">
        <w:rPr>
          <w:sz w:val="22"/>
          <w:szCs w:val="22"/>
          <w:lang w:eastAsia="en-AU"/>
        </w:rPr>
        <w:t>that is</w:t>
      </w:r>
      <w:r w:rsidRPr="00B2546F">
        <w:rPr>
          <w:sz w:val="22"/>
          <w:szCs w:val="22"/>
          <w:lang w:eastAsia="en-AU"/>
        </w:rPr>
        <w:t xml:space="preserve"> an export only medicine</w:t>
      </w:r>
      <w:r w:rsidR="000F1154" w:rsidRPr="00B2546F">
        <w:rPr>
          <w:sz w:val="22"/>
          <w:szCs w:val="22"/>
          <w:lang w:eastAsia="en-AU"/>
        </w:rPr>
        <w:t>,</w:t>
      </w:r>
      <w:r w:rsidRPr="00B2546F">
        <w:rPr>
          <w:sz w:val="22"/>
          <w:szCs w:val="22"/>
          <w:lang w:eastAsia="en-AU"/>
        </w:rPr>
        <w:t xml:space="preserve"> or an ingredient or component in the manufacture of an export only medicine.</w:t>
      </w:r>
    </w:p>
    <w:p w14:paraId="73E4CCBB" w14:textId="2B8F1E51" w:rsidR="00096D4A" w:rsidRPr="00B2546F" w:rsidRDefault="00096D4A" w:rsidP="00141FA8">
      <w:pPr>
        <w:spacing w:before="0" w:after="0"/>
        <w:rPr>
          <w:sz w:val="22"/>
          <w:szCs w:val="22"/>
          <w:lang w:eastAsia="en-AU"/>
        </w:rPr>
      </w:pPr>
    </w:p>
    <w:p w14:paraId="2C8AD0FC" w14:textId="6633CC54" w:rsidR="00096D4A" w:rsidRPr="00B2546F" w:rsidRDefault="00096D4A" w:rsidP="00141FA8">
      <w:pPr>
        <w:spacing w:before="0" w:after="0"/>
        <w:rPr>
          <w:b/>
          <w:bCs/>
          <w:sz w:val="22"/>
          <w:szCs w:val="22"/>
          <w:lang w:eastAsia="en-AU"/>
        </w:rPr>
      </w:pPr>
      <w:r w:rsidRPr="00B2546F">
        <w:rPr>
          <w:b/>
          <w:bCs/>
          <w:sz w:val="22"/>
          <w:szCs w:val="22"/>
          <w:lang w:eastAsia="en-AU"/>
        </w:rPr>
        <w:t>Section 7 – Requirements</w:t>
      </w:r>
    </w:p>
    <w:p w14:paraId="6C32A77A" w14:textId="3EB40359" w:rsidR="00096D4A" w:rsidRPr="00B2546F" w:rsidRDefault="00096D4A" w:rsidP="00141FA8">
      <w:pPr>
        <w:spacing w:before="0" w:after="0"/>
        <w:rPr>
          <w:sz w:val="22"/>
          <w:szCs w:val="22"/>
          <w:lang w:eastAsia="en-AU"/>
        </w:rPr>
      </w:pPr>
    </w:p>
    <w:p w14:paraId="1AF15124" w14:textId="2A4193DD" w:rsidR="00096D4A" w:rsidRPr="00B2546F" w:rsidRDefault="00096D4A" w:rsidP="00141FA8">
      <w:pPr>
        <w:spacing w:before="0" w:after="0"/>
        <w:rPr>
          <w:sz w:val="22"/>
          <w:szCs w:val="22"/>
          <w:lang w:eastAsia="en-AU"/>
        </w:rPr>
      </w:pPr>
      <w:r w:rsidRPr="00B2546F">
        <w:rPr>
          <w:sz w:val="22"/>
          <w:szCs w:val="22"/>
          <w:lang w:eastAsia="en-AU"/>
        </w:rPr>
        <w:t>This section provides that the requirements for human albumin are the requirements that are state</w:t>
      </w:r>
      <w:r w:rsidR="00A96396" w:rsidRPr="00B2546F">
        <w:rPr>
          <w:sz w:val="22"/>
          <w:szCs w:val="22"/>
          <w:lang w:eastAsia="en-AU"/>
        </w:rPr>
        <w:t>d</w:t>
      </w:r>
      <w:r w:rsidRPr="00B2546F">
        <w:rPr>
          <w:sz w:val="22"/>
          <w:szCs w:val="22"/>
          <w:lang w:eastAsia="en-AU"/>
        </w:rPr>
        <w:t xml:space="preserve"> in an individual or general monograph </w:t>
      </w:r>
      <w:r w:rsidR="008B5319" w:rsidRPr="00B2546F">
        <w:rPr>
          <w:sz w:val="22"/>
          <w:szCs w:val="22"/>
          <w:lang w:eastAsia="en-AU"/>
        </w:rPr>
        <w:t xml:space="preserve">applicable to </w:t>
      </w:r>
      <w:r w:rsidRPr="00B2546F">
        <w:rPr>
          <w:sz w:val="22"/>
          <w:szCs w:val="22"/>
          <w:lang w:eastAsia="en-AU"/>
        </w:rPr>
        <w:t>human albumin in the British Pharmacopoeia or the European Pharmacopoeia, as interpreted in accordance with the General Not</w:t>
      </w:r>
      <w:r w:rsidR="008B5319" w:rsidRPr="00B2546F">
        <w:rPr>
          <w:sz w:val="22"/>
          <w:szCs w:val="22"/>
          <w:lang w:eastAsia="en-AU"/>
        </w:rPr>
        <w:t>ic</w:t>
      </w:r>
      <w:r w:rsidRPr="00B2546F">
        <w:rPr>
          <w:sz w:val="22"/>
          <w:szCs w:val="22"/>
          <w:lang w:eastAsia="en-AU"/>
        </w:rPr>
        <w:t>es section of the British Pharmacopoeia or the European Pharmacopoeia.</w:t>
      </w:r>
    </w:p>
    <w:p w14:paraId="6BEEE84D" w14:textId="4752BAA6" w:rsidR="00096D4A" w:rsidRPr="00B2546F" w:rsidRDefault="00096D4A" w:rsidP="00141FA8">
      <w:pPr>
        <w:spacing w:before="0" w:after="0"/>
        <w:rPr>
          <w:sz w:val="22"/>
          <w:szCs w:val="22"/>
          <w:lang w:eastAsia="en-AU"/>
        </w:rPr>
      </w:pPr>
    </w:p>
    <w:p w14:paraId="4BCF42B4" w14:textId="344AE459" w:rsidR="00096D4A" w:rsidRPr="00B2546F" w:rsidRDefault="00096D4A" w:rsidP="00141FA8">
      <w:pPr>
        <w:spacing w:before="0" w:after="0"/>
        <w:rPr>
          <w:b/>
          <w:bCs/>
          <w:sz w:val="22"/>
          <w:szCs w:val="22"/>
          <w:lang w:eastAsia="en-AU"/>
        </w:rPr>
      </w:pPr>
      <w:r w:rsidRPr="00B2546F">
        <w:rPr>
          <w:b/>
          <w:bCs/>
          <w:sz w:val="22"/>
          <w:szCs w:val="22"/>
          <w:lang w:eastAsia="en-AU"/>
        </w:rPr>
        <w:t xml:space="preserve">Section 8 – </w:t>
      </w:r>
      <w:r w:rsidR="0029457E" w:rsidRPr="00B2546F">
        <w:rPr>
          <w:b/>
          <w:bCs/>
          <w:sz w:val="22"/>
          <w:szCs w:val="22"/>
          <w:lang w:eastAsia="en-AU"/>
        </w:rPr>
        <w:t>Repeals</w:t>
      </w:r>
    </w:p>
    <w:p w14:paraId="232B3C1C" w14:textId="4CADD1A4" w:rsidR="00096D4A" w:rsidRPr="00B2546F" w:rsidRDefault="00096D4A" w:rsidP="00141FA8">
      <w:pPr>
        <w:spacing w:before="0" w:after="0"/>
        <w:rPr>
          <w:b/>
          <w:bCs/>
          <w:sz w:val="22"/>
          <w:szCs w:val="22"/>
          <w:lang w:eastAsia="en-AU"/>
        </w:rPr>
      </w:pPr>
    </w:p>
    <w:p w14:paraId="435067C1" w14:textId="30D25815" w:rsidR="00096D4A" w:rsidRPr="00B2546F" w:rsidRDefault="00096D4A" w:rsidP="00141FA8">
      <w:pPr>
        <w:spacing w:before="0" w:after="0"/>
        <w:rPr>
          <w:sz w:val="22"/>
          <w:szCs w:val="22"/>
          <w:lang w:eastAsia="en-AU"/>
        </w:rPr>
      </w:pPr>
      <w:r w:rsidRPr="00B2546F">
        <w:rPr>
          <w:sz w:val="22"/>
          <w:szCs w:val="22"/>
          <w:lang w:eastAsia="en-AU"/>
        </w:rPr>
        <w:t>This section provides that each instrument in Schedule</w:t>
      </w:r>
      <w:r w:rsidR="0029457E" w:rsidRPr="00B2546F">
        <w:rPr>
          <w:sz w:val="22"/>
          <w:szCs w:val="22"/>
          <w:lang w:eastAsia="en-AU"/>
        </w:rPr>
        <w:t xml:space="preserve"> 1</w:t>
      </w:r>
      <w:r w:rsidRPr="00B2546F">
        <w:rPr>
          <w:sz w:val="22"/>
          <w:szCs w:val="22"/>
          <w:lang w:eastAsia="en-AU"/>
        </w:rPr>
        <w:t xml:space="preserve"> to th</w:t>
      </w:r>
      <w:r w:rsidR="008B5319" w:rsidRPr="00B2546F">
        <w:rPr>
          <w:sz w:val="22"/>
          <w:szCs w:val="22"/>
          <w:lang w:eastAsia="en-AU"/>
        </w:rPr>
        <w:t>e</w:t>
      </w:r>
      <w:r w:rsidRPr="00B2546F">
        <w:rPr>
          <w:sz w:val="22"/>
          <w:szCs w:val="22"/>
          <w:lang w:eastAsia="en-AU"/>
        </w:rPr>
        <w:t xml:space="preserve"> </w:t>
      </w:r>
      <w:r w:rsidR="0029457E" w:rsidRPr="00B2546F">
        <w:rPr>
          <w:sz w:val="22"/>
          <w:szCs w:val="22"/>
          <w:lang w:eastAsia="en-AU"/>
        </w:rPr>
        <w:t xml:space="preserve">Order </w:t>
      </w:r>
      <w:r w:rsidRPr="00B2546F">
        <w:rPr>
          <w:sz w:val="22"/>
          <w:szCs w:val="22"/>
          <w:lang w:eastAsia="en-AU"/>
        </w:rPr>
        <w:t>is repealed as set out in the applicable items in th</w:t>
      </w:r>
      <w:r w:rsidR="0029457E" w:rsidRPr="00B2546F">
        <w:rPr>
          <w:sz w:val="22"/>
          <w:szCs w:val="22"/>
          <w:lang w:eastAsia="en-AU"/>
        </w:rPr>
        <w:t>at</w:t>
      </w:r>
      <w:r w:rsidRPr="00B2546F">
        <w:rPr>
          <w:sz w:val="22"/>
          <w:szCs w:val="22"/>
          <w:lang w:eastAsia="en-AU"/>
        </w:rPr>
        <w:t xml:space="preserve"> Schedule.</w:t>
      </w:r>
    </w:p>
    <w:p w14:paraId="793B653E" w14:textId="77777777" w:rsidR="00096D4A" w:rsidRPr="00B2546F" w:rsidRDefault="00096D4A" w:rsidP="00141FA8">
      <w:pPr>
        <w:spacing w:before="0" w:after="0"/>
        <w:rPr>
          <w:sz w:val="22"/>
          <w:szCs w:val="22"/>
          <w:lang w:eastAsia="en-AU"/>
        </w:rPr>
      </w:pPr>
    </w:p>
    <w:p w14:paraId="294C6A32" w14:textId="689BD416" w:rsidR="00141FA8" w:rsidRPr="00B2546F" w:rsidRDefault="009C45C1" w:rsidP="00141FA8">
      <w:pPr>
        <w:spacing w:before="0" w:after="0"/>
        <w:rPr>
          <w:b/>
          <w:bCs/>
          <w:sz w:val="22"/>
          <w:szCs w:val="22"/>
          <w:lang w:eastAsia="en-AU"/>
        </w:rPr>
      </w:pPr>
      <w:r w:rsidRPr="00B2546F">
        <w:rPr>
          <w:b/>
          <w:bCs/>
          <w:sz w:val="22"/>
          <w:szCs w:val="22"/>
          <w:lang w:eastAsia="en-AU"/>
        </w:rPr>
        <w:t xml:space="preserve">Schedule </w:t>
      </w:r>
      <w:r w:rsidR="00141FA8" w:rsidRPr="00B2546F">
        <w:rPr>
          <w:b/>
          <w:bCs/>
          <w:sz w:val="22"/>
          <w:szCs w:val="22"/>
          <w:lang w:eastAsia="en-AU"/>
        </w:rPr>
        <w:t xml:space="preserve">1 – </w:t>
      </w:r>
      <w:r w:rsidRPr="00B2546F">
        <w:rPr>
          <w:b/>
          <w:bCs/>
          <w:sz w:val="22"/>
          <w:szCs w:val="22"/>
          <w:lang w:eastAsia="en-AU"/>
        </w:rPr>
        <w:t>Repeals</w:t>
      </w:r>
    </w:p>
    <w:p w14:paraId="7392B669" w14:textId="77777777" w:rsidR="00141FA8" w:rsidRPr="00B2546F" w:rsidRDefault="00141FA8" w:rsidP="00141FA8">
      <w:pPr>
        <w:spacing w:before="0" w:after="0"/>
        <w:rPr>
          <w:b/>
          <w:bCs/>
          <w:sz w:val="22"/>
          <w:szCs w:val="22"/>
          <w:lang w:eastAsia="en-AU"/>
        </w:rPr>
      </w:pPr>
    </w:p>
    <w:p w14:paraId="0E2CFAAC" w14:textId="32E679B4" w:rsidR="00141FA8" w:rsidRPr="00B2546F" w:rsidRDefault="00141FA8" w:rsidP="003D354B">
      <w:pPr>
        <w:spacing w:before="0" w:after="0"/>
        <w:rPr>
          <w:sz w:val="22"/>
          <w:szCs w:val="22"/>
          <w:lang w:eastAsia="en-AU"/>
        </w:rPr>
      </w:pPr>
      <w:r w:rsidRPr="00B2546F">
        <w:rPr>
          <w:sz w:val="22"/>
          <w:szCs w:val="22"/>
          <w:lang w:eastAsia="en-AU"/>
        </w:rPr>
        <w:t xml:space="preserve">This Schedule provides that the </w:t>
      </w:r>
      <w:bookmarkStart w:id="3" w:name="_Toc69480135"/>
      <w:r w:rsidR="00096D4A" w:rsidRPr="00B2546F">
        <w:rPr>
          <w:bCs/>
          <w:sz w:val="22"/>
          <w:szCs w:val="22"/>
          <w:lang w:val="en-AU" w:eastAsia="en-AU"/>
        </w:rPr>
        <w:t>Therapeutic Goods Order No. 90 Standard for human albumin</w:t>
      </w:r>
      <w:bookmarkEnd w:id="3"/>
      <w:r w:rsidRPr="00B2546F">
        <w:rPr>
          <w:i/>
          <w:iCs/>
          <w:sz w:val="22"/>
          <w:szCs w:val="22"/>
          <w:lang w:eastAsia="en-AU"/>
        </w:rPr>
        <w:t xml:space="preserve"> </w:t>
      </w:r>
      <w:r w:rsidRPr="00B2546F">
        <w:rPr>
          <w:sz w:val="22"/>
          <w:szCs w:val="22"/>
          <w:lang w:eastAsia="en-AU"/>
        </w:rPr>
        <w:t>is repealed.</w:t>
      </w:r>
      <w:r w:rsidRPr="00B2546F">
        <w:rPr>
          <w:sz w:val="22"/>
          <w:szCs w:val="22"/>
          <w:lang w:eastAsia="en-AU"/>
        </w:rPr>
        <w:br w:type="page"/>
      </w:r>
    </w:p>
    <w:p w14:paraId="6E99552C" w14:textId="77777777" w:rsidR="00141FA8" w:rsidRPr="00B2546F" w:rsidRDefault="00141FA8" w:rsidP="00141FA8">
      <w:pPr>
        <w:spacing w:before="0" w:after="0"/>
        <w:jc w:val="right"/>
        <w:rPr>
          <w:b/>
        </w:rPr>
      </w:pPr>
      <w:r w:rsidRPr="00B2546F">
        <w:rPr>
          <w:b/>
        </w:rPr>
        <w:lastRenderedPageBreak/>
        <w:t>Attachment B</w:t>
      </w:r>
    </w:p>
    <w:p w14:paraId="0B657E23" w14:textId="77777777" w:rsidR="00141FA8" w:rsidRPr="00B2546F" w:rsidRDefault="00141FA8" w:rsidP="00141FA8">
      <w:pPr>
        <w:spacing w:before="0" w:after="0"/>
        <w:jc w:val="center"/>
        <w:rPr>
          <w:b/>
        </w:rPr>
      </w:pPr>
    </w:p>
    <w:p w14:paraId="4FA4AFA6" w14:textId="77777777" w:rsidR="00141FA8" w:rsidRPr="00B2546F" w:rsidRDefault="00141FA8" w:rsidP="00141FA8">
      <w:pPr>
        <w:spacing w:before="0" w:after="0"/>
        <w:jc w:val="center"/>
        <w:rPr>
          <w:b/>
        </w:rPr>
      </w:pPr>
      <w:r w:rsidRPr="00B2546F">
        <w:rPr>
          <w:b/>
        </w:rPr>
        <w:t>Statement of Compatibility with Human Rights</w:t>
      </w:r>
    </w:p>
    <w:p w14:paraId="7BF35036" w14:textId="77777777" w:rsidR="00141FA8" w:rsidRPr="00B2546F" w:rsidRDefault="00141FA8" w:rsidP="00141FA8">
      <w:pPr>
        <w:spacing w:before="0" w:after="0"/>
        <w:rPr>
          <w:sz w:val="22"/>
          <w:szCs w:val="22"/>
        </w:rPr>
      </w:pPr>
    </w:p>
    <w:p w14:paraId="405930D0" w14:textId="77777777" w:rsidR="00141FA8" w:rsidRPr="00B2546F" w:rsidRDefault="00141FA8" w:rsidP="00141FA8">
      <w:pPr>
        <w:spacing w:before="0" w:after="0"/>
        <w:jc w:val="center"/>
        <w:rPr>
          <w:sz w:val="22"/>
          <w:szCs w:val="22"/>
        </w:rPr>
      </w:pPr>
      <w:r w:rsidRPr="00B2546F">
        <w:rPr>
          <w:sz w:val="22"/>
          <w:szCs w:val="22"/>
        </w:rPr>
        <w:t xml:space="preserve">Prepared in accordance with Part 3 of the </w:t>
      </w:r>
      <w:r w:rsidRPr="00B2546F">
        <w:rPr>
          <w:i/>
          <w:sz w:val="22"/>
          <w:szCs w:val="22"/>
        </w:rPr>
        <w:t>Human Rights (Parliamentary Scrutiny) Act 2011</w:t>
      </w:r>
    </w:p>
    <w:p w14:paraId="38B26584" w14:textId="77777777" w:rsidR="00141FA8" w:rsidRPr="00B2546F" w:rsidRDefault="00141FA8" w:rsidP="00141FA8">
      <w:pPr>
        <w:spacing w:before="0" w:after="0"/>
        <w:jc w:val="center"/>
        <w:rPr>
          <w:b/>
          <w:sz w:val="22"/>
          <w:szCs w:val="22"/>
        </w:rPr>
      </w:pPr>
    </w:p>
    <w:p w14:paraId="69A67FEE" w14:textId="46F6A601" w:rsidR="0026230C" w:rsidRPr="00B2546F" w:rsidRDefault="0026230C" w:rsidP="0026230C">
      <w:pPr>
        <w:spacing w:before="0" w:after="0"/>
        <w:jc w:val="center"/>
        <w:rPr>
          <w:b/>
          <w:bCs/>
          <w:i/>
          <w:sz w:val="22"/>
          <w:szCs w:val="22"/>
          <w:lang w:eastAsia="en-AU"/>
        </w:rPr>
      </w:pPr>
      <w:r w:rsidRPr="00B2546F">
        <w:rPr>
          <w:b/>
          <w:bCs/>
          <w:i/>
          <w:sz w:val="22"/>
          <w:szCs w:val="22"/>
          <w:lang w:val="en-AU" w:eastAsia="en-AU"/>
        </w:rPr>
        <w:t xml:space="preserve">Therapeutic Goods (Standard for </w:t>
      </w:r>
      <w:r w:rsidR="009C45C1" w:rsidRPr="00B2546F">
        <w:rPr>
          <w:b/>
          <w:bCs/>
          <w:i/>
          <w:sz w:val="22"/>
          <w:szCs w:val="22"/>
          <w:lang w:val="en-AU" w:eastAsia="en-AU"/>
        </w:rPr>
        <w:t>H</w:t>
      </w:r>
      <w:r w:rsidRPr="00B2546F">
        <w:rPr>
          <w:b/>
          <w:bCs/>
          <w:i/>
          <w:sz w:val="22"/>
          <w:szCs w:val="22"/>
          <w:lang w:val="en-AU" w:eastAsia="en-AU"/>
        </w:rPr>
        <w:t xml:space="preserve">uman </w:t>
      </w:r>
      <w:r w:rsidR="009C45C1" w:rsidRPr="00B2546F">
        <w:rPr>
          <w:b/>
          <w:bCs/>
          <w:i/>
          <w:sz w:val="22"/>
          <w:szCs w:val="22"/>
          <w:lang w:val="en-AU" w:eastAsia="en-AU"/>
        </w:rPr>
        <w:t>A</w:t>
      </w:r>
      <w:r w:rsidRPr="00B2546F">
        <w:rPr>
          <w:b/>
          <w:bCs/>
          <w:i/>
          <w:sz w:val="22"/>
          <w:szCs w:val="22"/>
          <w:lang w:val="en-AU" w:eastAsia="en-AU"/>
        </w:rPr>
        <w:t xml:space="preserve">lbumin) (TGO </w:t>
      </w:r>
      <w:r w:rsidR="009C45C1" w:rsidRPr="00B2546F">
        <w:rPr>
          <w:b/>
          <w:bCs/>
          <w:i/>
          <w:sz w:val="22"/>
          <w:szCs w:val="22"/>
          <w:lang w:val="en-AU" w:eastAsia="en-AU"/>
        </w:rPr>
        <w:t>111</w:t>
      </w:r>
      <w:r w:rsidRPr="00B2546F">
        <w:rPr>
          <w:b/>
          <w:bCs/>
          <w:i/>
          <w:sz w:val="22"/>
          <w:szCs w:val="22"/>
          <w:lang w:val="en-AU" w:eastAsia="en-AU"/>
        </w:rPr>
        <w:t>) Order 202</w:t>
      </w:r>
      <w:r w:rsidR="009C45C1" w:rsidRPr="00B2546F">
        <w:rPr>
          <w:b/>
          <w:bCs/>
          <w:i/>
          <w:sz w:val="22"/>
          <w:szCs w:val="22"/>
          <w:lang w:val="en-AU" w:eastAsia="en-AU"/>
        </w:rPr>
        <w:t>2</w:t>
      </w:r>
    </w:p>
    <w:p w14:paraId="632914EC" w14:textId="77777777" w:rsidR="00141FA8" w:rsidRPr="00B2546F" w:rsidRDefault="00141FA8" w:rsidP="00141FA8">
      <w:pPr>
        <w:spacing w:before="0" w:after="0"/>
        <w:rPr>
          <w:sz w:val="22"/>
          <w:szCs w:val="22"/>
        </w:rPr>
      </w:pPr>
    </w:p>
    <w:p w14:paraId="3A1493A0" w14:textId="77777777" w:rsidR="00141FA8" w:rsidRPr="00B2546F" w:rsidRDefault="00141FA8" w:rsidP="00141FA8">
      <w:pPr>
        <w:spacing w:before="0" w:after="0"/>
        <w:rPr>
          <w:b/>
          <w:sz w:val="22"/>
          <w:szCs w:val="22"/>
        </w:rPr>
      </w:pPr>
      <w:r w:rsidRPr="00B2546F">
        <w:rPr>
          <w:sz w:val="22"/>
          <w:szCs w:val="22"/>
        </w:rPr>
        <w:t>This disallowable legislative instrument</w:t>
      </w:r>
      <w:r w:rsidRPr="00B2546F">
        <w:rPr>
          <w:i/>
          <w:sz w:val="22"/>
          <w:szCs w:val="22"/>
        </w:rPr>
        <w:t xml:space="preserve"> </w:t>
      </w:r>
      <w:r w:rsidRPr="00B2546F">
        <w:rPr>
          <w:sz w:val="22"/>
          <w:szCs w:val="22"/>
        </w:rPr>
        <w:t xml:space="preserve">is compatible with the human rights and freedoms </w:t>
      </w:r>
      <w:proofErr w:type="spellStart"/>
      <w:r w:rsidRPr="00B2546F">
        <w:rPr>
          <w:sz w:val="22"/>
          <w:szCs w:val="22"/>
        </w:rPr>
        <w:t>recognised</w:t>
      </w:r>
      <w:proofErr w:type="spellEnd"/>
      <w:r w:rsidRPr="00B2546F">
        <w:rPr>
          <w:sz w:val="22"/>
          <w:szCs w:val="22"/>
        </w:rPr>
        <w:t xml:space="preserve"> or declared in the international instruments listed in section 3 of the </w:t>
      </w:r>
      <w:r w:rsidRPr="00B2546F">
        <w:rPr>
          <w:i/>
          <w:sz w:val="22"/>
          <w:szCs w:val="22"/>
        </w:rPr>
        <w:t>Human Rights (Parliamentary Scrutiny) Act 2011</w:t>
      </w:r>
      <w:r w:rsidRPr="00B2546F">
        <w:rPr>
          <w:sz w:val="22"/>
          <w:szCs w:val="22"/>
        </w:rPr>
        <w:t>.</w:t>
      </w:r>
    </w:p>
    <w:p w14:paraId="42703E90" w14:textId="77777777" w:rsidR="00141FA8" w:rsidRPr="00B2546F" w:rsidRDefault="00141FA8" w:rsidP="00141FA8">
      <w:pPr>
        <w:spacing w:before="0" w:after="0"/>
        <w:rPr>
          <w:sz w:val="22"/>
          <w:szCs w:val="22"/>
        </w:rPr>
      </w:pPr>
    </w:p>
    <w:p w14:paraId="671CE131" w14:textId="77777777" w:rsidR="00141FA8" w:rsidRPr="00B2546F" w:rsidRDefault="00141FA8" w:rsidP="00141FA8">
      <w:pPr>
        <w:spacing w:before="0" w:after="0"/>
        <w:rPr>
          <w:b/>
          <w:sz w:val="22"/>
          <w:szCs w:val="22"/>
        </w:rPr>
      </w:pPr>
      <w:r w:rsidRPr="00B2546F">
        <w:rPr>
          <w:b/>
          <w:sz w:val="22"/>
          <w:szCs w:val="22"/>
        </w:rPr>
        <w:t>Overview of legislative instrument</w:t>
      </w:r>
    </w:p>
    <w:p w14:paraId="59F80E8F" w14:textId="77777777" w:rsidR="00141FA8" w:rsidRPr="00B2546F" w:rsidRDefault="00141FA8" w:rsidP="00141FA8">
      <w:pPr>
        <w:autoSpaceDE w:val="0"/>
        <w:autoSpaceDN w:val="0"/>
        <w:adjustRightInd w:val="0"/>
        <w:spacing w:before="0" w:after="0"/>
        <w:rPr>
          <w:rFonts w:eastAsiaTheme="minorHAnsi"/>
          <w:color w:val="000000"/>
          <w:sz w:val="22"/>
          <w:szCs w:val="22"/>
          <w:lang w:val="en-AU"/>
        </w:rPr>
      </w:pPr>
    </w:p>
    <w:p w14:paraId="1C536429" w14:textId="55F4A42A" w:rsidR="00141FA8" w:rsidRPr="00B2546F" w:rsidRDefault="00141FA8" w:rsidP="00141FA8">
      <w:pPr>
        <w:autoSpaceDE w:val="0"/>
        <w:autoSpaceDN w:val="0"/>
        <w:adjustRightInd w:val="0"/>
        <w:spacing w:before="0" w:after="0"/>
        <w:rPr>
          <w:rFonts w:eastAsiaTheme="minorHAnsi"/>
          <w:color w:val="000000"/>
          <w:sz w:val="22"/>
          <w:szCs w:val="22"/>
          <w:lang w:val="en-AU"/>
        </w:rPr>
      </w:pPr>
      <w:r w:rsidRPr="00B2546F">
        <w:rPr>
          <w:sz w:val="22"/>
          <w:szCs w:val="22"/>
        </w:rPr>
        <w:t>The</w:t>
      </w:r>
      <w:r w:rsidRPr="00B2546F">
        <w:rPr>
          <w:b/>
          <w:i/>
          <w:sz w:val="22"/>
          <w:szCs w:val="22"/>
        </w:rPr>
        <w:t xml:space="preserve"> </w:t>
      </w:r>
      <w:r w:rsidR="0026230C" w:rsidRPr="00B2546F">
        <w:rPr>
          <w:i/>
          <w:sz w:val="22"/>
          <w:szCs w:val="22"/>
          <w:lang w:val="en-AU" w:eastAsia="en-AU"/>
        </w:rPr>
        <w:t xml:space="preserve">Therapeutic Goods (Standard for </w:t>
      </w:r>
      <w:r w:rsidR="009C45C1" w:rsidRPr="00B2546F">
        <w:rPr>
          <w:i/>
          <w:sz w:val="22"/>
          <w:szCs w:val="22"/>
          <w:lang w:val="en-AU" w:eastAsia="en-AU"/>
        </w:rPr>
        <w:t>H</w:t>
      </w:r>
      <w:r w:rsidR="0026230C" w:rsidRPr="00B2546F">
        <w:rPr>
          <w:i/>
          <w:sz w:val="22"/>
          <w:szCs w:val="22"/>
          <w:lang w:val="en-AU" w:eastAsia="en-AU"/>
        </w:rPr>
        <w:t xml:space="preserve">uman </w:t>
      </w:r>
      <w:r w:rsidR="009C45C1" w:rsidRPr="00B2546F">
        <w:rPr>
          <w:i/>
          <w:sz w:val="22"/>
          <w:szCs w:val="22"/>
          <w:lang w:val="en-AU" w:eastAsia="en-AU"/>
        </w:rPr>
        <w:t>A</w:t>
      </w:r>
      <w:r w:rsidR="0026230C" w:rsidRPr="00B2546F">
        <w:rPr>
          <w:i/>
          <w:sz w:val="22"/>
          <w:szCs w:val="22"/>
          <w:lang w:val="en-AU" w:eastAsia="en-AU"/>
        </w:rPr>
        <w:t xml:space="preserve">lbumin) (TGO </w:t>
      </w:r>
      <w:r w:rsidR="009C45C1" w:rsidRPr="00B2546F">
        <w:rPr>
          <w:i/>
          <w:sz w:val="22"/>
          <w:szCs w:val="22"/>
          <w:lang w:val="en-AU" w:eastAsia="en-AU"/>
        </w:rPr>
        <w:t>111</w:t>
      </w:r>
      <w:r w:rsidR="0026230C" w:rsidRPr="00B2546F">
        <w:rPr>
          <w:i/>
          <w:sz w:val="22"/>
          <w:szCs w:val="22"/>
          <w:lang w:val="en-AU" w:eastAsia="en-AU"/>
        </w:rPr>
        <w:t>) Order 202</w:t>
      </w:r>
      <w:r w:rsidR="009C45C1" w:rsidRPr="00B2546F">
        <w:rPr>
          <w:i/>
          <w:sz w:val="22"/>
          <w:szCs w:val="22"/>
          <w:lang w:val="en-AU" w:eastAsia="en-AU"/>
        </w:rPr>
        <w:t>2</w:t>
      </w:r>
      <w:r w:rsidR="000F1154" w:rsidRPr="00B2546F">
        <w:rPr>
          <w:i/>
          <w:sz w:val="22"/>
          <w:szCs w:val="22"/>
          <w:lang w:val="en-AU" w:eastAsia="en-AU"/>
        </w:rPr>
        <w:t xml:space="preserve"> </w:t>
      </w:r>
      <w:r w:rsidRPr="00B2546F">
        <w:rPr>
          <w:sz w:val="22"/>
          <w:szCs w:val="22"/>
        </w:rPr>
        <w:t xml:space="preserve">(“the </w:t>
      </w:r>
      <w:r w:rsidR="000F1154" w:rsidRPr="00B2546F">
        <w:rPr>
          <w:sz w:val="22"/>
          <w:szCs w:val="22"/>
        </w:rPr>
        <w:t>instrument</w:t>
      </w:r>
      <w:r w:rsidRPr="00B2546F">
        <w:rPr>
          <w:sz w:val="22"/>
          <w:szCs w:val="22"/>
        </w:rPr>
        <w:t>”)</w:t>
      </w:r>
      <w:r w:rsidRPr="00B2546F">
        <w:rPr>
          <w:i/>
          <w:sz w:val="22"/>
          <w:szCs w:val="22"/>
        </w:rPr>
        <w:t xml:space="preserve"> </w:t>
      </w:r>
      <w:r w:rsidRPr="00B2546F">
        <w:rPr>
          <w:sz w:val="22"/>
          <w:szCs w:val="22"/>
        </w:rPr>
        <w:t>is made under section 10 of the</w:t>
      </w:r>
      <w:r w:rsidRPr="00B2546F">
        <w:rPr>
          <w:i/>
          <w:sz w:val="22"/>
          <w:szCs w:val="22"/>
        </w:rPr>
        <w:t xml:space="preserve"> Therapeutic Goods Act 1989 </w:t>
      </w:r>
      <w:r w:rsidRPr="00B2546F">
        <w:rPr>
          <w:sz w:val="22"/>
          <w:szCs w:val="22"/>
        </w:rPr>
        <w:t>(“the Act”)</w:t>
      </w:r>
      <w:r w:rsidR="003964FA" w:rsidRPr="00B2546F">
        <w:rPr>
          <w:sz w:val="22"/>
          <w:szCs w:val="22"/>
        </w:rPr>
        <w:t xml:space="preserve"> for the purpose of establishing a ministerial standard for human albumin used as a therapeutic good</w:t>
      </w:r>
      <w:r w:rsidR="000F1154" w:rsidRPr="00B2546F">
        <w:rPr>
          <w:sz w:val="22"/>
          <w:szCs w:val="22"/>
        </w:rPr>
        <w:t>,</w:t>
      </w:r>
      <w:r w:rsidR="003964FA" w:rsidRPr="00B2546F">
        <w:rPr>
          <w:sz w:val="22"/>
          <w:szCs w:val="22"/>
        </w:rPr>
        <w:t xml:space="preserve"> by reference to </w:t>
      </w:r>
      <w:r w:rsidR="008B5319" w:rsidRPr="00B2546F">
        <w:rPr>
          <w:sz w:val="22"/>
          <w:szCs w:val="22"/>
        </w:rPr>
        <w:t xml:space="preserve">a </w:t>
      </w:r>
      <w:r w:rsidR="003964FA" w:rsidRPr="00B2546F">
        <w:rPr>
          <w:sz w:val="22"/>
          <w:szCs w:val="22"/>
        </w:rPr>
        <w:t xml:space="preserve">monograph </w:t>
      </w:r>
      <w:r w:rsidR="008B5319" w:rsidRPr="00B2546F">
        <w:rPr>
          <w:sz w:val="22"/>
          <w:szCs w:val="22"/>
        </w:rPr>
        <w:t>that is applicable to</w:t>
      </w:r>
      <w:r w:rsidR="003964FA" w:rsidRPr="00B2546F">
        <w:rPr>
          <w:sz w:val="22"/>
          <w:szCs w:val="22"/>
        </w:rPr>
        <w:t xml:space="preserve"> human albumin in the British Pharmacopoeia and the European Pharmacopoeia</w:t>
      </w:r>
      <w:r w:rsidRPr="00B2546F">
        <w:rPr>
          <w:sz w:val="22"/>
          <w:szCs w:val="22"/>
        </w:rPr>
        <w:t>.</w:t>
      </w:r>
      <w:r w:rsidRPr="00B2546F">
        <w:rPr>
          <w:i/>
          <w:sz w:val="22"/>
          <w:szCs w:val="22"/>
        </w:rPr>
        <w:t xml:space="preserve"> </w:t>
      </w:r>
      <w:r w:rsidRPr="00B2546F">
        <w:rPr>
          <w:sz w:val="22"/>
          <w:szCs w:val="22"/>
        </w:rPr>
        <w:t>Th</w:t>
      </w:r>
      <w:r w:rsidR="003964FA" w:rsidRPr="00B2546F">
        <w:rPr>
          <w:sz w:val="22"/>
          <w:szCs w:val="22"/>
        </w:rPr>
        <w:t xml:space="preserve">e </w:t>
      </w:r>
      <w:r w:rsidR="000F1154" w:rsidRPr="00B2546F">
        <w:rPr>
          <w:sz w:val="22"/>
          <w:szCs w:val="22"/>
        </w:rPr>
        <w:t>instrument</w:t>
      </w:r>
      <w:r w:rsidR="003964FA" w:rsidRPr="00B2546F">
        <w:rPr>
          <w:sz w:val="22"/>
          <w:szCs w:val="22"/>
        </w:rPr>
        <w:t xml:space="preserve"> </w:t>
      </w:r>
      <w:r w:rsidRPr="00B2546F">
        <w:rPr>
          <w:sz w:val="22"/>
          <w:szCs w:val="22"/>
        </w:rPr>
        <w:t xml:space="preserve">repeals </w:t>
      </w:r>
      <w:r w:rsidR="0026230C" w:rsidRPr="00B2546F">
        <w:rPr>
          <w:sz w:val="22"/>
          <w:szCs w:val="22"/>
        </w:rPr>
        <w:t>and replaces</w:t>
      </w:r>
      <w:r w:rsidR="003964FA" w:rsidRPr="00B2546F">
        <w:rPr>
          <w:sz w:val="22"/>
          <w:szCs w:val="22"/>
        </w:rPr>
        <w:t xml:space="preserve"> the</w:t>
      </w:r>
      <w:r w:rsidR="0026230C" w:rsidRPr="00B2546F">
        <w:rPr>
          <w:sz w:val="22"/>
          <w:szCs w:val="22"/>
        </w:rPr>
        <w:t xml:space="preserve"> </w:t>
      </w:r>
      <w:r w:rsidRPr="00B2546F">
        <w:rPr>
          <w:iCs/>
          <w:sz w:val="22"/>
          <w:szCs w:val="22"/>
          <w:lang w:val="en-AU" w:eastAsia="en-AU"/>
        </w:rPr>
        <w:t xml:space="preserve">Therapeutic Goods Order No. </w:t>
      </w:r>
      <w:r w:rsidR="0026230C" w:rsidRPr="00B2546F">
        <w:rPr>
          <w:iCs/>
          <w:sz w:val="22"/>
          <w:szCs w:val="22"/>
          <w:lang w:val="en-AU" w:eastAsia="en-AU"/>
        </w:rPr>
        <w:t>90 Standard for human albumin</w:t>
      </w:r>
      <w:r w:rsidRPr="00B2546F">
        <w:rPr>
          <w:rFonts w:eastAsiaTheme="minorHAnsi"/>
          <w:color w:val="000000"/>
          <w:sz w:val="22"/>
          <w:szCs w:val="22"/>
          <w:lang w:val="en-AU"/>
        </w:rPr>
        <w:t xml:space="preserve"> (“the former </w:t>
      </w:r>
      <w:r w:rsidR="000F1154" w:rsidRPr="00B2546F">
        <w:rPr>
          <w:rFonts w:eastAsiaTheme="minorHAnsi"/>
          <w:color w:val="000000"/>
          <w:sz w:val="22"/>
          <w:szCs w:val="22"/>
          <w:lang w:val="en-AU"/>
        </w:rPr>
        <w:t>instrument</w:t>
      </w:r>
      <w:r w:rsidRPr="00B2546F">
        <w:rPr>
          <w:rFonts w:eastAsiaTheme="minorHAnsi"/>
          <w:color w:val="000000"/>
          <w:sz w:val="22"/>
          <w:szCs w:val="22"/>
          <w:lang w:val="en-AU"/>
        </w:rPr>
        <w:t>”),</w:t>
      </w:r>
      <w:r w:rsidR="000F1154" w:rsidRPr="00B2546F">
        <w:rPr>
          <w:rFonts w:eastAsiaTheme="minorHAnsi"/>
          <w:color w:val="000000"/>
          <w:sz w:val="22"/>
          <w:szCs w:val="22"/>
          <w:lang w:val="en-AU"/>
        </w:rPr>
        <w:t xml:space="preserve"> </w:t>
      </w:r>
      <w:r w:rsidR="008B5319" w:rsidRPr="00B2546F">
        <w:rPr>
          <w:rFonts w:eastAsiaTheme="minorHAnsi"/>
          <w:color w:val="000000"/>
          <w:sz w:val="22"/>
          <w:szCs w:val="22"/>
          <w:lang w:val="en-AU"/>
        </w:rPr>
        <w:t xml:space="preserve">which </w:t>
      </w:r>
      <w:r w:rsidR="003964FA" w:rsidRPr="00B2546F">
        <w:rPr>
          <w:rFonts w:eastAsiaTheme="minorHAnsi"/>
          <w:color w:val="000000"/>
          <w:sz w:val="22"/>
          <w:szCs w:val="22"/>
          <w:lang w:val="en-AU"/>
        </w:rPr>
        <w:t xml:space="preserve">would </w:t>
      </w:r>
      <w:proofErr w:type="gramStart"/>
      <w:r w:rsidR="003964FA" w:rsidRPr="00B2546F">
        <w:rPr>
          <w:rFonts w:eastAsiaTheme="minorHAnsi"/>
          <w:color w:val="000000"/>
          <w:sz w:val="22"/>
          <w:szCs w:val="22"/>
          <w:lang w:val="en-AU"/>
        </w:rPr>
        <w:t>otherwise</w:t>
      </w:r>
      <w:proofErr w:type="gramEnd"/>
      <w:r w:rsidRPr="00B2546F">
        <w:rPr>
          <w:rFonts w:eastAsiaTheme="minorHAnsi"/>
          <w:color w:val="000000"/>
          <w:sz w:val="22"/>
          <w:szCs w:val="22"/>
          <w:lang w:val="en-AU"/>
        </w:rPr>
        <w:t xml:space="preserve"> sunset on </w:t>
      </w:r>
      <w:r w:rsidR="001C33ED" w:rsidRPr="00B2546F">
        <w:rPr>
          <w:rFonts w:eastAsiaTheme="minorHAnsi"/>
          <w:color w:val="000000"/>
          <w:sz w:val="22"/>
          <w:szCs w:val="22"/>
          <w:lang w:val="en-AU"/>
        </w:rPr>
        <w:t>1 April 2022</w:t>
      </w:r>
      <w:r w:rsidR="003964FA" w:rsidRPr="00B2546F">
        <w:rPr>
          <w:rFonts w:eastAsiaTheme="minorHAnsi"/>
          <w:color w:val="000000"/>
          <w:sz w:val="22"/>
          <w:szCs w:val="22"/>
          <w:lang w:val="en-AU"/>
        </w:rPr>
        <w:t>.</w:t>
      </w:r>
    </w:p>
    <w:p w14:paraId="3660CAC7" w14:textId="3A4FF8A1" w:rsidR="003964FA" w:rsidRPr="00B2546F" w:rsidRDefault="003964FA" w:rsidP="00141FA8">
      <w:pPr>
        <w:autoSpaceDE w:val="0"/>
        <w:autoSpaceDN w:val="0"/>
        <w:adjustRightInd w:val="0"/>
        <w:spacing w:before="0" w:after="0"/>
        <w:rPr>
          <w:rFonts w:eastAsiaTheme="minorHAnsi"/>
          <w:color w:val="000000"/>
          <w:sz w:val="22"/>
          <w:szCs w:val="22"/>
          <w:lang w:val="en-AU"/>
        </w:rPr>
      </w:pPr>
    </w:p>
    <w:p w14:paraId="4D8C08F3" w14:textId="254AC324" w:rsidR="003964FA" w:rsidRPr="00B2546F" w:rsidRDefault="003964FA" w:rsidP="003964FA">
      <w:pPr>
        <w:spacing w:before="0" w:after="0"/>
        <w:rPr>
          <w:sz w:val="22"/>
          <w:szCs w:val="22"/>
        </w:rPr>
      </w:pPr>
      <w:r w:rsidRPr="00B2546F">
        <w:rPr>
          <w:sz w:val="22"/>
          <w:szCs w:val="22"/>
        </w:rPr>
        <w:t xml:space="preserve">The Australian Government is responsible for regulating the quality, </w:t>
      </w:r>
      <w:proofErr w:type="gramStart"/>
      <w:r w:rsidRPr="00B2546F">
        <w:rPr>
          <w:sz w:val="22"/>
          <w:szCs w:val="22"/>
        </w:rPr>
        <w:t>safety</w:t>
      </w:r>
      <w:proofErr w:type="gramEnd"/>
      <w:r w:rsidRPr="00B2546F">
        <w:rPr>
          <w:sz w:val="22"/>
          <w:szCs w:val="22"/>
        </w:rPr>
        <w:t xml:space="preserve"> and efficacy of therapeutic goods. This is achieved in part by specifying ministerial standards under section 10 of the Act by reference to a range of matters, including </w:t>
      </w:r>
      <w:r w:rsidR="008B5319" w:rsidRPr="00B2546F">
        <w:rPr>
          <w:sz w:val="22"/>
          <w:szCs w:val="22"/>
          <w:lang w:eastAsia="en-AU"/>
        </w:rPr>
        <w:t>the manufacture of therapeutic goods, and</w:t>
      </w:r>
      <w:r w:rsidR="008B5319" w:rsidRPr="00B2546F">
        <w:rPr>
          <w:lang w:eastAsia="en-AU"/>
        </w:rPr>
        <w:t xml:space="preserve"> </w:t>
      </w:r>
      <w:r w:rsidR="008B5319" w:rsidRPr="00B2546F">
        <w:rPr>
          <w:sz w:val="22"/>
          <w:szCs w:val="22"/>
        </w:rPr>
        <w:t xml:space="preserve">by otherwise applying default standards that are constituted by statements in </w:t>
      </w:r>
      <w:r w:rsidRPr="00B2546F">
        <w:rPr>
          <w:sz w:val="22"/>
          <w:szCs w:val="22"/>
        </w:rPr>
        <w:t xml:space="preserve">international pharmacopoeias defined in </w:t>
      </w:r>
      <w:r w:rsidR="005F274C" w:rsidRPr="00B2546F">
        <w:rPr>
          <w:sz w:val="22"/>
          <w:szCs w:val="22"/>
        </w:rPr>
        <w:t xml:space="preserve">subsection 3(1) of </w:t>
      </w:r>
      <w:r w:rsidRPr="00B2546F">
        <w:rPr>
          <w:sz w:val="22"/>
          <w:szCs w:val="22"/>
        </w:rPr>
        <w:t>the Act</w:t>
      </w:r>
      <w:r w:rsidR="008B5319" w:rsidRPr="00B2546F">
        <w:rPr>
          <w:sz w:val="22"/>
          <w:szCs w:val="22"/>
        </w:rPr>
        <w:t>,</w:t>
      </w:r>
      <w:r w:rsidR="008B5319" w:rsidRPr="00B2546F">
        <w:rPr>
          <w:sz w:val="22"/>
          <w:szCs w:val="22"/>
          <w:lang w:eastAsia="en-AU"/>
        </w:rPr>
        <w:t xml:space="preserve"> being the </w:t>
      </w:r>
      <w:r w:rsidR="008B5319" w:rsidRPr="00B2546F">
        <w:rPr>
          <w:sz w:val="22"/>
          <w:szCs w:val="22"/>
        </w:rPr>
        <w:t>British Pharmacopoeia</w:t>
      </w:r>
      <w:r w:rsidR="008B5319" w:rsidRPr="00B2546F">
        <w:rPr>
          <w:lang w:eastAsia="en-AU"/>
        </w:rPr>
        <w:t xml:space="preserve">, </w:t>
      </w:r>
      <w:r w:rsidR="008B5319" w:rsidRPr="00B2546F">
        <w:rPr>
          <w:sz w:val="22"/>
          <w:szCs w:val="22"/>
        </w:rPr>
        <w:t>European Pharmacopoeia</w:t>
      </w:r>
      <w:r w:rsidR="008B5319" w:rsidRPr="00B2546F">
        <w:rPr>
          <w:lang w:eastAsia="en-AU"/>
        </w:rPr>
        <w:t xml:space="preserve"> and </w:t>
      </w:r>
      <w:r w:rsidR="008B5319" w:rsidRPr="00B2546F">
        <w:rPr>
          <w:sz w:val="22"/>
          <w:szCs w:val="22"/>
        </w:rPr>
        <w:t>United States Pharmacopeia-National Formulary</w:t>
      </w:r>
      <w:r w:rsidRPr="00B2546F">
        <w:rPr>
          <w:sz w:val="22"/>
          <w:szCs w:val="22"/>
        </w:rPr>
        <w:t>.</w:t>
      </w:r>
    </w:p>
    <w:p w14:paraId="10402813" w14:textId="77777777" w:rsidR="003964FA" w:rsidRPr="00B2546F" w:rsidRDefault="003964FA" w:rsidP="003964FA">
      <w:pPr>
        <w:spacing w:before="0" w:after="0"/>
        <w:rPr>
          <w:sz w:val="22"/>
          <w:szCs w:val="22"/>
        </w:rPr>
      </w:pPr>
    </w:p>
    <w:p w14:paraId="084E138F" w14:textId="402CF46D" w:rsidR="003964FA" w:rsidRPr="00B2546F" w:rsidRDefault="003964FA" w:rsidP="003964FA">
      <w:pPr>
        <w:spacing w:before="0" w:after="0"/>
        <w:rPr>
          <w:sz w:val="22"/>
          <w:szCs w:val="22"/>
        </w:rPr>
      </w:pPr>
      <w:r w:rsidRPr="00B2546F">
        <w:rPr>
          <w:sz w:val="22"/>
          <w:szCs w:val="22"/>
        </w:rPr>
        <w:t xml:space="preserve">The former </w:t>
      </w:r>
      <w:r w:rsidR="000F1154" w:rsidRPr="00B2546F">
        <w:rPr>
          <w:sz w:val="22"/>
          <w:szCs w:val="22"/>
        </w:rPr>
        <w:t>instrument</w:t>
      </w:r>
      <w:r w:rsidRPr="00B2546F">
        <w:rPr>
          <w:sz w:val="22"/>
          <w:szCs w:val="22"/>
        </w:rPr>
        <w:t xml:space="preserve"> is a standard that specifies that albumin from humans must comply with the monograph for human albumin in the British Pharmacopoeia or the European Pharmacopoeia, principally </w:t>
      </w:r>
      <w:r w:rsidR="008B5319" w:rsidRPr="00B2546F">
        <w:rPr>
          <w:sz w:val="22"/>
          <w:szCs w:val="22"/>
        </w:rPr>
        <w:t>with the effect of excluding</w:t>
      </w:r>
      <w:r w:rsidRPr="00B2546F">
        <w:rPr>
          <w:sz w:val="22"/>
          <w:szCs w:val="22"/>
        </w:rPr>
        <w:t xml:space="preserve"> the monograph for human albumin in the United States Pharmacopeia-National Formulary.</w:t>
      </w:r>
    </w:p>
    <w:p w14:paraId="361C31C4" w14:textId="72ADEBBD" w:rsidR="008B5319" w:rsidRPr="00B2546F" w:rsidRDefault="008B5319" w:rsidP="003964FA">
      <w:pPr>
        <w:spacing w:before="0" w:after="0"/>
        <w:rPr>
          <w:sz w:val="22"/>
          <w:szCs w:val="22"/>
        </w:rPr>
      </w:pPr>
    </w:p>
    <w:p w14:paraId="61973AF6" w14:textId="2380BC38" w:rsidR="008B5319" w:rsidRPr="00B2546F" w:rsidRDefault="008B5319" w:rsidP="008B5319">
      <w:pPr>
        <w:spacing w:before="0" w:after="0"/>
        <w:rPr>
          <w:sz w:val="22"/>
          <w:szCs w:val="22"/>
        </w:rPr>
      </w:pPr>
      <w:r w:rsidRPr="00B2546F">
        <w:rPr>
          <w:sz w:val="22"/>
          <w:szCs w:val="22"/>
        </w:rPr>
        <w:t>The United States Pharmacopeia-National Formulary was excluded by the former instrument due to:</w:t>
      </w:r>
    </w:p>
    <w:p w14:paraId="01BDDA85" w14:textId="688ED06E" w:rsidR="008B5319" w:rsidRPr="00B2546F" w:rsidRDefault="008B5319" w:rsidP="008B5319">
      <w:pPr>
        <w:pStyle w:val="ListParagraph"/>
        <w:numPr>
          <w:ilvl w:val="0"/>
          <w:numId w:val="2"/>
        </w:numPr>
        <w:spacing w:before="0" w:after="0"/>
        <w:rPr>
          <w:sz w:val="22"/>
          <w:szCs w:val="22"/>
        </w:rPr>
      </w:pPr>
      <w:r w:rsidRPr="00B2546F">
        <w:rPr>
          <w:sz w:val="22"/>
          <w:szCs w:val="22"/>
        </w:rPr>
        <w:t>concerns regarding the potential clinical implications or regulatory impacts arising from significant inconsistencies in the requirements set out in the United States Pharmacopeia-National formulary in comparison to the British Pharmacopoeia and the European Pharmacopoeia, including the lack of Nucleic Acid Amplification Technology testing of starting plasma</w:t>
      </w:r>
      <w:r w:rsidR="00842846" w:rsidRPr="00B2546F">
        <w:rPr>
          <w:sz w:val="22"/>
          <w:szCs w:val="22"/>
        </w:rPr>
        <w:t>,</w:t>
      </w:r>
      <w:r w:rsidRPr="00B2546F">
        <w:rPr>
          <w:sz w:val="22"/>
          <w:szCs w:val="22"/>
        </w:rPr>
        <w:t xml:space="preserve"> which could present an increased risk of infectious disease and inadequate product </w:t>
      </w:r>
      <w:proofErr w:type="spellStart"/>
      <w:r w:rsidRPr="00B2546F">
        <w:rPr>
          <w:sz w:val="22"/>
          <w:szCs w:val="22"/>
        </w:rPr>
        <w:t>characterisation</w:t>
      </w:r>
      <w:proofErr w:type="spellEnd"/>
      <w:r w:rsidRPr="00B2546F">
        <w:rPr>
          <w:sz w:val="22"/>
          <w:szCs w:val="22"/>
        </w:rPr>
        <w:t>; and</w:t>
      </w:r>
    </w:p>
    <w:p w14:paraId="6B74CA0D" w14:textId="77777777" w:rsidR="008B5319" w:rsidRPr="00B2546F" w:rsidRDefault="008B5319" w:rsidP="008B5319">
      <w:pPr>
        <w:pStyle w:val="ListParagraph"/>
        <w:numPr>
          <w:ilvl w:val="0"/>
          <w:numId w:val="2"/>
        </w:numPr>
        <w:spacing w:before="0" w:after="0"/>
        <w:rPr>
          <w:sz w:val="22"/>
          <w:szCs w:val="22"/>
        </w:rPr>
      </w:pPr>
      <w:r w:rsidRPr="00B2546F">
        <w:rPr>
          <w:sz w:val="22"/>
          <w:szCs w:val="22"/>
        </w:rPr>
        <w:t>the monograph not being self-contained. That is, the monograph refers to, or relies on, United States of America (US) legislation or decisions of the US Food and Drug Administration.</w:t>
      </w:r>
    </w:p>
    <w:p w14:paraId="36510055" w14:textId="77777777" w:rsidR="003964FA" w:rsidRPr="00B2546F" w:rsidRDefault="003964FA" w:rsidP="003964FA">
      <w:pPr>
        <w:spacing w:before="0" w:after="0"/>
        <w:rPr>
          <w:sz w:val="22"/>
          <w:szCs w:val="22"/>
        </w:rPr>
      </w:pPr>
    </w:p>
    <w:p w14:paraId="5C869D3C" w14:textId="239364CD" w:rsidR="003964FA" w:rsidRPr="00B2546F" w:rsidRDefault="003964FA" w:rsidP="007C6894">
      <w:pPr>
        <w:spacing w:before="0" w:after="0"/>
        <w:rPr>
          <w:sz w:val="22"/>
          <w:szCs w:val="22"/>
        </w:rPr>
      </w:pPr>
      <w:r w:rsidRPr="00B2546F">
        <w:rPr>
          <w:sz w:val="22"/>
          <w:szCs w:val="22"/>
        </w:rPr>
        <w:t>The</w:t>
      </w:r>
      <w:r w:rsidR="00842846" w:rsidRPr="00B2546F">
        <w:rPr>
          <w:sz w:val="22"/>
          <w:szCs w:val="22"/>
        </w:rPr>
        <w:t>se concerns remain current in relation to the approach in the USP, and accordingly the</w:t>
      </w:r>
      <w:r w:rsidRPr="00B2546F">
        <w:rPr>
          <w:sz w:val="22"/>
          <w:szCs w:val="22"/>
        </w:rPr>
        <w:t xml:space="preserve"> </w:t>
      </w:r>
      <w:r w:rsidR="000F1154" w:rsidRPr="00B2546F">
        <w:rPr>
          <w:sz w:val="22"/>
          <w:szCs w:val="22"/>
        </w:rPr>
        <w:t>instrument</w:t>
      </w:r>
      <w:r w:rsidRPr="00B2546F">
        <w:rPr>
          <w:sz w:val="22"/>
          <w:szCs w:val="22"/>
        </w:rPr>
        <w:t xml:space="preserve"> has the effect of repealing and replacing the former </w:t>
      </w:r>
      <w:r w:rsidR="000F1154" w:rsidRPr="00B2546F">
        <w:rPr>
          <w:sz w:val="22"/>
          <w:szCs w:val="22"/>
        </w:rPr>
        <w:t>instrument</w:t>
      </w:r>
      <w:r w:rsidRPr="00B2546F">
        <w:rPr>
          <w:sz w:val="22"/>
          <w:szCs w:val="22"/>
        </w:rPr>
        <w:t xml:space="preserve"> without modification.</w:t>
      </w:r>
    </w:p>
    <w:p w14:paraId="46363510" w14:textId="77777777" w:rsidR="00141FA8" w:rsidRPr="00B2546F" w:rsidRDefault="00141FA8" w:rsidP="00141FA8">
      <w:pPr>
        <w:spacing w:before="0" w:after="0"/>
        <w:rPr>
          <w:rFonts w:eastAsiaTheme="minorHAnsi"/>
          <w:sz w:val="22"/>
          <w:szCs w:val="22"/>
          <w:lang w:val="en-AU"/>
        </w:rPr>
      </w:pPr>
    </w:p>
    <w:p w14:paraId="289E7B2F" w14:textId="77777777" w:rsidR="00141FA8" w:rsidRPr="00B2546F" w:rsidRDefault="00141FA8" w:rsidP="00141FA8">
      <w:pPr>
        <w:spacing w:before="0" w:after="0"/>
        <w:rPr>
          <w:b/>
          <w:sz w:val="22"/>
          <w:szCs w:val="22"/>
        </w:rPr>
      </w:pPr>
      <w:r w:rsidRPr="00B2546F">
        <w:rPr>
          <w:b/>
          <w:sz w:val="22"/>
          <w:szCs w:val="22"/>
        </w:rPr>
        <w:t>Human rights implications</w:t>
      </w:r>
    </w:p>
    <w:p w14:paraId="62E881C7" w14:textId="77777777" w:rsidR="00141FA8" w:rsidRPr="00B2546F" w:rsidRDefault="00141FA8" w:rsidP="00141FA8">
      <w:pPr>
        <w:spacing w:before="0" w:after="0"/>
        <w:rPr>
          <w:sz w:val="22"/>
          <w:szCs w:val="22"/>
        </w:rPr>
      </w:pPr>
    </w:p>
    <w:p w14:paraId="0CC7A8FB" w14:textId="4B5EC7F8" w:rsidR="00141FA8" w:rsidRPr="00B2546F" w:rsidRDefault="00141FA8" w:rsidP="00141FA8">
      <w:pPr>
        <w:spacing w:before="0" w:after="0"/>
        <w:rPr>
          <w:sz w:val="22"/>
          <w:szCs w:val="22"/>
        </w:rPr>
      </w:pPr>
      <w:r w:rsidRPr="00B2546F">
        <w:rPr>
          <w:sz w:val="22"/>
          <w:szCs w:val="22"/>
        </w:rPr>
        <w:t xml:space="preserve">The </w:t>
      </w:r>
      <w:r w:rsidR="000F1154" w:rsidRPr="00B2546F">
        <w:rPr>
          <w:rFonts w:eastAsiaTheme="minorHAnsi"/>
          <w:color w:val="000000"/>
          <w:sz w:val="22"/>
          <w:szCs w:val="22"/>
          <w:lang w:val="en-AU"/>
        </w:rPr>
        <w:t xml:space="preserve">instrument </w:t>
      </w:r>
      <w:r w:rsidRPr="00B2546F">
        <w:rPr>
          <w:sz w:val="22"/>
          <w:szCs w:val="22"/>
        </w:rPr>
        <w:t>engages the right to health in Article 12 of the International Covenant on Economic, Social and Cultural Rights (“the ICESCR”). Article 12 of the ICESCR promotes the right of all individuals to enjoy the highest attainable standards of physical and mental health.</w:t>
      </w:r>
    </w:p>
    <w:p w14:paraId="62AA580F" w14:textId="77777777" w:rsidR="00141FA8" w:rsidRPr="00B2546F" w:rsidRDefault="00141FA8" w:rsidP="00141FA8">
      <w:pPr>
        <w:spacing w:before="0" w:after="0"/>
        <w:rPr>
          <w:sz w:val="22"/>
          <w:szCs w:val="22"/>
        </w:rPr>
      </w:pPr>
    </w:p>
    <w:p w14:paraId="3C011E1A" w14:textId="77777777" w:rsidR="00141FA8" w:rsidRPr="00B2546F" w:rsidRDefault="00141FA8" w:rsidP="00141FA8">
      <w:pPr>
        <w:spacing w:before="0" w:after="0"/>
        <w:rPr>
          <w:sz w:val="22"/>
          <w:szCs w:val="22"/>
        </w:rPr>
      </w:pPr>
      <w:r w:rsidRPr="00B2546F">
        <w:rPr>
          <w:sz w:val="22"/>
          <w:szCs w:val="22"/>
        </w:rPr>
        <w:t xml:space="preserve">In </w:t>
      </w:r>
      <w:r w:rsidRPr="00B2546F">
        <w:rPr>
          <w:i/>
          <w:sz w:val="22"/>
          <w:szCs w:val="22"/>
        </w:rPr>
        <w:t xml:space="preserve">General Comment No.14: The Right to the Highest Attainable Standard of Health (Art.12) </w:t>
      </w:r>
      <w:r w:rsidRPr="00B2546F">
        <w:rPr>
          <w:sz w:val="22"/>
          <w:szCs w:val="22"/>
        </w:rPr>
        <w:t xml:space="preserve">(2000), the United Nations Committee on Economic, Social and Cultural Rights states that health is a </w:t>
      </w:r>
      <w:r w:rsidRPr="00B2546F">
        <w:rPr>
          <w:sz w:val="22"/>
          <w:szCs w:val="22"/>
        </w:rPr>
        <w:lastRenderedPageBreak/>
        <w:t xml:space="preserve">‘fundamental human right indispensable for the exercise of other human rights’, and that the right to health is not be understood as the right to be </w:t>
      </w:r>
      <w:proofErr w:type="gramStart"/>
      <w:r w:rsidRPr="00B2546F">
        <w:rPr>
          <w:sz w:val="22"/>
          <w:szCs w:val="22"/>
        </w:rPr>
        <w:t>healthy, but</w:t>
      </w:r>
      <w:proofErr w:type="gramEnd"/>
      <w:r w:rsidRPr="00B2546F">
        <w:rPr>
          <w:sz w:val="22"/>
          <w:szCs w:val="22"/>
        </w:rPr>
        <w:t xml:space="preserve"> includes the right to a system of health protection which provides equal opportunity for people to enjoy the highest attainable level of health.</w:t>
      </w:r>
    </w:p>
    <w:p w14:paraId="11EC9F71" w14:textId="59ED58D2" w:rsidR="00141FA8" w:rsidRPr="00B2546F" w:rsidRDefault="00141FA8" w:rsidP="00141FA8">
      <w:pPr>
        <w:spacing w:before="0" w:after="0"/>
        <w:rPr>
          <w:sz w:val="22"/>
          <w:szCs w:val="22"/>
        </w:rPr>
      </w:pPr>
    </w:p>
    <w:p w14:paraId="01754FFA" w14:textId="229F368E" w:rsidR="00355DCF" w:rsidRPr="00B2546F" w:rsidRDefault="00355DCF" w:rsidP="00141FA8">
      <w:pPr>
        <w:spacing w:before="0" w:after="0"/>
        <w:rPr>
          <w:sz w:val="22"/>
          <w:szCs w:val="22"/>
        </w:rPr>
      </w:pPr>
      <w:r w:rsidRPr="00B2546F">
        <w:rPr>
          <w:sz w:val="22"/>
          <w:szCs w:val="22"/>
        </w:rPr>
        <w:t xml:space="preserve">The </w:t>
      </w:r>
      <w:r w:rsidR="000F1154" w:rsidRPr="00B2546F">
        <w:rPr>
          <w:sz w:val="22"/>
          <w:szCs w:val="22"/>
        </w:rPr>
        <w:t>instrument</w:t>
      </w:r>
      <w:r w:rsidRPr="00B2546F">
        <w:rPr>
          <w:sz w:val="22"/>
          <w:szCs w:val="22"/>
        </w:rPr>
        <w:t xml:space="preserve"> takes positive steps to promote the right to health by ensuring the safety, quality and efficacy of human albumin for therapeutic use by</w:t>
      </w:r>
      <w:r w:rsidR="006410C2" w:rsidRPr="00B2546F">
        <w:rPr>
          <w:sz w:val="22"/>
          <w:szCs w:val="22"/>
        </w:rPr>
        <w:t xml:space="preserve"> continuing to exclude the United States Pharmacopeia-National Formulary as an accepted standard for human albumin</w:t>
      </w:r>
      <w:r w:rsidR="00842846" w:rsidRPr="00B2546F">
        <w:rPr>
          <w:sz w:val="22"/>
          <w:szCs w:val="22"/>
        </w:rPr>
        <w:t>, to safeguard against the risks that may be associated with reliance on the United States Pharmacopeia-National Formulary in this regard, including in particular the potential risk of infectious disease transmission, as well as the</w:t>
      </w:r>
      <w:r w:rsidR="006410C2" w:rsidRPr="00B2546F">
        <w:rPr>
          <w:sz w:val="22"/>
          <w:szCs w:val="22"/>
        </w:rPr>
        <w:t xml:space="preserve"> </w:t>
      </w:r>
      <w:r w:rsidR="00842846" w:rsidRPr="00B2546F">
        <w:rPr>
          <w:sz w:val="22"/>
          <w:szCs w:val="22"/>
        </w:rPr>
        <w:t>potential</w:t>
      </w:r>
      <w:r w:rsidR="006410C2" w:rsidRPr="00B2546F">
        <w:rPr>
          <w:sz w:val="22"/>
          <w:szCs w:val="22"/>
        </w:rPr>
        <w:t xml:space="preserve"> regulatory impacts resulting from inconsistent requirements in comparison to the British Pharmacopoeia and the European Pharmacopoeia.</w:t>
      </w:r>
    </w:p>
    <w:p w14:paraId="3DAD7D47" w14:textId="77777777" w:rsidR="00141FA8" w:rsidRPr="00B2546F" w:rsidRDefault="00141FA8" w:rsidP="00141FA8">
      <w:pPr>
        <w:spacing w:before="0" w:after="0"/>
        <w:rPr>
          <w:b/>
          <w:sz w:val="22"/>
          <w:szCs w:val="22"/>
        </w:rPr>
      </w:pPr>
    </w:p>
    <w:p w14:paraId="43ABF4B8" w14:textId="77777777" w:rsidR="00141FA8" w:rsidRPr="00B2546F" w:rsidRDefault="00141FA8" w:rsidP="00FE3301">
      <w:pPr>
        <w:keepNext/>
        <w:spacing w:before="0" w:after="0"/>
        <w:rPr>
          <w:b/>
          <w:sz w:val="22"/>
          <w:szCs w:val="22"/>
        </w:rPr>
      </w:pPr>
      <w:r w:rsidRPr="00B2546F">
        <w:rPr>
          <w:b/>
          <w:sz w:val="22"/>
          <w:szCs w:val="22"/>
        </w:rPr>
        <w:t>Conclusion</w:t>
      </w:r>
    </w:p>
    <w:p w14:paraId="36D80E36" w14:textId="77777777" w:rsidR="00141FA8" w:rsidRPr="00B2546F" w:rsidRDefault="00141FA8" w:rsidP="00FE3301">
      <w:pPr>
        <w:keepNext/>
        <w:spacing w:before="0" w:after="0"/>
        <w:rPr>
          <w:sz w:val="22"/>
          <w:szCs w:val="22"/>
        </w:rPr>
      </w:pPr>
    </w:p>
    <w:p w14:paraId="0E42480D" w14:textId="70D483E7" w:rsidR="003C5297" w:rsidRPr="0061288B" w:rsidRDefault="00141FA8" w:rsidP="00FE3301">
      <w:pPr>
        <w:keepNext/>
        <w:spacing w:before="0" w:after="0"/>
        <w:rPr>
          <w:sz w:val="22"/>
          <w:szCs w:val="22"/>
        </w:rPr>
      </w:pPr>
      <w:r w:rsidRPr="00B2546F">
        <w:rPr>
          <w:sz w:val="22"/>
          <w:szCs w:val="22"/>
        </w:rPr>
        <w:t xml:space="preserve">The </w:t>
      </w:r>
      <w:r w:rsidR="00B61633" w:rsidRPr="00B2546F">
        <w:rPr>
          <w:sz w:val="22"/>
          <w:szCs w:val="22"/>
        </w:rPr>
        <w:t>order</w:t>
      </w:r>
      <w:r w:rsidRPr="00B2546F">
        <w:rPr>
          <w:rFonts w:eastAsiaTheme="minorHAnsi"/>
          <w:color w:val="000000"/>
          <w:sz w:val="22"/>
          <w:szCs w:val="22"/>
          <w:lang w:val="en-AU"/>
        </w:rPr>
        <w:t xml:space="preserve"> </w:t>
      </w:r>
      <w:r w:rsidRPr="00B2546F">
        <w:rPr>
          <w:sz w:val="22"/>
          <w:szCs w:val="22"/>
        </w:rPr>
        <w:t>is compatible with human rights because it maintains and supports the right to health in Article 12 of the ICESCR and otherwise does not raise any other human rights issue</w:t>
      </w:r>
      <w:r w:rsidRPr="00D46D62">
        <w:rPr>
          <w:sz w:val="22"/>
          <w:szCs w:val="22"/>
        </w:rPr>
        <w:t>s.</w:t>
      </w:r>
    </w:p>
    <w:sectPr w:rsidR="003C5297" w:rsidRPr="0061288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FDDEE" w14:textId="77777777" w:rsidR="00D46D62" w:rsidRDefault="00D46D62" w:rsidP="00D46D62">
      <w:pPr>
        <w:spacing w:before="0" w:after="0"/>
      </w:pPr>
      <w:r>
        <w:separator/>
      </w:r>
    </w:p>
  </w:endnote>
  <w:endnote w:type="continuationSeparator" w:id="0">
    <w:p w14:paraId="4FBD5D20" w14:textId="77777777" w:rsidR="00D46D62" w:rsidRDefault="00D46D62" w:rsidP="00D46D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258160"/>
      <w:docPartObj>
        <w:docPartGallery w:val="Page Numbers (Bottom of Page)"/>
        <w:docPartUnique/>
      </w:docPartObj>
    </w:sdtPr>
    <w:sdtEndPr>
      <w:rPr>
        <w:rFonts w:eastAsiaTheme="minorHAnsi"/>
        <w:noProof/>
        <w:sz w:val="22"/>
        <w:szCs w:val="22"/>
        <w:lang w:val="en-AU"/>
      </w:rPr>
    </w:sdtEndPr>
    <w:sdtContent>
      <w:p w14:paraId="2D498B59" w14:textId="633CBD60" w:rsidR="00D46D62" w:rsidRPr="00D46D62" w:rsidRDefault="00D46D62">
        <w:pPr>
          <w:pStyle w:val="Footer"/>
          <w:jc w:val="right"/>
          <w:rPr>
            <w:rFonts w:eastAsiaTheme="minorHAnsi"/>
            <w:noProof/>
            <w:sz w:val="22"/>
            <w:szCs w:val="22"/>
            <w:lang w:val="en-AU"/>
          </w:rPr>
        </w:pPr>
        <w:r w:rsidRPr="00D46D62">
          <w:rPr>
            <w:rFonts w:eastAsiaTheme="minorHAnsi"/>
            <w:noProof/>
            <w:sz w:val="22"/>
            <w:szCs w:val="22"/>
            <w:lang w:val="en-AU"/>
          </w:rPr>
          <w:fldChar w:fldCharType="begin"/>
        </w:r>
        <w:r w:rsidRPr="00D46D62">
          <w:rPr>
            <w:rFonts w:eastAsiaTheme="minorHAnsi"/>
            <w:noProof/>
            <w:sz w:val="22"/>
            <w:szCs w:val="22"/>
            <w:lang w:val="en-AU"/>
          </w:rPr>
          <w:instrText xml:space="preserve"> PAGE   \* MERGEFORMAT </w:instrText>
        </w:r>
        <w:r w:rsidRPr="00D46D62">
          <w:rPr>
            <w:rFonts w:eastAsiaTheme="minorHAnsi"/>
            <w:noProof/>
            <w:sz w:val="22"/>
            <w:szCs w:val="22"/>
            <w:lang w:val="en-AU"/>
          </w:rPr>
          <w:fldChar w:fldCharType="separate"/>
        </w:r>
        <w:r w:rsidRPr="00D46D62">
          <w:rPr>
            <w:rFonts w:eastAsiaTheme="minorHAnsi"/>
            <w:noProof/>
            <w:sz w:val="22"/>
            <w:szCs w:val="22"/>
            <w:lang w:val="en-AU"/>
          </w:rPr>
          <w:t>2</w:t>
        </w:r>
        <w:r w:rsidRPr="00D46D62">
          <w:rPr>
            <w:rFonts w:eastAsiaTheme="minorHAnsi"/>
            <w:noProof/>
            <w:sz w:val="22"/>
            <w:szCs w:val="22"/>
            <w:lang w:val="en-AU"/>
          </w:rPr>
          <w:fldChar w:fldCharType="end"/>
        </w:r>
      </w:p>
    </w:sdtContent>
  </w:sdt>
  <w:p w14:paraId="46EAE454" w14:textId="77777777" w:rsidR="00D46D62" w:rsidRDefault="00D4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37704" w14:textId="77777777" w:rsidR="00D46D62" w:rsidRDefault="00D46D62" w:rsidP="00D46D62">
      <w:pPr>
        <w:spacing w:before="0" w:after="0"/>
      </w:pPr>
      <w:r>
        <w:separator/>
      </w:r>
    </w:p>
  </w:footnote>
  <w:footnote w:type="continuationSeparator" w:id="0">
    <w:p w14:paraId="68687611" w14:textId="77777777" w:rsidR="00D46D62" w:rsidRDefault="00D46D62" w:rsidP="00D46D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C3BF8"/>
    <w:multiLevelType w:val="hybridMultilevel"/>
    <w:tmpl w:val="D55A9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3A6C84"/>
    <w:multiLevelType w:val="hybridMultilevel"/>
    <w:tmpl w:val="A2540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90"/>
    <w:rsid w:val="00011677"/>
    <w:rsid w:val="00021418"/>
    <w:rsid w:val="00034C53"/>
    <w:rsid w:val="00096D4A"/>
    <w:rsid w:val="000C06A6"/>
    <w:rsid w:val="000F1154"/>
    <w:rsid w:val="001242C7"/>
    <w:rsid w:val="00133FB9"/>
    <w:rsid w:val="00141FA8"/>
    <w:rsid w:val="001A3294"/>
    <w:rsid w:val="001C33ED"/>
    <w:rsid w:val="00224D33"/>
    <w:rsid w:val="00250198"/>
    <w:rsid w:val="0026230C"/>
    <w:rsid w:val="00276CEB"/>
    <w:rsid w:val="00280050"/>
    <w:rsid w:val="00292F4B"/>
    <w:rsid w:val="0029457E"/>
    <w:rsid w:val="002C1C84"/>
    <w:rsid w:val="00340E8C"/>
    <w:rsid w:val="00355DCF"/>
    <w:rsid w:val="0036239A"/>
    <w:rsid w:val="00383E07"/>
    <w:rsid w:val="003964FA"/>
    <w:rsid w:val="003A2B47"/>
    <w:rsid w:val="003C5297"/>
    <w:rsid w:val="003D354B"/>
    <w:rsid w:val="0046202F"/>
    <w:rsid w:val="00477519"/>
    <w:rsid w:val="004B0F12"/>
    <w:rsid w:val="004F01D8"/>
    <w:rsid w:val="00516B5A"/>
    <w:rsid w:val="005C7A88"/>
    <w:rsid w:val="005F274C"/>
    <w:rsid w:val="0061288B"/>
    <w:rsid w:val="0063063B"/>
    <w:rsid w:val="006410C2"/>
    <w:rsid w:val="00672868"/>
    <w:rsid w:val="0068549C"/>
    <w:rsid w:val="0069009E"/>
    <w:rsid w:val="00771795"/>
    <w:rsid w:val="00795FAC"/>
    <w:rsid w:val="007A429D"/>
    <w:rsid w:val="007C2734"/>
    <w:rsid w:val="007C6894"/>
    <w:rsid w:val="007F36A5"/>
    <w:rsid w:val="00842846"/>
    <w:rsid w:val="008B5319"/>
    <w:rsid w:val="009C0184"/>
    <w:rsid w:val="009C45C1"/>
    <w:rsid w:val="00A1565F"/>
    <w:rsid w:val="00A2114C"/>
    <w:rsid w:val="00A37655"/>
    <w:rsid w:val="00A64984"/>
    <w:rsid w:val="00A825E6"/>
    <w:rsid w:val="00A96396"/>
    <w:rsid w:val="00AA26D3"/>
    <w:rsid w:val="00AC0921"/>
    <w:rsid w:val="00B2546F"/>
    <w:rsid w:val="00B61633"/>
    <w:rsid w:val="00BA0B1E"/>
    <w:rsid w:val="00C05038"/>
    <w:rsid w:val="00C4451A"/>
    <w:rsid w:val="00C81E0A"/>
    <w:rsid w:val="00D46D62"/>
    <w:rsid w:val="00D80F90"/>
    <w:rsid w:val="00D96C32"/>
    <w:rsid w:val="00DD2C74"/>
    <w:rsid w:val="00EA3C3D"/>
    <w:rsid w:val="00ED1627"/>
    <w:rsid w:val="00F14D6C"/>
    <w:rsid w:val="00F80E89"/>
    <w:rsid w:val="00FE3301"/>
    <w:rsid w:val="00FF2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13B5"/>
  <w15:chartTrackingRefBased/>
  <w15:docId w15:val="{9156F278-24BF-4033-ADF1-77F3C458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A8"/>
    <w:pPr>
      <w:spacing w:before="180" w:after="120" w:line="240" w:lineRule="auto"/>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8B"/>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141FA8"/>
    <w:rPr>
      <w:sz w:val="16"/>
      <w:szCs w:val="16"/>
    </w:rPr>
  </w:style>
  <w:style w:type="paragraph" w:styleId="CommentText">
    <w:name w:val="annotation text"/>
    <w:basedOn w:val="Normal"/>
    <w:link w:val="CommentTextChar"/>
    <w:uiPriority w:val="99"/>
    <w:semiHidden/>
    <w:unhideWhenUsed/>
    <w:rsid w:val="00141FA8"/>
    <w:rPr>
      <w:sz w:val="20"/>
      <w:szCs w:val="20"/>
    </w:rPr>
  </w:style>
  <w:style w:type="character" w:customStyle="1" w:styleId="CommentTextChar">
    <w:name w:val="Comment Text Char"/>
    <w:basedOn w:val="DefaultParagraphFont"/>
    <w:link w:val="CommentText"/>
    <w:uiPriority w:val="99"/>
    <w:semiHidden/>
    <w:rsid w:val="00141FA8"/>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292F4B"/>
    <w:rPr>
      <w:b/>
      <w:bCs/>
    </w:rPr>
  </w:style>
  <w:style w:type="character" w:customStyle="1" w:styleId="CommentSubjectChar">
    <w:name w:val="Comment Subject Char"/>
    <w:basedOn w:val="CommentTextChar"/>
    <w:link w:val="CommentSubject"/>
    <w:uiPriority w:val="99"/>
    <w:semiHidden/>
    <w:rsid w:val="00292F4B"/>
    <w:rPr>
      <w:rFonts w:eastAsia="Times New Roman"/>
      <w:b/>
      <w:bCs/>
      <w:sz w:val="20"/>
      <w:szCs w:val="20"/>
      <w:lang w:val="en-US"/>
    </w:rPr>
  </w:style>
  <w:style w:type="character" w:styleId="Hyperlink">
    <w:name w:val="Hyperlink"/>
    <w:basedOn w:val="DefaultParagraphFont"/>
    <w:uiPriority w:val="99"/>
    <w:unhideWhenUsed/>
    <w:rsid w:val="0068549C"/>
    <w:rPr>
      <w:color w:val="0000FF"/>
      <w:u w:val="single"/>
    </w:rPr>
  </w:style>
  <w:style w:type="character" w:styleId="UnresolvedMention">
    <w:name w:val="Unresolved Mention"/>
    <w:basedOn w:val="DefaultParagraphFont"/>
    <w:uiPriority w:val="99"/>
    <w:semiHidden/>
    <w:unhideWhenUsed/>
    <w:rsid w:val="0068549C"/>
    <w:rPr>
      <w:color w:val="605E5C"/>
      <w:shd w:val="clear" w:color="auto" w:fill="E1DFDD"/>
    </w:rPr>
  </w:style>
  <w:style w:type="paragraph" w:styleId="ListParagraph">
    <w:name w:val="List Paragraph"/>
    <w:basedOn w:val="Normal"/>
    <w:uiPriority w:val="34"/>
    <w:qFormat/>
    <w:rsid w:val="00AC0921"/>
    <w:pPr>
      <w:ind w:left="720"/>
      <w:contextualSpacing/>
    </w:pPr>
  </w:style>
  <w:style w:type="paragraph" w:styleId="Header">
    <w:name w:val="header"/>
    <w:basedOn w:val="Normal"/>
    <w:link w:val="HeaderChar"/>
    <w:uiPriority w:val="99"/>
    <w:unhideWhenUsed/>
    <w:rsid w:val="00D46D62"/>
    <w:pPr>
      <w:tabs>
        <w:tab w:val="center" w:pos="4513"/>
        <w:tab w:val="right" w:pos="9026"/>
      </w:tabs>
      <w:spacing w:before="0" w:after="0"/>
    </w:pPr>
  </w:style>
  <w:style w:type="character" w:customStyle="1" w:styleId="HeaderChar">
    <w:name w:val="Header Char"/>
    <w:basedOn w:val="DefaultParagraphFont"/>
    <w:link w:val="Header"/>
    <w:uiPriority w:val="99"/>
    <w:rsid w:val="00D46D62"/>
    <w:rPr>
      <w:rFonts w:eastAsia="Times New Roman"/>
      <w:lang w:val="en-US"/>
    </w:rPr>
  </w:style>
  <w:style w:type="paragraph" w:styleId="Footer">
    <w:name w:val="footer"/>
    <w:basedOn w:val="Normal"/>
    <w:link w:val="FooterChar"/>
    <w:uiPriority w:val="99"/>
    <w:unhideWhenUsed/>
    <w:rsid w:val="00D46D62"/>
    <w:pPr>
      <w:tabs>
        <w:tab w:val="center" w:pos="4513"/>
        <w:tab w:val="right" w:pos="9026"/>
      </w:tabs>
      <w:spacing w:before="0" w:after="0"/>
    </w:pPr>
  </w:style>
  <w:style w:type="character" w:customStyle="1" w:styleId="FooterChar">
    <w:name w:val="Footer Char"/>
    <w:basedOn w:val="DefaultParagraphFont"/>
    <w:link w:val="Footer"/>
    <w:uiPriority w:val="99"/>
    <w:rsid w:val="00D46D62"/>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1D174-53F2-4A73-AB09-81F4059C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Callum</dc:creator>
  <cp:keywords/>
  <dc:description/>
  <cp:lastModifiedBy>MCDONALD, Jess</cp:lastModifiedBy>
  <cp:revision>3</cp:revision>
  <dcterms:created xsi:type="dcterms:W3CDTF">2022-03-25T05:31:00Z</dcterms:created>
  <dcterms:modified xsi:type="dcterms:W3CDTF">2022-03-25T05:40:00Z</dcterms:modified>
</cp:coreProperties>
</file>