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EE283" w14:textId="77777777" w:rsidR="00A17161" w:rsidRPr="00465A3D" w:rsidRDefault="00A17161" w:rsidP="00A17161">
      <w:pPr>
        <w:autoSpaceDE w:val="0"/>
        <w:autoSpaceDN w:val="0"/>
        <w:adjustRightInd w:val="0"/>
        <w:jc w:val="center"/>
        <w:rPr>
          <w:sz w:val="22"/>
          <w:szCs w:val="22"/>
          <w:u w:val="single"/>
        </w:rPr>
      </w:pPr>
      <w:r w:rsidRPr="00465A3D">
        <w:rPr>
          <w:sz w:val="22"/>
          <w:szCs w:val="22"/>
          <w:u w:val="single"/>
        </w:rPr>
        <w:t>EXPLANATORY STATEMENT</w:t>
      </w:r>
    </w:p>
    <w:p w14:paraId="4F84ABC2" w14:textId="77777777" w:rsidR="00A17161" w:rsidRPr="00465A3D" w:rsidRDefault="00A17161" w:rsidP="00A17161">
      <w:pPr>
        <w:autoSpaceDE w:val="0"/>
        <w:autoSpaceDN w:val="0"/>
        <w:adjustRightInd w:val="0"/>
        <w:jc w:val="center"/>
        <w:rPr>
          <w:b/>
          <w:sz w:val="22"/>
          <w:szCs w:val="22"/>
        </w:rPr>
      </w:pPr>
    </w:p>
    <w:p w14:paraId="2FBE0818" w14:textId="77777777" w:rsidR="00A17161" w:rsidRPr="00465A3D" w:rsidRDefault="00A17161" w:rsidP="00A17161">
      <w:pPr>
        <w:autoSpaceDE w:val="0"/>
        <w:autoSpaceDN w:val="0"/>
        <w:adjustRightInd w:val="0"/>
        <w:jc w:val="center"/>
        <w:rPr>
          <w:b/>
          <w:sz w:val="22"/>
          <w:szCs w:val="22"/>
        </w:rPr>
      </w:pPr>
      <w:r w:rsidRPr="00465A3D">
        <w:rPr>
          <w:b/>
          <w:sz w:val="22"/>
          <w:szCs w:val="22"/>
        </w:rPr>
        <w:t>Issued by the Authority of the Australian Fisheries Management Authority</w:t>
      </w:r>
    </w:p>
    <w:p w14:paraId="284959A9" w14:textId="77777777" w:rsidR="00A17161" w:rsidRPr="00465A3D" w:rsidRDefault="00A17161" w:rsidP="00A17161">
      <w:pPr>
        <w:autoSpaceDE w:val="0"/>
        <w:autoSpaceDN w:val="0"/>
        <w:adjustRightInd w:val="0"/>
        <w:jc w:val="center"/>
        <w:rPr>
          <w:b/>
          <w:sz w:val="22"/>
          <w:szCs w:val="22"/>
        </w:rPr>
      </w:pPr>
    </w:p>
    <w:p w14:paraId="2101732D" w14:textId="77777777" w:rsidR="00A17161" w:rsidRPr="00465A3D" w:rsidRDefault="00A17161" w:rsidP="00A17161">
      <w:pPr>
        <w:autoSpaceDE w:val="0"/>
        <w:autoSpaceDN w:val="0"/>
        <w:adjustRightInd w:val="0"/>
        <w:jc w:val="center"/>
        <w:rPr>
          <w:i/>
          <w:iCs/>
        </w:rPr>
      </w:pPr>
      <w:r w:rsidRPr="00465A3D">
        <w:rPr>
          <w:i/>
          <w:iCs/>
        </w:rPr>
        <w:t>Fisheries Management Act 1991</w:t>
      </w:r>
    </w:p>
    <w:p w14:paraId="4FAC4376" w14:textId="77777777" w:rsidR="00A17161" w:rsidRPr="00465A3D" w:rsidRDefault="00A17161" w:rsidP="00A17161">
      <w:pPr>
        <w:autoSpaceDE w:val="0"/>
        <w:autoSpaceDN w:val="0"/>
        <w:adjustRightInd w:val="0"/>
        <w:jc w:val="center"/>
        <w:rPr>
          <w:i/>
          <w:iCs/>
        </w:rPr>
      </w:pPr>
      <w:r w:rsidRPr="00465A3D">
        <w:rPr>
          <w:i/>
          <w:iCs/>
        </w:rPr>
        <w:t>Western Tuna and Billfish Fishery Management Plan 2005</w:t>
      </w:r>
    </w:p>
    <w:p w14:paraId="1EA4F5F6" w14:textId="77777777" w:rsidR="00A17161" w:rsidRPr="00465A3D" w:rsidRDefault="00A17161" w:rsidP="00A17161">
      <w:pPr>
        <w:autoSpaceDE w:val="0"/>
        <w:autoSpaceDN w:val="0"/>
        <w:adjustRightInd w:val="0"/>
        <w:jc w:val="center"/>
        <w:rPr>
          <w:b/>
          <w:sz w:val="22"/>
          <w:szCs w:val="22"/>
        </w:rPr>
      </w:pPr>
    </w:p>
    <w:p w14:paraId="397CAE04" w14:textId="6D2E1BA9" w:rsidR="00A17161" w:rsidRPr="00465A3D" w:rsidRDefault="00A17161" w:rsidP="00A17161">
      <w:pPr>
        <w:autoSpaceDE w:val="0"/>
        <w:autoSpaceDN w:val="0"/>
        <w:adjustRightInd w:val="0"/>
        <w:ind w:left="360"/>
        <w:jc w:val="center"/>
        <w:rPr>
          <w:b/>
          <w:color w:val="000000"/>
          <w:lang w:val="en-AU"/>
        </w:rPr>
      </w:pPr>
      <w:r w:rsidRPr="00465A3D">
        <w:rPr>
          <w:b/>
          <w:iCs/>
          <w:color w:val="000000"/>
          <w:lang w:val="en-AU"/>
        </w:rPr>
        <w:t xml:space="preserve">Western Tuna and Billfish Fishery </w:t>
      </w:r>
      <w:r w:rsidR="002025F9">
        <w:rPr>
          <w:b/>
          <w:iCs/>
          <w:color w:val="000000"/>
          <w:lang w:val="en-AU"/>
        </w:rPr>
        <w:t>(</w:t>
      </w:r>
      <w:r w:rsidRPr="00465A3D">
        <w:rPr>
          <w:b/>
          <w:color w:val="000000"/>
          <w:lang w:val="en-AU"/>
        </w:rPr>
        <w:t>Overcatch and Undercatch</w:t>
      </w:r>
      <w:r w:rsidR="002025F9">
        <w:rPr>
          <w:b/>
          <w:color w:val="000000"/>
          <w:lang w:val="en-AU"/>
        </w:rPr>
        <w:t>)</w:t>
      </w:r>
      <w:r w:rsidRPr="00465A3D">
        <w:rPr>
          <w:b/>
          <w:color w:val="000000"/>
          <w:lang w:val="en-AU"/>
        </w:rPr>
        <w:t xml:space="preserve"> Determination </w:t>
      </w:r>
      <w:r w:rsidR="00C639CA">
        <w:rPr>
          <w:b/>
          <w:color w:val="000000"/>
          <w:lang w:val="en-AU"/>
        </w:rPr>
        <w:t>2022</w:t>
      </w:r>
    </w:p>
    <w:p w14:paraId="7F2CAC83" w14:textId="77777777" w:rsidR="00A17161" w:rsidRPr="00465A3D" w:rsidRDefault="00A17161" w:rsidP="00A17161">
      <w:pPr>
        <w:autoSpaceDE w:val="0"/>
        <w:autoSpaceDN w:val="0"/>
        <w:adjustRightInd w:val="0"/>
        <w:jc w:val="center"/>
        <w:rPr>
          <w:b/>
          <w:sz w:val="22"/>
          <w:szCs w:val="22"/>
        </w:rPr>
      </w:pPr>
    </w:p>
    <w:p w14:paraId="6FE30E5B" w14:textId="77777777" w:rsidR="00A17161" w:rsidRPr="00465A3D" w:rsidRDefault="00A17161" w:rsidP="00D407F8">
      <w:pPr>
        <w:autoSpaceDE w:val="0"/>
        <w:autoSpaceDN w:val="0"/>
        <w:adjustRightInd w:val="0"/>
        <w:rPr>
          <w:sz w:val="22"/>
          <w:szCs w:val="22"/>
        </w:rPr>
      </w:pPr>
    </w:p>
    <w:p w14:paraId="74AAA122" w14:textId="77777777" w:rsidR="00A17161" w:rsidRPr="00D9674E" w:rsidRDefault="00A17161" w:rsidP="00A17161">
      <w:pPr>
        <w:autoSpaceDE w:val="0"/>
        <w:autoSpaceDN w:val="0"/>
        <w:adjustRightInd w:val="0"/>
        <w:spacing w:after="120"/>
        <w:jc w:val="both"/>
        <w:rPr>
          <w:color w:val="000000"/>
          <w:sz w:val="22"/>
          <w:szCs w:val="22"/>
          <w:lang w:val="en-AU"/>
        </w:rPr>
      </w:pPr>
      <w:r w:rsidRPr="00D9674E">
        <w:rPr>
          <w:color w:val="000000"/>
          <w:sz w:val="22"/>
          <w:szCs w:val="22"/>
          <w:lang w:val="en-AU"/>
        </w:rPr>
        <w:t xml:space="preserve">Subsection 17(5) of the </w:t>
      </w:r>
      <w:r w:rsidRPr="00D9674E">
        <w:rPr>
          <w:i/>
          <w:color w:val="000000"/>
          <w:sz w:val="22"/>
          <w:szCs w:val="22"/>
          <w:lang w:val="en-AU"/>
        </w:rPr>
        <w:t>Fisheries Management Act 1991</w:t>
      </w:r>
      <w:r>
        <w:rPr>
          <w:color w:val="000000"/>
          <w:sz w:val="22"/>
          <w:szCs w:val="22"/>
          <w:lang w:val="en-AU"/>
        </w:rPr>
        <w:t xml:space="preserve"> (the </w:t>
      </w:r>
      <w:r w:rsidRPr="00D9674E">
        <w:rPr>
          <w:color w:val="000000"/>
          <w:sz w:val="22"/>
          <w:szCs w:val="22"/>
          <w:lang w:val="en-AU"/>
        </w:rPr>
        <w:t>Act) provides that a plan of management made under the Act is to set out, amongst other things, the objectives of the plan of management and measures by which the objectives are to be attained.</w:t>
      </w:r>
    </w:p>
    <w:p w14:paraId="50F47ABB" w14:textId="3A7778E2" w:rsidR="00A17161" w:rsidRDefault="1C23C6C8" w:rsidP="76DE37C1">
      <w:pPr>
        <w:autoSpaceDE w:val="0"/>
        <w:autoSpaceDN w:val="0"/>
        <w:adjustRightInd w:val="0"/>
        <w:jc w:val="both"/>
        <w:rPr>
          <w:color w:val="000000"/>
          <w:lang w:val="en-AU"/>
        </w:rPr>
      </w:pPr>
      <w:r w:rsidRPr="53FBC3C5">
        <w:rPr>
          <w:color w:val="000000" w:themeColor="text1"/>
          <w:sz w:val="22"/>
          <w:szCs w:val="22"/>
          <w:lang w:val="en-AU"/>
        </w:rPr>
        <w:t>Paragraph 17(</w:t>
      </w:r>
      <w:proofErr w:type="gramStart"/>
      <w:r w:rsidRPr="53FBC3C5">
        <w:rPr>
          <w:color w:val="000000" w:themeColor="text1"/>
          <w:sz w:val="22"/>
          <w:szCs w:val="22"/>
          <w:lang w:val="en-AU"/>
        </w:rPr>
        <w:t>6)(</w:t>
      </w:r>
      <w:proofErr w:type="gramEnd"/>
      <w:r w:rsidRPr="53FBC3C5">
        <w:rPr>
          <w:color w:val="000000" w:themeColor="text1"/>
          <w:sz w:val="22"/>
          <w:szCs w:val="22"/>
          <w:lang w:val="en-AU"/>
        </w:rPr>
        <w:t>aa) of the Act provides that a plan of management made under the Act may provide for the Australian Fisheries Management Authority (the Authority) to determine the fishing capacity permitted for the fishery or a part of the fishery in respect of a particular period or periods.</w:t>
      </w:r>
      <w:r w:rsidR="72BC9040" w:rsidRPr="53FBC3C5">
        <w:rPr>
          <w:color w:val="000000" w:themeColor="text1"/>
          <w:sz w:val="22"/>
          <w:szCs w:val="22"/>
          <w:lang w:val="en-AU"/>
        </w:rPr>
        <w:t xml:space="preserve"> Under section 17(6B) of the Act a determination made by the Authority under paragraph 17(</w:t>
      </w:r>
      <w:proofErr w:type="gramStart"/>
      <w:r w:rsidR="72BC9040" w:rsidRPr="53FBC3C5">
        <w:rPr>
          <w:color w:val="000000" w:themeColor="text1"/>
          <w:sz w:val="22"/>
          <w:szCs w:val="22"/>
          <w:lang w:val="en-AU"/>
        </w:rPr>
        <w:t>6)(</w:t>
      </w:r>
      <w:proofErr w:type="gramEnd"/>
      <w:r w:rsidR="72BC9040" w:rsidRPr="53FBC3C5">
        <w:rPr>
          <w:color w:val="000000" w:themeColor="text1"/>
          <w:sz w:val="22"/>
          <w:szCs w:val="22"/>
          <w:lang w:val="en-AU"/>
        </w:rPr>
        <w:t>aa) is a legislative instrument.</w:t>
      </w:r>
    </w:p>
    <w:p w14:paraId="4E1528A1" w14:textId="77777777" w:rsidR="00A17161" w:rsidRPr="00465A3D" w:rsidRDefault="00A17161" w:rsidP="00A17161">
      <w:pPr>
        <w:autoSpaceDE w:val="0"/>
        <w:autoSpaceDN w:val="0"/>
        <w:adjustRightInd w:val="0"/>
        <w:jc w:val="both"/>
        <w:rPr>
          <w:sz w:val="22"/>
          <w:szCs w:val="22"/>
        </w:rPr>
      </w:pPr>
    </w:p>
    <w:p w14:paraId="1156F383" w14:textId="7529C807" w:rsidR="00A17161" w:rsidRPr="00465A3D" w:rsidRDefault="53FBC3C5" w:rsidP="53FBC3C5">
      <w:pPr>
        <w:jc w:val="both"/>
      </w:pPr>
      <w:r w:rsidRPr="53FBC3C5">
        <w:rPr>
          <w:color w:val="000000" w:themeColor="text1"/>
          <w:sz w:val="22"/>
          <w:szCs w:val="22"/>
        </w:rPr>
        <w:t xml:space="preserve">Subsection 11(1) of the </w:t>
      </w:r>
      <w:r w:rsidRPr="53FBC3C5">
        <w:rPr>
          <w:i/>
          <w:iCs/>
          <w:color w:val="000000" w:themeColor="text1"/>
          <w:sz w:val="22"/>
          <w:szCs w:val="22"/>
        </w:rPr>
        <w:t>Western Tuna and Billfish Fishery Management Plan 2005</w:t>
      </w:r>
      <w:r w:rsidRPr="53FBC3C5">
        <w:rPr>
          <w:color w:val="000000" w:themeColor="text1"/>
          <w:sz w:val="22"/>
          <w:szCs w:val="22"/>
        </w:rPr>
        <w:t xml:space="preserve"> (the Plan) provides that the Authority must, </w:t>
      </w:r>
      <w:proofErr w:type="gramStart"/>
      <w:r w:rsidRPr="53FBC3C5">
        <w:rPr>
          <w:color w:val="000000" w:themeColor="text1"/>
          <w:sz w:val="22"/>
          <w:szCs w:val="22"/>
        </w:rPr>
        <w:t>during the course of</w:t>
      </w:r>
      <w:proofErr w:type="gramEnd"/>
      <w:r w:rsidRPr="53FBC3C5">
        <w:rPr>
          <w:color w:val="000000" w:themeColor="text1"/>
          <w:sz w:val="22"/>
          <w:szCs w:val="22"/>
        </w:rPr>
        <w:t xml:space="preserve"> the season, determine the determined weight or the determined percentage (or both) for the purposes of section 18; and</w:t>
      </w:r>
      <w:r w:rsidRPr="53FBC3C5">
        <w:t xml:space="preserve"> the determined percentage for the purposes of section 19.</w:t>
      </w:r>
    </w:p>
    <w:p w14:paraId="2ED9EFF8" w14:textId="0C349F9B" w:rsidR="00A17161" w:rsidRPr="00465A3D" w:rsidRDefault="53FBC3C5" w:rsidP="53FBC3C5">
      <w:pPr>
        <w:ind w:left="1418" w:hanging="1418"/>
        <w:jc w:val="both"/>
      </w:pPr>
      <w:r w:rsidRPr="53FBC3C5">
        <w:rPr>
          <w:color w:val="000000" w:themeColor="text1"/>
        </w:rPr>
        <w:t xml:space="preserve"> </w:t>
      </w:r>
    </w:p>
    <w:p w14:paraId="0993ECB2" w14:textId="1C6CD317" w:rsidR="00A17161" w:rsidRPr="00465A3D" w:rsidRDefault="53FBC3C5" w:rsidP="53FBC3C5">
      <w:pPr>
        <w:jc w:val="both"/>
      </w:pPr>
      <w:r w:rsidRPr="53FBC3C5">
        <w:rPr>
          <w:color w:val="000000" w:themeColor="text1"/>
          <w:sz w:val="22"/>
          <w:szCs w:val="22"/>
        </w:rPr>
        <w:t xml:space="preserve">Section 18 of the Plan relates to the overcatch provisions applying to individual Statutory Fishing Right (SFR) holders who exceed their quota for the season. Under this section, the determined percentage for a quota species and a fishing season, means a percentage of the quota allocated to the quota SFR for that species held by a person for that season, specified in a determination made by the Authority for the purposes of section 18 of the Plan for that species and season. Section 18 of the Plan further provides that the determined weight, for a quota species and a fishing season, means the weight of that species specified in a determination made by the Authority for the purposes of this section for the species and season. </w:t>
      </w:r>
    </w:p>
    <w:p w14:paraId="27052980" w14:textId="1C0122EB" w:rsidR="00A17161" w:rsidRPr="00465A3D" w:rsidRDefault="53FBC3C5" w:rsidP="53FBC3C5">
      <w:pPr>
        <w:jc w:val="both"/>
      </w:pPr>
      <w:r w:rsidRPr="53FBC3C5">
        <w:rPr>
          <w:color w:val="000000" w:themeColor="text1"/>
          <w:sz w:val="22"/>
          <w:szCs w:val="22"/>
        </w:rPr>
        <w:t xml:space="preserve"> </w:t>
      </w:r>
    </w:p>
    <w:p w14:paraId="3D6358AD" w14:textId="544AE4F3" w:rsidR="00A17161" w:rsidRPr="00465A3D" w:rsidRDefault="53FBC3C5" w:rsidP="53FBC3C5">
      <w:pPr>
        <w:jc w:val="both"/>
        <w:rPr>
          <w:color w:val="000000"/>
          <w:sz w:val="22"/>
          <w:szCs w:val="22"/>
        </w:rPr>
      </w:pPr>
      <w:r w:rsidRPr="53FBC3C5">
        <w:rPr>
          <w:color w:val="000000" w:themeColor="text1"/>
          <w:sz w:val="22"/>
          <w:szCs w:val="22"/>
        </w:rPr>
        <w:t xml:space="preserve">Section 19 of the Plan relates to the undercatch provisions applying to individual SFR holders whose catch is less than their quota for the season. Under section 19 of the Plan, the </w:t>
      </w:r>
      <w:r w:rsidRPr="53FBC3C5">
        <w:rPr>
          <w:sz w:val="22"/>
          <w:szCs w:val="22"/>
        </w:rPr>
        <w:t>determined percentage, for a quota species and a fishing season, is a percentage of the quota allocated to the quota SFRs for that species held by a person for that season, specified in a determination made by the Authority for the purposes of this section for that species and season.</w:t>
      </w:r>
      <w:r w:rsidRPr="53FBC3C5">
        <w:rPr>
          <w:color w:val="000000" w:themeColor="text1"/>
          <w:sz w:val="22"/>
          <w:szCs w:val="22"/>
        </w:rPr>
        <w:t xml:space="preserve"> </w:t>
      </w:r>
    </w:p>
    <w:p w14:paraId="68966BC4" w14:textId="7D16B1FF" w:rsidR="53FBC3C5" w:rsidRDefault="53FBC3C5" w:rsidP="53FBC3C5">
      <w:pPr>
        <w:jc w:val="both"/>
        <w:rPr>
          <w:color w:val="000000" w:themeColor="text1"/>
        </w:rPr>
      </w:pPr>
    </w:p>
    <w:p w14:paraId="030C2AB0" w14:textId="192232A4" w:rsidR="003D543E" w:rsidRDefault="00A17161" w:rsidP="00A17161">
      <w:pPr>
        <w:autoSpaceDE w:val="0"/>
        <w:autoSpaceDN w:val="0"/>
        <w:adjustRightInd w:val="0"/>
        <w:jc w:val="both"/>
        <w:rPr>
          <w:color w:val="000000" w:themeColor="text1"/>
          <w:sz w:val="22"/>
          <w:szCs w:val="22"/>
        </w:rPr>
      </w:pPr>
      <w:r w:rsidRPr="448CE0C4">
        <w:rPr>
          <w:color w:val="000000" w:themeColor="text1"/>
          <w:sz w:val="22"/>
          <w:szCs w:val="22"/>
        </w:rPr>
        <w:t xml:space="preserve">This instrument determines the amounts and percentages for each quota species in relation to undercatch and overcatch for the fishing season commencing on </w:t>
      </w:r>
      <w:r w:rsidR="00041DC7" w:rsidRPr="448CE0C4">
        <w:rPr>
          <w:color w:val="000000" w:themeColor="text1"/>
          <w:sz w:val="22"/>
          <w:szCs w:val="22"/>
        </w:rPr>
        <w:t>1 February 202</w:t>
      </w:r>
      <w:r w:rsidR="00C639CA">
        <w:rPr>
          <w:color w:val="000000" w:themeColor="text1"/>
          <w:sz w:val="22"/>
          <w:szCs w:val="22"/>
        </w:rPr>
        <w:t>2</w:t>
      </w:r>
      <w:r w:rsidRPr="448CE0C4">
        <w:rPr>
          <w:color w:val="000000" w:themeColor="text1"/>
          <w:sz w:val="22"/>
          <w:szCs w:val="22"/>
        </w:rPr>
        <w:t xml:space="preserve"> and concluding on </w:t>
      </w:r>
      <w:r w:rsidR="00C639CA">
        <w:rPr>
          <w:color w:val="000000" w:themeColor="text1"/>
          <w:sz w:val="22"/>
          <w:szCs w:val="22"/>
        </w:rPr>
        <w:t>31 January 2023</w:t>
      </w:r>
      <w:r w:rsidRPr="448CE0C4">
        <w:rPr>
          <w:color w:val="000000" w:themeColor="text1"/>
          <w:sz w:val="22"/>
          <w:szCs w:val="22"/>
        </w:rPr>
        <w:t xml:space="preserve">. </w:t>
      </w:r>
      <w:r w:rsidR="003D543E">
        <w:rPr>
          <w:color w:val="000000" w:themeColor="text1"/>
          <w:sz w:val="22"/>
          <w:szCs w:val="22"/>
        </w:rPr>
        <w:t xml:space="preserve">The </w:t>
      </w:r>
      <w:r w:rsidR="003D543E" w:rsidRPr="003D543E">
        <w:rPr>
          <w:color w:val="000000" w:themeColor="text1"/>
          <w:sz w:val="22"/>
          <w:szCs w:val="22"/>
        </w:rPr>
        <w:t xml:space="preserve">instrument is not </w:t>
      </w:r>
      <w:r w:rsidR="008200FC">
        <w:rPr>
          <w:color w:val="000000" w:themeColor="text1"/>
          <w:sz w:val="22"/>
          <w:szCs w:val="22"/>
        </w:rPr>
        <w:t>retrospective in nature as the P</w:t>
      </w:r>
      <w:r w:rsidR="003D543E" w:rsidRPr="003D543E">
        <w:rPr>
          <w:color w:val="000000" w:themeColor="text1"/>
          <w:sz w:val="22"/>
          <w:szCs w:val="22"/>
        </w:rPr>
        <w:t xml:space="preserve">lan provides </w:t>
      </w:r>
      <w:r w:rsidR="008200FC">
        <w:rPr>
          <w:color w:val="000000" w:themeColor="text1"/>
          <w:sz w:val="22"/>
          <w:szCs w:val="22"/>
        </w:rPr>
        <w:t xml:space="preserve">that in </w:t>
      </w:r>
      <w:r w:rsidR="003D543E" w:rsidRPr="003D543E">
        <w:rPr>
          <w:color w:val="000000" w:themeColor="text1"/>
          <w:sz w:val="22"/>
          <w:szCs w:val="22"/>
        </w:rPr>
        <w:t>relati</w:t>
      </w:r>
      <w:r w:rsidR="008200FC">
        <w:rPr>
          <w:color w:val="000000" w:themeColor="text1"/>
          <w:sz w:val="22"/>
          <w:szCs w:val="22"/>
        </w:rPr>
        <w:t xml:space="preserve">on to overcatch and undercatch these parameters </w:t>
      </w:r>
      <w:r w:rsidR="00FF3E58">
        <w:rPr>
          <w:color w:val="000000" w:themeColor="text1"/>
          <w:sz w:val="22"/>
          <w:szCs w:val="22"/>
        </w:rPr>
        <w:t>must</w:t>
      </w:r>
      <w:r w:rsidR="003D543E" w:rsidRPr="003D543E">
        <w:rPr>
          <w:color w:val="000000" w:themeColor="text1"/>
          <w:sz w:val="22"/>
          <w:szCs w:val="22"/>
        </w:rPr>
        <w:t xml:space="preserve"> be set ‘</w:t>
      </w:r>
      <w:proofErr w:type="gramStart"/>
      <w:r w:rsidR="003D543E" w:rsidRPr="003D543E">
        <w:rPr>
          <w:color w:val="000000" w:themeColor="text1"/>
          <w:sz w:val="22"/>
          <w:szCs w:val="22"/>
        </w:rPr>
        <w:t xml:space="preserve">during the </w:t>
      </w:r>
      <w:r w:rsidR="004263AC">
        <w:rPr>
          <w:color w:val="000000" w:themeColor="text1"/>
          <w:sz w:val="22"/>
          <w:szCs w:val="22"/>
        </w:rPr>
        <w:t>course of</w:t>
      </w:r>
      <w:proofErr w:type="gramEnd"/>
      <w:r w:rsidR="004263AC">
        <w:rPr>
          <w:color w:val="000000" w:themeColor="text1"/>
          <w:sz w:val="22"/>
          <w:szCs w:val="22"/>
        </w:rPr>
        <w:t xml:space="preserve"> the </w:t>
      </w:r>
      <w:r w:rsidR="003D543E" w:rsidRPr="003D543E">
        <w:rPr>
          <w:color w:val="000000" w:themeColor="text1"/>
          <w:sz w:val="22"/>
          <w:szCs w:val="22"/>
        </w:rPr>
        <w:t>season’ an</w:t>
      </w:r>
      <w:r w:rsidR="008200FC">
        <w:rPr>
          <w:color w:val="000000" w:themeColor="text1"/>
          <w:sz w:val="22"/>
          <w:szCs w:val="22"/>
        </w:rPr>
        <w:t>d apply to a quota species and ‘</w:t>
      </w:r>
      <w:r w:rsidR="003D543E" w:rsidRPr="003D543E">
        <w:rPr>
          <w:color w:val="000000" w:themeColor="text1"/>
          <w:sz w:val="22"/>
          <w:szCs w:val="22"/>
        </w:rPr>
        <w:t>a fishing s</w:t>
      </w:r>
      <w:r w:rsidR="008200FC">
        <w:rPr>
          <w:color w:val="000000" w:themeColor="text1"/>
          <w:sz w:val="22"/>
          <w:szCs w:val="22"/>
        </w:rPr>
        <w:t>eason’</w:t>
      </w:r>
      <w:r w:rsidR="003D543E" w:rsidRPr="003D543E">
        <w:rPr>
          <w:color w:val="000000" w:themeColor="text1"/>
          <w:sz w:val="22"/>
          <w:szCs w:val="22"/>
        </w:rPr>
        <w:t>.</w:t>
      </w:r>
    </w:p>
    <w:p w14:paraId="7B92AAF6" w14:textId="77777777" w:rsidR="003D543E" w:rsidRDefault="003D543E" w:rsidP="00A17161">
      <w:pPr>
        <w:autoSpaceDE w:val="0"/>
        <w:autoSpaceDN w:val="0"/>
        <w:adjustRightInd w:val="0"/>
        <w:jc w:val="both"/>
        <w:rPr>
          <w:color w:val="000000" w:themeColor="text1"/>
          <w:sz w:val="22"/>
          <w:szCs w:val="22"/>
        </w:rPr>
      </w:pPr>
    </w:p>
    <w:p w14:paraId="274DABBB" w14:textId="04CE5B56" w:rsidR="00A17161" w:rsidRDefault="00A17161" w:rsidP="00A17161">
      <w:pPr>
        <w:autoSpaceDE w:val="0"/>
        <w:autoSpaceDN w:val="0"/>
        <w:adjustRightInd w:val="0"/>
        <w:jc w:val="both"/>
        <w:rPr>
          <w:color w:val="000000" w:themeColor="text1"/>
          <w:sz w:val="22"/>
          <w:szCs w:val="22"/>
        </w:rPr>
      </w:pPr>
      <w:r w:rsidRPr="448CE0C4">
        <w:rPr>
          <w:color w:val="000000" w:themeColor="text1"/>
          <w:sz w:val="22"/>
          <w:szCs w:val="22"/>
        </w:rPr>
        <w:t xml:space="preserve">Undercatch and overcatch provides for ‘carry over’ or ‘carry under’ of a small amount of end of season quota between fishing seasons thereby allowing fishers the flexibility to catch a certain </w:t>
      </w:r>
      <w:r w:rsidRPr="448CE0C4">
        <w:rPr>
          <w:color w:val="000000" w:themeColor="text1"/>
          <w:sz w:val="22"/>
          <w:szCs w:val="22"/>
        </w:rPr>
        <w:lastRenderedPageBreak/>
        <w:t xml:space="preserve">amount of fish over or under their quota, and debit or credit this to or from the following season’s quota.  </w:t>
      </w:r>
    </w:p>
    <w:p w14:paraId="1DCED100" w14:textId="2248F37F" w:rsidR="00B64C77" w:rsidRDefault="00B64C77" w:rsidP="00A17161">
      <w:pPr>
        <w:autoSpaceDE w:val="0"/>
        <w:autoSpaceDN w:val="0"/>
        <w:adjustRightInd w:val="0"/>
        <w:jc w:val="both"/>
        <w:rPr>
          <w:color w:val="000000"/>
          <w:sz w:val="22"/>
          <w:szCs w:val="22"/>
        </w:rPr>
      </w:pPr>
    </w:p>
    <w:p w14:paraId="42D567C5" w14:textId="166CEA62" w:rsidR="00B64C77" w:rsidRPr="00465A3D" w:rsidRDefault="00B64C77" w:rsidP="00B64C77">
      <w:pPr>
        <w:autoSpaceDE w:val="0"/>
        <w:autoSpaceDN w:val="0"/>
        <w:adjustRightInd w:val="0"/>
        <w:jc w:val="both"/>
        <w:rPr>
          <w:color w:val="000000"/>
          <w:sz w:val="22"/>
          <w:szCs w:val="22"/>
        </w:rPr>
      </w:pPr>
      <w:r>
        <w:rPr>
          <w:color w:val="000000"/>
          <w:sz w:val="22"/>
          <w:szCs w:val="22"/>
          <w:shd w:val="clear" w:color="auto" w:fill="FFFFFF"/>
        </w:rPr>
        <w:t>The </w:t>
      </w:r>
      <w:r w:rsidRPr="00B64C77">
        <w:rPr>
          <w:i/>
          <w:iCs/>
          <w:color w:val="000000"/>
          <w:sz w:val="22"/>
          <w:szCs w:val="22"/>
          <w:shd w:val="clear" w:color="auto" w:fill="FFFFFF"/>
        </w:rPr>
        <w:t>Western Tuna and Billfish Fishery (Overcatch and Undercatch) Determination 2022</w:t>
      </w:r>
      <w:r>
        <w:rPr>
          <w:color w:val="000000"/>
          <w:sz w:val="22"/>
          <w:szCs w:val="22"/>
          <w:shd w:val="clear" w:color="auto" w:fill="FFFFFF"/>
        </w:rPr>
        <w:t xml:space="preserve"> is a legislative instrument for the purposes of the </w:t>
      </w:r>
      <w:r>
        <w:rPr>
          <w:i/>
          <w:iCs/>
          <w:color w:val="000000"/>
          <w:sz w:val="22"/>
          <w:szCs w:val="22"/>
          <w:shd w:val="clear" w:color="auto" w:fill="FFFFFF"/>
        </w:rPr>
        <w:t>Legislation Act 2003</w:t>
      </w:r>
      <w:r>
        <w:rPr>
          <w:color w:val="000000"/>
          <w:sz w:val="22"/>
          <w:szCs w:val="22"/>
          <w:shd w:val="clear" w:color="auto" w:fill="FFFFFF"/>
        </w:rPr>
        <w:t>.</w:t>
      </w:r>
    </w:p>
    <w:p w14:paraId="63B21B7D" w14:textId="77777777" w:rsidR="00B64C77" w:rsidRPr="00465A3D" w:rsidRDefault="00B64C77" w:rsidP="00A17161">
      <w:pPr>
        <w:autoSpaceDE w:val="0"/>
        <w:autoSpaceDN w:val="0"/>
        <w:adjustRightInd w:val="0"/>
        <w:jc w:val="both"/>
        <w:rPr>
          <w:color w:val="000000"/>
          <w:sz w:val="22"/>
          <w:szCs w:val="22"/>
        </w:rPr>
      </w:pPr>
    </w:p>
    <w:p w14:paraId="69C1F854" w14:textId="77777777" w:rsidR="00A17161" w:rsidRPr="00465A3D" w:rsidRDefault="00A17161" w:rsidP="00A17161">
      <w:pPr>
        <w:autoSpaceDE w:val="0"/>
        <w:autoSpaceDN w:val="0"/>
        <w:adjustRightInd w:val="0"/>
        <w:jc w:val="both"/>
        <w:rPr>
          <w:sz w:val="22"/>
          <w:szCs w:val="22"/>
        </w:rPr>
      </w:pPr>
    </w:p>
    <w:p w14:paraId="51608EB9" w14:textId="77777777" w:rsidR="00A17161" w:rsidRPr="00465A3D" w:rsidRDefault="00A17161" w:rsidP="00A17161">
      <w:pPr>
        <w:autoSpaceDE w:val="0"/>
        <w:autoSpaceDN w:val="0"/>
        <w:adjustRightInd w:val="0"/>
        <w:rPr>
          <w:b/>
          <w:bCs/>
          <w:sz w:val="22"/>
          <w:szCs w:val="22"/>
        </w:rPr>
      </w:pPr>
      <w:r w:rsidRPr="00465A3D">
        <w:rPr>
          <w:b/>
          <w:bCs/>
          <w:sz w:val="22"/>
          <w:szCs w:val="22"/>
        </w:rPr>
        <w:t>The Fishery</w:t>
      </w:r>
      <w:r w:rsidRPr="00465A3D">
        <w:rPr>
          <w:b/>
          <w:bCs/>
          <w:sz w:val="22"/>
          <w:szCs w:val="22"/>
        </w:rPr>
        <w:br/>
      </w:r>
    </w:p>
    <w:p w14:paraId="005031BE" w14:textId="77777777" w:rsidR="00A17161" w:rsidRPr="00465A3D" w:rsidRDefault="00A17161" w:rsidP="00A17161">
      <w:pPr>
        <w:jc w:val="both"/>
        <w:rPr>
          <w:color w:val="000000"/>
          <w:sz w:val="22"/>
          <w:szCs w:val="22"/>
          <w:lang w:val="en-AU"/>
        </w:rPr>
      </w:pPr>
      <w:r w:rsidRPr="00465A3D">
        <w:rPr>
          <w:color w:val="000000"/>
          <w:sz w:val="22"/>
          <w:szCs w:val="22"/>
          <w:lang w:val="en-AU"/>
        </w:rPr>
        <w:t xml:space="preserve">The </w:t>
      </w:r>
      <w:r w:rsidRPr="00D9674E">
        <w:rPr>
          <w:iCs/>
          <w:color w:val="000000"/>
          <w:sz w:val="22"/>
          <w:szCs w:val="22"/>
          <w:lang w:val="en-AU"/>
        </w:rPr>
        <w:t>Western Tuna and Billfish Fishery (WTBF)</w:t>
      </w:r>
      <w:r w:rsidRPr="00465A3D">
        <w:rPr>
          <w:i/>
          <w:iCs/>
          <w:color w:val="000000"/>
          <w:sz w:val="22"/>
          <w:szCs w:val="22"/>
          <w:lang w:val="en-AU"/>
        </w:rPr>
        <w:t xml:space="preserve"> </w:t>
      </w:r>
      <w:r w:rsidRPr="00465A3D">
        <w:rPr>
          <w:color w:val="000000"/>
          <w:sz w:val="22"/>
          <w:szCs w:val="22"/>
          <w:lang w:val="en-AU"/>
        </w:rPr>
        <w:t xml:space="preserve">covers the area of waters in the Australian Exclusive Economic Zone (EEZ) included on the west coast of </w:t>
      </w:r>
      <w:smartTag w:uri="urn:schemas-microsoft-com:office:smarttags" w:element="country-region">
        <w:r w:rsidRPr="00465A3D">
          <w:rPr>
            <w:color w:val="000000"/>
            <w:sz w:val="22"/>
            <w:szCs w:val="22"/>
            <w:lang w:val="en-AU"/>
          </w:rPr>
          <w:t>Australia</w:t>
        </w:r>
      </w:smartTag>
      <w:r w:rsidRPr="00465A3D">
        <w:rPr>
          <w:color w:val="000000"/>
          <w:sz w:val="22"/>
          <w:szCs w:val="22"/>
          <w:lang w:val="en-AU"/>
        </w:rPr>
        <w:t xml:space="preserve">, westward from Cape York Peninsula (142°30’E) off </w:t>
      </w:r>
      <w:smartTag w:uri="urn:schemas-microsoft-com:office:smarttags" w:element="State">
        <w:r w:rsidRPr="00465A3D">
          <w:rPr>
            <w:color w:val="000000"/>
            <w:sz w:val="22"/>
            <w:szCs w:val="22"/>
            <w:lang w:val="en-AU"/>
          </w:rPr>
          <w:t>Queensland</w:t>
        </w:r>
      </w:smartTag>
      <w:r w:rsidRPr="00465A3D">
        <w:rPr>
          <w:color w:val="000000"/>
          <w:sz w:val="22"/>
          <w:szCs w:val="22"/>
          <w:lang w:val="en-AU"/>
        </w:rPr>
        <w:t xml:space="preserve"> to 34°S off the west coast of </w:t>
      </w:r>
      <w:smartTag w:uri="urn:schemas-microsoft-com:office:smarttags" w:element="place">
        <w:smartTag w:uri="urn:schemas-microsoft-com:office:smarttags" w:element="State">
          <w:r w:rsidRPr="00465A3D">
            <w:rPr>
              <w:color w:val="000000"/>
              <w:sz w:val="22"/>
              <w:szCs w:val="22"/>
              <w:lang w:val="en-AU"/>
            </w:rPr>
            <w:t>Western Australia</w:t>
          </w:r>
        </w:smartTag>
      </w:smartTag>
      <w:r w:rsidRPr="00465A3D">
        <w:rPr>
          <w:color w:val="000000"/>
          <w:sz w:val="22"/>
          <w:szCs w:val="22"/>
          <w:lang w:val="en-AU"/>
        </w:rPr>
        <w:t xml:space="preserve">. It also extends eastward from 34°S off the west coast of </w:t>
      </w:r>
      <w:smartTag w:uri="urn:schemas-microsoft-com:office:smarttags" w:element="State">
        <w:r w:rsidRPr="00465A3D">
          <w:rPr>
            <w:color w:val="000000"/>
            <w:sz w:val="22"/>
            <w:szCs w:val="22"/>
            <w:lang w:val="en-AU"/>
          </w:rPr>
          <w:t>W</w:t>
        </w:r>
        <w:r>
          <w:rPr>
            <w:color w:val="000000"/>
            <w:sz w:val="22"/>
            <w:szCs w:val="22"/>
            <w:lang w:val="en-AU"/>
          </w:rPr>
          <w:t xml:space="preserve">estern </w:t>
        </w:r>
        <w:r w:rsidRPr="00465A3D">
          <w:rPr>
            <w:color w:val="000000"/>
            <w:sz w:val="22"/>
            <w:szCs w:val="22"/>
            <w:lang w:val="en-AU"/>
          </w:rPr>
          <w:t>A</w:t>
        </w:r>
        <w:r>
          <w:rPr>
            <w:color w:val="000000"/>
            <w:sz w:val="22"/>
            <w:szCs w:val="22"/>
            <w:lang w:val="en-AU"/>
          </w:rPr>
          <w:t>ustralia</w:t>
        </w:r>
      </w:smartTag>
      <w:r w:rsidRPr="00465A3D">
        <w:rPr>
          <w:color w:val="000000"/>
          <w:sz w:val="22"/>
          <w:szCs w:val="22"/>
          <w:lang w:val="en-AU"/>
        </w:rPr>
        <w:t xml:space="preserve">, across the </w:t>
      </w:r>
      <w:smartTag w:uri="urn:schemas-microsoft-com:office:smarttags" w:element="place">
        <w:r w:rsidRPr="00465A3D">
          <w:rPr>
            <w:color w:val="000000"/>
            <w:sz w:val="22"/>
            <w:szCs w:val="22"/>
            <w:lang w:val="en-AU"/>
          </w:rPr>
          <w:t>Great Australian Bight</w:t>
        </w:r>
      </w:smartTag>
      <w:r w:rsidRPr="00465A3D">
        <w:rPr>
          <w:color w:val="000000"/>
          <w:sz w:val="22"/>
          <w:szCs w:val="22"/>
          <w:lang w:val="en-AU"/>
        </w:rPr>
        <w:t xml:space="preserve"> to 141°E at the South Australian/Victorian border. The fishery also includes Australian waters outside of 12 nm off </w:t>
      </w:r>
      <w:smartTag w:uri="urn:schemas-microsoft-com:office:smarttags" w:element="place">
        <w:r w:rsidRPr="00465A3D">
          <w:rPr>
            <w:color w:val="000000"/>
            <w:sz w:val="22"/>
            <w:szCs w:val="22"/>
            <w:lang w:val="en-AU"/>
          </w:rPr>
          <w:t>Christmas Island</w:t>
        </w:r>
      </w:smartTag>
      <w:r w:rsidRPr="00465A3D">
        <w:rPr>
          <w:color w:val="000000"/>
          <w:sz w:val="22"/>
          <w:szCs w:val="22"/>
          <w:lang w:val="en-AU"/>
        </w:rPr>
        <w:t xml:space="preserve"> and Cocos Keeling Islands. The Plan also applies to Australian </w:t>
      </w:r>
      <w:r>
        <w:rPr>
          <w:color w:val="000000"/>
          <w:sz w:val="22"/>
          <w:szCs w:val="22"/>
          <w:lang w:val="en-AU"/>
        </w:rPr>
        <w:t>boats</w:t>
      </w:r>
      <w:r w:rsidRPr="00465A3D">
        <w:rPr>
          <w:color w:val="000000"/>
          <w:sz w:val="22"/>
          <w:szCs w:val="22"/>
          <w:lang w:val="en-AU"/>
        </w:rPr>
        <w:t xml:space="preserve"> fishing on the high seas within the Indian Ocean Tuna Commission’s (IOTC) Area of Competence.</w:t>
      </w:r>
    </w:p>
    <w:p w14:paraId="1F90F408" w14:textId="77777777" w:rsidR="00A17161" w:rsidRPr="00465A3D" w:rsidRDefault="00A17161" w:rsidP="00A17161">
      <w:pPr>
        <w:autoSpaceDE w:val="0"/>
        <w:autoSpaceDN w:val="0"/>
        <w:adjustRightInd w:val="0"/>
        <w:spacing w:after="120"/>
        <w:jc w:val="both"/>
        <w:rPr>
          <w:color w:val="000000"/>
          <w:sz w:val="22"/>
          <w:szCs w:val="22"/>
          <w:lang w:val="en-AU"/>
        </w:rPr>
      </w:pPr>
    </w:p>
    <w:p w14:paraId="16EE9E9E" w14:textId="5FA34443" w:rsidR="00A17161" w:rsidRPr="00465A3D" w:rsidRDefault="00A17161" w:rsidP="00A17161">
      <w:pPr>
        <w:autoSpaceDE w:val="0"/>
        <w:autoSpaceDN w:val="0"/>
        <w:adjustRightInd w:val="0"/>
        <w:spacing w:after="120"/>
        <w:jc w:val="both"/>
        <w:rPr>
          <w:color w:val="000000"/>
          <w:sz w:val="22"/>
          <w:szCs w:val="22"/>
          <w:lang w:val="en-AU"/>
        </w:rPr>
      </w:pPr>
      <w:r w:rsidRPr="00465A3D">
        <w:rPr>
          <w:color w:val="000000"/>
          <w:sz w:val="22"/>
          <w:szCs w:val="22"/>
          <w:lang w:val="en-AU"/>
        </w:rPr>
        <w:t>Management in the WTBF has been through output controls in the form of individually transferable quotas since the Plan was determined in 2005.</w:t>
      </w:r>
      <w:r w:rsidRPr="00465A3D">
        <w:rPr>
          <w:iCs/>
          <w:color w:val="000000"/>
          <w:sz w:val="22"/>
          <w:szCs w:val="22"/>
          <w:lang w:val="en-AU"/>
        </w:rPr>
        <w:t xml:space="preserve"> </w:t>
      </w:r>
      <w:r w:rsidRPr="00B64C77">
        <w:rPr>
          <w:color w:val="000000"/>
          <w:sz w:val="22"/>
          <w:szCs w:val="22"/>
          <w:lang w:val="en-AU"/>
        </w:rPr>
        <w:t xml:space="preserve"> </w:t>
      </w:r>
      <w:r w:rsidR="00B64C77" w:rsidRPr="00D407F8">
        <w:rPr>
          <w:color w:val="000000"/>
          <w:sz w:val="22"/>
          <w:szCs w:val="22"/>
          <w:lang w:val="en-AU"/>
        </w:rPr>
        <w:t xml:space="preserve">The total allowable commercial catch for each quota species for the fishing season commencing on 1 February 2022 and ending on 31 January 2023 was determined by the </w:t>
      </w:r>
      <w:r w:rsidR="00B64C77" w:rsidRPr="006D23A7">
        <w:rPr>
          <w:i/>
          <w:iCs/>
          <w:color w:val="000000"/>
          <w:sz w:val="22"/>
          <w:szCs w:val="22"/>
          <w:lang w:val="en-AU"/>
        </w:rPr>
        <w:t>Western Tuna and Billfish Total Allowable Commercial Catch Determination</w:t>
      </w:r>
      <w:r w:rsidR="00B64C77" w:rsidRPr="00D407F8">
        <w:rPr>
          <w:color w:val="000000"/>
          <w:sz w:val="22"/>
          <w:szCs w:val="22"/>
          <w:lang w:val="en-AU"/>
        </w:rPr>
        <w:t xml:space="preserve"> 2022</w:t>
      </w:r>
      <w:r w:rsidR="00B64C77">
        <w:rPr>
          <w:rStyle w:val="FootnoteReference"/>
          <w:i/>
          <w:iCs/>
        </w:rPr>
        <w:footnoteReference w:id="2"/>
      </w:r>
      <w:r w:rsidR="00B64C77" w:rsidRPr="00032951">
        <w:t xml:space="preserve">.  </w:t>
      </w:r>
    </w:p>
    <w:p w14:paraId="6CD32377" w14:textId="77777777" w:rsidR="00A17161" w:rsidRDefault="00A17161" w:rsidP="00A17161">
      <w:pPr>
        <w:autoSpaceDE w:val="0"/>
        <w:autoSpaceDN w:val="0"/>
        <w:adjustRightInd w:val="0"/>
        <w:rPr>
          <w:b/>
          <w:bCs/>
          <w:sz w:val="22"/>
          <w:szCs w:val="22"/>
        </w:rPr>
      </w:pPr>
    </w:p>
    <w:p w14:paraId="7B048144" w14:textId="77777777" w:rsidR="00A17161" w:rsidRPr="00465A3D" w:rsidRDefault="00A17161" w:rsidP="00A17161">
      <w:pPr>
        <w:autoSpaceDE w:val="0"/>
        <w:autoSpaceDN w:val="0"/>
        <w:adjustRightInd w:val="0"/>
        <w:rPr>
          <w:b/>
          <w:bCs/>
          <w:sz w:val="22"/>
          <w:szCs w:val="22"/>
        </w:rPr>
      </w:pPr>
      <w:r w:rsidRPr="00465A3D">
        <w:rPr>
          <w:b/>
          <w:bCs/>
          <w:sz w:val="22"/>
          <w:szCs w:val="22"/>
        </w:rPr>
        <w:t>Consultation</w:t>
      </w:r>
    </w:p>
    <w:p w14:paraId="76E0036A" w14:textId="77777777" w:rsidR="00A17161" w:rsidRPr="00465A3D" w:rsidRDefault="00A17161" w:rsidP="00A17161">
      <w:pPr>
        <w:autoSpaceDE w:val="0"/>
        <w:autoSpaceDN w:val="0"/>
        <w:adjustRightInd w:val="0"/>
        <w:rPr>
          <w:b/>
          <w:bCs/>
          <w:sz w:val="22"/>
          <w:szCs w:val="22"/>
        </w:rPr>
      </w:pPr>
    </w:p>
    <w:p w14:paraId="34897DAD" w14:textId="2AF3A29F" w:rsidR="00D407F8" w:rsidRDefault="00A17161" w:rsidP="00A17161">
      <w:pPr>
        <w:spacing w:after="120"/>
        <w:jc w:val="both"/>
      </w:pPr>
      <w:r w:rsidRPr="00465A3D">
        <w:rPr>
          <w:sz w:val="22"/>
          <w:szCs w:val="22"/>
          <w:lang w:val="en-AU"/>
        </w:rPr>
        <w:t xml:space="preserve">There has been extensive consultation to establish </w:t>
      </w:r>
      <w:r>
        <w:rPr>
          <w:sz w:val="22"/>
          <w:szCs w:val="22"/>
          <w:lang w:val="en-AU"/>
        </w:rPr>
        <w:t>the overcatch/undercatch percentages and weights</w:t>
      </w:r>
      <w:r w:rsidRPr="00465A3D">
        <w:rPr>
          <w:sz w:val="22"/>
          <w:szCs w:val="22"/>
          <w:lang w:val="en-AU"/>
        </w:rPr>
        <w:t xml:space="preserve">. The WTBF harvest strategy could not be implemented, due to lack of input data, to produce the Recommended Biological Commercial Catch (RBCC) for each quota species. Therefore, the results of the species stock assessments conducted on the Indian Ocean Tuna Commission stock, were considered by </w:t>
      </w:r>
      <w:r w:rsidR="00443D69" w:rsidRPr="00443D69">
        <w:rPr>
          <w:sz w:val="22"/>
          <w:szCs w:val="22"/>
          <w:lang w:val="en-AU"/>
        </w:rPr>
        <w:t>the Tropical Tuna Resource Assessment Group (TTRAG)</w:t>
      </w:r>
      <w:r w:rsidR="00BC413C">
        <w:rPr>
          <w:sz w:val="22"/>
          <w:szCs w:val="22"/>
          <w:lang w:val="en-AU"/>
        </w:rPr>
        <w:t xml:space="preserve"> </w:t>
      </w:r>
      <w:r w:rsidR="009F68B0" w:rsidRPr="526097EB">
        <w:rPr>
          <w:sz w:val="22"/>
          <w:szCs w:val="22"/>
          <w:lang w:val="en-AU"/>
        </w:rPr>
        <w:t>when</w:t>
      </w:r>
      <w:r w:rsidR="009F68B0">
        <w:rPr>
          <w:sz w:val="22"/>
          <w:szCs w:val="22"/>
          <w:lang w:val="en-AU"/>
        </w:rPr>
        <w:t xml:space="preserve"> determining RBCCs for the W</w:t>
      </w:r>
      <w:r w:rsidR="008A7FFB">
        <w:rPr>
          <w:sz w:val="22"/>
          <w:szCs w:val="22"/>
          <w:lang w:val="en-AU"/>
        </w:rPr>
        <w:t>TBF commercial species</w:t>
      </w:r>
      <w:r w:rsidR="00443D69">
        <w:rPr>
          <w:sz w:val="22"/>
          <w:szCs w:val="22"/>
          <w:lang w:val="en-AU"/>
        </w:rPr>
        <w:t>.</w:t>
      </w:r>
      <w:r w:rsidR="00443D69" w:rsidRPr="00443D69">
        <w:t xml:space="preserve"> </w:t>
      </w:r>
    </w:p>
    <w:p w14:paraId="0AEFE123" w14:textId="3449430B" w:rsidR="00A17161" w:rsidRPr="00465A3D" w:rsidRDefault="7A56075F" w:rsidP="00A17161">
      <w:pPr>
        <w:spacing w:after="120"/>
        <w:jc w:val="both"/>
        <w:rPr>
          <w:sz w:val="22"/>
          <w:szCs w:val="22"/>
          <w:lang w:val="en-AU"/>
        </w:rPr>
      </w:pPr>
      <w:r w:rsidRPr="53FBC3C5">
        <w:rPr>
          <w:sz w:val="22"/>
          <w:szCs w:val="22"/>
          <w:lang w:val="en-AU"/>
        </w:rPr>
        <w:t>AFMA’s Resource Assessment Groups (RAGs) are the key research and scientific committees for supporting the management of Commonwealth fisheries. The main function of RAGs is to peer review scientific data and information and provide advice to AFMA on the status of fish stocks, sub-stocks, species (target and non-target species), the economic status of fisheries and the impact of fishing on the marine environment. This advice assists the Authority in its role to regulate commercial fishing of Commonwealth fisheries.</w:t>
      </w:r>
      <w:r w:rsidR="755F0C3E" w:rsidRPr="53FBC3C5">
        <w:rPr>
          <w:sz w:val="22"/>
          <w:szCs w:val="22"/>
          <w:lang w:val="en-AU"/>
        </w:rPr>
        <w:t xml:space="preserve"> </w:t>
      </w:r>
      <w:r w:rsidR="1C23C6C8" w:rsidRPr="53FBC3C5">
        <w:rPr>
          <w:sz w:val="22"/>
          <w:szCs w:val="22"/>
          <w:lang w:val="en-AU"/>
        </w:rPr>
        <w:t xml:space="preserve">The stock assessments provide the best scientific advice on what the total mortality should be for each species or stock, taking into account fishing and natural mortality and any ecological implications of harvesting the species. </w:t>
      </w:r>
    </w:p>
    <w:p w14:paraId="2CD28A37" w14:textId="53A0B529" w:rsidR="00D91804" w:rsidRDefault="7E141F00" w:rsidP="00D91804">
      <w:pPr>
        <w:spacing w:after="120"/>
        <w:jc w:val="both"/>
        <w:rPr>
          <w:sz w:val="22"/>
          <w:szCs w:val="22"/>
          <w:lang w:val="en-AU"/>
        </w:rPr>
      </w:pPr>
      <w:r w:rsidRPr="53FBC3C5">
        <w:rPr>
          <w:sz w:val="22"/>
          <w:szCs w:val="22"/>
          <w:lang w:val="en-AU"/>
        </w:rPr>
        <w:t xml:space="preserve">AFMA’s Management Advisory Committees (MACs) are statutory bodies that provide AFMA with management advice. TTMAC membership is made up of representatives from the fishing industry, scientists, conservation groups, the recreational fishing sector and AFMA. </w:t>
      </w:r>
      <w:r w:rsidR="005C7DE8">
        <w:rPr>
          <w:sz w:val="22"/>
          <w:szCs w:val="22"/>
          <w:lang w:val="en-AU"/>
        </w:rPr>
        <w:t>MAC</w:t>
      </w:r>
      <w:r w:rsidRPr="53FBC3C5">
        <w:rPr>
          <w:sz w:val="22"/>
          <w:szCs w:val="22"/>
          <w:lang w:val="en-AU"/>
        </w:rPr>
        <w:t xml:space="preserve"> advice is used to inform AFMA’s management decisions</w:t>
      </w:r>
      <w:r w:rsidR="0A828506" w:rsidRPr="53FBC3C5">
        <w:rPr>
          <w:sz w:val="22"/>
          <w:szCs w:val="22"/>
          <w:lang w:val="en-AU"/>
        </w:rPr>
        <w:t xml:space="preserve"> including overcatch and undercatch parameters</w:t>
      </w:r>
      <w:r w:rsidRPr="53FBC3C5">
        <w:rPr>
          <w:sz w:val="22"/>
          <w:szCs w:val="22"/>
          <w:lang w:val="en-AU"/>
        </w:rPr>
        <w:t xml:space="preserve"> and continues to be the main source of advice on the management of Commonwealth fisheries.</w:t>
      </w:r>
      <w:r w:rsidR="755F0C3E" w:rsidRPr="53FBC3C5">
        <w:rPr>
          <w:sz w:val="22"/>
          <w:szCs w:val="22"/>
          <w:lang w:val="en-AU"/>
        </w:rPr>
        <w:t xml:space="preserve"> </w:t>
      </w:r>
      <w:r w:rsidR="00D91804">
        <w:rPr>
          <w:sz w:val="22"/>
          <w:szCs w:val="22"/>
          <w:lang w:val="en-AU"/>
        </w:rPr>
        <w:lastRenderedPageBreak/>
        <w:t xml:space="preserve">Advice from TTRAG was considered by the Tropical Tuna Management Advisory Committee </w:t>
      </w:r>
      <w:r w:rsidR="008A7FFB">
        <w:rPr>
          <w:sz w:val="22"/>
          <w:szCs w:val="22"/>
          <w:lang w:val="en-AU"/>
        </w:rPr>
        <w:t>(</w:t>
      </w:r>
      <w:r w:rsidR="00D91804">
        <w:rPr>
          <w:sz w:val="22"/>
          <w:szCs w:val="22"/>
          <w:lang w:val="en-AU"/>
        </w:rPr>
        <w:t>TTMAC</w:t>
      </w:r>
      <w:r w:rsidR="008A7FFB">
        <w:rPr>
          <w:sz w:val="22"/>
          <w:szCs w:val="22"/>
          <w:lang w:val="en-AU"/>
        </w:rPr>
        <w:t>)</w:t>
      </w:r>
      <w:r w:rsidR="008A7FFB" w:rsidRPr="526097EB">
        <w:rPr>
          <w:sz w:val="22"/>
          <w:szCs w:val="22"/>
          <w:lang w:val="en-AU"/>
        </w:rPr>
        <w:t xml:space="preserve"> when it</w:t>
      </w:r>
      <w:r w:rsidR="00D91804">
        <w:rPr>
          <w:sz w:val="22"/>
          <w:szCs w:val="22"/>
          <w:lang w:val="en-AU"/>
        </w:rPr>
        <w:t xml:space="preserve"> discussed </w:t>
      </w:r>
      <w:r w:rsidR="00681375">
        <w:rPr>
          <w:sz w:val="22"/>
          <w:szCs w:val="22"/>
          <w:lang w:val="en-AU"/>
        </w:rPr>
        <w:t>RBCCs, the Total Allowable Commercial Catch</w:t>
      </w:r>
      <w:r w:rsidR="003774C3">
        <w:rPr>
          <w:sz w:val="22"/>
          <w:szCs w:val="22"/>
          <w:lang w:val="en-AU"/>
        </w:rPr>
        <w:t xml:space="preserve">, and </w:t>
      </w:r>
      <w:r w:rsidR="00D91804">
        <w:rPr>
          <w:sz w:val="22"/>
          <w:szCs w:val="22"/>
          <w:lang w:val="en-AU"/>
        </w:rPr>
        <w:t>the overcatch and undercatch percentages and weights</w:t>
      </w:r>
      <w:r w:rsidR="00974A33">
        <w:rPr>
          <w:sz w:val="22"/>
          <w:szCs w:val="22"/>
          <w:lang w:val="en-AU"/>
        </w:rPr>
        <w:t xml:space="preserve"> in </w:t>
      </w:r>
      <w:r w:rsidR="00EB60D0">
        <w:rPr>
          <w:sz w:val="22"/>
          <w:szCs w:val="22"/>
          <w:lang w:val="en-AU"/>
        </w:rPr>
        <w:t>October 2021</w:t>
      </w:r>
      <w:r w:rsidR="00D91804">
        <w:rPr>
          <w:sz w:val="22"/>
          <w:szCs w:val="22"/>
          <w:lang w:val="en-AU"/>
        </w:rPr>
        <w:t xml:space="preserve">. </w:t>
      </w:r>
    </w:p>
    <w:p w14:paraId="240D3A1F" w14:textId="1CB7B670" w:rsidR="00D91804" w:rsidRDefault="00D91804" w:rsidP="00D91804">
      <w:pPr>
        <w:spacing w:after="120"/>
        <w:jc w:val="both"/>
        <w:rPr>
          <w:sz w:val="22"/>
          <w:szCs w:val="22"/>
          <w:lang w:val="en-AU"/>
        </w:rPr>
      </w:pPr>
      <w:r>
        <w:rPr>
          <w:sz w:val="22"/>
          <w:szCs w:val="22"/>
          <w:lang w:val="en-AU"/>
        </w:rPr>
        <w:t xml:space="preserve">The recommended undercatch and overcatch percentages and weights for all species in the WTBF were then sent to the Authority’s Commission for determination along with advice from TTMAC </w:t>
      </w:r>
      <w:r w:rsidR="00EB60D0">
        <w:rPr>
          <w:sz w:val="22"/>
          <w:szCs w:val="22"/>
          <w:lang w:val="en-AU"/>
        </w:rPr>
        <w:t>in March 2022</w:t>
      </w:r>
      <w:r>
        <w:rPr>
          <w:sz w:val="22"/>
          <w:szCs w:val="22"/>
          <w:lang w:val="en-AU"/>
        </w:rPr>
        <w:t xml:space="preserve">. </w:t>
      </w:r>
    </w:p>
    <w:p w14:paraId="5558055C" w14:textId="77777777" w:rsidR="00D91804" w:rsidRPr="005D0E68" w:rsidRDefault="00D91804" w:rsidP="53FBC3C5">
      <w:pPr>
        <w:spacing w:after="120"/>
        <w:jc w:val="both"/>
        <w:rPr>
          <w:sz w:val="22"/>
          <w:szCs w:val="22"/>
          <w:lang w:val="en-AU"/>
        </w:rPr>
      </w:pPr>
    </w:p>
    <w:p w14:paraId="1574F38B" w14:textId="77777777" w:rsidR="00A17161" w:rsidRPr="0092602F" w:rsidRDefault="00A17161" w:rsidP="00A17161">
      <w:pPr>
        <w:pStyle w:val="AFMANormal"/>
        <w:keepNext/>
        <w:spacing w:before="0" w:after="240"/>
        <w:rPr>
          <w:b/>
          <w:sz w:val="22"/>
          <w:szCs w:val="22"/>
        </w:rPr>
      </w:pPr>
      <w:r w:rsidRPr="0092602F">
        <w:rPr>
          <w:b/>
          <w:sz w:val="22"/>
          <w:szCs w:val="22"/>
        </w:rPr>
        <w:t>Regulation Impact Statement</w:t>
      </w:r>
    </w:p>
    <w:p w14:paraId="6339E400" w14:textId="143B1DA0" w:rsidR="00F55B19" w:rsidRPr="00C6673C" w:rsidRDefault="00F55B19" w:rsidP="00F55B19">
      <w:pPr>
        <w:pStyle w:val="Default"/>
        <w:jc w:val="both"/>
        <w:rPr>
          <w:rFonts w:ascii="Times New Roman" w:hAnsi="Times New Roman" w:cs="Times New Roman"/>
          <w:sz w:val="22"/>
          <w:szCs w:val="22"/>
        </w:rPr>
      </w:pPr>
      <w:r w:rsidRPr="448CE0C4">
        <w:rPr>
          <w:rFonts w:ascii="Times New Roman" w:hAnsi="Times New Roman" w:cs="Times New Roman"/>
          <w:sz w:val="22"/>
          <w:szCs w:val="22"/>
        </w:rPr>
        <w:t>The Office of Best Practice Regulation has previously identified that decisions by AFMA including on setting total allowable catch (TAC)</w:t>
      </w:r>
      <w:r w:rsidR="006A64B9">
        <w:rPr>
          <w:rFonts w:ascii="Times New Roman" w:hAnsi="Times New Roman" w:cs="Times New Roman"/>
          <w:sz w:val="22"/>
          <w:szCs w:val="22"/>
        </w:rPr>
        <w:t xml:space="preserve">, </w:t>
      </w:r>
      <w:r w:rsidRPr="448CE0C4">
        <w:rPr>
          <w:rFonts w:ascii="Times New Roman" w:hAnsi="Times New Roman" w:cs="Times New Roman"/>
          <w:sz w:val="22"/>
          <w:szCs w:val="22"/>
        </w:rPr>
        <w:t xml:space="preserve">setting opening and closing dates for a fishing season and setting undercatch and overcatch provisions in a fishery do not require a Regulation Impact Statement. Such decisions are considered to be machinery in nature and are included in an approved carve-out (OBPR reference no. 14421) reflecting where AFMA is required to make decisions under current regulatory settings and follow certain procedures when making those decisions. </w:t>
      </w:r>
    </w:p>
    <w:p w14:paraId="7FB1294B" w14:textId="52005F63" w:rsidR="00096BE0" w:rsidRPr="00505FFE" w:rsidRDefault="00A17161" w:rsidP="00A17161">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14:paraId="11845B44" w14:textId="77777777" w:rsidR="00A17161" w:rsidRPr="00505FFE" w:rsidRDefault="00A17161" w:rsidP="00E93791">
      <w:pPr>
        <w:spacing w:before="100" w:beforeAutospacing="1" w:after="100" w:afterAutospacing="1"/>
        <w:jc w:val="both"/>
        <w:rPr>
          <w:rFonts w:ascii="Helvetica Neue" w:hAnsi="Helvetica Neue"/>
          <w:sz w:val="22"/>
          <w:szCs w:val="22"/>
        </w:rPr>
      </w:pPr>
      <w:r w:rsidRPr="448CE0C4">
        <w:rPr>
          <w:sz w:val="22"/>
          <w:szCs w:val="22"/>
        </w:rPr>
        <w:t xml:space="preserve">The Authority assesses under section 3 of the </w:t>
      </w:r>
      <w:r w:rsidRPr="448CE0C4">
        <w:rPr>
          <w:i/>
          <w:iCs/>
          <w:sz w:val="22"/>
          <w:szCs w:val="22"/>
        </w:rPr>
        <w:t xml:space="preserve">Human Rights (Parliamentary Scrutiny) Act 2011 </w:t>
      </w:r>
      <w:r w:rsidRPr="448CE0C4">
        <w:rPr>
          <w:sz w:val="22"/>
          <w:szCs w:val="22"/>
        </w:rPr>
        <w:t xml:space="preserve">that this legislative instrument is compatible with human rights. The Authority’s Statement of Compatibility is attached as a supporting document.  </w:t>
      </w:r>
    </w:p>
    <w:p w14:paraId="1DAE04DD" w14:textId="77777777" w:rsidR="00A17161" w:rsidRPr="00465A3D" w:rsidRDefault="00A17161" w:rsidP="00A17161">
      <w:pPr>
        <w:spacing w:before="100" w:beforeAutospacing="1" w:after="100" w:afterAutospacing="1"/>
        <w:jc w:val="both"/>
        <w:rPr>
          <w:b/>
          <w:sz w:val="22"/>
          <w:szCs w:val="22"/>
          <w:lang w:val="en-AU"/>
        </w:rPr>
      </w:pPr>
      <w:r w:rsidRPr="00465A3D">
        <w:rPr>
          <w:b/>
          <w:sz w:val="22"/>
          <w:szCs w:val="22"/>
          <w:lang w:val="en-AU"/>
        </w:rPr>
        <w:t xml:space="preserve">The Commission’s </w:t>
      </w:r>
      <w:r>
        <w:rPr>
          <w:b/>
          <w:sz w:val="22"/>
          <w:szCs w:val="22"/>
          <w:lang w:val="en-AU"/>
        </w:rPr>
        <w:t>D</w:t>
      </w:r>
      <w:r w:rsidRPr="00465A3D">
        <w:rPr>
          <w:b/>
          <w:sz w:val="22"/>
          <w:szCs w:val="22"/>
          <w:lang w:val="en-AU"/>
        </w:rPr>
        <w:t>ecision</w:t>
      </w:r>
    </w:p>
    <w:p w14:paraId="37FD5EDD" w14:textId="2B6DD4EE" w:rsidR="00A17161" w:rsidRPr="00465A3D" w:rsidRDefault="00A17161" w:rsidP="00A17161">
      <w:pPr>
        <w:autoSpaceDE w:val="0"/>
        <w:autoSpaceDN w:val="0"/>
        <w:adjustRightInd w:val="0"/>
        <w:spacing w:after="120"/>
        <w:jc w:val="both"/>
        <w:rPr>
          <w:color w:val="000000"/>
          <w:sz w:val="22"/>
          <w:szCs w:val="22"/>
          <w:lang w:val="en-AU"/>
        </w:rPr>
      </w:pPr>
      <w:r w:rsidRPr="00465A3D">
        <w:rPr>
          <w:color w:val="000000"/>
          <w:sz w:val="22"/>
          <w:szCs w:val="22"/>
          <w:lang w:val="en-AU"/>
        </w:rPr>
        <w:t xml:space="preserve">The </w:t>
      </w:r>
      <w:r>
        <w:rPr>
          <w:color w:val="000000"/>
          <w:sz w:val="22"/>
          <w:szCs w:val="22"/>
          <w:lang w:val="en-AU"/>
        </w:rPr>
        <w:t>Authority’s</w:t>
      </w:r>
      <w:r w:rsidRPr="00465A3D">
        <w:rPr>
          <w:color w:val="000000"/>
          <w:sz w:val="22"/>
          <w:szCs w:val="22"/>
          <w:lang w:val="en-AU"/>
        </w:rPr>
        <w:t xml:space="preserve"> Commission determined the undercatch and overcatch percentages and determined </w:t>
      </w:r>
      <w:r>
        <w:rPr>
          <w:color w:val="000000"/>
          <w:sz w:val="22"/>
          <w:szCs w:val="22"/>
          <w:lang w:val="en-AU"/>
        </w:rPr>
        <w:t>weight</w:t>
      </w:r>
      <w:r w:rsidRPr="00465A3D">
        <w:rPr>
          <w:color w:val="000000"/>
          <w:sz w:val="22"/>
          <w:szCs w:val="22"/>
          <w:lang w:val="en-AU"/>
        </w:rPr>
        <w:t xml:space="preserve"> at its meeting </w:t>
      </w:r>
      <w:r w:rsidRPr="00945FF9">
        <w:rPr>
          <w:color w:val="000000"/>
          <w:sz w:val="22"/>
          <w:szCs w:val="22"/>
          <w:lang w:val="en-AU"/>
        </w:rPr>
        <w:t>on</w:t>
      </w:r>
      <w:r w:rsidR="002025F9">
        <w:rPr>
          <w:color w:val="000000"/>
          <w:sz w:val="22"/>
          <w:szCs w:val="22"/>
          <w:lang w:val="en-AU"/>
        </w:rPr>
        <w:t xml:space="preserve"> </w:t>
      </w:r>
      <w:r w:rsidR="00C639CA">
        <w:rPr>
          <w:color w:val="000000"/>
          <w:sz w:val="22"/>
          <w:szCs w:val="22"/>
          <w:lang w:val="en-AU"/>
        </w:rPr>
        <w:t>15-16 March 2022</w:t>
      </w:r>
      <w:r w:rsidRPr="00C40CEF">
        <w:rPr>
          <w:color w:val="000000"/>
          <w:sz w:val="22"/>
          <w:szCs w:val="22"/>
          <w:lang w:val="en-AU"/>
        </w:rPr>
        <w:t>.</w:t>
      </w:r>
      <w:r w:rsidRPr="00465A3D">
        <w:rPr>
          <w:color w:val="000000"/>
          <w:sz w:val="22"/>
          <w:szCs w:val="22"/>
          <w:lang w:val="en-AU"/>
        </w:rPr>
        <w:t xml:space="preserve"> </w:t>
      </w:r>
    </w:p>
    <w:p w14:paraId="0E2D1031" w14:textId="77777777" w:rsidR="00A17161" w:rsidRPr="00465A3D" w:rsidRDefault="00A17161" w:rsidP="00A17161">
      <w:pPr>
        <w:spacing w:before="100" w:beforeAutospacing="1" w:after="100" w:afterAutospacing="1"/>
        <w:jc w:val="both"/>
        <w:rPr>
          <w:sz w:val="22"/>
          <w:szCs w:val="22"/>
          <w:lang w:val="en-AU"/>
        </w:rPr>
      </w:pPr>
      <w:r w:rsidRPr="00465A3D">
        <w:rPr>
          <w:sz w:val="22"/>
          <w:szCs w:val="22"/>
          <w:lang w:val="en-AU"/>
        </w:rPr>
        <w:t xml:space="preserve">The Commission was satisfied that the percentages and amount it determined were consistent with </w:t>
      </w:r>
      <w:r>
        <w:rPr>
          <w:sz w:val="22"/>
          <w:szCs w:val="22"/>
          <w:lang w:val="en-AU"/>
        </w:rPr>
        <w:t>the Authority’s</w:t>
      </w:r>
      <w:r w:rsidRPr="00465A3D">
        <w:rPr>
          <w:sz w:val="22"/>
          <w:szCs w:val="22"/>
          <w:lang w:val="en-AU"/>
        </w:rPr>
        <w:t xml:space="preserve"> obligation to pursue its statutory objectives, specified in section 3 of the Act and section 6 of the </w:t>
      </w:r>
      <w:r w:rsidRPr="002B791F">
        <w:rPr>
          <w:i/>
          <w:sz w:val="22"/>
          <w:szCs w:val="22"/>
          <w:lang w:val="en-AU"/>
        </w:rPr>
        <w:t>Fisheries Administration Act 1991</w:t>
      </w:r>
      <w:r w:rsidRPr="00465A3D">
        <w:rPr>
          <w:sz w:val="22"/>
          <w:szCs w:val="22"/>
          <w:lang w:val="en-AU"/>
        </w:rPr>
        <w:t xml:space="preserve">.  </w:t>
      </w:r>
    </w:p>
    <w:p w14:paraId="57DD0322" w14:textId="183DF62D" w:rsidR="00A17161" w:rsidRPr="00F55B19" w:rsidRDefault="00A17161" w:rsidP="00A17161">
      <w:pPr>
        <w:autoSpaceDE w:val="0"/>
        <w:autoSpaceDN w:val="0"/>
        <w:adjustRightInd w:val="0"/>
        <w:spacing w:line="360" w:lineRule="auto"/>
        <w:rPr>
          <w:sz w:val="22"/>
          <w:szCs w:val="22"/>
        </w:rPr>
      </w:pPr>
      <w:r w:rsidRPr="448CE0C4">
        <w:rPr>
          <w:sz w:val="22"/>
          <w:szCs w:val="22"/>
        </w:rPr>
        <w:t xml:space="preserve">Details of the </w:t>
      </w:r>
      <w:r w:rsidR="607DB987" w:rsidRPr="448CE0C4">
        <w:rPr>
          <w:sz w:val="22"/>
          <w:szCs w:val="22"/>
        </w:rPr>
        <w:t>Instrument</w:t>
      </w:r>
      <w:r w:rsidRPr="448CE0C4">
        <w:rPr>
          <w:sz w:val="22"/>
          <w:szCs w:val="22"/>
        </w:rPr>
        <w:t xml:space="preserve"> are set out below:</w:t>
      </w:r>
    </w:p>
    <w:p w14:paraId="54CE19E6" w14:textId="77777777" w:rsidR="00A17161" w:rsidRPr="00F55B19" w:rsidRDefault="00A17161" w:rsidP="00A17161">
      <w:pPr>
        <w:autoSpaceDE w:val="0"/>
        <w:autoSpaceDN w:val="0"/>
        <w:adjustRightInd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33"/>
        <w:gridCol w:w="7307"/>
      </w:tblGrid>
      <w:tr w:rsidR="00A17161" w:rsidRPr="00F55B19" w14:paraId="343E8EC7" w14:textId="77777777" w:rsidTr="294541C3">
        <w:tc>
          <w:tcPr>
            <w:tcW w:w="1333" w:type="dxa"/>
          </w:tcPr>
          <w:p w14:paraId="01C471A3" w14:textId="77777777" w:rsidR="00A17161" w:rsidRPr="00F55B19" w:rsidRDefault="00A17161" w:rsidP="005650AF">
            <w:pPr>
              <w:pStyle w:val="AFMANormal"/>
              <w:keepNext/>
              <w:spacing w:before="0" w:after="240"/>
              <w:rPr>
                <w:b/>
                <w:i/>
                <w:sz w:val="22"/>
                <w:szCs w:val="22"/>
              </w:rPr>
            </w:pPr>
            <w:r w:rsidRPr="00F55B19">
              <w:rPr>
                <w:b/>
                <w:i/>
                <w:sz w:val="22"/>
                <w:szCs w:val="22"/>
              </w:rPr>
              <w:t>Clause 1</w:t>
            </w:r>
          </w:p>
        </w:tc>
        <w:tc>
          <w:tcPr>
            <w:tcW w:w="7307" w:type="dxa"/>
          </w:tcPr>
          <w:p w14:paraId="68482EF6" w14:textId="06500D45" w:rsidR="00A17161" w:rsidRPr="00F55B19" w:rsidRDefault="00A17161" w:rsidP="00B87F3C">
            <w:pPr>
              <w:pStyle w:val="AFMANormal"/>
              <w:keepNext/>
              <w:spacing w:before="0" w:after="240"/>
              <w:rPr>
                <w:sz w:val="22"/>
                <w:szCs w:val="22"/>
              </w:rPr>
            </w:pPr>
            <w:r w:rsidRPr="448CE0C4">
              <w:rPr>
                <w:sz w:val="22"/>
                <w:szCs w:val="22"/>
              </w:rPr>
              <w:t xml:space="preserve">Provides for the </w:t>
            </w:r>
            <w:r w:rsidR="20553553" w:rsidRPr="448CE0C4">
              <w:rPr>
                <w:sz w:val="22"/>
                <w:szCs w:val="22"/>
              </w:rPr>
              <w:t xml:space="preserve">Instrument </w:t>
            </w:r>
            <w:r w:rsidRPr="448CE0C4">
              <w:rPr>
                <w:sz w:val="22"/>
                <w:szCs w:val="22"/>
              </w:rPr>
              <w:t xml:space="preserve">to be cited as the </w:t>
            </w:r>
            <w:r w:rsidRPr="448CE0C4">
              <w:rPr>
                <w:i/>
                <w:iCs/>
                <w:sz w:val="22"/>
                <w:szCs w:val="22"/>
              </w:rPr>
              <w:t xml:space="preserve">Western Tuna and Billfish Fishery </w:t>
            </w:r>
            <w:r w:rsidR="51E54DC0" w:rsidRPr="448CE0C4">
              <w:rPr>
                <w:i/>
                <w:iCs/>
                <w:sz w:val="22"/>
                <w:szCs w:val="22"/>
              </w:rPr>
              <w:t>(</w:t>
            </w:r>
            <w:r w:rsidRPr="448CE0C4">
              <w:rPr>
                <w:i/>
                <w:iCs/>
                <w:sz w:val="22"/>
                <w:szCs w:val="22"/>
              </w:rPr>
              <w:t>Overcatch and Undercatch</w:t>
            </w:r>
            <w:r w:rsidR="51E54DC0" w:rsidRPr="448CE0C4">
              <w:rPr>
                <w:i/>
                <w:iCs/>
                <w:sz w:val="22"/>
                <w:szCs w:val="22"/>
              </w:rPr>
              <w:t>)</w:t>
            </w:r>
            <w:r w:rsidR="00041DC7" w:rsidRPr="448CE0C4">
              <w:rPr>
                <w:i/>
                <w:iCs/>
                <w:sz w:val="22"/>
                <w:szCs w:val="22"/>
              </w:rPr>
              <w:t xml:space="preserve"> Determination 202</w:t>
            </w:r>
            <w:r w:rsidR="00C639CA">
              <w:rPr>
                <w:i/>
                <w:iCs/>
                <w:sz w:val="22"/>
                <w:szCs w:val="22"/>
              </w:rPr>
              <w:t>2</w:t>
            </w:r>
            <w:r w:rsidRPr="448CE0C4">
              <w:rPr>
                <w:sz w:val="22"/>
                <w:szCs w:val="22"/>
              </w:rPr>
              <w:t>.</w:t>
            </w:r>
          </w:p>
        </w:tc>
      </w:tr>
      <w:tr w:rsidR="00A17161" w:rsidRPr="00F55B19" w14:paraId="23631CE9" w14:textId="77777777" w:rsidTr="294541C3">
        <w:tc>
          <w:tcPr>
            <w:tcW w:w="1350" w:type="dxa"/>
          </w:tcPr>
          <w:p w14:paraId="5EF838FD" w14:textId="77777777" w:rsidR="00A17161" w:rsidRPr="00F55B19" w:rsidRDefault="00A17161" w:rsidP="005650AF">
            <w:pPr>
              <w:pStyle w:val="AFMANormal"/>
              <w:spacing w:before="0" w:after="240"/>
              <w:rPr>
                <w:b/>
                <w:i/>
                <w:sz w:val="22"/>
                <w:szCs w:val="22"/>
              </w:rPr>
            </w:pPr>
            <w:r w:rsidRPr="00F55B19">
              <w:rPr>
                <w:b/>
                <w:i/>
                <w:sz w:val="22"/>
                <w:szCs w:val="22"/>
              </w:rPr>
              <w:t>Clause 2</w:t>
            </w:r>
          </w:p>
        </w:tc>
        <w:tc>
          <w:tcPr>
            <w:tcW w:w="7506" w:type="dxa"/>
          </w:tcPr>
          <w:p w14:paraId="73AF33CC" w14:textId="1579A0BA" w:rsidR="00A17161" w:rsidRPr="00F55B19" w:rsidRDefault="00A17161" w:rsidP="00E80639">
            <w:pPr>
              <w:pStyle w:val="AFMANormal"/>
              <w:spacing w:before="0" w:after="240"/>
              <w:rPr>
                <w:sz w:val="22"/>
                <w:szCs w:val="22"/>
              </w:rPr>
            </w:pPr>
            <w:r w:rsidRPr="448CE0C4">
              <w:rPr>
                <w:sz w:val="22"/>
                <w:szCs w:val="22"/>
              </w:rPr>
              <w:t xml:space="preserve">Provides that the </w:t>
            </w:r>
            <w:r w:rsidR="52CEA76D" w:rsidRPr="448CE0C4">
              <w:rPr>
                <w:sz w:val="22"/>
                <w:szCs w:val="22"/>
              </w:rPr>
              <w:t>Instrument</w:t>
            </w:r>
            <w:r w:rsidRPr="448CE0C4">
              <w:rPr>
                <w:sz w:val="22"/>
                <w:szCs w:val="22"/>
              </w:rPr>
              <w:t xml:space="preserve"> commences on the day after registration on the Federal Register of Legislati</w:t>
            </w:r>
            <w:r w:rsidR="51E54DC0" w:rsidRPr="448CE0C4">
              <w:rPr>
                <w:sz w:val="22"/>
                <w:szCs w:val="22"/>
              </w:rPr>
              <w:t>on</w:t>
            </w:r>
            <w:r w:rsidRPr="448CE0C4">
              <w:rPr>
                <w:sz w:val="22"/>
                <w:szCs w:val="22"/>
              </w:rPr>
              <w:t>.</w:t>
            </w:r>
          </w:p>
        </w:tc>
      </w:tr>
      <w:tr w:rsidR="00A17161" w:rsidRPr="00F55B19" w14:paraId="1C68ADCA" w14:textId="77777777" w:rsidTr="294541C3">
        <w:tc>
          <w:tcPr>
            <w:tcW w:w="1350" w:type="dxa"/>
          </w:tcPr>
          <w:p w14:paraId="2C58DD9A" w14:textId="7E084728" w:rsidR="00E80639" w:rsidRPr="00F55B19" w:rsidRDefault="00A17161" w:rsidP="00E80639">
            <w:pPr>
              <w:pStyle w:val="AFMANormal"/>
              <w:keepNext/>
              <w:spacing w:before="0" w:after="240"/>
              <w:rPr>
                <w:b/>
                <w:i/>
                <w:sz w:val="22"/>
                <w:szCs w:val="22"/>
              </w:rPr>
            </w:pPr>
            <w:r w:rsidRPr="00F55B19">
              <w:rPr>
                <w:b/>
                <w:i/>
                <w:sz w:val="22"/>
                <w:szCs w:val="22"/>
              </w:rPr>
              <w:t>Clause 3</w:t>
            </w:r>
          </w:p>
        </w:tc>
        <w:tc>
          <w:tcPr>
            <w:tcW w:w="7506" w:type="dxa"/>
          </w:tcPr>
          <w:p w14:paraId="683A374F" w14:textId="79CC8DA4" w:rsidR="00E80639" w:rsidRPr="00F55B19" w:rsidRDefault="00A17161" w:rsidP="00E80639">
            <w:pPr>
              <w:pStyle w:val="AFMANormal"/>
              <w:spacing w:before="0" w:after="240"/>
              <w:rPr>
                <w:sz w:val="22"/>
                <w:szCs w:val="22"/>
              </w:rPr>
            </w:pPr>
            <w:r w:rsidRPr="448CE0C4">
              <w:rPr>
                <w:color w:val="000000" w:themeColor="text1"/>
                <w:sz w:val="22"/>
                <w:szCs w:val="22"/>
              </w:rPr>
              <w:t xml:space="preserve">Provides that the </w:t>
            </w:r>
            <w:r w:rsidR="52C22463" w:rsidRPr="448CE0C4">
              <w:rPr>
                <w:color w:val="000000" w:themeColor="text1"/>
                <w:sz w:val="22"/>
                <w:szCs w:val="22"/>
              </w:rPr>
              <w:t>Instrument</w:t>
            </w:r>
            <w:r w:rsidRPr="448CE0C4">
              <w:rPr>
                <w:color w:val="000000" w:themeColor="text1"/>
                <w:sz w:val="22"/>
                <w:szCs w:val="22"/>
              </w:rPr>
              <w:t xml:space="preserve"> </w:t>
            </w:r>
            <w:r w:rsidR="00AD0109" w:rsidRPr="448CE0C4">
              <w:rPr>
                <w:color w:val="000000" w:themeColor="text1"/>
                <w:sz w:val="22"/>
                <w:szCs w:val="22"/>
              </w:rPr>
              <w:t>is repealed</w:t>
            </w:r>
            <w:r w:rsidR="00C639CA">
              <w:rPr>
                <w:color w:val="000000" w:themeColor="text1"/>
                <w:sz w:val="22"/>
                <w:szCs w:val="22"/>
              </w:rPr>
              <w:t xml:space="preserve"> on 1 February 2023</w:t>
            </w:r>
            <w:r w:rsidRPr="448CE0C4">
              <w:rPr>
                <w:color w:val="000000" w:themeColor="text1"/>
                <w:sz w:val="22"/>
                <w:szCs w:val="22"/>
              </w:rPr>
              <w:t>.</w:t>
            </w:r>
          </w:p>
        </w:tc>
      </w:tr>
      <w:tr w:rsidR="00A17161" w:rsidRPr="00F55B19" w14:paraId="67EBCB74" w14:textId="77777777" w:rsidTr="294541C3">
        <w:tc>
          <w:tcPr>
            <w:tcW w:w="1350" w:type="dxa"/>
          </w:tcPr>
          <w:p w14:paraId="76DFDAEC" w14:textId="77777777" w:rsidR="00A17161" w:rsidRPr="00F55B19" w:rsidRDefault="00A17161" w:rsidP="005650AF">
            <w:pPr>
              <w:pStyle w:val="AFMANormal"/>
              <w:spacing w:before="0" w:after="240"/>
              <w:rPr>
                <w:b/>
                <w:i/>
                <w:sz w:val="22"/>
                <w:szCs w:val="22"/>
              </w:rPr>
            </w:pPr>
            <w:r w:rsidRPr="00F55B19">
              <w:rPr>
                <w:b/>
                <w:i/>
                <w:sz w:val="22"/>
                <w:szCs w:val="22"/>
              </w:rPr>
              <w:t>Clause 4</w:t>
            </w:r>
          </w:p>
        </w:tc>
        <w:tc>
          <w:tcPr>
            <w:tcW w:w="7506" w:type="dxa"/>
          </w:tcPr>
          <w:p w14:paraId="04DE86F3" w14:textId="7C80DCB3" w:rsidR="00A17161" w:rsidRPr="00F55B19" w:rsidRDefault="51E54DC0" w:rsidP="51F2E0B3">
            <w:pPr>
              <w:pStyle w:val="AFMANormal"/>
              <w:spacing w:before="0" w:after="240"/>
              <w:rPr>
                <w:color w:val="000000" w:themeColor="text1"/>
                <w:szCs w:val="24"/>
              </w:rPr>
            </w:pPr>
            <w:r w:rsidRPr="51F2E0B3">
              <w:rPr>
                <w:sz w:val="22"/>
                <w:szCs w:val="22"/>
              </w:rPr>
              <w:t xml:space="preserve">Provides that the </w:t>
            </w:r>
            <w:r w:rsidR="55BCD93F" w:rsidRPr="51F2E0B3">
              <w:rPr>
                <w:sz w:val="22"/>
                <w:szCs w:val="22"/>
              </w:rPr>
              <w:t>Instrument</w:t>
            </w:r>
            <w:r w:rsidRPr="51F2E0B3">
              <w:rPr>
                <w:sz w:val="22"/>
                <w:szCs w:val="22"/>
              </w:rPr>
              <w:t xml:space="preserve"> is made pursuant to paragraph 17(6)(aa) of the Act</w:t>
            </w:r>
            <w:r w:rsidRPr="51F2E0B3">
              <w:rPr>
                <w:i/>
                <w:iCs/>
                <w:sz w:val="22"/>
                <w:szCs w:val="22"/>
              </w:rPr>
              <w:t xml:space="preserve"> </w:t>
            </w:r>
            <w:r w:rsidR="51F2E0B3" w:rsidRPr="51F2E0B3">
              <w:rPr>
                <w:color w:val="000000" w:themeColor="text1"/>
                <w:sz w:val="22"/>
                <w:szCs w:val="22"/>
              </w:rPr>
              <w:t xml:space="preserve">and under subsection 11(1) of the Plan for the purposes of sections 18 and 19 of the Plan.  </w:t>
            </w:r>
          </w:p>
        </w:tc>
      </w:tr>
      <w:tr w:rsidR="00A17161" w:rsidRPr="00F55B19" w14:paraId="03D8BD90" w14:textId="77777777" w:rsidTr="294541C3">
        <w:tc>
          <w:tcPr>
            <w:tcW w:w="1350" w:type="dxa"/>
          </w:tcPr>
          <w:p w14:paraId="5BE8FD4D" w14:textId="77777777" w:rsidR="00A17161" w:rsidRPr="00F55B19" w:rsidRDefault="00A17161" w:rsidP="005650AF">
            <w:pPr>
              <w:pStyle w:val="AFMANormal"/>
              <w:spacing w:before="0" w:after="240"/>
              <w:rPr>
                <w:b/>
                <w:i/>
                <w:sz w:val="22"/>
                <w:szCs w:val="22"/>
              </w:rPr>
            </w:pPr>
            <w:r w:rsidRPr="00F55B19">
              <w:rPr>
                <w:b/>
                <w:i/>
                <w:sz w:val="22"/>
                <w:szCs w:val="22"/>
              </w:rPr>
              <w:lastRenderedPageBreak/>
              <w:t>Clause 5</w:t>
            </w:r>
          </w:p>
        </w:tc>
        <w:tc>
          <w:tcPr>
            <w:tcW w:w="7506" w:type="dxa"/>
          </w:tcPr>
          <w:p w14:paraId="144A5CD9" w14:textId="1002EA37" w:rsidR="00A17161" w:rsidRPr="00F55B19" w:rsidRDefault="51E54DC0" w:rsidP="00E80639">
            <w:pPr>
              <w:pStyle w:val="AFMANormal"/>
              <w:spacing w:before="0" w:after="240"/>
              <w:rPr>
                <w:sz w:val="22"/>
                <w:szCs w:val="22"/>
              </w:rPr>
            </w:pPr>
            <w:r w:rsidRPr="00F55B19">
              <w:rPr>
                <w:snapToGrid/>
                <w:sz w:val="22"/>
                <w:szCs w:val="22"/>
              </w:rPr>
              <w:t xml:space="preserve">Provides that a term used in the </w:t>
            </w:r>
            <w:r w:rsidR="6D357CD7" w:rsidRPr="00F55B19">
              <w:rPr>
                <w:snapToGrid/>
                <w:sz w:val="22"/>
                <w:szCs w:val="22"/>
              </w:rPr>
              <w:t>Instrument</w:t>
            </w:r>
            <w:r w:rsidRPr="00F55B19">
              <w:rPr>
                <w:snapToGrid/>
                <w:sz w:val="22"/>
                <w:szCs w:val="22"/>
              </w:rPr>
              <w:t xml:space="preserve"> and in the Plan or Act has the same meaning in the </w:t>
            </w:r>
            <w:r w:rsidR="4275B47F" w:rsidRPr="00F55B19">
              <w:rPr>
                <w:snapToGrid/>
                <w:sz w:val="22"/>
                <w:szCs w:val="22"/>
              </w:rPr>
              <w:t>Instrument</w:t>
            </w:r>
            <w:r w:rsidRPr="00F55B19">
              <w:rPr>
                <w:snapToGrid/>
                <w:sz w:val="22"/>
                <w:szCs w:val="22"/>
              </w:rPr>
              <w:t xml:space="preserve"> as in the Plan or Act</w:t>
            </w:r>
            <w:r w:rsidRPr="448CE0C4">
              <w:rPr>
                <w:i/>
                <w:iCs/>
                <w:sz w:val="22"/>
                <w:szCs w:val="22"/>
              </w:rPr>
              <w:t>.</w:t>
            </w:r>
          </w:p>
        </w:tc>
      </w:tr>
      <w:tr w:rsidR="00E80639" w:rsidRPr="00F55B19" w14:paraId="030A9863" w14:textId="77777777" w:rsidTr="294541C3">
        <w:tc>
          <w:tcPr>
            <w:tcW w:w="1350" w:type="dxa"/>
          </w:tcPr>
          <w:p w14:paraId="2106055D" w14:textId="2DE135FE" w:rsidR="00E80639" w:rsidRPr="00F55B19" w:rsidRDefault="00E80639" w:rsidP="00F55B19">
            <w:pPr>
              <w:pStyle w:val="AFMANormal"/>
              <w:spacing w:before="0" w:after="240"/>
              <w:rPr>
                <w:b/>
                <w:i/>
                <w:sz w:val="22"/>
                <w:szCs w:val="22"/>
              </w:rPr>
            </w:pPr>
            <w:r w:rsidRPr="00F55B19">
              <w:rPr>
                <w:b/>
                <w:i/>
                <w:sz w:val="22"/>
                <w:szCs w:val="22"/>
              </w:rPr>
              <w:t xml:space="preserve">Clause </w:t>
            </w:r>
            <w:r w:rsidR="00F55B19" w:rsidRPr="00F55B19">
              <w:rPr>
                <w:b/>
                <w:i/>
                <w:sz w:val="22"/>
                <w:szCs w:val="22"/>
              </w:rPr>
              <w:t>6</w:t>
            </w:r>
          </w:p>
        </w:tc>
        <w:tc>
          <w:tcPr>
            <w:tcW w:w="7506" w:type="dxa"/>
          </w:tcPr>
          <w:p w14:paraId="7F0878AE" w14:textId="0E4721D2" w:rsidR="00E80639" w:rsidRPr="00F55B19" w:rsidRDefault="00E80639" w:rsidP="00041DC7">
            <w:pPr>
              <w:pStyle w:val="AFMANormal"/>
              <w:spacing w:before="0" w:after="240"/>
              <w:rPr>
                <w:sz w:val="22"/>
                <w:szCs w:val="22"/>
              </w:rPr>
            </w:pPr>
            <w:r w:rsidRPr="00F55B19">
              <w:rPr>
                <w:snapToGrid/>
                <w:sz w:val="22"/>
                <w:szCs w:val="22"/>
              </w:rPr>
              <w:t xml:space="preserve">Determines the percentage of overcatch </w:t>
            </w:r>
            <w:r w:rsidR="51F2E0B3" w:rsidRPr="294541C3">
              <w:rPr>
                <w:color w:val="000000" w:themeColor="text1"/>
                <w:sz w:val="22"/>
                <w:szCs w:val="22"/>
              </w:rPr>
              <w:t>for the purposes of paragraph 11(1)(a) and subsection 18(5) of the Plan</w:t>
            </w:r>
            <w:r w:rsidRPr="00F55B19">
              <w:rPr>
                <w:snapToGrid/>
                <w:sz w:val="22"/>
                <w:szCs w:val="22"/>
              </w:rPr>
              <w:t xml:space="preserve">, determines the percentage of undercatch </w:t>
            </w:r>
            <w:r w:rsidR="51F2E0B3" w:rsidRPr="294541C3">
              <w:rPr>
                <w:color w:val="000000" w:themeColor="text1"/>
                <w:sz w:val="22"/>
                <w:szCs w:val="22"/>
              </w:rPr>
              <w:t>for the purposes of paragraph 11(1)(b) and subsection 19(3) of the Plan</w:t>
            </w:r>
            <w:r w:rsidRPr="00F55B19">
              <w:rPr>
                <w:snapToGrid/>
                <w:sz w:val="22"/>
                <w:szCs w:val="22"/>
              </w:rPr>
              <w:t xml:space="preserve"> and determines the weight </w:t>
            </w:r>
            <w:r w:rsidR="294541C3" w:rsidRPr="294541C3">
              <w:rPr>
                <w:color w:val="000000" w:themeColor="text1"/>
                <w:sz w:val="22"/>
                <w:szCs w:val="22"/>
              </w:rPr>
              <w:t>for the purposes of paragraph 11(1)(a) and subsection 18(5) of the Plan</w:t>
            </w:r>
            <w:r w:rsidRPr="00F55B19">
              <w:rPr>
                <w:snapToGrid/>
                <w:sz w:val="22"/>
                <w:szCs w:val="22"/>
              </w:rPr>
              <w:t xml:space="preserve"> for each quota spe</w:t>
            </w:r>
            <w:r w:rsidR="00C639CA">
              <w:rPr>
                <w:snapToGrid/>
                <w:sz w:val="22"/>
                <w:szCs w:val="22"/>
              </w:rPr>
              <w:t>cies in the fishery for the 2022</w:t>
            </w:r>
            <w:r w:rsidRPr="00F55B19">
              <w:rPr>
                <w:snapToGrid/>
                <w:sz w:val="22"/>
                <w:szCs w:val="22"/>
              </w:rPr>
              <w:t xml:space="preserve"> fishing se</w:t>
            </w:r>
            <w:r w:rsidR="00041DC7">
              <w:rPr>
                <w:snapToGrid/>
                <w:sz w:val="22"/>
                <w:szCs w:val="22"/>
              </w:rPr>
              <w:t>a</w:t>
            </w:r>
            <w:r w:rsidR="00C639CA">
              <w:rPr>
                <w:snapToGrid/>
                <w:sz w:val="22"/>
                <w:szCs w:val="22"/>
              </w:rPr>
              <w:t>son beginning on 1 February 2022</w:t>
            </w:r>
            <w:r w:rsidRPr="00F55B19">
              <w:rPr>
                <w:snapToGrid/>
                <w:sz w:val="22"/>
                <w:szCs w:val="22"/>
              </w:rPr>
              <w:t xml:space="preserve"> </w:t>
            </w:r>
            <w:r w:rsidR="00041DC7">
              <w:rPr>
                <w:snapToGrid/>
                <w:sz w:val="22"/>
                <w:szCs w:val="22"/>
              </w:rPr>
              <w:t>a</w:t>
            </w:r>
            <w:r w:rsidR="00C639CA">
              <w:rPr>
                <w:snapToGrid/>
                <w:sz w:val="22"/>
                <w:szCs w:val="22"/>
              </w:rPr>
              <w:t>nd concluding on 31 January 2023</w:t>
            </w:r>
            <w:r w:rsidRPr="00F55B19">
              <w:rPr>
                <w:snapToGrid/>
                <w:sz w:val="22"/>
                <w:szCs w:val="22"/>
              </w:rPr>
              <w:t>.</w:t>
            </w:r>
          </w:p>
        </w:tc>
      </w:tr>
    </w:tbl>
    <w:p w14:paraId="18DE470F" w14:textId="77777777" w:rsidR="00A17161" w:rsidRPr="00F55B19" w:rsidRDefault="00A17161" w:rsidP="00A17161">
      <w:pPr>
        <w:rPr>
          <w:sz w:val="22"/>
          <w:szCs w:val="22"/>
        </w:rPr>
      </w:pPr>
    </w:p>
    <w:p w14:paraId="2258BD7A" w14:textId="77777777" w:rsidR="00A17161" w:rsidRPr="00C40CEF" w:rsidRDefault="00A17161" w:rsidP="00A17161"/>
    <w:p w14:paraId="4169BF8C" w14:textId="77777777" w:rsidR="00A17161" w:rsidRPr="00C40CEF" w:rsidRDefault="00A17161" w:rsidP="00A17161"/>
    <w:p w14:paraId="643CC663" w14:textId="48FC8A31" w:rsidR="002025F9" w:rsidRDefault="002025F9">
      <w:pPr>
        <w:spacing w:after="200" w:line="276" w:lineRule="auto"/>
      </w:pPr>
      <w:r>
        <w:br w:type="page"/>
      </w:r>
    </w:p>
    <w:p w14:paraId="46347E6A" w14:textId="6F177AFA" w:rsidR="00AD0109" w:rsidRDefault="005650AF">
      <w:r>
        <w:rPr>
          <w:noProof/>
          <w:color w:val="2B579A"/>
          <w:shd w:val="clear" w:color="auto" w:fill="E6E6E6"/>
          <w:lang w:val="en-AU" w:eastAsia="en-AU"/>
        </w:rPr>
        <w:lastRenderedPageBreak/>
        <mc:AlternateContent>
          <mc:Choice Requires="wps">
            <w:drawing>
              <wp:anchor distT="0" distB="0" distL="114300" distR="114300" simplePos="0" relativeHeight="251658240" behindDoc="0" locked="0" layoutInCell="1" allowOverlap="1" wp14:anchorId="72D5B6AA" wp14:editId="0BCD7CB1">
                <wp:simplePos x="0" y="0"/>
                <wp:positionH relativeFrom="column">
                  <wp:posOffset>0</wp:posOffset>
                </wp:positionH>
                <wp:positionV relativeFrom="paragraph">
                  <wp:posOffset>38100</wp:posOffset>
                </wp:positionV>
                <wp:extent cx="6118860" cy="6865620"/>
                <wp:effectExtent l="38100" t="38100" r="342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5574F7D6" w14:textId="77777777" w:rsidR="005650AF" w:rsidRPr="00E4135E" w:rsidRDefault="005650AF" w:rsidP="005650AF">
                            <w:pPr>
                              <w:spacing w:before="360" w:after="120"/>
                              <w:jc w:val="center"/>
                              <w:rPr>
                                <w:b/>
                                <w:sz w:val="28"/>
                                <w:szCs w:val="28"/>
                              </w:rPr>
                            </w:pPr>
                            <w:r w:rsidRPr="00E4135E">
                              <w:rPr>
                                <w:b/>
                                <w:sz w:val="28"/>
                                <w:szCs w:val="28"/>
                              </w:rPr>
                              <w:t>Statement of Compatibility with Human Rights</w:t>
                            </w:r>
                          </w:p>
                          <w:p w14:paraId="03549F2B" w14:textId="77777777" w:rsidR="005650AF" w:rsidRPr="00E4135E" w:rsidRDefault="005650AF" w:rsidP="005650AF">
                            <w:pPr>
                              <w:spacing w:before="120" w:after="120"/>
                              <w:jc w:val="center"/>
                            </w:pPr>
                            <w:r w:rsidRPr="00E4135E">
                              <w:rPr>
                                <w:i/>
                              </w:rPr>
                              <w:t>Prepared in accordance with Part 3 of the Human Rights (Parliamentary Scrutiny) Act 2011</w:t>
                            </w:r>
                          </w:p>
                          <w:p w14:paraId="606AE09A" w14:textId="77777777" w:rsidR="005650AF" w:rsidRPr="00E4135E" w:rsidRDefault="005650AF" w:rsidP="005650AF">
                            <w:pPr>
                              <w:spacing w:before="120" w:after="120"/>
                              <w:jc w:val="center"/>
                            </w:pPr>
                          </w:p>
                          <w:p w14:paraId="7F3765AF" w14:textId="324B222A" w:rsidR="005650AF" w:rsidRPr="00461CFC" w:rsidRDefault="005650AF" w:rsidP="005650AF">
                            <w:pPr>
                              <w:spacing w:before="120" w:after="120"/>
                              <w:jc w:val="both"/>
                              <w:rPr>
                                <w:b/>
                              </w:rPr>
                            </w:pPr>
                            <w:r>
                              <w:rPr>
                                <w:b/>
                              </w:rPr>
                              <w:t>Western Tuna and Billfish Fishery</w:t>
                            </w:r>
                            <w:r w:rsidRPr="00461CFC">
                              <w:rPr>
                                <w:b/>
                              </w:rPr>
                              <w:t xml:space="preserve"> </w:t>
                            </w:r>
                            <w:r>
                              <w:rPr>
                                <w:b/>
                              </w:rPr>
                              <w:t>(Overcatch an</w:t>
                            </w:r>
                            <w:r w:rsidR="00C639CA">
                              <w:rPr>
                                <w:b/>
                              </w:rPr>
                              <w:t>d Undercatch) Determination 2022</w:t>
                            </w:r>
                          </w:p>
                          <w:p w14:paraId="0B44F771" w14:textId="77777777" w:rsidR="005650AF" w:rsidRDefault="005650AF" w:rsidP="005650AF">
                            <w:pPr>
                              <w:spacing w:before="120" w:after="120"/>
                              <w:jc w:val="center"/>
                            </w:pPr>
                          </w:p>
                          <w:p w14:paraId="6FD5701B" w14:textId="77777777" w:rsidR="005650AF" w:rsidRPr="00E4135E" w:rsidRDefault="005650AF" w:rsidP="005650A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6A3AB5A4" w14:textId="77777777" w:rsidR="005650AF" w:rsidRPr="00E4135E" w:rsidRDefault="005650AF" w:rsidP="005650AF">
                            <w:pPr>
                              <w:spacing w:before="120" w:after="120"/>
                              <w:jc w:val="center"/>
                            </w:pPr>
                          </w:p>
                          <w:p w14:paraId="69573BE7" w14:textId="77777777" w:rsidR="005650AF" w:rsidRPr="00E4135E" w:rsidRDefault="005650AF" w:rsidP="005650AF">
                            <w:pPr>
                              <w:spacing w:before="120" w:after="120"/>
                              <w:jc w:val="both"/>
                              <w:rPr>
                                <w:b/>
                              </w:rPr>
                            </w:pPr>
                            <w:r w:rsidRPr="00E4135E">
                              <w:rPr>
                                <w:b/>
                              </w:rPr>
                              <w:t>Overview of the Legislative Instrument</w:t>
                            </w:r>
                          </w:p>
                          <w:p w14:paraId="52A1F943" w14:textId="5B61F244" w:rsidR="005650AF" w:rsidRPr="009235EF" w:rsidRDefault="005650AF" w:rsidP="005650AF">
                            <w:pPr>
                              <w:spacing w:before="120" w:after="120"/>
                            </w:pPr>
                            <w:r w:rsidRPr="009235EF">
                              <w:rPr>
                                <w:color w:val="000000"/>
                              </w:rPr>
                              <w:t xml:space="preserve">This instrument determines the amounts and percentages for each quota species in relation to undercatch and overcatch for the fishing season </w:t>
                            </w:r>
                            <w:r w:rsidR="00C639CA">
                              <w:rPr>
                                <w:color w:val="000000"/>
                              </w:rPr>
                              <w:t>beginning on 1 February 2022</w:t>
                            </w:r>
                            <w:r>
                              <w:rPr>
                                <w:color w:val="000000"/>
                              </w:rPr>
                              <w:t xml:space="preserve"> a</w:t>
                            </w:r>
                            <w:r w:rsidR="00C639CA">
                              <w:rPr>
                                <w:color w:val="000000"/>
                              </w:rPr>
                              <w:t>nd concluding on 31 January 2023</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The inst</w:t>
                            </w:r>
                            <w:r w:rsidR="00C639CA">
                              <w:rPr>
                                <w:color w:val="000000"/>
                              </w:rPr>
                              <w:t>rument ceases on 1 February 2023</w:t>
                            </w:r>
                            <w:r>
                              <w:rPr>
                                <w:color w:val="000000"/>
                              </w:rPr>
                              <w:t xml:space="preserve">.  </w:t>
                            </w:r>
                          </w:p>
                          <w:p w14:paraId="2AE47235" w14:textId="77777777" w:rsidR="005650AF" w:rsidRDefault="005650AF" w:rsidP="005650AF">
                            <w:pPr>
                              <w:spacing w:before="120" w:after="120"/>
                              <w:rPr>
                                <w:b/>
                              </w:rPr>
                            </w:pPr>
                          </w:p>
                          <w:p w14:paraId="18FE2031" w14:textId="77777777" w:rsidR="005650AF" w:rsidRPr="00E4135E" w:rsidRDefault="005650AF" w:rsidP="005650AF">
                            <w:pPr>
                              <w:spacing w:before="120" w:after="120"/>
                              <w:rPr>
                                <w:b/>
                              </w:rPr>
                            </w:pPr>
                            <w:r w:rsidRPr="00E4135E">
                              <w:rPr>
                                <w:b/>
                              </w:rPr>
                              <w:t>Human rights implications</w:t>
                            </w:r>
                          </w:p>
                          <w:p w14:paraId="6825AF78" w14:textId="77777777" w:rsidR="005650AF" w:rsidRPr="00E4135E" w:rsidRDefault="005650AF" w:rsidP="005650AF">
                            <w:pPr>
                              <w:spacing w:before="120" w:after="120"/>
                            </w:pPr>
                            <w:r w:rsidRPr="00E4135E">
                              <w:t>This Legislative Instrument does not engage any of the applicable rights or freedoms.</w:t>
                            </w:r>
                          </w:p>
                          <w:p w14:paraId="08C98D3A" w14:textId="77777777" w:rsidR="005650AF" w:rsidRPr="00E4135E" w:rsidRDefault="005650AF" w:rsidP="005650AF">
                            <w:pPr>
                              <w:spacing w:before="120" w:after="120"/>
                            </w:pPr>
                          </w:p>
                          <w:p w14:paraId="373B9C7F" w14:textId="77777777" w:rsidR="005650AF" w:rsidRPr="00E4135E" w:rsidRDefault="005650AF" w:rsidP="005650AF">
                            <w:pPr>
                              <w:spacing w:before="120" w:after="120"/>
                              <w:rPr>
                                <w:b/>
                              </w:rPr>
                            </w:pPr>
                            <w:r w:rsidRPr="00E4135E">
                              <w:rPr>
                                <w:b/>
                              </w:rPr>
                              <w:t>Conclusion</w:t>
                            </w:r>
                          </w:p>
                          <w:p w14:paraId="04EF9759" w14:textId="77777777" w:rsidR="005650AF" w:rsidRDefault="005650AF" w:rsidP="005650AF">
                            <w:pPr>
                              <w:spacing w:before="120" w:after="120"/>
                            </w:pPr>
                            <w:r w:rsidRPr="00E4135E">
                              <w:t>This Legislative Instrument is compatible with human rights as it does not raise any human rights issues.</w:t>
                            </w:r>
                          </w:p>
                          <w:p w14:paraId="768DD153" w14:textId="77777777" w:rsidR="005650AF" w:rsidRPr="00E4135E" w:rsidRDefault="005650AF" w:rsidP="005650AF">
                            <w:pPr>
                              <w:spacing w:before="120" w:after="120"/>
                            </w:pPr>
                          </w:p>
                          <w:p w14:paraId="39A44C7F" w14:textId="77777777" w:rsidR="005650AF" w:rsidRPr="00E4135E" w:rsidRDefault="005650AF" w:rsidP="005650AF">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5B6AA" id="Rectangle 2" o:spid="_x0000_s1026" style="position:absolute;margin-left:0;margin-top:3pt;width:481.8pt;height:5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" strokeweight="6pt">
                <v:stroke linestyle="thickBetweenThin"/>
                <v:textbox inset="5mm,,5mm">
                  <w:txbxContent>
                    <w:p w14:paraId="5574F7D6" w14:textId="77777777" w:rsidR="005650AF" w:rsidRPr="00E4135E" w:rsidRDefault="005650AF" w:rsidP="005650AF">
                      <w:pPr>
                        <w:spacing w:before="360" w:after="120"/>
                        <w:jc w:val="center"/>
                        <w:rPr>
                          <w:b/>
                          <w:sz w:val="28"/>
                          <w:szCs w:val="28"/>
                        </w:rPr>
                      </w:pPr>
                      <w:r w:rsidRPr="00E4135E">
                        <w:rPr>
                          <w:b/>
                          <w:sz w:val="28"/>
                          <w:szCs w:val="28"/>
                        </w:rPr>
                        <w:t>Statement of Compatibility with Human Rights</w:t>
                      </w:r>
                    </w:p>
                    <w:p w14:paraId="03549F2B" w14:textId="77777777" w:rsidR="005650AF" w:rsidRPr="00E4135E" w:rsidRDefault="005650AF" w:rsidP="005650AF">
                      <w:pPr>
                        <w:spacing w:before="120" w:after="120"/>
                        <w:jc w:val="center"/>
                      </w:pPr>
                      <w:r w:rsidRPr="00E4135E">
                        <w:rPr>
                          <w:i/>
                        </w:rPr>
                        <w:t>Prepared in accordance with Part 3 of the Human Rights (Parliamentary Scrutiny) Act 2011</w:t>
                      </w:r>
                    </w:p>
                    <w:p w14:paraId="606AE09A" w14:textId="77777777" w:rsidR="005650AF" w:rsidRPr="00E4135E" w:rsidRDefault="005650AF" w:rsidP="005650AF">
                      <w:pPr>
                        <w:spacing w:before="120" w:after="120"/>
                        <w:jc w:val="center"/>
                      </w:pPr>
                    </w:p>
                    <w:p w14:paraId="7F3765AF" w14:textId="324B222A" w:rsidR="005650AF" w:rsidRPr="00461CFC" w:rsidRDefault="005650AF" w:rsidP="005650AF">
                      <w:pPr>
                        <w:spacing w:before="120" w:after="120"/>
                        <w:jc w:val="both"/>
                        <w:rPr>
                          <w:b/>
                        </w:rPr>
                      </w:pPr>
                      <w:r>
                        <w:rPr>
                          <w:b/>
                        </w:rPr>
                        <w:t>Western Tuna and Billfish Fishery</w:t>
                      </w:r>
                      <w:r w:rsidRPr="00461CFC">
                        <w:rPr>
                          <w:b/>
                        </w:rPr>
                        <w:t xml:space="preserve"> </w:t>
                      </w:r>
                      <w:r>
                        <w:rPr>
                          <w:b/>
                        </w:rPr>
                        <w:t>(Overcatch an</w:t>
                      </w:r>
                      <w:r w:rsidR="00C639CA">
                        <w:rPr>
                          <w:b/>
                        </w:rPr>
                        <w:t>d Undercatch) Determination 2022</w:t>
                      </w:r>
                    </w:p>
                    <w:p w14:paraId="0B44F771" w14:textId="77777777" w:rsidR="005650AF" w:rsidRDefault="005650AF" w:rsidP="005650AF">
                      <w:pPr>
                        <w:spacing w:before="120" w:after="120"/>
                        <w:jc w:val="center"/>
                      </w:pPr>
                    </w:p>
                    <w:p w14:paraId="6FD5701B" w14:textId="77777777" w:rsidR="005650AF" w:rsidRPr="00E4135E" w:rsidRDefault="005650AF" w:rsidP="005650A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6A3AB5A4" w14:textId="77777777" w:rsidR="005650AF" w:rsidRPr="00E4135E" w:rsidRDefault="005650AF" w:rsidP="005650AF">
                      <w:pPr>
                        <w:spacing w:before="120" w:after="120"/>
                        <w:jc w:val="center"/>
                      </w:pPr>
                    </w:p>
                    <w:p w14:paraId="69573BE7" w14:textId="77777777" w:rsidR="005650AF" w:rsidRPr="00E4135E" w:rsidRDefault="005650AF" w:rsidP="005650AF">
                      <w:pPr>
                        <w:spacing w:before="120" w:after="120"/>
                        <w:jc w:val="both"/>
                        <w:rPr>
                          <w:b/>
                        </w:rPr>
                      </w:pPr>
                      <w:r w:rsidRPr="00E4135E">
                        <w:rPr>
                          <w:b/>
                        </w:rPr>
                        <w:t>Overview of the Legislative Instrument</w:t>
                      </w:r>
                    </w:p>
                    <w:p w14:paraId="52A1F943" w14:textId="5B61F244" w:rsidR="005650AF" w:rsidRPr="009235EF" w:rsidRDefault="005650AF" w:rsidP="005650AF">
                      <w:pPr>
                        <w:spacing w:before="120" w:after="120"/>
                      </w:pPr>
                      <w:r w:rsidRPr="009235EF">
                        <w:rPr>
                          <w:color w:val="000000"/>
                        </w:rPr>
                        <w:t xml:space="preserve">This instrument determines the amounts and percentages for each quota species in relation to undercatch and overcatch for the fishing season </w:t>
                      </w:r>
                      <w:r w:rsidR="00C639CA">
                        <w:rPr>
                          <w:color w:val="000000"/>
                        </w:rPr>
                        <w:t>beginning on 1 February 2022</w:t>
                      </w:r>
                      <w:r>
                        <w:rPr>
                          <w:color w:val="000000"/>
                        </w:rPr>
                        <w:t xml:space="preserve"> a</w:t>
                      </w:r>
                      <w:r w:rsidR="00C639CA">
                        <w:rPr>
                          <w:color w:val="000000"/>
                        </w:rPr>
                        <w:t>nd concluding on 31 January 2023</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The inst</w:t>
                      </w:r>
                      <w:r w:rsidR="00C639CA">
                        <w:rPr>
                          <w:color w:val="000000"/>
                        </w:rPr>
                        <w:t>rument ceases on 1 February 2023</w:t>
                      </w:r>
                      <w:r>
                        <w:rPr>
                          <w:color w:val="000000"/>
                        </w:rPr>
                        <w:t xml:space="preserve">.  </w:t>
                      </w:r>
                    </w:p>
                    <w:p w14:paraId="2AE47235" w14:textId="77777777" w:rsidR="005650AF" w:rsidRDefault="005650AF" w:rsidP="005650AF">
                      <w:pPr>
                        <w:spacing w:before="120" w:after="120"/>
                        <w:rPr>
                          <w:b/>
                        </w:rPr>
                      </w:pPr>
                    </w:p>
                    <w:p w14:paraId="18FE2031" w14:textId="77777777" w:rsidR="005650AF" w:rsidRPr="00E4135E" w:rsidRDefault="005650AF" w:rsidP="005650AF">
                      <w:pPr>
                        <w:spacing w:before="120" w:after="120"/>
                        <w:rPr>
                          <w:b/>
                        </w:rPr>
                      </w:pPr>
                      <w:r w:rsidRPr="00E4135E">
                        <w:rPr>
                          <w:b/>
                        </w:rPr>
                        <w:t>Human rights implications</w:t>
                      </w:r>
                    </w:p>
                    <w:p w14:paraId="6825AF78" w14:textId="77777777" w:rsidR="005650AF" w:rsidRPr="00E4135E" w:rsidRDefault="005650AF" w:rsidP="005650AF">
                      <w:pPr>
                        <w:spacing w:before="120" w:after="120"/>
                      </w:pPr>
                      <w:r w:rsidRPr="00E4135E">
                        <w:t>This Legislative Instrument does not engage any of the applicable rights or freedoms.</w:t>
                      </w:r>
                    </w:p>
                    <w:p w14:paraId="08C98D3A" w14:textId="77777777" w:rsidR="005650AF" w:rsidRPr="00E4135E" w:rsidRDefault="005650AF" w:rsidP="005650AF">
                      <w:pPr>
                        <w:spacing w:before="120" w:after="120"/>
                      </w:pPr>
                    </w:p>
                    <w:p w14:paraId="373B9C7F" w14:textId="77777777" w:rsidR="005650AF" w:rsidRPr="00E4135E" w:rsidRDefault="005650AF" w:rsidP="005650AF">
                      <w:pPr>
                        <w:spacing w:before="120" w:after="120"/>
                        <w:rPr>
                          <w:b/>
                        </w:rPr>
                      </w:pPr>
                      <w:r w:rsidRPr="00E4135E">
                        <w:rPr>
                          <w:b/>
                        </w:rPr>
                        <w:t>Conclusion</w:t>
                      </w:r>
                    </w:p>
                    <w:p w14:paraId="04EF9759" w14:textId="77777777" w:rsidR="005650AF" w:rsidRDefault="005650AF" w:rsidP="005650AF">
                      <w:pPr>
                        <w:spacing w:before="120" w:after="120"/>
                      </w:pPr>
                      <w:r w:rsidRPr="00E4135E">
                        <w:t>This Legislative Instrument is compatible with human rights as it does not raise any human rights issues.</w:t>
                      </w:r>
                    </w:p>
                    <w:p w14:paraId="768DD153" w14:textId="77777777" w:rsidR="005650AF" w:rsidRPr="00E4135E" w:rsidRDefault="005650AF" w:rsidP="005650AF">
                      <w:pPr>
                        <w:spacing w:before="120" w:after="120"/>
                      </w:pPr>
                    </w:p>
                    <w:p w14:paraId="39A44C7F" w14:textId="77777777" w:rsidR="005650AF" w:rsidRPr="00E4135E" w:rsidRDefault="005650AF" w:rsidP="005650AF">
                      <w:pPr>
                        <w:spacing w:before="120" w:after="120"/>
                      </w:pPr>
                    </w:p>
                  </w:txbxContent>
                </v:textbox>
              </v:rect>
            </w:pict>
          </mc:Fallback>
        </mc:AlternateContent>
      </w:r>
    </w:p>
    <w:sectPr w:rsidR="00AD0109" w:rsidSect="005650A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88EA" w14:textId="77777777" w:rsidR="007049E2" w:rsidRDefault="007049E2" w:rsidP="00F134EB">
      <w:r>
        <w:separator/>
      </w:r>
    </w:p>
  </w:endnote>
  <w:endnote w:type="continuationSeparator" w:id="0">
    <w:p w14:paraId="66C68B2E" w14:textId="77777777" w:rsidR="007049E2" w:rsidRDefault="007049E2" w:rsidP="00F134EB">
      <w:r>
        <w:continuationSeparator/>
      </w:r>
    </w:p>
  </w:endnote>
  <w:endnote w:type="continuationNotice" w:id="1">
    <w:p w14:paraId="5D87FEED" w14:textId="77777777" w:rsidR="007049E2" w:rsidRDefault="00704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8C27D" w14:textId="77777777" w:rsidR="007049E2" w:rsidRDefault="007049E2" w:rsidP="00F134EB">
      <w:r>
        <w:separator/>
      </w:r>
    </w:p>
  </w:footnote>
  <w:footnote w:type="continuationSeparator" w:id="0">
    <w:p w14:paraId="1E2D1B09" w14:textId="77777777" w:rsidR="007049E2" w:rsidRDefault="007049E2" w:rsidP="00F134EB">
      <w:r>
        <w:continuationSeparator/>
      </w:r>
    </w:p>
  </w:footnote>
  <w:footnote w:type="continuationNotice" w:id="1">
    <w:p w14:paraId="2AC0A4E7" w14:textId="77777777" w:rsidR="007049E2" w:rsidRDefault="007049E2"/>
  </w:footnote>
  <w:footnote w:id="2">
    <w:p w14:paraId="157EAE28" w14:textId="1B20C37A" w:rsidR="00B64C77" w:rsidRPr="005C7DE8" w:rsidRDefault="00B64C77">
      <w:pPr>
        <w:pStyle w:val="FootnoteText"/>
        <w:rPr>
          <w:lang w:val="en-AU"/>
        </w:rPr>
      </w:pPr>
      <w:r>
        <w:rPr>
          <w:rStyle w:val="FootnoteReference"/>
        </w:rPr>
        <w:footnoteRef/>
      </w:r>
      <w:r>
        <w:t xml:space="preserve"> </w:t>
      </w:r>
      <w:r>
        <w:rPr>
          <w:lang w:val="en-AU"/>
        </w:rPr>
        <w:t xml:space="preserve">In 2022 the </w:t>
      </w:r>
      <w:r w:rsidRPr="00032951">
        <w:rPr>
          <w:i/>
          <w:iCs/>
        </w:rPr>
        <w:t>Western Tuna and Billfish Total Allowable Commercial Catch Determination 2022</w:t>
      </w:r>
      <w:r>
        <w:rPr>
          <w:i/>
          <w:iCs/>
        </w:rPr>
        <w:t xml:space="preserve"> </w:t>
      </w:r>
      <w:r w:rsidRPr="005C7DE8">
        <w:t xml:space="preserve">could be viewed free of charge on the Australian Government’s website the Federal Register of Legislation at </w:t>
      </w:r>
      <w:hyperlink r:id="rId1" w:history="1">
        <w:r w:rsidRPr="005C7DE8">
          <w:rPr>
            <w:rStyle w:val="Hyperlink"/>
          </w:rPr>
          <w:t>https://www.legislation.gov.au/Details/F2021L01614</w:t>
        </w:r>
      </w:hyperlink>
      <w:r w:rsidRPr="005C7DE8">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61"/>
    <w:rsid w:val="00012A65"/>
    <w:rsid w:val="00041DC7"/>
    <w:rsid w:val="00051D10"/>
    <w:rsid w:val="00096BE0"/>
    <w:rsid w:val="000F6658"/>
    <w:rsid w:val="00195CDB"/>
    <w:rsid w:val="001F50B0"/>
    <w:rsid w:val="002025F9"/>
    <w:rsid w:val="00221016"/>
    <w:rsid w:val="0025304C"/>
    <w:rsid w:val="00253918"/>
    <w:rsid w:val="003641F2"/>
    <w:rsid w:val="003774C3"/>
    <w:rsid w:val="003D543E"/>
    <w:rsid w:val="004263AC"/>
    <w:rsid w:val="00443D69"/>
    <w:rsid w:val="004855D4"/>
    <w:rsid w:val="004B2BF1"/>
    <w:rsid w:val="005650AF"/>
    <w:rsid w:val="005C7DE8"/>
    <w:rsid w:val="005D0E68"/>
    <w:rsid w:val="0060450E"/>
    <w:rsid w:val="006072E8"/>
    <w:rsid w:val="00613FB2"/>
    <w:rsid w:val="00633D8B"/>
    <w:rsid w:val="00653E87"/>
    <w:rsid w:val="00681375"/>
    <w:rsid w:val="006A64B9"/>
    <w:rsid w:val="006D23A7"/>
    <w:rsid w:val="007049E2"/>
    <w:rsid w:val="00770EF0"/>
    <w:rsid w:val="00777059"/>
    <w:rsid w:val="007B6E26"/>
    <w:rsid w:val="008200FC"/>
    <w:rsid w:val="00830C61"/>
    <w:rsid w:val="008A7FFB"/>
    <w:rsid w:val="009409E8"/>
    <w:rsid w:val="00945FF9"/>
    <w:rsid w:val="00974A33"/>
    <w:rsid w:val="0098738C"/>
    <w:rsid w:val="009F68B0"/>
    <w:rsid w:val="00A17161"/>
    <w:rsid w:val="00AD0109"/>
    <w:rsid w:val="00AF3A01"/>
    <w:rsid w:val="00B476F0"/>
    <w:rsid w:val="00B64C77"/>
    <w:rsid w:val="00B87F3C"/>
    <w:rsid w:val="00BC413C"/>
    <w:rsid w:val="00BE5247"/>
    <w:rsid w:val="00C22C9C"/>
    <w:rsid w:val="00C61357"/>
    <w:rsid w:val="00C637D8"/>
    <w:rsid w:val="00C639CA"/>
    <w:rsid w:val="00C8224B"/>
    <w:rsid w:val="00CC355E"/>
    <w:rsid w:val="00D407F8"/>
    <w:rsid w:val="00D441C1"/>
    <w:rsid w:val="00D815F6"/>
    <w:rsid w:val="00D91804"/>
    <w:rsid w:val="00DB2352"/>
    <w:rsid w:val="00DB6759"/>
    <w:rsid w:val="00DE2765"/>
    <w:rsid w:val="00E62D15"/>
    <w:rsid w:val="00E75BD3"/>
    <w:rsid w:val="00E80639"/>
    <w:rsid w:val="00E93791"/>
    <w:rsid w:val="00EB60D0"/>
    <w:rsid w:val="00ED061F"/>
    <w:rsid w:val="00F134EB"/>
    <w:rsid w:val="00F33FD8"/>
    <w:rsid w:val="00F51823"/>
    <w:rsid w:val="00F55B19"/>
    <w:rsid w:val="00F636EF"/>
    <w:rsid w:val="00FE07CE"/>
    <w:rsid w:val="00FF00BB"/>
    <w:rsid w:val="00FF3E58"/>
    <w:rsid w:val="06319DA4"/>
    <w:rsid w:val="083E6300"/>
    <w:rsid w:val="090C2848"/>
    <w:rsid w:val="0A828506"/>
    <w:rsid w:val="0BA1D254"/>
    <w:rsid w:val="12B7EEEF"/>
    <w:rsid w:val="152F8C3D"/>
    <w:rsid w:val="18C01929"/>
    <w:rsid w:val="19491662"/>
    <w:rsid w:val="1C23C6C8"/>
    <w:rsid w:val="1C685910"/>
    <w:rsid w:val="20553553"/>
    <w:rsid w:val="20C93E4A"/>
    <w:rsid w:val="2143A14B"/>
    <w:rsid w:val="24B675BA"/>
    <w:rsid w:val="25C3610A"/>
    <w:rsid w:val="28EC31A6"/>
    <w:rsid w:val="294541C3"/>
    <w:rsid w:val="39370FC7"/>
    <w:rsid w:val="39EDC7DE"/>
    <w:rsid w:val="3AE7956C"/>
    <w:rsid w:val="3E62962F"/>
    <w:rsid w:val="3F071ADB"/>
    <w:rsid w:val="3FE90CE3"/>
    <w:rsid w:val="4275B47F"/>
    <w:rsid w:val="448CE0C4"/>
    <w:rsid w:val="4628ADBE"/>
    <w:rsid w:val="47047AAB"/>
    <w:rsid w:val="51E54DC0"/>
    <w:rsid w:val="51F2E0B3"/>
    <w:rsid w:val="526097EB"/>
    <w:rsid w:val="52C22463"/>
    <w:rsid w:val="52CEA76D"/>
    <w:rsid w:val="53FBC3C5"/>
    <w:rsid w:val="55BCD93F"/>
    <w:rsid w:val="57765FE1"/>
    <w:rsid w:val="5A7CDED9"/>
    <w:rsid w:val="5F1F34FB"/>
    <w:rsid w:val="5F504FFC"/>
    <w:rsid w:val="607DB987"/>
    <w:rsid w:val="6D357CD7"/>
    <w:rsid w:val="6EBE6658"/>
    <w:rsid w:val="6FA44ACF"/>
    <w:rsid w:val="71BA7E31"/>
    <w:rsid w:val="72BC9040"/>
    <w:rsid w:val="74F21EF3"/>
    <w:rsid w:val="755F0C3E"/>
    <w:rsid w:val="76DE37C1"/>
    <w:rsid w:val="7A56075F"/>
    <w:rsid w:val="7ADB5469"/>
    <w:rsid w:val="7E141F0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8193"/>
    <o:shapelayout v:ext="edit">
      <o:idmap v:ext="edit" data="1"/>
    </o:shapelayout>
  </w:shapeDefaults>
  <w:decimalSymbol w:val="."/>
  <w:listSeparator w:val=","/>
  <w14:docId w14:val="5CDF082F"/>
  <w15:docId w15:val="{7A3C76D3-56E9-4FF8-BEF2-ABF2F113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A17161"/>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A17161"/>
    <w:pPr>
      <w:spacing w:before="100" w:beforeAutospacing="1" w:after="100" w:afterAutospacing="1"/>
    </w:pPr>
    <w:rPr>
      <w:lang w:val="en-AU" w:eastAsia="en-AU"/>
    </w:rPr>
  </w:style>
  <w:style w:type="table" w:styleId="TableGrid">
    <w:name w:val="Table Grid"/>
    <w:basedOn w:val="TableNormal"/>
    <w:rsid w:val="00A1716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50E"/>
    <w:rPr>
      <w:rFonts w:ascii="Tahoma" w:hAnsi="Tahoma" w:cs="Tahoma"/>
      <w:sz w:val="16"/>
      <w:szCs w:val="16"/>
    </w:rPr>
  </w:style>
  <w:style w:type="character" w:customStyle="1" w:styleId="BalloonTextChar">
    <w:name w:val="Balloon Text Char"/>
    <w:basedOn w:val="DefaultParagraphFont"/>
    <w:link w:val="BalloonText"/>
    <w:uiPriority w:val="99"/>
    <w:semiHidden/>
    <w:rsid w:val="0060450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134EB"/>
    <w:rPr>
      <w:sz w:val="16"/>
      <w:szCs w:val="16"/>
    </w:rPr>
  </w:style>
  <w:style w:type="paragraph" w:styleId="CommentText">
    <w:name w:val="annotation text"/>
    <w:basedOn w:val="Normal"/>
    <w:link w:val="CommentTextChar"/>
    <w:uiPriority w:val="99"/>
    <w:semiHidden/>
    <w:unhideWhenUsed/>
    <w:rsid w:val="00F134EB"/>
    <w:rPr>
      <w:sz w:val="20"/>
      <w:szCs w:val="20"/>
    </w:rPr>
  </w:style>
  <w:style w:type="character" w:customStyle="1" w:styleId="CommentTextChar">
    <w:name w:val="Comment Text Char"/>
    <w:basedOn w:val="DefaultParagraphFont"/>
    <w:link w:val="CommentText"/>
    <w:uiPriority w:val="99"/>
    <w:semiHidden/>
    <w:rsid w:val="00F134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34EB"/>
    <w:rPr>
      <w:b/>
      <w:bCs/>
    </w:rPr>
  </w:style>
  <w:style w:type="character" w:customStyle="1" w:styleId="CommentSubjectChar">
    <w:name w:val="Comment Subject Char"/>
    <w:basedOn w:val="CommentTextChar"/>
    <w:link w:val="CommentSubject"/>
    <w:uiPriority w:val="99"/>
    <w:semiHidden/>
    <w:rsid w:val="00F134EB"/>
    <w:rPr>
      <w:rFonts w:ascii="Times New Roman" w:eastAsia="Times New Roman" w:hAnsi="Times New Roman" w:cs="Times New Roman"/>
      <w:b/>
      <w:bCs/>
      <w:sz w:val="20"/>
      <w:szCs w:val="20"/>
      <w:lang w:val="en-US"/>
    </w:rPr>
  </w:style>
  <w:style w:type="paragraph" w:customStyle="1" w:styleId="Default">
    <w:name w:val="Default"/>
    <w:rsid w:val="00F55B19"/>
    <w:pPr>
      <w:autoSpaceDE w:val="0"/>
      <w:autoSpaceDN w:val="0"/>
      <w:adjustRightInd w:val="0"/>
      <w:spacing w:after="0" w:line="240" w:lineRule="auto"/>
    </w:pPr>
    <w:rPr>
      <w:rFonts w:ascii="Arial" w:hAnsi="Arial" w:cs="Arial"/>
      <w:color w:val="000000"/>
      <w:sz w:val="24"/>
      <w:szCs w:val="24"/>
      <w:lang w:val="en-AU"/>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4B2BF1"/>
    <w:pPr>
      <w:tabs>
        <w:tab w:val="center" w:pos="4513"/>
        <w:tab w:val="right" w:pos="9026"/>
      </w:tabs>
    </w:pPr>
  </w:style>
  <w:style w:type="character" w:customStyle="1" w:styleId="HeaderChar">
    <w:name w:val="Header Char"/>
    <w:basedOn w:val="DefaultParagraphFont"/>
    <w:link w:val="Header"/>
    <w:uiPriority w:val="99"/>
    <w:semiHidden/>
    <w:rsid w:val="004B2BF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B2BF1"/>
    <w:pPr>
      <w:tabs>
        <w:tab w:val="center" w:pos="4513"/>
        <w:tab w:val="right" w:pos="9026"/>
      </w:tabs>
    </w:pPr>
  </w:style>
  <w:style w:type="character" w:customStyle="1" w:styleId="FooterChar">
    <w:name w:val="Footer Char"/>
    <w:basedOn w:val="DefaultParagraphFont"/>
    <w:link w:val="Footer"/>
    <w:uiPriority w:val="99"/>
    <w:semiHidden/>
    <w:rsid w:val="004B2BF1"/>
    <w:rPr>
      <w:rFonts w:ascii="Times New Roman" w:eastAsia="Times New Roman" w:hAnsi="Times New Roman" w:cs="Times New Roman"/>
      <w:sz w:val="24"/>
      <w:szCs w:val="24"/>
      <w:lang w:val="en-US"/>
    </w:rPr>
  </w:style>
  <w:style w:type="paragraph" w:styleId="Revision">
    <w:name w:val="Revision"/>
    <w:hidden/>
    <w:uiPriority w:val="99"/>
    <w:semiHidden/>
    <w:rsid w:val="00830C61"/>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B64C77"/>
    <w:rPr>
      <w:sz w:val="20"/>
      <w:szCs w:val="20"/>
    </w:rPr>
  </w:style>
  <w:style w:type="character" w:customStyle="1" w:styleId="FootnoteTextChar">
    <w:name w:val="Footnote Text Char"/>
    <w:basedOn w:val="DefaultParagraphFont"/>
    <w:link w:val="FootnoteText"/>
    <w:uiPriority w:val="99"/>
    <w:semiHidden/>
    <w:rsid w:val="00B64C7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64C77"/>
    <w:rPr>
      <w:vertAlign w:val="superscript"/>
    </w:rPr>
  </w:style>
  <w:style w:type="character" w:styleId="Hyperlink">
    <w:name w:val="Hyperlink"/>
    <w:basedOn w:val="DefaultParagraphFont"/>
    <w:uiPriority w:val="99"/>
    <w:unhideWhenUsed/>
    <w:rsid w:val="00B64C77"/>
    <w:rPr>
      <w:color w:val="0000FF" w:themeColor="hyperlink"/>
      <w:u w:val="single"/>
    </w:rPr>
  </w:style>
  <w:style w:type="character" w:customStyle="1" w:styleId="UnresolvedMention1">
    <w:name w:val="Unresolved Mention1"/>
    <w:basedOn w:val="DefaultParagraphFont"/>
    <w:uiPriority w:val="99"/>
    <w:semiHidden/>
    <w:unhideWhenUsed/>
    <w:rsid w:val="00B6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1L01614" TargetMode="External"/></Relationships>
</file>

<file path=word/documenttasks/documenttasks1.xml><?xml version="1.0" encoding="utf-8"?>
<t:Tasks xmlns:t="http://schemas.microsoft.com/office/tasks/2019/documenttasks" xmlns:oel="http://schemas.microsoft.com/office/2019/extlst">
  <t:Task id="{604B2456-2937-4426-B50D-06A624F66610}">
    <t:Anchor>
      <t:Comment id="1403554280"/>
    </t:Anchor>
    <t:History>
      <t:Event id="{54050639-7882-4618-8C26-3D2C0699399E}" time="2021-03-30T02:49:28.746Z">
        <t:Attribution userId="S::afmddp@afma.gov.au::72d6e496-eaf5-416d-93e4-566bbf295924" userProvider="AD" userName="DAL PIVA, Daniel"/>
        <t:Anchor>
          <t:Comment id="1403554280"/>
        </t:Anchor>
        <t:Create/>
      </t:Event>
      <t:Event id="{87E833AF-2284-4DA2-9C7E-9AB0A2D39A19}" time="2021-03-30T02:49:28.746Z">
        <t:Attribution userId="S::afmddp@afma.gov.au::72d6e496-eaf5-416d-93e4-566bbf295924" userProvider="AD" userName="DAL PIVA, Daniel"/>
        <t:Anchor>
          <t:Comment id="1403554280"/>
        </t:Anchor>
        <t:Assign userId="S::JF1029@afma.gov.au::7dc19131-a0de-46cb-b511-24f76bcce1e6" userProvider="AD" userName="FIELDING, Joshua"/>
      </t:Event>
      <t:Event id="{761AB936-D868-4C3E-89F4-58AF592FC604}" time="2021-03-30T02:49:28.746Z">
        <t:Attribution userId="S::afmddp@afma.gov.au::72d6e496-eaf5-416d-93e4-566bbf295924" userProvider="AD" userName="DAL PIVA, Daniel"/>
        <t:Anchor>
          <t:Comment id="1403554280"/>
        </t:Anchor>
        <t:SetTitle title="@FIELDING, Joshua please check format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dc7b98a-aa4a-4582-9fad-77df62eff277">AFMAROOT-685074830-15605</_dlc_DocId>
    <_dlc_DocIdUrl xmlns="9dc7b98a-aa4a-4582-9fad-77df62eff277">
      <Url>https://afmagovau.sharepoint.com/sites/AFMA-PROD/_layouts/15/DocIdRedir.aspx?ID=AFMAROOT-685074830-15605</Url>
      <Description>AFMAROOT-685074830-15605</Description>
    </_dlc_DocIdUrl>
    <DocumentStatus xmlns="9dc7b98a-aa4a-4582-9fad-77df62eff277">CEO Cleared</DocumentStatus>
    <_dlc_DocIdPersistId xmlns="9dc7b98a-aa4a-4582-9fad-77df62eff277" xsi:nil="true"/>
    <_Flow_SignoffStatus xmlns="d01b9356-9774-4515-b85f-82788657dd43" xsi:nil="true"/>
    <SharedWithUsers xmlns="9dc7b98a-aa4a-4582-9fad-77df62eff277">
      <UserInfo>
        <DisplayName>DAL PIVA, Daniel</DisplayName>
        <AccountId>252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6D043-FC29-4F1C-BAF1-8941FB628F59}">
  <ds:schemaRefs>
    <ds:schemaRef ds:uri="http://schemas.microsoft.com/sharepoint/events"/>
  </ds:schemaRefs>
</ds:datastoreItem>
</file>

<file path=customXml/itemProps2.xml><?xml version="1.0" encoding="utf-8"?>
<ds:datastoreItem xmlns:ds="http://schemas.openxmlformats.org/officeDocument/2006/customXml" ds:itemID="{A0CB7520-42D3-4D50-AC51-6A1390234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C6EE7-8792-4DEE-8671-5AA921FFEB2F}">
  <ds:schemaRefs>
    <ds:schemaRef ds:uri="http://schemas.openxmlformats.org/officeDocument/2006/bibliography"/>
  </ds:schemaRefs>
</ds:datastoreItem>
</file>

<file path=customXml/itemProps4.xml><?xml version="1.0" encoding="utf-8"?>
<ds:datastoreItem xmlns:ds="http://schemas.openxmlformats.org/officeDocument/2006/customXml" ds:itemID="{36063CB9-DCF3-45AF-B325-F04000F51448}">
  <ds:schemaRefs>
    <ds:schemaRef ds:uri="d01b9356-9774-4515-b85f-82788657dd43"/>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9dc7b98a-aa4a-4582-9fad-77df62eff277"/>
    <ds:schemaRef ds:uri="http://purl.org/dc/dcmitype/"/>
  </ds:schemaRefs>
</ds:datastoreItem>
</file>

<file path=customXml/itemProps5.xml><?xml version="1.0" encoding="utf-8"?>
<ds:datastoreItem xmlns:ds="http://schemas.openxmlformats.org/officeDocument/2006/customXml" ds:itemID="{AB0A4990-11BE-4F7E-9309-765C64046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Links>
    <vt:vector size="6" baseType="variant">
      <vt:variant>
        <vt:i4>7733290</vt:i4>
      </vt:variant>
      <vt:variant>
        <vt:i4>0</vt:i4>
      </vt:variant>
      <vt:variant>
        <vt:i4>0</vt:i4>
      </vt:variant>
      <vt:variant>
        <vt:i4>5</vt:i4>
      </vt:variant>
      <vt:variant>
        <vt:lpwstr>https://www.legislation.gov.au/Details/F2021L01614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HILL, Fiona</cp:lastModifiedBy>
  <cp:revision>2</cp:revision>
  <cp:lastPrinted>2022-03-11T05:13:00Z</cp:lastPrinted>
  <dcterms:created xsi:type="dcterms:W3CDTF">2022-03-25T04:33:00Z</dcterms:created>
  <dcterms:modified xsi:type="dcterms:W3CDTF">2022-03-25T04:33:00Z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abe539ad-ba97-4d1b-9d1d-c424f9942505</vt:lpwstr>
  </property>
  <property fmtid="{D5CDD505-2E9C-101B-9397-08002B2CF9AE}" pid="3" name="ContentTypeId">
    <vt:lpwstr>0x01010012922EE4DB6956409625CCB71A6EB15A</vt:lpwstr>
  </property>
  <property fmtid="{D5CDD505-2E9C-101B-9397-08002B2CF9AE}" pid="4" name="_dlc_DocIdItemGuid">
    <vt:lpwstr>811d4125-880f-4d79-95f3-ff156e5f3493</vt:lpwstr>
  </property>
  <property fmtid="{D5CDD505-2E9C-101B-9397-08002B2CF9AE}" pid="5" name="SEC">
    <vt:lpwstr>OFFICIAL</vt:lpwstr>
  </property>
  <property fmtid="{D5CDD505-2E9C-101B-9397-08002B2CF9AE}" pid="6" name="ApplyMark">
    <vt:lpwstr>false</vt:lpwstr>
  </property>
</Properties>
</file>