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D479" w14:textId="77777777" w:rsidR="00A9691A" w:rsidRDefault="00A9691A" w:rsidP="00A9691A">
      <w:pPr>
        <w:spacing w:before="280" w:after="240"/>
        <w:rPr>
          <w:b/>
          <w:sz w:val="32"/>
          <w:szCs w:val="32"/>
        </w:rPr>
      </w:pPr>
    </w:p>
    <w:p w14:paraId="0DA80365" w14:textId="6B0966A7" w:rsidR="00A9691A" w:rsidRPr="00635D91" w:rsidRDefault="00A9691A" w:rsidP="00A9691A">
      <w:pPr>
        <w:spacing w:before="280" w:after="240"/>
        <w:rPr>
          <w:b/>
          <w:sz w:val="32"/>
          <w:szCs w:val="32"/>
        </w:rPr>
      </w:pPr>
      <w:r w:rsidRPr="00635D91">
        <w:rPr>
          <w:noProof/>
        </w:rPr>
        <w:drawing>
          <wp:anchor distT="0" distB="0" distL="114300" distR="114300" simplePos="0" relativeHeight="251659264" behindDoc="0" locked="0" layoutInCell="1" allowOverlap="1" wp14:anchorId="6A9B7999" wp14:editId="14FA8D3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1270" b="0"/>
            <wp:wrapSquare wrapText="bothSides"/>
            <wp:docPr id="1" name="Picture 1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Securities and Investments Commiss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70094" w14:textId="77777777" w:rsidR="00A9691A" w:rsidRPr="00635D91" w:rsidRDefault="00A9691A" w:rsidP="00A9691A">
      <w:pPr>
        <w:pStyle w:val="LI-Title"/>
        <w:pBdr>
          <w:top w:val="none" w:sz="0" w:space="0" w:color="auto"/>
        </w:pBdr>
        <w:jc w:val="center"/>
      </w:pPr>
    </w:p>
    <w:p w14:paraId="18FDDACD" w14:textId="77777777" w:rsidR="00A9691A" w:rsidRPr="00635D91" w:rsidRDefault="00A9691A" w:rsidP="00A9691A">
      <w:pPr>
        <w:pStyle w:val="LI-Title"/>
        <w:pBdr>
          <w:top w:val="none" w:sz="0" w:space="0" w:color="auto"/>
        </w:pBdr>
        <w:jc w:val="center"/>
      </w:pPr>
      <w:r w:rsidRPr="00635D91">
        <w:t>Explanatory Statement</w:t>
      </w:r>
    </w:p>
    <w:p w14:paraId="5DBFA451" w14:textId="77777777" w:rsidR="00A9691A" w:rsidRPr="00635D91" w:rsidRDefault="00A9691A" w:rsidP="00A9691A">
      <w:pPr>
        <w:rPr>
          <w:lang w:eastAsia="en-AU"/>
        </w:rPr>
      </w:pPr>
    </w:p>
    <w:p w14:paraId="1C0FA576" w14:textId="16D83B18" w:rsidR="00A9691A" w:rsidRPr="00635D91" w:rsidRDefault="00A9691A" w:rsidP="00A9691A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  <w:lang w:eastAsia="en-AU"/>
        </w:rPr>
      </w:pPr>
      <w:r w:rsidRPr="00635D91">
        <w:rPr>
          <w:b/>
          <w:bCs/>
          <w:i/>
          <w:sz w:val="28"/>
          <w:szCs w:val="28"/>
          <w:lang w:eastAsia="en-AU"/>
        </w:rPr>
        <w:t>ASIC Corporations (Amendment) Instrument 202</w:t>
      </w:r>
      <w:r w:rsidR="00682135" w:rsidRPr="00635D91">
        <w:rPr>
          <w:b/>
          <w:bCs/>
          <w:i/>
          <w:sz w:val="28"/>
          <w:szCs w:val="28"/>
          <w:lang w:eastAsia="en-AU"/>
        </w:rPr>
        <w:t>2</w:t>
      </w:r>
      <w:r w:rsidRPr="00635D91">
        <w:rPr>
          <w:b/>
          <w:bCs/>
          <w:i/>
          <w:sz w:val="28"/>
          <w:szCs w:val="28"/>
          <w:lang w:eastAsia="en-AU"/>
        </w:rPr>
        <w:t>/</w:t>
      </w:r>
      <w:r w:rsidR="007D6840" w:rsidRPr="00635D91">
        <w:rPr>
          <w:b/>
          <w:bCs/>
          <w:i/>
          <w:sz w:val="28"/>
          <w:szCs w:val="28"/>
          <w:lang w:eastAsia="en-AU"/>
        </w:rPr>
        <w:t>206</w:t>
      </w:r>
    </w:p>
    <w:p w14:paraId="1F4B5C90" w14:textId="77777777" w:rsidR="00A9691A" w:rsidRPr="00635D91" w:rsidRDefault="00A9691A" w:rsidP="00A9691A">
      <w:pPr>
        <w:jc w:val="center"/>
        <w:rPr>
          <w:b/>
          <w:i/>
          <w:sz w:val="28"/>
          <w:szCs w:val="28"/>
          <w:lang w:eastAsia="en-AU"/>
        </w:rPr>
      </w:pPr>
    </w:p>
    <w:p w14:paraId="292AB8BC" w14:textId="66233524" w:rsidR="00A9691A" w:rsidRPr="00635D91" w:rsidRDefault="00A9691A" w:rsidP="00A9691A">
      <w:pPr>
        <w:pStyle w:val="LI-BodyTextParaa"/>
        <w:ind w:left="0" w:firstLine="0"/>
      </w:pPr>
      <w:bookmarkStart w:id="0" w:name="BK_S3P1L1C1"/>
      <w:bookmarkEnd w:id="0"/>
      <w:r w:rsidRPr="00635D91">
        <w:t xml:space="preserve">This is the Explanatory Statement for </w:t>
      </w:r>
      <w:r w:rsidRPr="00635D91">
        <w:rPr>
          <w:bCs/>
          <w:i/>
        </w:rPr>
        <w:t>ASIC Corporations (Amendment) Instrument 202</w:t>
      </w:r>
      <w:r w:rsidR="00682135" w:rsidRPr="00635D91">
        <w:rPr>
          <w:bCs/>
          <w:i/>
        </w:rPr>
        <w:t>2</w:t>
      </w:r>
      <w:r w:rsidR="007D6840" w:rsidRPr="00635D91">
        <w:rPr>
          <w:bCs/>
          <w:i/>
        </w:rPr>
        <w:t>/206</w:t>
      </w:r>
      <w:r w:rsidRPr="00635D91">
        <w:t>.</w:t>
      </w:r>
    </w:p>
    <w:p w14:paraId="66FDD584" w14:textId="77777777" w:rsidR="00A9691A" w:rsidRPr="00635D91" w:rsidRDefault="00A9691A" w:rsidP="00A9691A">
      <w:pPr>
        <w:pStyle w:val="LI-BodyTextParaa"/>
        <w:ind w:left="0" w:firstLine="0"/>
      </w:pPr>
      <w:r w:rsidRPr="00635D91">
        <w:t>The Explanatory Statement is approved by the Australian Securities and Investments Commission (</w:t>
      </w:r>
      <w:r w:rsidRPr="00635D91">
        <w:rPr>
          <w:b/>
          <w:iCs/>
        </w:rPr>
        <w:t>ASIC</w:t>
      </w:r>
      <w:r w:rsidRPr="00635D91">
        <w:t>).</w:t>
      </w:r>
    </w:p>
    <w:p w14:paraId="32F52543" w14:textId="77777777" w:rsidR="00A9691A" w:rsidRPr="00635D91" w:rsidRDefault="00A9691A" w:rsidP="00A9691A">
      <w:pPr>
        <w:pStyle w:val="LI-BodyTextNumbered"/>
        <w:ind w:left="0" w:firstLine="0"/>
        <w:rPr>
          <w:b/>
        </w:rPr>
      </w:pPr>
      <w:r w:rsidRPr="00635D91">
        <w:rPr>
          <w:b/>
        </w:rPr>
        <w:t>Summary</w:t>
      </w:r>
    </w:p>
    <w:p w14:paraId="01A33BEF" w14:textId="25837363" w:rsidR="00A9691A" w:rsidRPr="00635D91" w:rsidRDefault="00A9691A" w:rsidP="00A9691A">
      <w:pPr>
        <w:pStyle w:val="LI-BodyTextParaa"/>
        <w:ind w:left="567"/>
        <w:rPr>
          <w:iCs/>
        </w:rPr>
      </w:pPr>
      <w:r w:rsidRPr="00635D91">
        <w:t>1.</w:t>
      </w:r>
      <w:r w:rsidRPr="00635D91">
        <w:tab/>
      </w:r>
      <w:r w:rsidRPr="00635D91">
        <w:rPr>
          <w:iCs/>
        </w:rPr>
        <w:t xml:space="preserve">The instrument </w:t>
      </w:r>
      <w:r w:rsidR="00853396" w:rsidRPr="00635D91">
        <w:rPr>
          <w:iCs/>
        </w:rPr>
        <w:t xml:space="preserve">delays </w:t>
      </w:r>
      <w:r w:rsidR="007D5D38" w:rsidRPr="00635D91">
        <w:rPr>
          <w:iCs/>
        </w:rPr>
        <w:t>the commencement of central clearing requirements</w:t>
      </w:r>
      <w:r w:rsidR="009A264D" w:rsidRPr="00635D91">
        <w:rPr>
          <w:iCs/>
        </w:rPr>
        <w:t xml:space="preserve"> in Rule 2.1.1 of</w:t>
      </w:r>
      <w:r w:rsidR="007D5D38" w:rsidRPr="00635D91">
        <w:rPr>
          <w:iCs/>
        </w:rPr>
        <w:t xml:space="preserve"> </w:t>
      </w:r>
      <w:r w:rsidR="00945418" w:rsidRPr="00635D91">
        <w:rPr>
          <w:iCs/>
        </w:rPr>
        <w:t xml:space="preserve">the </w:t>
      </w:r>
      <w:r w:rsidRPr="00635D91">
        <w:rPr>
          <w:i/>
          <w:iCs/>
          <w:color w:val="000000"/>
        </w:rPr>
        <w:t xml:space="preserve">ASIC Derivative Transaction Rules (Clearing) 2015 </w:t>
      </w:r>
      <w:r w:rsidRPr="00635D91">
        <w:rPr>
          <w:iCs/>
          <w:color w:val="000000"/>
        </w:rPr>
        <w:t>(the</w:t>
      </w:r>
      <w:r w:rsidRPr="00635D91">
        <w:rPr>
          <w:i/>
          <w:iCs/>
          <w:color w:val="000000"/>
        </w:rPr>
        <w:t xml:space="preserve"> </w:t>
      </w:r>
      <w:r w:rsidRPr="00635D91">
        <w:rPr>
          <w:b/>
          <w:color w:val="000000"/>
        </w:rPr>
        <w:t>Rules</w:t>
      </w:r>
      <w:r w:rsidRPr="00635D91">
        <w:rPr>
          <w:iCs/>
          <w:color w:val="000000"/>
        </w:rPr>
        <w:t xml:space="preserve">) in relation to </w:t>
      </w:r>
      <w:r w:rsidRPr="00635D91">
        <w:rPr>
          <w:iCs/>
        </w:rPr>
        <w:t>Australian dollar</w:t>
      </w:r>
      <w:r w:rsidR="000022E2" w:rsidRPr="00635D91">
        <w:rPr>
          <w:iCs/>
        </w:rPr>
        <w:t>-denominated</w:t>
      </w:r>
      <w:r w:rsidRPr="00635D91">
        <w:rPr>
          <w:iCs/>
        </w:rPr>
        <w:t xml:space="preserve"> forward rate agreements (</w:t>
      </w:r>
      <w:r w:rsidRPr="00635D91">
        <w:rPr>
          <w:b/>
        </w:rPr>
        <w:t>AUD FRAs</w:t>
      </w:r>
      <w:r w:rsidRPr="00635D91">
        <w:rPr>
          <w:iCs/>
        </w:rPr>
        <w:t xml:space="preserve">) </w:t>
      </w:r>
      <w:r w:rsidR="007D5D38" w:rsidRPr="00635D91">
        <w:rPr>
          <w:iCs/>
        </w:rPr>
        <w:t xml:space="preserve">until </w:t>
      </w:r>
      <w:r w:rsidRPr="00635D91">
        <w:rPr>
          <w:iCs/>
        </w:rPr>
        <w:t>2 April 202</w:t>
      </w:r>
      <w:r w:rsidR="00682135" w:rsidRPr="00635D91">
        <w:rPr>
          <w:iCs/>
        </w:rPr>
        <w:t>4</w:t>
      </w:r>
      <w:r w:rsidRPr="00635D91">
        <w:rPr>
          <w:iCs/>
        </w:rPr>
        <w:t>.</w:t>
      </w:r>
      <w:r w:rsidR="00E63F62" w:rsidRPr="00635D91">
        <w:rPr>
          <w:iCs/>
        </w:rPr>
        <w:t xml:space="preserve"> </w:t>
      </w:r>
    </w:p>
    <w:p w14:paraId="6E3EE2F7" w14:textId="503037DF" w:rsidR="00A9691A" w:rsidRPr="00635D91" w:rsidRDefault="00A9691A" w:rsidP="00A9691A">
      <w:pPr>
        <w:pStyle w:val="LI-BodyTextParaa"/>
        <w:ind w:left="567"/>
        <w:rPr>
          <w:bCs/>
        </w:rPr>
      </w:pPr>
      <w:r w:rsidRPr="00635D91">
        <w:rPr>
          <w:bCs/>
        </w:rPr>
        <w:t>2.</w:t>
      </w:r>
      <w:r w:rsidRPr="00635D91">
        <w:rPr>
          <w:bCs/>
        </w:rPr>
        <w:tab/>
        <w:t>Unless explained otherwise, capitalised terms used in this Explanatory Statement have the meaning given by the Rules</w:t>
      </w:r>
      <w:r w:rsidR="001E7ECE" w:rsidRPr="00635D91">
        <w:rPr>
          <w:bCs/>
        </w:rPr>
        <w:t xml:space="preserve"> and the </w:t>
      </w:r>
      <w:r w:rsidR="001E7ECE" w:rsidRPr="00635D91">
        <w:rPr>
          <w:bCs/>
          <w:i/>
          <w:iCs/>
        </w:rPr>
        <w:t>Corporations Act 2001</w:t>
      </w:r>
      <w:r w:rsidR="001E7ECE" w:rsidRPr="00635D91">
        <w:rPr>
          <w:bCs/>
        </w:rPr>
        <w:t xml:space="preserve"> (the </w:t>
      </w:r>
      <w:r w:rsidR="001E7ECE" w:rsidRPr="00635D91">
        <w:rPr>
          <w:b/>
        </w:rPr>
        <w:t>Act</w:t>
      </w:r>
      <w:r w:rsidR="001E7ECE" w:rsidRPr="00635D91">
        <w:rPr>
          <w:bCs/>
        </w:rPr>
        <w:t>).</w:t>
      </w:r>
    </w:p>
    <w:p w14:paraId="7D95FED6" w14:textId="77777777" w:rsidR="00A9691A" w:rsidRDefault="00A9691A" w:rsidP="00A9691A">
      <w:pPr>
        <w:pStyle w:val="LI-BodyTextNumbered"/>
        <w:ind w:hanging="1134"/>
        <w:rPr>
          <w:b/>
        </w:rPr>
      </w:pPr>
      <w:r w:rsidRPr="00635D91">
        <w:rPr>
          <w:b/>
        </w:rPr>
        <w:t>Purpose of the instrument</w:t>
      </w:r>
    </w:p>
    <w:p w14:paraId="7E5E4CB4" w14:textId="0C6120B7" w:rsidR="00A9691A" w:rsidRDefault="00A9691A" w:rsidP="00A9691A">
      <w:pPr>
        <w:pStyle w:val="LI-BodyTextParaa"/>
        <w:ind w:left="567"/>
        <w:rPr>
          <w:iCs/>
        </w:rPr>
      </w:pPr>
      <w:r>
        <w:t>3.</w:t>
      </w:r>
      <w:r>
        <w:tab/>
      </w:r>
      <w:r w:rsidRPr="007F2A3E">
        <w:rPr>
          <w:iCs/>
        </w:rPr>
        <w:t>In May 2013, ASIC, the Reserve Bank of Australia (</w:t>
      </w:r>
      <w:r w:rsidRPr="001E7ECE">
        <w:rPr>
          <w:b/>
        </w:rPr>
        <w:t>RBA</w:t>
      </w:r>
      <w:r w:rsidRPr="007F2A3E">
        <w:rPr>
          <w:iCs/>
        </w:rPr>
        <w:t>) and the Australian Prudential Regulation Authority (</w:t>
      </w:r>
      <w:r w:rsidRPr="001E7ECE">
        <w:rPr>
          <w:b/>
        </w:rPr>
        <w:t>APRA</w:t>
      </w:r>
      <w:r w:rsidRPr="007F2A3E">
        <w:rPr>
          <w:iCs/>
        </w:rPr>
        <w:t>) (</w:t>
      </w:r>
      <w:r w:rsidR="00312240">
        <w:rPr>
          <w:iCs/>
        </w:rPr>
        <w:t>together</w:t>
      </w:r>
      <w:r w:rsidRPr="007F2A3E">
        <w:rPr>
          <w:iCs/>
        </w:rPr>
        <w:t xml:space="preserve">, the </w:t>
      </w:r>
      <w:r w:rsidRPr="001E7ECE">
        <w:rPr>
          <w:b/>
        </w:rPr>
        <w:t>Regulators</w:t>
      </w:r>
      <w:r w:rsidRPr="007F2A3E">
        <w:rPr>
          <w:iCs/>
        </w:rPr>
        <w:t xml:space="preserve">) published the </w:t>
      </w:r>
      <w:r w:rsidRPr="008503A8">
        <w:rPr>
          <w:i/>
          <w:iCs/>
        </w:rPr>
        <w:t>Australian regulators’ statement on assessing the case for mandatory clearing obligations</w:t>
      </w:r>
      <w:r w:rsidRPr="007F2A3E">
        <w:rPr>
          <w:iCs/>
        </w:rPr>
        <w:t xml:space="preserve">, which gave details of the analysis the Regulators would apply when assessing the case for </w:t>
      </w:r>
      <w:r w:rsidR="00312240">
        <w:rPr>
          <w:iCs/>
        </w:rPr>
        <w:t>introducing clearing mandates</w:t>
      </w:r>
      <w:r w:rsidRPr="007F2A3E">
        <w:rPr>
          <w:iCs/>
        </w:rPr>
        <w:t xml:space="preserve">. </w:t>
      </w:r>
      <w:r w:rsidR="00494505">
        <w:rPr>
          <w:iCs/>
        </w:rPr>
        <w:t xml:space="preserve">In this statement, the Regulators indicated </w:t>
      </w:r>
      <w:r w:rsidR="002C34AF">
        <w:rPr>
          <w:iCs/>
        </w:rPr>
        <w:t xml:space="preserve">that where there was no Clearing Facility available to clear a particular product, or only one Clearing Facility was available, </w:t>
      </w:r>
      <w:r w:rsidRPr="007F2A3E">
        <w:rPr>
          <w:iCs/>
        </w:rPr>
        <w:t>the issuance of a mandate would constrain Australian participants' choices</w:t>
      </w:r>
      <w:r w:rsidR="002C34AF">
        <w:rPr>
          <w:iCs/>
        </w:rPr>
        <w:t>.</w:t>
      </w:r>
    </w:p>
    <w:p w14:paraId="02B18410" w14:textId="0530D70A" w:rsidR="00A9691A" w:rsidRDefault="00A9691A" w:rsidP="00A9691A">
      <w:pPr>
        <w:pStyle w:val="LI-BodyTextParaa"/>
        <w:ind w:left="567"/>
        <w:rPr>
          <w:bCs/>
        </w:rPr>
      </w:pPr>
      <w:r>
        <w:rPr>
          <w:iCs/>
        </w:rPr>
        <w:t>4.</w:t>
      </w:r>
      <w:r>
        <w:rPr>
          <w:iCs/>
        </w:rPr>
        <w:tab/>
      </w:r>
      <w:r w:rsidRPr="00C37DD2">
        <w:rPr>
          <w:bCs/>
        </w:rPr>
        <w:t>In December 2015, ASIC</w:t>
      </w:r>
      <w:r w:rsidR="00FD172A">
        <w:rPr>
          <w:bCs/>
        </w:rPr>
        <w:t xml:space="preserve"> </w:t>
      </w:r>
      <w:r w:rsidRPr="00C37DD2">
        <w:rPr>
          <w:bCs/>
        </w:rPr>
        <w:t>made the Rules</w:t>
      </w:r>
      <w:r w:rsidR="00FD172A">
        <w:rPr>
          <w:bCs/>
        </w:rPr>
        <w:t xml:space="preserve"> under section 901A of the Act</w:t>
      </w:r>
      <w:r w:rsidR="00BB48FE">
        <w:rPr>
          <w:bCs/>
        </w:rPr>
        <w:t xml:space="preserve"> after obtaining the consent of the Minister under section 901K of the Act</w:t>
      </w:r>
      <w:r w:rsidRPr="00C37DD2">
        <w:rPr>
          <w:bCs/>
        </w:rPr>
        <w:t>.</w:t>
      </w:r>
      <w:r w:rsidRPr="00345092">
        <w:rPr>
          <w:bCs/>
        </w:rPr>
        <w:t xml:space="preserve"> The Rules impose clearing requirements in relation to </w:t>
      </w:r>
      <w:r w:rsidR="001E7ECE">
        <w:rPr>
          <w:bCs/>
        </w:rPr>
        <w:t>certain Derivative Transactions</w:t>
      </w:r>
      <w:r w:rsidRPr="00345092">
        <w:rPr>
          <w:bCs/>
        </w:rPr>
        <w:t xml:space="preserve"> </w:t>
      </w:r>
      <w:r w:rsidR="00C541B7">
        <w:rPr>
          <w:bCs/>
        </w:rPr>
        <w:t>in specific circumstances</w:t>
      </w:r>
      <w:r w:rsidRPr="00345092">
        <w:rPr>
          <w:bCs/>
        </w:rPr>
        <w:t xml:space="preserve">. Rule 2.1.1 </w:t>
      </w:r>
      <w:r w:rsidR="00184E93">
        <w:rPr>
          <w:bCs/>
        </w:rPr>
        <w:t xml:space="preserve">of the Rules </w:t>
      </w:r>
      <w:r w:rsidR="001E7ECE">
        <w:rPr>
          <w:bCs/>
        </w:rPr>
        <w:t>provides that</w:t>
      </w:r>
      <w:r w:rsidRPr="00345092">
        <w:rPr>
          <w:bCs/>
        </w:rPr>
        <w:t xml:space="preserve"> </w:t>
      </w:r>
      <w:r w:rsidR="006A1607">
        <w:rPr>
          <w:bCs/>
        </w:rPr>
        <w:t xml:space="preserve">a </w:t>
      </w:r>
      <w:r w:rsidRPr="00345092">
        <w:rPr>
          <w:bCs/>
        </w:rPr>
        <w:t>Clearing Entit</w:t>
      </w:r>
      <w:r w:rsidR="006A1607">
        <w:rPr>
          <w:bCs/>
        </w:rPr>
        <w:t>y</w:t>
      </w:r>
      <w:r w:rsidR="00FD172A">
        <w:rPr>
          <w:bCs/>
        </w:rPr>
        <w:t xml:space="preserve"> must ensure that each of its Clearing Transactions </w:t>
      </w:r>
      <w:r w:rsidR="00E43A63">
        <w:rPr>
          <w:bCs/>
        </w:rPr>
        <w:t xml:space="preserve">(being Clearing Derivatives </w:t>
      </w:r>
      <w:proofErr w:type="gramStart"/>
      <w:r w:rsidR="00E43A63">
        <w:rPr>
          <w:bCs/>
        </w:rPr>
        <w:t>entered into</w:t>
      </w:r>
      <w:proofErr w:type="gramEnd"/>
      <w:r w:rsidR="00E43A63">
        <w:rPr>
          <w:bCs/>
        </w:rPr>
        <w:t xml:space="preserve"> in </w:t>
      </w:r>
      <w:r w:rsidR="00D10CA1">
        <w:rPr>
          <w:bCs/>
        </w:rPr>
        <w:t xml:space="preserve">the circumstances outlined in </w:t>
      </w:r>
      <w:r w:rsidR="00184E93">
        <w:rPr>
          <w:bCs/>
        </w:rPr>
        <w:t>R</w:t>
      </w:r>
      <w:r w:rsidR="00A61B04">
        <w:rPr>
          <w:bCs/>
        </w:rPr>
        <w:t>ule 1.2.5</w:t>
      </w:r>
      <w:r w:rsidR="00184E93">
        <w:rPr>
          <w:bCs/>
        </w:rPr>
        <w:t xml:space="preserve"> of the Rules</w:t>
      </w:r>
      <w:r w:rsidR="00E43A63">
        <w:rPr>
          <w:bCs/>
        </w:rPr>
        <w:t xml:space="preserve">) </w:t>
      </w:r>
      <w:r w:rsidR="00FD172A">
        <w:rPr>
          <w:bCs/>
        </w:rPr>
        <w:t xml:space="preserve">is Cleared </w:t>
      </w:r>
      <w:r w:rsidR="00FD172A">
        <w:rPr>
          <w:bCs/>
        </w:rPr>
        <w:lastRenderedPageBreak/>
        <w:t>Through</w:t>
      </w:r>
      <w:r w:rsidRPr="00345092">
        <w:rPr>
          <w:bCs/>
        </w:rPr>
        <w:t xml:space="preserve"> </w:t>
      </w:r>
      <w:r w:rsidR="00FD172A">
        <w:rPr>
          <w:bCs/>
        </w:rPr>
        <w:t xml:space="preserve">a </w:t>
      </w:r>
      <w:r w:rsidRPr="00345092">
        <w:rPr>
          <w:bCs/>
        </w:rPr>
        <w:t>Clearing Facility</w:t>
      </w:r>
      <w:r w:rsidR="00FD172A">
        <w:rPr>
          <w:bCs/>
        </w:rPr>
        <w:t xml:space="preserve"> as soon as reasonably practicable after the Clearing Transaction is entered into</w:t>
      </w:r>
      <w:r w:rsidRPr="00345092">
        <w:rPr>
          <w:bCs/>
        </w:rPr>
        <w:t xml:space="preserve">. </w:t>
      </w:r>
      <w:r w:rsidR="00A61B04">
        <w:rPr>
          <w:bCs/>
        </w:rPr>
        <w:t>This is the principal Clearing Requirement</w:t>
      </w:r>
      <w:r w:rsidRPr="00345092">
        <w:rPr>
          <w:bCs/>
        </w:rPr>
        <w:t>.</w:t>
      </w:r>
    </w:p>
    <w:p w14:paraId="105C1C0A" w14:textId="4B17B8C2" w:rsidR="00741CD2" w:rsidRDefault="00A9691A" w:rsidP="00A9691A">
      <w:pPr>
        <w:pStyle w:val="LI-BodyTextParaa"/>
        <w:ind w:left="567"/>
        <w:rPr>
          <w:iCs/>
        </w:rPr>
      </w:pPr>
      <w:r>
        <w:rPr>
          <w:iCs/>
        </w:rPr>
        <w:t>5.</w:t>
      </w:r>
      <w:r>
        <w:rPr>
          <w:iCs/>
        </w:rPr>
        <w:tab/>
      </w:r>
      <w:r w:rsidRPr="007F2A3E">
        <w:rPr>
          <w:iCs/>
        </w:rPr>
        <w:t xml:space="preserve">In making the Rules, </w:t>
      </w:r>
      <w:r w:rsidR="00A61B04">
        <w:rPr>
          <w:iCs/>
        </w:rPr>
        <w:t xml:space="preserve">ASIC inserted </w:t>
      </w:r>
      <w:r w:rsidR="00184E93">
        <w:rPr>
          <w:iCs/>
        </w:rPr>
        <w:t>S</w:t>
      </w:r>
      <w:r w:rsidR="00A61B04">
        <w:rPr>
          <w:iCs/>
        </w:rPr>
        <w:t>ubrule 1.2.3(8)</w:t>
      </w:r>
      <w:r w:rsidR="00184E93">
        <w:rPr>
          <w:iCs/>
        </w:rPr>
        <w:t xml:space="preserve"> into the Rules</w:t>
      </w:r>
      <w:r w:rsidR="00A61B04">
        <w:rPr>
          <w:iCs/>
        </w:rPr>
        <w:t xml:space="preserve">, which excluded AUD FRAs </w:t>
      </w:r>
      <w:proofErr w:type="gramStart"/>
      <w:r w:rsidR="00A61B04">
        <w:rPr>
          <w:iCs/>
        </w:rPr>
        <w:t>entered into</w:t>
      </w:r>
      <w:proofErr w:type="gramEnd"/>
      <w:r w:rsidR="00A61B04">
        <w:rPr>
          <w:iCs/>
        </w:rPr>
        <w:t xml:space="preserve"> before</w:t>
      </w:r>
      <w:r w:rsidRPr="007F2A3E">
        <w:rPr>
          <w:iCs/>
        </w:rPr>
        <w:t xml:space="preserve"> 2 April 2018</w:t>
      </w:r>
      <w:r w:rsidR="00A61B04">
        <w:rPr>
          <w:iCs/>
        </w:rPr>
        <w:t xml:space="preserve"> from the definition of a Clearing Derivative</w:t>
      </w:r>
      <w:r w:rsidR="00741CD2">
        <w:rPr>
          <w:iCs/>
        </w:rPr>
        <w:t xml:space="preserve">, thereby delaying the commencement of the Clearing Requirement with respect to AUD FRAs </w:t>
      </w:r>
      <w:r w:rsidR="00184E93">
        <w:rPr>
          <w:iCs/>
        </w:rPr>
        <w:t>until 2 April 2018</w:t>
      </w:r>
      <w:r w:rsidRPr="007F2A3E">
        <w:rPr>
          <w:iCs/>
        </w:rPr>
        <w:t xml:space="preserve">. In the Regulation Impact Statement </w:t>
      </w:r>
      <w:r w:rsidR="00741CD2">
        <w:rPr>
          <w:iCs/>
        </w:rPr>
        <w:t>accompanying the Rules</w:t>
      </w:r>
      <w:r w:rsidRPr="007F2A3E">
        <w:rPr>
          <w:iCs/>
        </w:rPr>
        <w:t xml:space="preserve">, ASIC </w:t>
      </w:r>
      <w:r w:rsidR="00386211">
        <w:rPr>
          <w:iCs/>
        </w:rPr>
        <w:t xml:space="preserve">indicated that, due to the lack of market infrastructure in place to clear AUD FRAs, ASIC would </w:t>
      </w:r>
      <w:r w:rsidR="003B1F27">
        <w:rPr>
          <w:iCs/>
        </w:rPr>
        <w:t xml:space="preserve">delay </w:t>
      </w:r>
      <w:r w:rsidR="00386211">
        <w:rPr>
          <w:iCs/>
        </w:rPr>
        <w:t xml:space="preserve">the commencement of the mandatory clearing of AUD FRAs for a period of two years. </w:t>
      </w:r>
      <w:r w:rsidRPr="007F2A3E">
        <w:rPr>
          <w:iCs/>
        </w:rPr>
        <w:t xml:space="preserve">ASIC </w:t>
      </w:r>
      <w:r w:rsidR="00184E93">
        <w:rPr>
          <w:iCs/>
        </w:rPr>
        <w:t xml:space="preserve">also </w:t>
      </w:r>
      <w:r w:rsidR="00741CD2">
        <w:rPr>
          <w:iCs/>
        </w:rPr>
        <w:t>indicated</w:t>
      </w:r>
      <w:r w:rsidRPr="007F2A3E">
        <w:rPr>
          <w:iCs/>
        </w:rPr>
        <w:t xml:space="preserve"> </w:t>
      </w:r>
      <w:r w:rsidR="00741CD2">
        <w:rPr>
          <w:iCs/>
        </w:rPr>
        <w:t xml:space="preserve">that </w:t>
      </w:r>
      <w:r w:rsidR="00C630FE">
        <w:rPr>
          <w:iCs/>
        </w:rPr>
        <w:t xml:space="preserve">should no additional Clearing Facilities enter the market to clear AUD FRAs, ASIC </w:t>
      </w:r>
      <w:r w:rsidR="00741CD2">
        <w:rPr>
          <w:iCs/>
        </w:rPr>
        <w:t xml:space="preserve">would consider further delaying the </w:t>
      </w:r>
      <w:r w:rsidR="00386211">
        <w:rPr>
          <w:iCs/>
        </w:rPr>
        <w:t xml:space="preserve">commencement of the Clearing Requirement </w:t>
      </w:r>
      <w:proofErr w:type="gramStart"/>
      <w:r w:rsidR="00386211">
        <w:rPr>
          <w:iCs/>
        </w:rPr>
        <w:t xml:space="preserve">in order </w:t>
      </w:r>
      <w:r w:rsidR="00741CD2">
        <w:rPr>
          <w:iCs/>
        </w:rPr>
        <w:t>to</w:t>
      </w:r>
      <w:proofErr w:type="gramEnd"/>
      <w:r w:rsidR="00741CD2">
        <w:rPr>
          <w:iCs/>
        </w:rPr>
        <w:t xml:space="preserve"> ensure that the preconditions for mandatory central clearing expressed by the Regulators </w:t>
      </w:r>
      <w:r w:rsidR="00E5099D">
        <w:rPr>
          <w:iCs/>
        </w:rPr>
        <w:t>could be met</w:t>
      </w:r>
      <w:r w:rsidR="00741CD2">
        <w:rPr>
          <w:iCs/>
        </w:rPr>
        <w:t>.</w:t>
      </w:r>
    </w:p>
    <w:p w14:paraId="56C24EAD" w14:textId="0E58967A" w:rsidR="00A9691A" w:rsidRPr="005F0398" w:rsidRDefault="00A9691A" w:rsidP="00A9691A">
      <w:pPr>
        <w:pStyle w:val="LI-BodyTextParaa"/>
        <w:ind w:left="567"/>
        <w:rPr>
          <w:iCs/>
        </w:rPr>
      </w:pPr>
      <w:r>
        <w:rPr>
          <w:iCs/>
        </w:rPr>
        <w:t>6.</w:t>
      </w:r>
      <w:r>
        <w:rPr>
          <w:iCs/>
        </w:rPr>
        <w:tab/>
        <w:t>In 2018, ASIC</w:t>
      </w:r>
      <w:r w:rsidR="005F0398">
        <w:rPr>
          <w:iCs/>
        </w:rPr>
        <w:t xml:space="preserve"> made the</w:t>
      </w:r>
      <w:r>
        <w:rPr>
          <w:iCs/>
        </w:rPr>
        <w:t xml:space="preserve"> </w:t>
      </w:r>
      <w:r w:rsidRPr="00986B21">
        <w:rPr>
          <w:i/>
          <w:iCs/>
        </w:rPr>
        <w:t>ASIC Corporations (Derivative Clearing Exemption) Instrument 2018/209</w:t>
      </w:r>
      <w:r w:rsidRPr="003B586B">
        <w:rPr>
          <w:iCs/>
        </w:rPr>
        <w:t xml:space="preserve"> </w:t>
      </w:r>
      <w:r w:rsidR="001522B4">
        <w:rPr>
          <w:iCs/>
        </w:rPr>
        <w:t xml:space="preserve">(the </w:t>
      </w:r>
      <w:r w:rsidR="001522B4">
        <w:rPr>
          <w:b/>
          <w:bCs/>
          <w:iCs/>
        </w:rPr>
        <w:t>Exemption</w:t>
      </w:r>
      <w:r w:rsidR="001522B4">
        <w:rPr>
          <w:iCs/>
        </w:rPr>
        <w:t xml:space="preserve">) </w:t>
      </w:r>
      <w:r w:rsidRPr="003B586B">
        <w:rPr>
          <w:iCs/>
        </w:rPr>
        <w:t xml:space="preserve">which </w:t>
      </w:r>
      <w:r w:rsidR="001522B4">
        <w:rPr>
          <w:iCs/>
        </w:rPr>
        <w:t xml:space="preserve">relieved Clearing Entities from the obligation to comply with </w:t>
      </w:r>
      <w:r w:rsidR="00C630FE">
        <w:rPr>
          <w:iCs/>
        </w:rPr>
        <w:t>R</w:t>
      </w:r>
      <w:r w:rsidR="001522B4">
        <w:rPr>
          <w:iCs/>
        </w:rPr>
        <w:t xml:space="preserve">ule 2.1.1 </w:t>
      </w:r>
      <w:r w:rsidR="0088290B">
        <w:rPr>
          <w:iCs/>
        </w:rPr>
        <w:t xml:space="preserve">of the Rules </w:t>
      </w:r>
      <w:r w:rsidR="001522B4">
        <w:rPr>
          <w:iCs/>
        </w:rPr>
        <w:t>in respect of AUD FRA</w:t>
      </w:r>
      <w:r w:rsidR="00835A51">
        <w:rPr>
          <w:iCs/>
        </w:rPr>
        <w:t>s</w:t>
      </w:r>
      <w:r w:rsidR="001522B4">
        <w:rPr>
          <w:iCs/>
        </w:rPr>
        <w:t xml:space="preserve"> </w:t>
      </w:r>
      <w:proofErr w:type="gramStart"/>
      <w:r w:rsidR="001522B4">
        <w:rPr>
          <w:iCs/>
        </w:rPr>
        <w:t>entered into</w:t>
      </w:r>
      <w:proofErr w:type="gramEnd"/>
      <w:r w:rsidR="001522B4">
        <w:rPr>
          <w:iCs/>
        </w:rPr>
        <w:t xml:space="preserve"> before 2 April 2019</w:t>
      </w:r>
      <w:r w:rsidR="00835A51">
        <w:rPr>
          <w:iCs/>
        </w:rPr>
        <w:t>.</w:t>
      </w:r>
      <w:r w:rsidR="001B3423">
        <w:rPr>
          <w:iCs/>
        </w:rPr>
        <w:t xml:space="preserve"> </w:t>
      </w:r>
      <w:r w:rsidR="00835A51">
        <w:rPr>
          <w:iCs/>
        </w:rPr>
        <w:t xml:space="preserve">The Exemption </w:t>
      </w:r>
      <w:r w:rsidR="001522B4">
        <w:rPr>
          <w:iCs/>
        </w:rPr>
        <w:t xml:space="preserve">effectively delaying the commencement of the Clearing Requirement </w:t>
      </w:r>
      <w:r w:rsidR="00386211">
        <w:rPr>
          <w:iCs/>
        </w:rPr>
        <w:t xml:space="preserve">with respect to AUD FRAs </w:t>
      </w:r>
      <w:r w:rsidR="001522B4">
        <w:rPr>
          <w:iCs/>
        </w:rPr>
        <w:t>for a further 12 months</w:t>
      </w:r>
      <w:r w:rsidRPr="0022196F">
        <w:rPr>
          <w:iCs/>
        </w:rPr>
        <w:t>.</w:t>
      </w:r>
      <w:r>
        <w:rPr>
          <w:iCs/>
        </w:rPr>
        <w:t xml:space="preserve"> In 2019, </w:t>
      </w:r>
      <w:r w:rsidRPr="0022196F">
        <w:rPr>
          <w:iCs/>
        </w:rPr>
        <w:t xml:space="preserve">ASIC made </w:t>
      </w:r>
      <w:r w:rsidRPr="00295F6B">
        <w:rPr>
          <w:i/>
          <w:iCs/>
        </w:rPr>
        <w:t>ASIC Corporations (Amend</w:t>
      </w:r>
      <w:r w:rsidR="00835A51">
        <w:rPr>
          <w:i/>
          <w:iCs/>
        </w:rPr>
        <w:t>m</w:t>
      </w:r>
      <w:r w:rsidRPr="00295F6B">
        <w:rPr>
          <w:i/>
          <w:iCs/>
        </w:rPr>
        <w:t>ent) Instrument 2019/202</w:t>
      </w:r>
      <w:r w:rsidR="001522B4">
        <w:rPr>
          <w:iCs/>
        </w:rPr>
        <w:t>,</w:t>
      </w:r>
      <w:r w:rsidR="0088290B">
        <w:rPr>
          <w:iCs/>
        </w:rPr>
        <w:t xml:space="preserve"> which extended the Exemption for a further 12 months to </w:t>
      </w:r>
      <w:r w:rsidR="001522B4">
        <w:rPr>
          <w:iCs/>
        </w:rPr>
        <w:t>2 April 2020</w:t>
      </w:r>
      <w:r w:rsidRPr="0022196F">
        <w:rPr>
          <w:iCs/>
        </w:rPr>
        <w:t>.</w:t>
      </w:r>
      <w:r w:rsidR="005F0398">
        <w:rPr>
          <w:iCs/>
        </w:rPr>
        <w:t xml:space="preserve"> In 2020, ASIC made </w:t>
      </w:r>
      <w:r w:rsidR="005F0398">
        <w:rPr>
          <w:i/>
        </w:rPr>
        <w:t>ASIC Corporations (Amendment) Instrument 2020/149</w:t>
      </w:r>
      <w:r w:rsidR="001522B4">
        <w:rPr>
          <w:iCs/>
        </w:rPr>
        <w:t>,</w:t>
      </w:r>
      <w:r w:rsidR="0088290B">
        <w:rPr>
          <w:iCs/>
        </w:rPr>
        <w:t xml:space="preserve"> which extended the Exemption for a further 24 months to</w:t>
      </w:r>
      <w:r w:rsidR="001522B4">
        <w:rPr>
          <w:iCs/>
        </w:rPr>
        <w:t xml:space="preserve"> 2 April 2022</w:t>
      </w:r>
      <w:r w:rsidR="005F0398">
        <w:rPr>
          <w:iCs/>
        </w:rPr>
        <w:t>.</w:t>
      </w:r>
    </w:p>
    <w:p w14:paraId="20013DDC" w14:textId="6F50C5DC" w:rsidR="000941B5" w:rsidRDefault="00A9691A" w:rsidP="00A9691A">
      <w:pPr>
        <w:pStyle w:val="LI-BodyTextParaa"/>
        <w:ind w:left="567"/>
        <w:rPr>
          <w:iCs/>
        </w:rPr>
      </w:pPr>
      <w:r>
        <w:rPr>
          <w:iCs/>
        </w:rPr>
        <w:t>7.</w:t>
      </w:r>
      <w:r>
        <w:rPr>
          <w:iCs/>
        </w:rPr>
        <w:tab/>
      </w:r>
      <w:r w:rsidR="00835A51">
        <w:rPr>
          <w:iCs/>
        </w:rPr>
        <w:t>Currently</w:t>
      </w:r>
      <w:r w:rsidR="000D487B">
        <w:rPr>
          <w:iCs/>
        </w:rPr>
        <w:t>,</w:t>
      </w:r>
      <w:r w:rsidRPr="007F2A3E">
        <w:rPr>
          <w:iCs/>
        </w:rPr>
        <w:t xml:space="preserve"> </w:t>
      </w:r>
      <w:r w:rsidR="00835A51">
        <w:rPr>
          <w:iCs/>
        </w:rPr>
        <w:t xml:space="preserve">there is </w:t>
      </w:r>
      <w:r w:rsidRPr="007F2A3E">
        <w:rPr>
          <w:iCs/>
        </w:rPr>
        <w:t>only one Clearing Facility</w:t>
      </w:r>
      <w:r w:rsidR="00835A51">
        <w:rPr>
          <w:iCs/>
        </w:rPr>
        <w:t xml:space="preserve"> that</w:t>
      </w:r>
      <w:r w:rsidRPr="007F2A3E">
        <w:rPr>
          <w:iCs/>
        </w:rPr>
        <w:t xml:space="preserve"> </w:t>
      </w:r>
      <w:r w:rsidR="00EE1884">
        <w:rPr>
          <w:iCs/>
        </w:rPr>
        <w:t xml:space="preserve">clears </w:t>
      </w:r>
      <w:r w:rsidRPr="007F2A3E">
        <w:rPr>
          <w:iCs/>
        </w:rPr>
        <w:t xml:space="preserve">AUD FRAs, and ASIC does not believe </w:t>
      </w:r>
      <w:r w:rsidR="000D487B">
        <w:rPr>
          <w:iCs/>
        </w:rPr>
        <w:t xml:space="preserve">that </w:t>
      </w:r>
      <w:r w:rsidRPr="007F2A3E">
        <w:rPr>
          <w:iCs/>
        </w:rPr>
        <w:t xml:space="preserve">any other Clearing Facility is likely to </w:t>
      </w:r>
      <w:r w:rsidR="00302D09">
        <w:rPr>
          <w:iCs/>
        </w:rPr>
        <w:t xml:space="preserve">begin </w:t>
      </w:r>
      <w:r w:rsidRPr="007F2A3E">
        <w:rPr>
          <w:iCs/>
        </w:rPr>
        <w:t>clear</w:t>
      </w:r>
      <w:r w:rsidR="00302D09">
        <w:rPr>
          <w:iCs/>
        </w:rPr>
        <w:t>ing</w:t>
      </w:r>
      <w:r w:rsidRPr="007F2A3E">
        <w:rPr>
          <w:iCs/>
        </w:rPr>
        <w:t xml:space="preserve"> AUD FRAs </w:t>
      </w:r>
      <w:proofErr w:type="gramStart"/>
      <w:r w:rsidRPr="007F2A3E">
        <w:rPr>
          <w:iCs/>
        </w:rPr>
        <w:t>in the near future</w:t>
      </w:r>
      <w:proofErr w:type="gramEnd"/>
      <w:r w:rsidRPr="007F2A3E">
        <w:rPr>
          <w:iCs/>
        </w:rPr>
        <w:t xml:space="preserve">. </w:t>
      </w:r>
      <w:r w:rsidR="00E02FE2">
        <w:rPr>
          <w:iCs/>
        </w:rPr>
        <w:t xml:space="preserve">In January 2022, </w:t>
      </w:r>
      <w:r w:rsidR="005F0398">
        <w:rPr>
          <w:iCs/>
        </w:rPr>
        <w:t>ASIC consulted with other Clearing Facilities who</w:t>
      </w:r>
      <w:r w:rsidR="00DA7194">
        <w:rPr>
          <w:iCs/>
        </w:rPr>
        <w:t xml:space="preserve"> have confirmed that they </w:t>
      </w:r>
      <w:r w:rsidR="005F0398">
        <w:rPr>
          <w:iCs/>
        </w:rPr>
        <w:t xml:space="preserve">do not </w:t>
      </w:r>
      <w:r w:rsidR="00DA7194">
        <w:rPr>
          <w:iCs/>
        </w:rPr>
        <w:t xml:space="preserve">have plans to begin clearing </w:t>
      </w:r>
      <w:r w:rsidR="00835A51">
        <w:rPr>
          <w:iCs/>
        </w:rPr>
        <w:t>AUD FRAs</w:t>
      </w:r>
      <w:r w:rsidR="00DA7194">
        <w:rPr>
          <w:iCs/>
        </w:rPr>
        <w:t>. Given</w:t>
      </w:r>
      <w:r w:rsidR="000D487B">
        <w:rPr>
          <w:iCs/>
        </w:rPr>
        <w:t xml:space="preserve"> that</w:t>
      </w:r>
      <w:r w:rsidR="00DA7194">
        <w:rPr>
          <w:iCs/>
        </w:rPr>
        <w:t xml:space="preserve"> the circumstances </w:t>
      </w:r>
      <w:r w:rsidR="006E6BE6">
        <w:rPr>
          <w:iCs/>
        </w:rPr>
        <w:t xml:space="preserve">which gave rise to the inclusion of Subrule 1.2.3(8) in the Rules, the Exemption and the subsequent extensions </w:t>
      </w:r>
      <w:r w:rsidR="000941B5">
        <w:rPr>
          <w:iCs/>
        </w:rPr>
        <w:t xml:space="preserve">have not changed, and appear unlikely to change, </w:t>
      </w:r>
      <w:r w:rsidR="000941B5" w:rsidRPr="007F2A3E">
        <w:rPr>
          <w:iCs/>
        </w:rPr>
        <w:t xml:space="preserve">ASIC </w:t>
      </w:r>
      <w:r w:rsidR="000941B5">
        <w:rPr>
          <w:iCs/>
        </w:rPr>
        <w:t xml:space="preserve">intends to </w:t>
      </w:r>
      <w:r w:rsidR="006E6BE6">
        <w:rPr>
          <w:iCs/>
        </w:rPr>
        <w:t xml:space="preserve">undertake a further </w:t>
      </w:r>
      <w:r w:rsidR="000941B5">
        <w:rPr>
          <w:iCs/>
        </w:rPr>
        <w:t>consult</w:t>
      </w:r>
      <w:r w:rsidR="006E6BE6">
        <w:rPr>
          <w:iCs/>
        </w:rPr>
        <w:t>ation</w:t>
      </w:r>
      <w:r w:rsidR="000941B5">
        <w:rPr>
          <w:iCs/>
        </w:rPr>
        <w:t xml:space="preserve"> </w:t>
      </w:r>
      <w:r w:rsidR="00507A2C">
        <w:rPr>
          <w:iCs/>
        </w:rPr>
        <w:t>to remove AUD FRAs from the scope of the Rules</w:t>
      </w:r>
      <w:r w:rsidR="000941B5">
        <w:rPr>
          <w:iCs/>
        </w:rPr>
        <w:t xml:space="preserve">. </w:t>
      </w:r>
      <w:r w:rsidR="006E6BE6">
        <w:rPr>
          <w:iCs/>
        </w:rPr>
        <w:t>Given that</w:t>
      </w:r>
      <w:r w:rsidR="000941B5">
        <w:rPr>
          <w:iCs/>
        </w:rPr>
        <w:t xml:space="preserve"> such amendments </w:t>
      </w:r>
      <w:r w:rsidR="008B6591">
        <w:rPr>
          <w:iCs/>
        </w:rPr>
        <w:t>will not</w:t>
      </w:r>
      <w:r w:rsidR="000941B5">
        <w:rPr>
          <w:iCs/>
        </w:rPr>
        <w:t xml:space="preserve"> take effect prior to 2 April 2022</w:t>
      </w:r>
      <w:r w:rsidR="006E6BE6">
        <w:rPr>
          <w:iCs/>
        </w:rPr>
        <w:t xml:space="preserve"> (which is the date on which</w:t>
      </w:r>
      <w:r w:rsidR="0041371D" w:rsidRPr="0041371D">
        <w:rPr>
          <w:i/>
        </w:rPr>
        <w:t xml:space="preserve"> </w:t>
      </w:r>
      <w:r w:rsidR="0041371D">
        <w:rPr>
          <w:i/>
        </w:rPr>
        <w:t xml:space="preserve">ASIC Corporations (Amendment) Instrument 2020/149 </w:t>
      </w:r>
      <w:r w:rsidR="0010205D">
        <w:rPr>
          <w:iCs/>
        </w:rPr>
        <w:t>expires</w:t>
      </w:r>
      <w:r w:rsidR="0041371D">
        <w:rPr>
          <w:iCs/>
        </w:rPr>
        <w:t>)</w:t>
      </w:r>
      <w:r w:rsidR="000941B5">
        <w:rPr>
          <w:iCs/>
        </w:rPr>
        <w:t xml:space="preserve">, ASIC </w:t>
      </w:r>
      <w:r w:rsidR="00D45753">
        <w:rPr>
          <w:iCs/>
        </w:rPr>
        <w:t xml:space="preserve">is of the view that </w:t>
      </w:r>
      <w:r w:rsidR="000941B5">
        <w:rPr>
          <w:iCs/>
        </w:rPr>
        <w:t xml:space="preserve">it would be appropriate to </w:t>
      </w:r>
      <w:r w:rsidR="004521F2">
        <w:rPr>
          <w:iCs/>
        </w:rPr>
        <w:t>extend</w:t>
      </w:r>
      <w:r w:rsidR="000941B5">
        <w:rPr>
          <w:iCs/>
        </w:rPr>
        <w:t xml:space="preserve"> the </w:t>
      </w:r>
      <w:r w:rsidR="004521F2">
        <w:rPr>
          <w:iCs/>
        </w:rPr>
        <w:t>Exemption for a</w:t>
      </w:r>
      <w:r w:rsidR="000941B5">
        <w:rPr>
          <w:iCs/>
        </w:rPr>
        <w:t xml:space="preserve"> further 24 months to provide certainty to stakeholders</w:t>
      </w:r>
      <w:r w:rsidR="00385533">
        <w:rPr>
          <w:iCs/>
        </w:rPr>
        <w:t xml:space="preserve"> and to allow </w:t>
      </w:r>
      <w:r w:rsidR="00385533">
        <w:t>ASIC to undertake a further consultation to remove AUD FRAs from the scope of the Rules</w:t>
      </w:r>
      <w:r w:rsidR="000941B5">
        <w:rPr>
          <w:iCs/>
        </w:rPr>
        <w:t>.</w:t>
      </w:r>
    </w:p>
    <w:p w14:paraId="7D3C63D0" w14:textId="0F150B08" w:rsidR="00A9691A" w:rsidRDefault="00A9691A" w:rsidP="00A9691A">
      <w:pPr>
        <w:pStyle w:val="LI-BodyTextParaa"/>
        <w:ind w:left="567"/>
        <w:rPr>
          <w:iCs/>
        </w:rPr>
      </w:pPr>
      <w:r>
        <w:rPr>
          <w:iCs/>
        </w:rPr>
        <w:t>8.</w:t>
      </w:r>
      <w:r>
        <w:rPr>
          <w:iCs/>
        </w:rPr>
        <w:tab/>
      </w:r>
      <w:r w:rsidRPr="00B22A0A">
        <w:rPr>
          <w:iCs/>
        </w:rPr>
        <w:t xml:space="preserve">The purpose of this instrument is to amend </w:t>
      </w:r>
      <w:r w:rsidRPr="00295F6B">
        <w:rPr>
          <w:i/>
          <w:iCs/>
        </w:rPr>
        <w:t>ASIC Corporations (Derivative Clearing Exemption) Instrument 2018/209</w:t>
      </w:r>
      <w:r w:rsidRPr="00B22A0A">
        <w:rPr>
          <w:iCs/>
        </w:rPr>
        <w:t xml:space="preserve"> so that Clearing Entities are not required to </w:t>
      </w:r>
      <w:r w:rsidR="007823C5">
        <w:rPr>
          <w:iCs/>
        </w:rPr>
        <w:t xml:space="preserve">comply with </w:t>
      </w:r>
      <w:r w:rsidR="00D45753">
        <w:rPr>
          <w:iCs/>
        </w:rPr>
        <w:t>R</w:t>
      </w:r>
      <w:r w:rsidR="007823C5">
        <w:rPr>
          <w:iCs/>
        </w:rPr>
        <w:t>ule 2.1.1</w:t>
      </w:r>
      <w:r w:rsidR="00D45753">
        <w:rPr>
          <w:iCs/>
        </w:rPr>
        <w:t xml:space="preserve"> of the Rules</w:t>
      </w:r>
      <w:r w:rsidR="007823C5">
        <w:rPr>
          <w:iCs/>
        </w:rPr>
        <w:t xml:space="preserve"> in respect of</w:t>
      </w:r>
      <w:r w:rsidRPr="00B22A0A">
        <w:rPr>
          <w:iCs/>
        </w:rPr>
        <w:t xml:space="preserve"> AUD FRAs </w:t>
      </w:r>
      <w:proofErr w:type="gramStart"/>
      <w:r w:rsidRPr="00B22A0A">
        <w:rPr>
          <w:iCs/>
        </w:rPr>
        <w:t>entered into</w:t>
      </w:r>
      <w:proofErr w:type="gramEnd"/>
      <w:r w:rsidRPr="00B22A0A">
        <w:rPr>
          <w:iCs/>
        </w:rPr>
        <w:t xml:space="preserve"> before 2 April 202</w:t>
      </w:r>
      <w:r w:rsidR="005D6DD1">
        <w:rPr>
          <w:iCs/>
        </w:rPr>
        <w:t>4</w:t>
      </w:r>
      <w:r w:rsidRPr="00B22A0A">
        <w:rPr>
          <w:iCs/>
        </w:rPr>
        <w:t>.</w:t>
      </w:r>
    </w:p>
    <w:p w14:paraId="442B31C8" w14:textId="77777777" w:rsidR="00F22344" w:rsidRDefault="00F22344" w:rsidP="00A9691A">
      <w:pPr>
        <w:pStyle w:val="LI-BodyTextNumbered"/>
        <w:ind w:hanging="1134"/>
        <w:rPr>
          <w:b/>
        </w:rPr>
      </w:pPr>
      <w:bookmarkStart w:id="1" w:name="_Hlk534291624"/>
    </w:p>
    <w:p w14:paraId="4F775FB6" w14:textId="77777777" w:rsidR="00F22344" w:rsidRDefault="00F22344" w:rsidP="00A9691A">
      <w:pPr>
        <w:pStyle w:val="LI-BodyTextNumbered"/>
        <w:ind w:hanging="1134"/>
        <w:rPr>
          <w:b/>
        </w:rPr>
      </w:pPr>
    </w:p>
    <w:p w14:paraId="10CE2876" w14:textId="4821B05B" w:rsidR="00A9691A" w:rsidRDefault="00A9691A" w:rsidP="00A9691A">
      <w:pPr>
        <w:pStyle w:val="LI-BodyTextNumbered"/>
        <w:ind w:hanging="1134"/>
        <w:rPr>
          <w:b/>
        </w:rPr>
      </w:pPr>
      <w:r>
        <w:rPr>
          <w:b/>
        </w:rPr>
        <w:lastRenderedPageBreak/>
        <w:t>Consultation</w:t>
      </w:r>
    </w:p>
    <w:p w14:paraId="4FF3011F" w14:textId="21BCEBB0" w:rsidR="00A9691A" w:rsidRPr="00FE2FB8" w:rsidRDefault="00A9691A" w:rsidP="00A9691A">
      <w:pPr>
        <w:pStyle w:val="LI-BodyTextParaa"/>
        <w:ind w:left="567"/>
        <w:rPr>
          <w:bCs/>
        </w:rPr>
      </w:pPr>
      <w:r>
        <w:t>9.</w:t>
      </w:r>
      <w:r>
        <w:tab/>
      </w:r>
      <w:r w:rsidRPr="00C35180">
        <w:rPr>
          <w:iCs/>
        </w:rPr>
        <w:t xml:space="preserve">ASIC consulted </w:t>
      </w:r>
      <w:r w:rsidRPr="006138A7">
        <w:rPr>
          <w:iCs/>
        </w:rPr>
        <w:t xml:space="preserve">with the RBA, APRA, Australian Financial Markets Association and the International Swaps and Derivatives Association and </w:t>
      </w:r>
      <w:proofErr w:type="gramStart"/>
      <w:r w:rsidRPr="006138A7">
        <w:rPr>
          <w:iCs/>
        </w:rPr>
        <w:t>took into account</w:t>
      </w:r>
      <w:proofErr w:type="gramEnd"/>
      <w:r w:rsidRPr="006138A7">
        <w:rPr>
          <w:iCs/>
        </w:rPr>
        <w:t xml:space="preserve"> the feedback</w:t>
      </w:r>
      <w:r w:rsidRPr="00C35180">
        <w:rPr>
          <w:iCs/>
        </w:rPr>
        <w:t xml:space="preserve"> provided by these bodies, together with ASIC's regulatory objectives, in the final terms of the </w:t>
      </w:r>
      <w:r>
        <w:rPr>
          <w:iCs/>
        </w:rPr>
        <w:t>instrument</w:t>
      </w:r>
      <w:r w:rsidRPr="00C35180">
        <w:rPr>
          <w:iCs/>
        </w:rPr>
        <w:t xml:space="preserve">. </w:t>
      </w:r>
      <w:r w:rsidR="00235251">
        <w:rPr>
          <w:iCs/>
        </w:rPr>
        <w:t xml:space="preserve">As noted above, </w:t>
      </w:r>
      <w:r w:rsidRPr="00C35180">
        <w:rPr>
          <w:iCs/>
        </w:rPr>
        <w:t xml:space="preserve">ASIC also </w:t>
      </w:r>
      <w:r w:rsidR="00F22344">
        <w:rPr>
          <w:iCs/>
        </w:rPr>
        <w:t xml:space="preserve">recently </w:t>
      </w:r>
      <w:r w:rsidRPr="00C35180">
        <w:rPr>
          <w:iCs/>
        </w:rPr>
        <w:t xml:space="preserve">consulted with </w:t>
      </w:r>
      <w:r w:rsidR="00D45753">
        <w:rPr>
          <w:iCs/>
        </w:rPr>
        <w:t>Clearing F</w:t>
      </w:r>
      <w:r>
        <w:rPr>
          <w:iCs/>
        </w:rPr>
        <w:t>acilit</w:t>
      </w:r>
      <w:r w:rsidR="00C97566">
        <w:rPr>
          <w:iCs/>
        </w:rPr>
        <w:t>ies</w:t>
      </w:r>
      <w:r w:rsidR="00D45753">
        <w:rPr>
          <w:iCs/>
        </w:rPr>
        <w:t>,</w:t>
      </w:r>
      <w:r>
        <w:rPr>
          <w:iCs/>
        </w:rPr>
        <w:t xml:space="preserve"> which do not </w:t>
      </w:r>
      <w:r w:rsidR="00D45753">
        <w:rPr>
          <w:iCs/>
        </w:rPr>
        <w:t xml:space="preserve">currently </w:t>
      </w:r>
      <w:r>
        <w:rPr>
          <w:iCs/>
        </w:rPr>
        <w:t>clear AUD FRAs</w:t>
      </w:r>
      <w:r w:rsidR="00D45753">
        <w:rPr>
          <w:iCs/>
        </w:rPr>
        <w:t>,</w:t>
      </w:r>
      <w:r>
        <w:rPr>
          <w:iCs/>
        </w:rPr>
        <w:t xml:space="preserve"> to determine the likelihood that an additional </w:t>
      </w:r>
      <w:r w:rsidR="00D45753">
        <w:rPr>
          <w:iCs/>
        </w:rPr>
        <w:t>Clearing F</w:t>
      </w:r>
      <w:r>
        <w:rPr>
          <w:iCs/>
        </w:rPr>
        <w:t>acility would begin clearing AUD FRAs.</w:t>
      </w:r>
      <w:r w:rsidR="001B3423">
        <w:rPr>
          <w:iCs/>
        </w:rPr>
        <w:t xml:space="preserve"> This consultation confirmed that no other Clearing Facility had plans to begin clearing AUD FRAs.</w:t>
      </w:r>
    </w:p>
    <w:p w14:paraId="387EDC54" w14:textId="77777777" w:rsidR="00A9691A" w:rsidRDefault="00A9691A" w:rsidP="00A9691A">
      <w:pPr>
        <w:pStyle w:val="LI-BodyTextNumbered"/>
        <w:ind w:hanging="1134"/>
        <w:rPr>
          <w:b/>
        </w:rPr>
      </w:pPr>
      <w:r>
        <w:rPr>
          <w:b/>
        </w:rPr>
        <w:t>Operation of the instrument</w:t>
      </w:r>
    </w:p>
    <w:p w14:paraId="75D742BA" w14:textId="4FE5D873" w:rsidR="00A9691A" w:rsidRDefault="00A9691A" w:rsidP="00A9691A">
      <w:pPr>
        <w:pStyle w:val="CommentText"/>
        <w:spacing w:before="240" w:line="240" w:lineRule="auto"/>
        <w:ind w:left="567" w:hanging="567"/>
        <w:rPr>
          <w:iCs/>
          <w:sz w:val="24"/>
          <w:szCs w:val="24"/>
        </w:rPr>
      </w:pPr>
      <w:r>
        <w:rPr>
          <w:sz w:val="24"/>
          <w:szCs w:val="24"/>
        </w:rPr>
        <w:t>10</w:t>
      </w:r>
      <w:r w:rsidRPr="00295F6B">
        <w:rPr>
          <w:sz w:val="24"/>
          <w:szCs w:val="24"/>
        </w:rPr>
        <w:t>.</w:t>
      </w:r>
      <w:r w:rsidRPr="00295F6B">
        <w:rPr>
          <w:sz w:val="24"/>
          <w:szCs w:val="24"/>
        </w:rPr>
        <w:tab/>
      </w:r>
      <w:r w:rsidRPr="00672866">
        <w:rPr>
          <w:iCs/>
          <w:sz w:val="24"/>
          <w:szCs w:val="24"/>
        </w:rPr>
        <w:t xml:space="preserve">Section 1 of the </w:t>
      </w:r>
      <w:r>
        <w:rPr>
          <w:iCs/>
          <w:sz w:val="24"/>
          <w:szCs w:val="24"/>
        </w:rPr>
        <w:t>instrument</w:t>
      </w:r>
      <w:r w:rsidRPr="00672866">
        <w:rPr>
          <w:iCs/>
          <w:sz w:val="24"/>
          <w:szCs w:val="24"/>
        </w:rPr>
        <w:t xml:space="preserve"> provides that the title of the </w:t>
      </w:r>
      <w:r>
        <w:rPr>
          <w:iCs/>
          <w:sz w:val="24"/>
          <w:szCs w:val="24"/>
        </w:rPr>
        <w:t>instrument</w:t>
      </w:r>
      <w:r w:rsidRPr="00672866">
        <w:rPr>
          <w:iCs/>
          <w:sz w:val="24"/>
          <w:szCs w:val="24"/>
        </w:rPr>
        <w:t xml:space="preserve"> is </w:t>
      </w:r>
      <w:r w:rsidRPr="00672866">
        <w:rPr>
          <w:i/>
          <w:iCs/>
          <w:sz w:val="24"/>
          <w:szCs w:val="24"/>
        </w:rPr>
        <w:t>ASIC Corporations (</w:t>
      </w:r>
      <w:r>
        <w:rPr>
          <w:i/>
          <w:iCs/>
          <w:sz w:val="24"/>
          <w:szCs w:val="24"/>
        </w:rPr>
        <w:t>Amend</w:t>
      </w:r>
      <w:r w:rsidR="00235251"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ent</w:t>
      </w:r>
      <w:r w:rsidRPr="00672866">
        <w:rPr>
          <w:i/>
          <w:iCs/>
          <w:sz w:val="24"/>
          <w:szCs w:val="24"/>
        </w:rPr>
        <w:t>) Instrument 20</w:t>
      </w:r>
      <w:r>
        <w:rPr>
          <w:i/>
          <w:iCs/>
          <w:sz w:val="24"/>
          <w:szCs w:val="24"/>
        </w:rPr>
        <w:t>2</w:t>
      </w:r>
      <w:r w:rsidR="0023525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>/</w:t>
      </w:r>
      <w:r w:rsidR="00933543">
        <w:rPr>
          <w:i/>
          <w:iCs/>
          <w:sz w:val="24"/>
          <w:szCs w:val="24"/>
        </w:rPr>
        <w:t>206</w:t>
      </w:r>
      <w:r w:rsidRPr="00672866">
        <w:rPr>
          <w:iCs/>
          <w:sz w:val="24"/>
          <w:szCs w:val="24"/>
        </w:rPr>
        <w:t>.</w:t>
      </w:r>
    </w:p>
    <w:p w14:paraId="5E27CCF5" w14:textId="77777777" w:rsidR="00A9691A" w:rsidRDefault="00A9691A" w:rsidP="00A9691A">
      <w:pPr>
        <w:pStyle w:val="CommentText"/>
        <w:spacing w:before="240" w:line="240" w:lineRule="auto"/>
        <w:ind w:left="567" w:hanging="567"/>
        <w:rPr>
          <w:iCs/>
          <w:sz w:val="24"/>
          <w:szCs w:val="24"/>
        </w:rPr>
      </w:pPr>
      <w:r>
        <w:rPr>
          <w:iCs/>
          <w:sz w:val="24"/>
          <w:szCs w:val="24"/>
        </w:rPr>
        <w:t>11.</w:t>
      </w:r>
      <w:r>
        <w:rPr>
          <w:iCs/>
          <w:sz w:val="24"/>
          <w:szCs w:val="24"/>
        </w:rPr>
        <w:tab/>
      </w:r>
      <w:r w:rsidRPr="00C35180">
        <w:rPr>
          <w:iCs/>
          <w:sz w:val="24"/>
          <w:szCs w:val="24"/>
        </w:rPr>
        <w:t xml:space="preserve">Section 2 provides that the </w:t>
      </w:r>
      <w:r>
        <w:rPr>
          <w:iCs/>
          <w:sz w:val="24"/>
          <w:szCs w:val="24"/>
        </w:rPr>
        <w:t>instrument</w:t>
      </w:r>
      <w:r w:rsidRPr="00C35180">
        <w:rPr>
          <w:iCs/>
          <w:sz w:val="24"/>
          <w:szCs w:val="24"/>
        </w:rPr>
        <w:t xml:space="preserve"> commences on the day after it is registered on the Federal Register of Legislation.</w:t>
      </w:r>
    </w:p>
    <w:p w14:paraId="37EEC8B8" w14:textId="07C9AF1E" w:rsidR="00A9691A" w:rsidRPr="00D779CC" w:rsidRDefault="00A9691A" w:rsidP="00A9691A">
      <w:pPr>
        <w:pStyle w:val="CommentText"/>
        <w:spacing w:before="240" w:line="240" w:lineRule="auto"/>
        <w:ind w:left="567" w:hanging="567"/>
        <w:rPr>
          <w:iCs/>
          <w:sz w:val="24"/>
          <w:szCs w:val="24"/>
        </w:rPr>
      </w:pPr>
      <w:r>
        <w:rPr>
          <w:iCs/>
          <w:sz w:val="24"/>
          <w:szCs w:val="24"/>
        </w:rPr>
        <w:t>12.</w:t>
      </w:r>
      <w:r>
        <w:rPr>
          <w:iCs/>
          <w:sz w:val="24"/>
          <w:szCs w:val="24"/>
        </w:rPr>
        <w:tab/>
      </w:r>
      <w:r w:rsidRPr="00C35180">
        <w:rPr>
          <w:iCs/>
          <w:sz w:val="24"/>
          <w:szCs w:val="24"/>
        </w:rPr>
        <w:t xml:space="preserve">Section 3 </w:t>
      </w:r>
      <w:r w:rsidRPr="00D779CC">
        <w:rPr>
          <w:iCs/>
          <w:sz w:val="24"/>
          <w:szCs w:val="24"/>
        </w:rPr>
        <w:t>provides that the instrument is made under paragraph 907D(2)(</w:t>
      </w:r>
      <w:r w:rsidR="007A5A10" w:rsidRPr="00D779CC">
        <w:rPr>
          <w:iCs/>
          <w:sz w:val="24"/>
          <w:szCs w:val="24"/>
        </w:rPr>
        <w:t>a</w:t>
      </w:r>
      <w:r w:rsidRPr="00D779CC">
        <w:rPr>
          <w:iCs/>
          <w:sz w:val="24"/>
          <w:szCs w:val="24"/>
        </w:rPr>
        <w:t xml:space="preserve">) of the </w:t>
      </w:r>
      <w:r w:rsidRPr="00D779CC">
        <w:rPr>
          <w:i/>
          <w:iCs/>
          <w:sz w:val="24"/>
          <w:szCs w:val="24"/>
        </w:rPr>
        <w:t>Corporations Act</w:t>
      </w:r>
      <w:r w:rsidRPr="00D779CC">
        <w:rPr>
          <w:iCs/>
          <w:sz w:val="24"/>
          <w:szCs w:val="24"/>
        </w:rPr>
        <w:t xml:space="preserve"> </w:t>
      </w:r>
      <w:r w:rsidRPr="00D779CC">
        <w:rPr>
          <w:i/>
          <w:iCs/>
          <w:sz w:val="24"/>
          <w:szCs w:val="24"/>
        </w:rPr>
        <w:t>2001</w:t>
      </w:r>
      <w:r w:rsidRPr="00D779CC">
        <w:rPr>
          <w:iCs/>
          <w:sz w:val="24"/>
          <w:szCs w:val="24"/>
        </w:rPr>
        <w:t xml:space="preserve"> (the </w:t>
      </w:r>
      <w:r w:rsidRPr="00D779CC">
        <w:rPr>
          <w:b/>
          <w:i/>
          <w:iCs/>
          <w:sz w:val="24"/>
          <w:szCs w:val="24"/>
        </w:rPr>
        <w:t>Corporations</w:t>
      </w:r>
      <w:r w:rsidRPr="00D779CC">
        <w:rPr>
          <w:iCs/>
          <w:sz w:val="24"/>
          <w:szCs w:val="24"/>
        </w:rPr>
        <w:t xml:space="preserve"> </w:t>
      </w:r>
      <w:r w:rsidRPr="00D779CC">
        <w:rPr>
          <w:b/>
          <w:i/>
          <w:iCs/>
          <w:sz w:val="24"/>
          <w:szCs w:val="24"/>
        </w:rPr>
        <w:t>Act</w:t>
      </w:r>
      <w:r w:rsidRPr="00D779CC">
        <w:rPr>
          <w:iCs/>
          <w:sz w:val="24"/>
          <w:szCs w:val="24"/>
        </w:rPr>
        <w:t>).</w:t>
      </w:r>
    </w:p>
    <w:p w14:paraId="5E96FC08" w14:textId="77777777" w:rsidR="00A9691A" w:rsidRPr="00D779CC" w:rsidRDefault="00A9691A" w:rsidP="00A9691A">
      <w:pPr>
        <w:pStyle w:val="CommentText"/>
        <w:spacing w:before="240" w:line="240" w:lineRule="auto"/>
        <w:ind w:left="567" w:hanging="567"/>
        <w:rPr>
          <w:sz w:val="24"/>
          <w:szCs w:val="24"/>
        </w:rPr>
      </w:pPr>
      <w:r w:rsidRPr="00D779CC">
        <w:rPr>
          <w:sz w:val="24"/>
          <w:szCs w:val="24"/>
        </w:rPr>
        <w:t>13.</w:t>
      </w:r>
      <w:r w:rsidRPr="00D779CC">
        <w:rPr>
          <w:sz w:val="24"/>
          <w:szCs w:val="24"/>
        </w:rPr>
        <w:tab/>
        <w:t>Section 4 provides that each instrument that is specified in the Schedule (</w:t>
      </w:r>
      <w:proofErr w:type="gramStart"/>
      <w:r w:rsidRPr="00D779CC">
        <w:rPr>
          <w:sz w:val="24"/>
          <w:szCs w:val="24"/>
        </w:rPr>
        <w:t>i.e.</w:t>
      </w:r>
      <w:proofErr w:type="gramEnd"/>
      <w:r w:rsidRPr="00D779CC">
        <w:rPr>
          <w:sz w:val="24"/>
          <w:szCs w:val="24"/>
        </w:rPr>
        <w:t xml:space="preserve"> the </w:t>
      </w:r>
      <w:r w:rsidRPr="00D779CC">
        <w:rPr>
          <w:i/>
          <w:sz w:val="24"/>
          <w:szCs w:val="24"/>
        </w:rPr>
        <w:t>ASIC Corporations (Derivative Clearing Exemption) Instrument 2018/209</w:t>
      </w:r>
      <w:r w:rsidRPr="00D779CC">
        <w:rPr>
          <w:sz w:val="24"/>
          <w:szCs w:val="24"/>
        </w:rPr>
        <w:t>) is amended as set out in the applicable items in the Schedule.</w:t>
      </w:r>
    </w:p>
    <w:p w14:paraId="614F99CB" w14:textId="76DCABD9" w:rsidR="00A9691A" w:rsidRDefault="00A9691A" w:rsidP="00A9691A">
      <w:pPr>
        <w:pStyle w:val="LI-BodyTextParaa"/>
        <w:ind w:left="567"/>
      </w:pPr>
      <w:r w:rsidRPr="00D779CC">
        <w:rPr>
          <w:iCs/>
        </w:rPr>
        <w:t>14.</w:t>
      </w:r>
      <w:r w:rsidRPr="00D779CC">
        <w:rPr>
          <w:iCs/>
        </w:rPr>
        <w:tab/>
        <w:t xml:space="preserve">Schedule 1 makes amendments to </w:t>
      </w:r>
      <w:r w:rsidRPr="00D779CC">
        <w:rPr>
          <w:i/>
        </w:rPr>
        <w:t>ASIC Corporations (Derivative Clearing Exemption) Instrument 2018/209</w:t>
      </w:r>
      <w:r w:rsidRPr="00D779CC">
        <w:rPr>
          <w:iCs/>
        </w:rPr>
        <w:t xml:space="preserve"> so that a Clearing Entity does not have to comply with </w:t>
      </w:r>
      <w:r w:rsidR="003555AC">
        <w:rPr>
          <w:iCs/>
        </w:rPr>
        <w:t>R</w:t>
      </w:r>
      <w:r w:rsidRPr="00D779CC">
        <w:rPr>
          <w:iCs/>
        </w:rPr>
        <w:t xml:space="preserve">ule 2.1.1 of the Rules in relation to </w:t>
      </w:r>
      <w:r w:rsidR="003555AC">
        <w:rPr>
          <w:iCs/>
        </w:rPr>
        <w:t xml:space="preserve">AUD FRAs </w:t>
      </w:r>
      <w:r w:rsidRPr="00D779CC">
        <w:rPr>
          <w:iCs/>
        </w:rPr>
        <w:t>entered into before 2 April</w:t>
      </w:r>
      <w:r>
        <w:rPr>
          <w:iCs/>
        </w:rPr>
        <w:t xml:space="preserve"> 202</w:t>
      </w:r>
      <w:r w:rsidR="004F3EA1">
        <w:rPr>
          <w:iCs/>
        </w:rPr>
        <w:t>4</w:t>
      </w:r>
      <w:r>
        <w:rPr>
          <w:iCs/>
        </w:rPr>
        <w:t xml:space="preserve"> </w:t>
      </w:r>
      <w:r w:rsidRPr="00C35180">
        <w:rPr>
          <w:iCs/>
        </w:rPr>
        <w:t>if the notional principal amount and payments under the Forward Rate Agreement are denominated in Australian dollars</w:t>
      </w:r>
      <w:r>
        <w:t>.</w:t>
      </w:r>
      <w:r>
        <w:tab/>
      </w:r>
    </w:p>
    <w:p w14:paraId="45CBE73F" w14:textId="0181A364" w:rsidR="00A9691A" w:rsidRDefault="00A9691A" w:rsidP="00A9691A">
      <w:pPr>
        <w:pStyle w:val="LI-BodyTextParaa"/>
        <w:ind w:left="567"/>
        <w:rPr>
          <w:i/>
        </w:rPr>
      </w:pPr>
      <w:r w:rsidRPr="00163B4A">
        <w:rPr>
          <w:iCs/>
        </w:rPr>
        <w:t>15.</w:t>
      </w:r>
      <w:r w:rsidRPr="00163B4A">
        <w:rPr>
          <w:iCs/>
        </w:rPr>
        <w:tab/>
        <w:t xml:space="preserve">Based on information provided by ASIC, the Office of Best Practice Regulation </w:t>
      </w:r>
      <w:r w:rsidRPr="00163B4A">
        <w:t>considers</w:t>
      </w:r>
      <w:r w:rsidRPr="00163B4A">
        <w:rPr>
          <w:iCs/>
        </w:rPr>
        <w:t xml:space="preserve"> the proposal is likely to have no more than minor impacts on businesses, community organisations or individuals. </w:t>
      </w:r>
      <w:r w:rsidR="003555AC">
        <w:rPr>
          <w:iCs/>
        </w:rPr>
        <w:t>As such, a</w:t>
      </w:r>
      <w:r w:rsidRPr="00163B4A">
        <w:rPr>
          <w:iCs/>
        </w:rPr>
        <w:t xml:space="preserve"> Regulation Impact Statement is not required.</w:t>
      </w:r>
    </w:p>
    <w:p w14:paraId="3A73484F" w14:textId="77777777" w:rsidR="00A9691A" w:rsidRPr="00C52E7C" w:rsidRDefault="00A9691A" w:rsidP="00A9691A">
      <w:pPr>
        <w:pStyle w:val="LI-BodyTextParaa"/>
        <w:ind w:left="567"/>
        <w:rPr>
          <w:u w:val="single"/>
        </w:rPr>
      </w:pPr>
      <w:r>
        <w:rPr>
          <w:u w:val="single"/>
        </w:rPr>
        <w:t>Legislative instrument and p</w:t>
      </w:r>
      <w:r w:rsidRPr="00C52E7C">
        <w:rPr>
          <w:u w:val="single"/>
        </w:rPr>
        <w:t xml:space="preserve">rimary legislation  </w:t>
      </w:r>
    </w:p>
    <w:p w14:paraId="3208308E" w14:textId="77777777" w:rsidR="00822DD1" w:rsidRDefault="00A9691A" w:rsidP="009309BA">
      <w:pPr>
        <w:pStyle w:val="LI-BodyTextParaa"/>
        <w:ind w:left="567"/>
      </w:pPr>
      <w:r w:rsidRPr="00D779CC">
        <w:t>16.</w:t>
      </w:r>
      <w:r w:rsidRPr="00D779CC">
        <w:tab/>
        <w:t>The subject matter and policy implemented by this instrument is more appropriate for a legislative instrument</w:t>
      </w:r>
      <w:r w:rsidR="00B80EAC" w:rsidRPr="00D779CC">
        <w:t xml:space="preserve"> </w:t>
      </w:r>
      <w:r w:rsidR="00D66C7A">
        <w:t xml:space="preserve">rather than primary legislation </w:t>
      </w:r>
      <w:r w:rsidRPr="00D779CC">
        <w:t>because</w:t>
      </w:r>
      <w:r w:rsidR="002F7D35">
        <w:t xml:space="preserve"> </w:t>
      </w:r>
      <w:r w:rsidR="008B6591">
        <w:t xml:space="preserve">the instrument extends the operation of </w:t>
      </w:r>
      <w:r w:rsidR="00822DD1">
        <w:t>the Exemption in circumstances where:</w:t>
      </w:r>
    </w:p>
    <w:p w14:paraId="199E7E4A" w14:textId="48F0440D" w:rsidR="00822DD1" w:rsidRDefault="00822DD1" w:rsidP="00811A0D">
      <w:pPr>
        <w:pStyle w:val="LI-BodyTextParaa"/>
        <w:ind w:left="1134"/>
      </w:pPr>
      <w:r>
        <w:t xml:space="preserve">(a) </w:t>
      </w:r>
      <w:r>
        <w:tab/>
        <w:t>the</w:t>
      </w:r>
      <w:r w:rsidR="008B6591">
        <w:t xml:space="preserve"> </w:t>
      </w:r>
      <w:r>
        <w:t>E</w:t>
      </w:r>
      <w:r w:rsidR="008B6591">
        <w:t xml:space="preserve">xemption </w:t>
      </w:r>
      <w:r>
        <w:t xml:space="preserve">is </w:t>
      </w:r>
      <w:r w:rsidR="008B6591">
        <w:t>a legislative instrument</w:t>
      </w:r>
      <w:r>
        <w:t>;</w:t>
      </w:r>
      <w:r w:rsidR="008B6591">
        <w:t xml:space="preserve"> </w:t>
      </w:r>
      <w:r>
        <w:t xml:space="preserve">and </w:t>
      </w:r>
    </w:p>
    <w:p w14:paraId="148525A2" w14:textId="5E17D5B4" w:rsidR="00822DD1" w:rsidRDefault="00822DD1" w:rsidP="00811A0D">
      <w:pPr>
        <w:pStyle w:val="LI-BodyTextParaa"/>
        <w:ind w:left="1134"/>
      </w:pPr>
      <w:r>
        <w:t xml:space="preserve">(b) </w:t>
      </w:r>
      <w:r>
        <w:tab/>
        <w:t xml:space="preserve">the Exemption provides relief </w:t>
      </w:r>
      <w:r w:rsidR="008B6591">
        <w:t>from the requirements of another legislative instrument, namely the</w:t>
      </w:r>
      <w:r w:rsidR="008B6591" w:rsidRPr="008B6591">
        <w:t xml:space="preserve"> </w:t>
      </w:r>
      <w:r w:rsidR="008B6591" w:rsidRPr="00811A0D">
        <w:rPr>
          <w:i/>
          <w:iCs/>
        </w:rPr>
        <w:t>ASIC Derivative Transaction Rules (Clearing) 2015</w:t>
      </w:r>
      <w:r w:rsidR="008B6591">
        <w:t xml:space="preserve">. </w:t>
      </w:r>
    </w:p>
    <w:p w14:paraId="542ADF4D" w14:textId="774105B7" w:rsidR="00D66C7A" w:rsidRDefault="008B6591" w:rsidP="00811A0D">
      <w:pPr>
        <w:pStyle w:val="LI-BodyTextParaa"/>
        <w:ind w:left="567" w:firstLine="0"/>
        <w:rPr>
          <w:iCs/>
        </w:rPr>
      </w:pPr>
      <w:r>
        <w:t xml:space="preserve">Further </w:t>
      </w:r>
      <w:r w:rsidR="002F7D35">
        <w:t xml:space="preserve">the circumstances which gave rise to the Exemption have not changed and </w:t>
      </w:r>
      <w:r w:rsidR="002F7D35" w:rsidRPr="002F7D35">
        <w:rPr>
          <w:iCs/>
        </w:rPr>
        <w:t xml:space="preserve">the Exemption is due to </w:t>
      </w:r>
      <w:r w:rsidR="007309A4">
        <w:rPr>
          <w:iCs/>
        </w:rPr>
        <w:t xml:space="preserve">expire </w:t>
      </w:r>
      <w:r w:rsidR="002F7D35" w:rsidRPr="002F7D35">
        <w:rPr>
          <w:iCs/>
        </w:rPr>
        <w:t xml:space="preserve">on </w:t>
      </w:r>
      <w:r w:rsidR="002F7D35" w:rsidRPr="00296F98">
        <w:rPr>
          <w:iCs/>
        </w:rPr>
        <w:t>2 April 2022.</w:t>
      </w:r>
    </w:p>
    <w:p w14:paraId="6AB71632" w14:textId="1BD7A7A2" w:rsidR="00E463AB" w:rsidRPr="004F669D" w:rsidRDefault="002F7D35" w:rsidP="004F669D">
      <w:pPr>
        <w:pStyle w:val="LI-BodyTextParaa"/>
        <w:ind w:left="567"/>
        <w:rPr>
          <w:iCs/>
        </w:rPr>
      </w:pPr>
      <w:r>
        <w:rPr>
          <w:iCs/>
        </w:rPr>
        <w:lastRenderedPageBreak/>
        <w:t>17.</w:t>
      </w:r>
      <w:r>
        <w:rPr>
          <w:iCs/>
        </w:rPr>
        <w:tab/>
        <w:t>As noted above,</w:t>
      </w:r>
      <w:r w:rsidR="004F669D">
        <w:rPr>
          <w:iCs/>
        </w:rPr>
        <w:t xml:space="preserve"> </w:t>
      </w:r>
      <w:r w:rsidRPr="002F7D35">
        <w:rPr>
          <w:iCs/>
        </w:rPr>
        <w:t>currently there is only one Clearing Facility that clear</w:t>
      </w:r>
      <w:r w:rsidR="00BE7394">
        <w:rPr>
          <w:iCs/>
        </w:rPr>
        <w:t>s</w:t>
      </w:r>
      <w:r w:rsidRPr="002F7D35">
        <w:rPr>
          <w:iCs/>
        </w:rPr>
        <w:t xml:space="preserve"> AUD FRAs</w:t>
      </w:r>
      <w:r w:rsidRPr="00296F98">
        <w:rPr>
          <w:iCs/>
        </w:rPr>
        <w:t xml:space="preserve"> </w:t>
      </w:r>
      <w:proofErr w:type="gramStart"/>
      <w:r w:rsidRPr="00296F98">
        <w:rPr>
          <w:iCs/>
        </w:rPr>
        <w:t>and,</w:t>
      </w:r>
      <w:proofErr w:type="gramEnd"/>
      <w:r w:rsidRPr="00296F98">
        <w:rPr>
          <w:iCs/>
        </w:rPr>
        <w:t xml:space="preserve"> based on recent consultation, ASIC does not believe that any other Clearing Facility is likely to clear AUD FRAs in the near future. </w:t>
      </w:r>
      <w:r w:rsidR="004F669D">
        <w:rPr>
          <w:iCs/>
        </w:rPr>
        <w:t xml:space="preserve">Due to the lack of market infrastructure in place to clear AUD FRAs, </w:t>
      </w:r>
      <w:r w:rsidRPr="00296F98">
        <w:rPr>
          <w:iCs/>
        </w:rPr>
        <w:t xml:space="preserve">ASIC intends to undertake a further consultation to remove AUD FRAs from the scope of the Rules. However, given that such amendments </w:t>
      </w:r>
      <w:r w:rsidR="008B6591">
        <w:rPr>
          <w:iCs/>
        </w:rPr>
        <w:t>will not</w:t>
      </w:r>
      <w:r w:rsidRPr="00296F98">
        <w:rPr>
          <w:iCs/>
        </w:rPr>
        <w:t xml:space="preserve"> take effect prior to 2 April 2022 (which is the date on which</w:t>
      </w:r>
      <w:r w:rsidRPr="00296F98">
        <w:rPr>
          <w:i/>
        </w:rPr>
        <w:t xml:space="preserve"> ASIC Corporations (Amendment) Instrument 2020/149 </w:t>
      </w:r>
      <w:r w:rsidR="007309A4">
        <w:rPr>
          <w:iCs/>
        </w:rPr>
        <w:t>expires</w:t>
      </w:r>
      <w:r w:rsidRPr="00296F98">
        <w:rPr>
          <w:iCs/>
        </w:rPr>
        <w:t xml:space="preserve">), ASIC is of the view that it would be appropriate to extend the Exemption for a further 24 months to provide certainty to stakeholders and </w:t>
      </w:r>
      <w:r>
        <w:t>allow ASIC to undertake a further consultation to remove AUD FRAs from the scope of the Rules.</w:t>
      </w:r>
    </w:p>
    <w:p w14:paraId="1FCC2D36" w14:textId="5A261989" w:rsidR="00EB286B" w:rsidRDefault="00EB286B" w:rsidP="009309BA">
      <w:pPr>
        <w:pStyle w:val="LI-BodyTextParaa"/>
        <w:ind w:left="567"/>
        <w:rPr>
          <w:iCs/>
        </w:rPr>
      </w:pPr>
      <w:r>
        <w:t>18.</w:t>
      </w:r>
      <w:r>
        <w:tab/>
        <w:t xml:space="preserve">The duration of this instrument is for a period of 24 months and will </w:t>
      </w:r>
      <w:r w:rsidR="007309A4">
        <w:t>expire</w:t>
      </w:r>
      <w:r>
        <w:t xml:space="preserve"> on 2 April 2024.</w:t>
      </w:r>
    </w:p>
    <w:bookmarkEnd w:id="1"/>
    <w:p w14:paraId="2EA24A98" w14:textId="77777777" w:rsidR="00A9691A" w:rsidRPr="00D779CC" w:rsidRDefault="00A9691A" w:rsidP="00A9691A">
      <w:pPr>
        <w:pStyle w:val="LI-BodyTextParaa"/>
        <w:ind w:left="0" w:firstLine="0"/>
        <w:rPr>
          <w:b/>
        </w:rPr>
      </w:pPr>
      <w:r w:rsidRPr="00D779CC">
        <w:rPr>
          <w:b/>
        </w:rPr>
        <w:t>Legislative authority</w:t>
      </w:r>
    </w:p>
    <w:p w14:paraId="231484EF" w14:textId="3BACFA95" w:rsidR="00A9691A" w:rsidRPr="00D779CC" w:rsidRDefault="00A9691A" w:rsidP="00A9691A">
      <w:pPr>
        <w:pStyle w:val="LI-BodyTextParaa"/>
        <w:ind w:left="567"/>
      </w:pPr>
      <w:r w:rsidRPr="00D779CC">
        <w:t>1</w:t>
      </w:r>
      <w:r w:rsidR="00EB286B">
        <w:t>9</w:t>
      </w:r>
      <w:r w:rsidRPr="00D779CC">
        <w:t>.</w:t>
      </w:r>
      <w:r w:rsidRPr="00D779CC">
        <w:tab/>
      </w:r>
      <w:r w:rsidRPr="00D779CC">
        <w:rPr>
          <w:iCs/>
        </w:rPr>
        <w:t xml:space="preserve">ASIC makes </w:t>
      </w:r>
      <w:r w:rsidRPr="00D779CC">
        <w:t xml:space="preserve">the instrument </w:t>
      </w:r>
      <w:r w:rsidRPr="00D779CC">
        <w:rPr>
          <w:iCs/>
        </w:rPr>
        <w:t>under paragraph 907D(2)(</w:t>
      </w:r>
      <w:r w:rsidR="007A5A10" w:rsidRPr="00D779CC">
        <w:rPr>
          <w:iCs/>
        </w:rPr>
        <w:t>a</w:t>
      </w:r>
      <w:r w:rsidRPr="00D779CC">
        <w:rPr>
          <w:iCs/>
        </w:rPr>
        <w:t xml:space="preserve">) of the Corporations Act. </w:t>
      </w:r>
    </w:p>
    <w:p w14:paraId="653C84E3" w14:textId="7615FA92" w:rsidR="00A9691A" w:rsidRPr="00D779CC" w:rsidRDefault="00EB286B" w:rsidP="00A9691A">
      <w:pPr>
        <w:pStyle w:val="LI-BodyTextParaa"/>
        <w:ind w:left="567"/>
      </w:pPr>
      <w:r>
        <w:rPr>
          <w:iCs/>
        </w:rPr>
        <w:t>20</w:t>
      </w:r>
      <w:r w:rsidR="00A9691A" w:rsidRPr="00D779CC">
        <w:rPr>
          <w:iCs/>
        </w:rPr>
        <w:t>.</w:t>
      </w:r>
      <w:r w:rsidR="00A9691A" w:rsidRPr="00D779CC">
        <w:rPr>
          <w:iCs/>
        </w:rPr>
        <w:tab/>
        <w:t>Under paragraph 907D(2)(</w:t>
      </w:r>
      <w:r w:rsidR="007A5A10" w:rsidRPr="00D779CC">
        <w:rPr>
          <w:iCs/>
        </w:rPr>
        <w:t>a</w:t>
      </w:r>
      <w:r w:rsidR="00A9691A" w:rsidRPr="00D779CC">
        <w:rPr>
          <w:iCs/>
        </w:rPr>
        <w:t xml:space="preserve">) of the Corporations Act, ASIC may exempt a </w:t>
      </w:r>
      <w:r w:rsidR="007A5A10" w:rsidRPr="00D779CC">
        <w:rPr>
          <w:iCs/>
        </w:rPr>
        <w:t>person</w:t>
      </w:r>
      <w:r w:rsidR="00C7023F" w:rsidRPr="00D779CC">
        <w:rPr>
          <w:iCs/>
        </w:rPr>
        <w:t xml:space="preserve"> or class of </w:t>
      </w:r>
      <w:r w:rsidR="007A5A10" w:rsidRPr="00D779CC">
        <w:rPr>
          <w:iCs/>
        </w:rPr>
        <w:t>persons</w:t>
      </w:r>
      <w:r w:rsidR="00A9691A" w:rsidRPr="00D779CC">
        <w:rPr>
          <w:iCs/>
        </w:rPr>
        <w:t xml:space="preserve"> from all or specified provisions of the Rules.</w:t>
      </w:r>
    </w:p>
    <w:p w14:paraId="5DC2DDEB" w14:textId="443AA814" w:rsidR="00A9691A" w:rsidRPr="00D779CC" w:rsidRDefault="00EB286B" w:rsidP="00A9691A">
      <w:pPr>
        <w:pStyle w:val="LI-BodyTextParaa"/>
        <w:ind w:left="567"/>
      </w:pPr>
      <w:r>
        <w:t>21</w:t>
      </w:r>
      <w:r w:rsidR="00A9691A" w:rsidRPr="00D779CC">
        <w:t>.</w:t>
      </w:r>
      <w:r w:rsidR="00A9691A" w:rsidRPr="00D779CC">
        <w:tab/>
      </w:r>
      <w:r w:rsidR="00A9691A" w:rsidRPr="00D779CC">
        <w:rPr>
          <w:iCs/>
        </w:rPr>
        <w:t>An exemption may apply unconditionally or subject to specified conditions, and a person to whom a condition specified in an exemption applies must comply with the condition (see subsection 907D(3) of the Corporations Act). An exemption under paragraph 907D(2)(</w:t>
      </w:r>
      <w:r w:rsidR="007A5A10" w:rsidRPr="00D779CC">
        <w:rPr>
          <w:iCs/>
        </w:rPr>
        <w:t>a</w:t>
      </w:r>
      <w:r w:rsidR="00A9691A" w:rsidRPr="00D779CC">
        <w:rPr>
          <w:iCs/>
        </w:rPr>
        <w:t xml:space="preserve">) is a legislative instrument if it is expressed to apply in relation to a class of </w:t>
      </w:r>
      <w:r w:rsidR="007A5A10" w:rsidRPr="00D779CC">
        <w:rPr>
          <w:iCs/>
        </w:rPr>
        <w:t>persons</w:t>
      </w:r>
      <w:r w:rsidR="00A9691A" w:rsidRPr="00D779CC">
        <w:rPr>
          <w:iCs/>
        </w:rPr>
        <w:t xml:space="preserve"> (see subsection 907D(4) of the Corporations Act).</w:t>
      </w:r>
    </w:p>
    <w:p w14:paraId="17C857F7" w14:textId="194ED69E" w:rsidR="00A9691A" w:rsidRDefault="00A9691A" w:rsidP="00A9691A">
      <w:pPr>
        <w:pStyle w:val="LI-BodyTextParaa"/>
        <w:ind w:left="567"/>
      </w:pPr>
      <w:r w:rsidRPr="00D779CC">
        <w:t>2</w:t>
      </w:r>
      <w:r w:rsidR="00EB286B">
        <w:t>2</w:t>
      </w:r>
      <w:r w:rsidRPr="00D779CC">
        <w:t>.</w:t>
      </w:r>
      <w:r w:rsidRPr="00D779CC">
        <w:tab/>
      </w:r>
      <w:r w:rsidRPr="00D779CC">
        <w:rPr>
          <w:iCs/>
        </w:rPr>
        <w:t xml:space="preserve">Under subsection 33(3) of the </w:t>
      </w:r>
      <w:r w:rsidRPr="00D779CC">
        <w:rPr>
          <w:i/>
          <w:iCs/>
        </w:rPr>
        <w:t>Acts Interpretation</w:t>
      </w:r>
      <w:r w:rsidRPr="00AC6772">
        <w:rPr>
          <w:i/>
          <w:iCs/>
        </w:rPr>
        <w:t xml:space="preserve"> Act 1901</w:t>
      </w:r>
      <w:r w:rsidRPr="00AC6772">
        <w:rPr>
          <w:iCs/>
        </w:rPr>
        <w:t xml:space="preserve"> (as in force as </w:t>
      </w:r>
      <w:proofErr w:type="gramStart"/>
      <w:r w:rsidRPr="00AC6772">
        <w:rPr>
          <w:iCs/>
        </w:rPr>
        <w:t>at</w:t>
      </w:r>
      <w:proofErr w:type="gramEnd"/>
      <w:r w:rsidRPr="00AC6772">
        <w:rPr>
          <w:iCs/>
        </w:rPr>
        <w:t xml:space="preserve"> 1 January 2005 and as applicable to the relevant powers because of section 5C of the Corporations Act), where an Act confers a power to make an instrument, the power is construed as including a power exercisable in the like manner to amend the instrument</w:t>
      </w:r>
      <w:r>
        <w:t>.</w:t>
      </w:r>
    </w:p>
    <w:p w14:paraId="7BE35F2A" w14:textId="008C2C97" w:rsidR="00A9691A" w:rsidRDefault="00A9691A" w:rsidP="00A9691A">
      <w:pPr>
        <w:pStyle w:val="LI-BodyTextParaa"/>
        <w:ind w:left="567"/>
      </w:pPr>
      <w:r>
        <w:t>2</w:t>
      </w:r>
      <w:r w:rsidR="00EB286B">
        <w:t>3</w:t>
      </w:r>
      <w:r>
        <w:t>.</w:t>
      </w:r>
      <w:r>
        <w:tab/>
        <w:t>The instrument is a disallowable legislative instrument.</w:t>
      </w:r>
    </w:p>
    <w:p w14:paraId="5CC6D68D" w14:textId="77777777" w:rsidR="00A9691A" w:rsidRPr="00EA17A6" w:rsidRDefault="00A9691A" w:rsidP="00A9691A">
      <w:pPr>
        <w:pStyle w:val="LI-BodyTextParaa"/>
        <w:ind w:left="567"/>
        <w:rPr>
          <w:b/>
        </w:rPr>
      </w:pPr>
      <w:r w:rsidRPr="00EA17A6">
        <w:rPr>
          <w:b/>
        </w:rPr>
        <w:t xml:space="preserve">Statement of Compatibility with Human Rights  </w:t>
      </w:r>
    </w:p>
    <w:p w14:paraId="5321C8A5" w14:textId="1C975162" w:rsidR="00A9691A" w:rsidRPr="00EA17A6" w:rsidRDefault="00A9691A" w:rsidP="00A9691A">
      <w:pPr>
        <w:pStyle w:val="LI-BodyTextParaa"/>
        <w:ind w:left="567"/>
      </w:pPr>
      <w:r>
        <w:t>2</w:t>
      </w:r>
      <w:r w:rsidR="00EB286B">
        <w:t>4</w:t>
      </w:r>
      <w:r w:rsidRPr="00EA17A6">
        <w:t>.</w:t>
      </w:r>
      <w:r w:rsidRPr="00EA17A6">
        <w:tab/>
        <w:t xml:space="preserve">The Explanatory Statement for a disallowable legislative instrument must contain a Statement of Compatibility with Human Rights under subsection 9(1) of the </w:t>
      </w:r>
      <w:r w:rsidRPr="00EA17A6">
        <w:rPr>
          <w:i/>
          <w:iCs/>
        </w:rPr>
        <w:t>Human Rights (Parliamentary Scrutiny) Act 2011.</w:t>
      </w:r>
      <w:r w:rsidRPr="00EA17A6">
        <w:rPr>
          <w:iCs/>
        </w:rPr>
        <w:t xml:space="preserve"> </w:t>
      </w:r>
      <w:r w:rsidRPr="00EA17A6">
        <w:t xml:space="preserve">A Statement of Compatibility with Human Rights is in the </w:t>
      </w:r>
      <w:r w:rsidRPr="00EA17A6">
        <w:rPr>
          <w:u w:val="single"/>
        </w:rPr>
        <w:t>Attachment</w:t>
      </w:r>
      <w:r w:rsidRPr="00EA17A6">
        <w:t xml:space="preserve">. </w:t>
      </w:r>
    </w:p>
    <w:p w14:paraId="521B5195" w14:textId="77777777" w:rsidR="00A9691A" w:rsidRPr="00EA17A6" w:rsidRDefault="00A9691A" w:rsidP="00A9691A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D15B3B1" w14:textId="77777777" w:rsidR="00A9691A" w:rsidRPr="00EA17A6" w:rsidRDefault="00A9691A" w:rsidP="00A9691A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>Statement of Compatibility with Human Rights</w:t>
      </w:r>
    </w:p>
    <w:p w14:paraId="449B8317" w14:textId="77777777" w:rsidR="00A9691A" w:rsidRPr="00EA17A6" w:rsidRDefault="00A9691A" w:rsidP="00A9691A">
      <w:pPr>
        <w:pStyle w:val="LI-BodyTextNumbered"/>
        <w:ind w:left="0" w:firstLine="0"/>
        <w:rPr>
          <w:iCs/>
        </w:rPr>
      </w:pPr>
      <w:bookmarkStart w:id="2" w:name="_Hlk534286677"/>
    </w:p>
    <w:p w14:paraId="1D00D184" w14:textId="77777777" w:rsidR="00A9691A" w:rsidRPr="00EA17A6" w:rsidRDefault="00A9691A" w:rsidP="00A9691A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4372655B" w14:textId="437318E2" w:rsidR="00A9691A" w:rsidRPr="00EA17A6" w:rsidRDefault="00A9691A" w:rsidP="00A9691A">
      <w:pPr>
        <w:pStyle w:val="LI-BodyTextNumbered"/>
        <w:ind w:left="0" w:firstLine="0"/>
        <w:rPr>
          <w:b/>
          <w:i/>
        </w:rPr>
      </w:pPr>
      <w:r w:rsidRPr="00643594">
        <w:rPr>
          <w:b/>
          <w:i/>
          <w:color w:val="000000"/>
        </w:rPr>
        <w:t>ASIC Corporations (Amendment) Instrument 202</w:t>
      </w:r>
      <w:r w:rsidR="005437D0">
        <w:rPr>
          <w:b/>
          <w:i/>
          <w:color w:val="000000"/>
        </w:rPr>
        <w:t>2</w:t>
      </w:r>
      <w:r w:rsidR="00C31ACA">
        <w:rPr>
          <w:b/>
          <w:i/>
          <w:color w:val="000000"/>
        </w:rPr>
        <w:t>/206</w:t>
      </w:r>
    </w:p>
    <w:p w14:paraId="16A73AF0" w14:textId="77777777" w:rsidR="00A9691A" w:rsidRPr="006617E6" w:rsidRDefault="00A9691A" w:rsidP="00A9691A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288CCBBA" w14:textId="119E3887" w:rsidR="00A9691A" w:rsidRPr="006018E2" w:rsidRDefault="00A9691A" w:rsidP="00A9691A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006617E6">
        <w:rPr>
          <w:rFonts w:eastAsia="Times New Roman"/>
          <w:sz w:val="24"/>
          <w:szCs w:val="24"/>
          <w:lang w:eastAsia="en-AU"/>
        </w:rPr>
        <w:t>1.</w:t>
      </w:r>
      <w:r w:rsidRPr="006617E6">
        <w:rPr>
          <w:rFonts w:eastAsia="Times New Roman"/>
          <w:sz w:val="24"/>
          <w:szCs w:val="24"/>
          <w:lang w:eastAsia="en-AU"/>
        </w:rPr>
        <w:tab/>
      </w:r>
      <w:bookmarkStart w:id="4" w:name="_Hlk35419046"/>
      <w:r w:rsidRPr="00295F6B">
        <w:rPr>
          <w:i/>
          <w:sz w:val="24"/>
          <w:szCs w:val="24"/>
        </w:rPr>
        <w:t>ASIC Corporations (Derivative Clearing Exemption) Instrument 2018/209</w:t>
      </w:r>
      <w:r w:rsidRPr="00295F6B">
        <w:rPr>
          <w:sz w:val="24"/>
          <w:szCs w:val="24"/>
        </w:rPr>
        <w:t xml:space="preserve"> as amended by </w:t>
      </w:r>
      <w:r w:rsidRPr="00295F6B">
        <w:rPr>
          <w:i/>
          <w:sz w:val="24"/>
          <w:szCs w:val="24"/>
        </w:rPr>
        <w:t>ASIC Corporations (Amendment) Instrument 2019/202</w:t>
      </w:r>
      <w:r w:rsidRPr="00295F6B">
        <w:rPr>
          <w:sz w:val="24"/>
          <w:szCs w:val="24"/>
        </w:rPr>
        <w:t xml:space="preserve"> </w:t>
      </w:r>
      <w:r w:rsidR="005437D0">
        <w:rPr>
          <w:sz w:val="24"/>
          <w:szCs w:val="24"/>
        </w:rPr>
        <w:t xml:space="preserve">and </w:t>
      </w:r>
      <w:r w:rsidR="005437D0" w:rsidRPr="00295F6B">
        <w:rPr>
          <w:i/>
          <w:sz w:val="24"/>
          <w:szCs w:val="24"/>
        </w:rPr>
        <w:t>ASIC Corporations (Amendment) Instrument 20</w:t>
      </w:r>
      <w:r w:rsidR="005437D0">
        <w:rPr>
          <w:i/>
          <w:sz w:val="24"/>
          <w:szCs w:val="24"/>
        </w:rPr>
        <w:t>20</w:t>
      </w:r>
      <w:r w:rsidR="005437D0" w:rsidRPr="00295F6B">
        <w:rPr>
          <w:i/>
          <w:sz w:val="24"/>
          <w:szCs w:val="24"/>
        </w:rPr>
        <w:t>/</w:t>
      </w:r>
      <w:r w:rsidR="005437D0">
        <w:rPr>
          <w:i/>
          <w:sz w:val="24"/>
          <w:szCs w:val="24"/>
        </w:rPr>
        <w:t>149</w:t>
      </w:r>
      <w:r w:rsidR="005437D0" w:rsidRPr="00295F6B">
        <w:rPr>
          <w:sz w:val="24"/>
          <w:szCs w:val="24"/>
        </w:rPr>
        <w:t xml:space="preserve"> </w:t>
      </w:r>
      <w:r w:rsidRPr="00295F6B">
        <w:rPr>
          <w:sz w:val="24"/>
          <w:szCs w:val="24"/>
        </w:rPr>
        <w:t>(</w:t>
      </w:r>
      <w:r w:rsidRPr="007A15F2">
        <w:rPr>
          <w:b/>
          <w:iCs/>
          <w:sz w:val="24"/>
          <w:szCs w:val="24"/>
        </w:rPr>
        <w:t>Exemption Instrument</w:t>
      </w:r>
      <w:r w:rsidRPr="00295F6B">
        <w:rPr>
          <w:sz w:val="24"/>
          <w:szCs w:val="24"/>
        </w:rPr>
        <w:t xml:space="preserve">) </w:t>
      </w:r>
      <w:r w:rsidRPr="00295F6B">
        <w:rPr>
          <w:color w:val="000000"/>
          <w:sz w:val="24"/>
          <w:szCs w:val="24"/>
        </w:rPr>
        <w:t xml:space="preserve">delayed </w:t>
      </w:r>
      <w:r w:rsidRPr="00295F6B">
        <w:rPr>
          <w:sz w:val="24"/>
          <w:szCs w:val="24"/>
        </w:rPr>
        <w:t xml:space="preserve">the commencement of </w:t>
      </w:r>
      <w:r w:rsidR="00507A2C">
        <w:rPr>
          <w:sz w:val="24"/>
          <w:szCs w:val="24"/>
        </w:rPr>
        <w:t>central clearing requirements</w:t>
      </w:r>
      <w:r w:rsidRPr="00295F6B">
        <w:rPr>
          <w:sz w:val="24"/>
          <w:szCs w:val="24"/>
        </w:rPr>
        <w:t xml:space="preserve"> under the </w:t>
      </w:r>
      <w:r w:rsidRPr="00295F6B">
        <w:rPr>
          <w:i/>
          <w:color w:val="000000"/>
          <w:sz w:val="24"/>
          <w:szCs w:val="24"/>
        </w:rPr>
        <w:t xml:space="preserve">ASIC Derivative Transaction Rules (Clearing) 2015 </w:t>
      </w:r>
      <w:r w:rsidR="007A15F2">
        <w:rPr>
          <w:iCs/>
          <w:color w:val="000000"/>
          <w:sz w:val="24"/>
          <w:szCs w:val="24"/>
        </w:rPr>
        <w:t>(</w:t>
      </w:r>
      <w:r w:rsidR="00082B91">
        <w:rPr>
          <w:iCs/>
          <w:color w:val="000000"/>
          <w:sz w:val="24"/>
          <w:szCs w:val="24"/>
        </w:rPr>
        <w:t xml:space="preserve">the </w:t>
      </w:r>
      <w:r w:rsidR="007A15F2">
        <w:rPr>
          <w:b/>
          <w:bCs/>
          <w:iCs/>
          <w:color w:val="000000"/>
          <w:sz w:val="24"/>
          <w:szCs w:val="24"/>
        </w:rPr>
        <w:t>Rules</w:t>
      </w:r>
      <w:r w:rsidR="007A15F2">
        <w:rPr>
          <w:iCs/>
          <w:color w:val="000000"/>
          <w:sz w:val="24"/>
          <w:szCs w:val="24"/>
        </w:rPr>
        <w:t xml:space="preserve">) </w:t>
      </w:r>
      <w:r w:rsidRPr="00295F6B">
        <w:rPr>
          <w:color w:val="000000"/>
          <w:sz w:val="24"/>
          <w:szCs w:val="24"/>
        </w:rPr>
        <w:t>in relation to</w:t>
      </w:r>
      <w:r w:rsidRPr="00295F6B">
        <w:rPr>
          <w:sz w:val="24"/>
          <w:szCs w:val="24"/>
        </w:rPr>
        <w:t xml:space="preserve"> </w:t>
      </w:r>
      <w:r w:rsidR="005437D0">
        <w:rPr>
          <w:sz w:val="24"/>
          <w:szCs w:val="24"/>
        </w:rPr>
        <w:t>Forward Rate Agreements denominated in Australian dollars</w:t>
      </w:r>
      <w:r w:rsidRPr="00295F6B">
        <w:rPr>
          <w:sz w:val="24"/>
          <w:szCs w:val="24"/>
        </w:rPr>
        <w:t xml:space="preserve"> (</w:t>
      </w:r>
      <w:r w:rsidRPr="007A15F2">
        <w:rPr>
          <w:b/>
          <w:iCs/>
          <w:sz w:val="24"/>
          <w:szCs w:val="24"/>
        </w:rPr>
        <w:t>AUD FRAs</w:t>
      </w:r>
      <w:r w:rsidRPr="00295F6B">
        <w:rPr>
          <w:sz w:val="24"/>
          <w:szCs w:val="24"/>
        </w:rPr>
        <w:t xml:space="preserve">) until </w:t>
      </w:r>
      <w:r w:rsidR="009F7389">
        <w:rPr>
          <w:sz w:val="24"/>
          <w:szCs w:val="24"/>
        </w:rPr>
        <w:t>2</w:t>
      </w:r>
      <w:r w:rsidRPr="00295F6B">
        <w:rPr>
          <w:sz w:val="24"/>
          <w:szCs w:val="24"/>
        </w:rPr>
        <w:t xml:space="preserve"> April 202</w:t>
      </w:r>
      <w:bookmarkEnd w:id="4"/>
      <w:r w:rsidR="00142A4D">
        <w:rPr>
          <w:sz w:val="24"/>
          <w:szCs w:val="24"/>
        </w:rPr>
        <w:t>2</w:t>
      </w:r>
      <w:r w:rsidRPr="00295F6B">
        <w:rPr>
          <w:sz w:val="24"/>
          <w:szCs w:val="24"/>
        </w:rPr>
        <w:t>.</w:t>
      </w:r>
      <w:r w:rsidR="009F7389">
        <w:rPr>
          <w:sz w:val="24"/>
          <w:szCs w:val="24"/>
        </w:rPr>
        <w:t xml:space="preserve"> </w:t>
      </w:r>
      <w:r w:rsidRPr="00295F6B">
        <w:rPr>
          <w:i/>
          <w:sz w:val="24"/>
          <w:szCs w:val="24"/>
        </w:rPr>
        <w:t>ASIC Corporations (Amendment) Instrument 202</w:t>
      </w:r>
      <w:r w:rsidR="00142A4D">
        <w:rPr>
          <w:i/>
          <w:sz w:val="24"/>
          <w:szCs w:val="24"/>
        </w:rPr>
        <w:t>2</w:t>
      </w:r>
      <w:r w:rsidR="00C31ACA">
        <w:rPr>
          <w:i/>
          <w:sz w:val="24"/>
          <w:szCs w:val="24"/>
        </w:rPr>
        <w:t>/206</w:t>
      </w:r>
      <w:r w:rsidRPr="00295F6B">
        <w:rPr>
          <w:sz w:val="24"/>
          <w:szCs w:val="24"/>
        </w:rPr>
        <w:t xml:space="preserve"> amends the Exemption Instrument so that the </w:t>
      </w:r>
      <w:r w:rsidR="00507A2C">
        <w:rPr>
          <w:sz w:val="24"/>
          <w:szCs w:val="24"/>
        </w:rPr>
        <w:t>c</w:t>
      </w:r>
      <w:r w:rsidRPr="00295F6B">
        <w:rPr>
          <w:sz w:val="24"/>
          <w:szCs w:val="24"/>
        </w:rPr>
        <w:t xml:space="preserve">learing </w:t>
      </w:r>
      <w:r w:rsidR="00507A2C">
        <w:rPr>
          <w:sz w:val="24"/>
          <w:szCs w:val="24"/>
        </w:rPr>
        <w:t>r</w:t>
      </w:r>
      <w:r w:rsidRPr="00295F6B">
        <w:rPr>
          <w:sz w:val="24"/>
          <w:szCs w:val="24"/>
        </w:rPr>
        <w:t xml:space="preserve">equirement for AUD FRAs </w:t>
      </w:r>
      <w:r w:rsidR="009F7389">
        <w:rPr>
          <w:sz w:val="24"/>
          <w:szCs w:val="24"/>
        </w:rPr>
        <w:t>is</w:t>
      </w:r>
      <w:r w:rsidRPr="00295F6B">
        <w:rPr>
          <w:sz w:val="24"/>
          <w:szCs w:val="24"/>
        </w:rPr>
        <w:t xml:space="preserve"> delayed for an additional 24 months to 2 April 202</w:t>
      </w:r>
      <w:r w:rsidR="00142A4D">
        <w:rPr>
          <w:sz w:val="24"/>
          <w:szCs w:val="24"/>
        </w:rPr>
        <w:t>4</w:t>
      </w:r>
      <w:r w:rsidRPr="00295F6B">
        <w:rPr>
          <w:sz w:val="24"/>
          <w:szCs w:val="24"/>
        </w:rPr>
        <w:t xml:space="preserve">, given </w:t>
      </w:r>
      <w:r w:rsidR="00507A2C">
        <w:rPr>
          <w:sz w:val="24"/>
          <w:szCs w:val="24"/>
        </w:rPr>
        <w:t xml:space="preserve">that </w:t>
      </w:r>
      <w:r w:rsidRPr="00295F6B">
        <w:rPr>
          <w:sz w:val="24"/>
          <w:szCs w:val="24"/>
        </w:rPr>
        <w:t xml:space="preserve">there is </w:t>
      </w:r>
      <w:r w:rsidR="00915E53">
        <w:rPr>
          <w:sz w:val="24"/>
          <w:szCs w:val="24"/>
        </w:rPr>
        <w:t xml:space="preserve">currently </w:t>
      </w:r>
      <w:r w:rsidRPr="00295F6B">
        <w:rPr>
          <w:sz w:val="24"/>
          <w:szCs w:val="24"/>
        </w:rPr>
        <w:t xml:space="preserve">only one Clearing Facility </w:t>
      </w:r>
      <w:r w:rsidR="00915E53">
        <w:rPr>
          <w:sz w:val="24"/>
          <w:szCs w:val="24"/>
        </w:rPr>
        <w:t>that</w:t>
      </w:r>
      <w:r w:rsidRPr="00295F6B">
        <w:rPr>
          <w:sz w:val="24"/>
          <w:szCs w:val="24"/>
        </w:rPr>
        <w:t xml:space="preserve"> clear</w:t>
      </w:r>
      <w:r w:rsidR="00915E53">
        <w:rPr>
          <w:sz w:val="24"/>
          <w:szCs w:val="24"/>
        </w:rPr>
        <w:t>s</w:t>
      </w:r>
      <w:r w:rsidRPr="00295F6B">
        <w:rPr>
          <w:sz w:val="24"/>
          <w:szCs w:val="24"/>
        </w:rPr>
        <w:t xml:space="preserve"> these products</w:t>
      </w:r>
      <w:r w:rsidR="00142A4D">
        <w:rPr>
          <w:sz w:val="24"/>
          <w:szCs w:val="24"/>
        </w:rPr>
        <w:t xml:space="preserve"> and </w:t>
      </w:r>
      <w:r w:rsidR="007A15F2">
        <w:rPr>
          <w:sz w:val="24"/>
          <w:szCs w:val="24"/>
        </w:rPr>
        <w:t>to allow ASIC to</w:t>
      </w:r>
      <w:r w:rsidR="00507A2C">
        <w:rPr>
          <w:sz w:val="24"/>
          <w:szCs w:val="24"/>
        </w:rPr>
        <w:t xml:space="preserve"> undertake a further consultation to remove AUD FRAs from the scope of the Rules.</w:t>
      </w:r>
    </w:p>
    <w:p w14:paraId="3C705D70" w14:textId="77777777" w:rsidR="00A9691A" w:rsidRPr="00EA17A6" w:rsidRDefault="00A9691A" w:rsidP="00A9691A">
      <w:pPr>
        <w:pStyle w:val="LI-BodyTextNumbered"/>
        <w:ind w:left="567"/>
        <w:rPr>
          <w:u w:val="single"/>
        </w:rPr>
      </w:pPr>
      <w:bookmarkStart w:id="5" w:name="_Hlk534286807"/>
      <w:bookmarkEnd w:id="2"/>
      <w:r w:rsidRPr="00EA17A6">
        <w:rPr>
          <w:u w:val="single"/>
        </w:rPr>
        <w:t>Assessment of human rights implications</w:t>
      </w:r>
    </w:p>
    <w:p w14:paraId="3DBD5460" w14:textId="77777777" w:rsidR="00A9691A" w:rsidRPr="00EA17A6" w:rsidRDefault="00A9691A" w:rsidP="00A9691A">
      <w:pPr>
        <w:pStyle w:val="LI-BodyTextNumbered"/>
        <w:ind w:left="567"/>
      </w:pPr>
      <w:r w:rsidRPr="00EA17A6">
        <w:t>2.</w:t>
      </w:r>
      <w:r w:rsidRPr="00EA17A6">
        <w:tab/>
      </w:r>
      <w:bookmarkEnd w:id="5"/>
      <w:r w:rsidRPr="00EA17A6">
        <w:t>This instrument does not engage any of the applicable rights or freedoms</w:t>
      </w:r>
      <w:r>
        <w:t>.</w:t>
      </w:r>
      <w:r w:rsidRPr="00EA17A6">
        <w:t xml:space="preserve"> </w:t>
      </w:r>
    </w:p>
    <w:p w14:paraId="235AB3AE" w14:textId="77777777" w:rsidR="00A9691A" w:rsidRPr="00EA17A6" w:rsidRDefault="00A9691A" w:rsidP="00A9691A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69ABD4A7" w14:textId="77777777" w:rsidR="00A9691A" w:rsidRPr="00EA17A6" w:rsidRDefault="00A9691A" w:rsidP="00A9691A">
      <w:pPr>
        <w:pStyle w:val="LI-BodyTextNumbered"/>
        <w:ind w:left="567"/>
      </w:pPr>
      <w:r w:rsidRPr="00EA17A6">
        <w:t>3.</w:t>
      </w:r>
      <w:r w:rsidRPr="00EA17A6">
        <w:tab/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0009FE96" w14:textId="77777777" w:rsidR="00A9691A" w:rsidRPr="00EA17A6" w:rsidRDefault="00A9691A" w:rsidP="00A9691A">
      <w:pPr>
        <w:pStyle w:val="LI-BodyTextNumbered"/>
        <w:ind w:left="567"/>
      </w:pPr>
    </w:p>
    <w:p w14:paraId="525A39D7" w14:textId="77777777" w:rsidR="00B77E13" w:rsidRDefault="00B77E13"/>
    <w:sectPr w:rsidR="00B77E13" w:rsidSect="00863657">
      <w:headerReference w:type="even" r:id="rId13"/>
      <w:headerReference w:type="default" r:id="rId14"/>
      <w:footerReference w:type="default" r:id="rId15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DEE8" w14:textId="77777777" w:rsidR="00D648FC" w:rsidRDefault="007823C5">
      <w:pPr>
        <w:spacing w:line="240" w:lineRule="auto"/>
      </w:pPr>
      <w:r>
        <w:separator/>
      </w:r>
    </w:p>
  </w:endnote>
  <w:endnote w:type="continuationSeparator" w:id="0">
    <w:p w14:paraId="13934CAD" w14:textId="77777777" w:rsidR="00D648FC" w:rsidRDefault="00782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E9AD" w14:textId="77777777" w:rsidR="00863657" w:rsidRDefault="007A15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AFE7B45" w14:textId="77777777" w:rsidR="00863657" w:rsidRDefault="00635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D38B" w14:textId="77777777" w:rsidR="00D648FC" w:rsidRDefault="007823C5">
      <w:pPr>
        <w:spacing w:line="240" w:lineRule="auto"/>
      </w:pPr>
      <w:r>
        <w:separator/>
      </w:r>
    </w:p>
  </w:footnote>
  <w:footnote w:type="continuationSeparator" w:id="0">
    <w:p w14:paraId="6E55BBA9" w14:textId="77777777" w:rsidR="00D648FC" w:rsidRDefault="00782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73E5" w14:textId="77777777" w:rsidR="00E2168B" w:rsidRPr="00243EC0" w:rsidRDefault="007A15F2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6953CF6D" w14:textId="77777777" w:rsidTr="001E77ED">
      <w:tc>
        <w:tcPr>
          <w:tcW w:w="4253" w:type="dxa"/>
          <w:shd w:val="clear" w:color="auto" w:fill="auto"/>
        </w:tcPr>
        <w:p w14:paraId="7BC7565B" w14:textId="77777777" w:rsidR="00F4215A" w:rsidRDefault="00635D91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2948CFAC" w14:textId="77777777" w:rsidR="00F4215A" w:rsidRDefault="00635D91" w:rsidP="00F03BB5">
          <w:pPr>
            <w:pStyle w:val="LI-BodyTextNumbered"/>
          </w:pPr>
        </w:p>
      </w:tc>
    </w:tr>
  </w:tbl>
  <w:p w14:paraId="4F496F8C" w14:textId="77777777" w:rsidR="0040053F" w:rsidRPr="00F4215A" w:rsidRDefault="00635D91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1C04"/>
    <w:multiLevelType w:val="hybridMultilevel"/>
    <w:tmpl w:val="66FADAE2"/>
    <w:lvl w:ilvl="0" w:tplc="FE1E79B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A"/>
    <w:rsid w:val="000022E2"/>
    <w:rsid w:val="000354CC"/>
    <w:rsid w:val="00043409"/>
    <w:rsid w:val="00077589"/>
    <w:rsid w:val="00082B91"/>
    <w:rsid w:val="000941B5"/>
    <w:rsid w:val="000A6FDF"/>
    <w:rsid w:val="000D487B"/>
    <w:rsid w:val="0010205D"/>
    <w:rsid w:val="00142A4D"/>
    <w:rsid w:val="00146574"/>
    <w:rsid w:val="001522B4"/>
    <w:rsid w:val="001622B3"/>
    <w:rsid w:val="00163B4A"/>
    <w:rsid w:val="00177C81"/>
    <w:rsid w:val="00184E93"/>
    <w:rsid w:val="001B3423"/>
    <w:rsid w:val="001C68B6"/>
    <w:rsid w:val="001E7ECE"/>
    <w:rsid w:val="00235251"/>
    <w:rsid w:val="00255164"/>
    <w:rsid w:val="00262C73"/>
    <w:rsid w:val="002B5F5E"/>
    <w:rsid w:val="002C34AF"/>
    <w:rsid w:val="002C6CE9"/>
    <w:rsid w:val="002E66CF"/>
    <w:rsid w:val="002F7D35"/>
    <w:rsid w:val="00302D09"/>
    <w:rsid w:val="00312240"/>
    <w:rsid w:val="003555AC"/>
    <w:rsid w:val="00385533"/>
    <w:rsid w:val="00386211"/>
    <w:rsid w:val="003A0C22"/>
    <w:rsid w:val="003B1F27"/>
    <w:rsid w:val="003E060B"/>
    <w:rsid w:val="003F29CE"/>
    <w:rsid w:val="0041371D"/>
    <w:rsid w:val="004141CE"/>
    <w:rsid w:val="00447C47"/>
    <w:rsid w:val="004521F2"/>
    <w:rsid w:val="0046723C"/>
    <w:rsid w:val="00494505"/>
    <w:rsid w:val="004B43D3"/>
    <w:rsid w:val="004C704F"/>
    <w:rsid w:val="004D4635"/>
    <w:rsid w:val="004F3EA1"/>
    <w:rsid w:val="004F669D"/>
    <w:rsid w:val="00505FCB"/>
    <w:rsid w:val="00507A2C"/>
    <w:rsid w:val="005437D0"/>
    <w:rsid w:val="0056327C"/>
    <w:rsid w:val="005737DD"/>
    <w:rsid w:val="00587920"/>
    <w:rsid w:val="00594F55"/>
    <w:rsid w:val="005D6DD1"/>
    <w:rsid w:val="005F0398"/>
    <w:rsid w:val="006138A7"/>
    <w:rsid w:val="00635D91"/>
    <w:rsid w:val="0066460C"/>
    <w:rsid w:val="00682135"/>
    <w:rsid w:val="006A1607"/>
    <w:rsid w:val="006E6BE6"/>
    <w:rsid w:val="007309A4"/>
    <w:rsid w:val="00741CD2"/>
    <w:rsid w:val="007823C5"/>
    <w:rsid w:val="0078536C"/>
    <w:rsid w:val="007A15F2"/>
    <w:rsid w:val="007A5A10"/>
    <w:rsid w:val="007D5D38"/>
    <w:rsid w:val="007D6840"/>
    <w:rsid w:val="007E2AA4"/>
    <w:rsid w:val="00811A0D"/>
    <w:rsid w:val="00822DD1"/>
    <w:rsid w:val="00835A51"/>
    <w:rsid w:val="00851E04"/>
    <w:rsid w:val="00853396"/>
    <w:rsid w:val="008622E5"/>
    <w:rsid w:val="0088290B"/>
    <w:rsid w:val="00896012"/>
    <w:rsid w:val="008B6591"/>
    <w:rsid w:val="008E78A0"/>
    <w:rsid w:val="00907959"/>
    <w:rsid w:val="00915E53"/>
    <w:rsid w:val="009309BA"/>
    <w:rsid w:val="00933543"/>
    <w:rsid w:val="00945418"/>
    <w:rsid w:val="009550EE"/>
    <w:rsid w:val="009745A9"/>
    <w:rsid w:val="00984BFF"/>
    <w:rsid w:val="009A264D"/>
    <w:rsid w:val="009C449F"/>
    <w:rsid w:val="009D60F0"/>
    <w:rsid w:val="009F3493"/>
    <w:rsid w:val="009F7389"/>
    <w:rsid w:val="00A047DD"/>
    <w:rsid w:val="00A61B04"/>
    <w:rsid w:val="00A74F1E"/>
    <w:rsid w:val="00A9691A"/>
    <w:rsid w:val="00AB2D1C"/>
    <w:rsid w:val="00AF1ED0"/>
    <w:rsid w:val="00B23177"/>
    <w:rsid w:val="00B77E13"/>
    <w:rsid w:val="00B80EAC"/>
    <w:rsid w:val="00BB48FE"/>
    <w:rsid w:val="00BE1959"/>
    <w:rsid w:val="00BE7394"/>
    <w:rsid w:val="00BF6952"/>
    <w:rsid w:val="00C25F0C"/>
    <w:rsid w:val="00C31ACA"/>
    <w:rsid w:val="00C336E7"/>
    <w:rsid w:val="00C344D8"/>
    <w:rsid w:val="00C541B7"/>
    <w:rsid w:val="00C630FE"/>
    <w:rsid w:val="00C7023F"/>
    <w:rsid w:val="00C97566"/>
    <w:rsid w:val="00CA2537"/>
    <w:rsid w:val="00D011E0"/>
    <w:rsid w:val="00D10CA1"/>
    <w:rsid w:val="00D316E6"/>
    <w:rsid w:val="00D32FD5"/>
    <w:rsid w:val="00D45753"/>
    <w:rsid w:val="00D51361"/>
    <w:rsid w:val="00D648FC"/>
    <w:rsid w:val="00D66C7A"/>
    <w:rsid w:val="00D774FE"/>
    <w:rsid w:val="00D779CC"/>
    <w:rsid w:val="00DA7194"/>
    <w:rsid w:val="00E02FE2"/>
    <w:rsid w:val="00E43A63"/>
    <w:rsid w:val="00E463AB"/>
    <w:rsid w:val="00E5099D"/>
    <w:rsid w:val="00E571B5"/>
    <w:rsid w:val="00E63F62"/>
    <w:rsid w:val="00E81064"/>
    <w:rsid w:val="00E85834"/>
    <w:rsid w:val="00EB286B"/>
    <w:rsid w:val="00EB6787"/>
    <w:rsid w:val="00EE1884"/>
    <w:rsid w:val="00F00564"/>
    <w:rsid w:val="00F22344"/>
    <w:rsid w:val="00F30B96"/>
    <w:rsid w:val="00F57C1A"/>
    <w:rsid w:val="00F76BC9"/>
    <w:rsid w:val="00F84BC9"/>
    <w:rsid w:val="00F87BBC"/>
    <w:rsid w:val="00F9372F"/>
    <w:rsid w:val="00FC52CD"/>
    <w:rsid w:val="00FD172A"/>
    <w:rsid w:val="00FD7EDE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5253"/>
  <w15:chartTrackingRefBased/>
  <w15:docId w15:val="{8C3B6B83-2563-47C7-9392-D8E81DEE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691A"/>
    <w:pPr>
      <w:spacing w:after="0" w:line="260" w:lineRule="atLeast"/>
    </w:pPr>
    <w:rPr>
      <w:rFonts w:ascii="Times New Roman" w:eastAsia="Calibri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9691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styleId="Header">
    <w:name w:val="header"/>
    <w:basedOn w:val="Normal"/>
    <w:link w:val="HeaderChar"/>
    <w:unhideWhenUsed/>
    <w:rsid w:val="00A9691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9691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9691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Footer">
    <w:name w:val="footer"/>
    <w:link w:val="FooterChar"/>
    <w:uiPriority w:val="99"/>
    <w:rsid w:val="00A969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9691A"/>
    <w:rPr>
      <w:rFonts w:ascii="Times New Roman" w:eastAsia="Times New Roman" w:hAnsi="Times New Roman" w:cs="Times New Roman"/>
      <w:sz w:val="22"/>
      <w:szCs w:val="24"/>
      <w:lang w:eastAsia="en-AU"/>
    </w:rPr>
  </w:style>
  <w:style w:type="character" w:customStyle="1" w:styleId="LI-BodyTextParaaChar">
    <w:name w:val="LI - Body Text Para (a) Char"/>
    <w:link w:val="LI-BodyTextParaa"/>
    <w:rsid w:val="00A9691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Normal"/>
    <w:link w:val="LI-BodyTextNumberedChar"/>
    <w:qFormat/>
    <w:rsid w:val="00A9691A"/>
    <w:pPr>
      <w:spacing w:before="240" w:line="240" w:lineRule="auto"/>
      <w:ind w:left="1134" w:hanging="567"/>
    </w:pPr>
    <w:rPr>
      <w:rFonts w:eastAsia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A9691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NumberedChar">
    <w:name w:val="LI - Body Text Numbered Char"/>
    <w:link w:val="LI-BodyTextNumbered"/>
    <w:rsid w:val="00A9691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9691A"/>
    <w:rPr>
      <w:rFonts w:ascii="Times New Roman" w:eastAsia="Calibri" w:hAnsi="Times New Roman" w:cs="Times New Roman"/>
      <w:i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969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91A"/>
    <w:rPr>
      <w:rFonts w:ascii="Times New Roman" w:eastAsia="Calibri" w:hAnsi="Times New Roman" w:cs="Times New Roman"/>
      <w:szCs w:val="20"/>
    </w:rPr>
  </w:style>
  <w:style w:type="paragraph" w:customStyle="1" w:styleId="LI-Header">
    <w:name w:val="LI - Header"/>
    <w:basedOn w:val="LI-Footer"/>
    <w:link w:val="LI-HeaderChar"/>
    <w:qFormat/>
    <w:rsid w:val="00A9691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9691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7C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C1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C1A"/>
    <w:rPr>
      <w:rFonts w:ascii="Times New Roman" w:eastAsia="Calibri" w:hAnsi="Times New Roman" w:cs="Times New Roman"/>
      <w:b/>
      <w:bCs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97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New>NFListEditForm</New>
</FormTemplat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CRNoticeID xmlns="af32b6d2-edcc-4fb9-86a7-b5758ed74548" xsi:nil="true"/>
    <DocumentNumber xmlns="1bef7351-4cea-44e0-b418-5221243d7bc7" xsi:nil="true"/>
    <RecordNumber xmlns="da7a9ac0-bc47-4684-84e6-3a8e9ac80c12" xsi:nil="true"/>
    <RCRContext xmlns="f209eca4-01ba-4ad9-b384-4cea5ab8bf88" xsi:nil="true"/>
    <RCRABN xmlns="0096f3c1-dbbd-44e4-a971-8da0aee969f1" xsi:nil="true"/>
    <ObjectiveID xmlns="da7a9ac0-bc47-4684-84e6-3a8e9ac80c12" xsi:nil="true"/>
    <h304821935aa4fde90cc1033dec28af9 xmlns="0096f3c1-dbbd-44e4-a971-8da0aee969f1">
      <Terms xmlns="http://schemas.microsoft.com/office/infopath/2007/PartnerControls"/>
    </h304821935aa4fde90cc1033dec28af9>
    <RCRParentRecordTitle xmlns="0096f3c1-dbbd-44e4-a971-8da0aee969f1" xsi:nil="true"/>
    <RCREntityNames xmlns="519b3faf-9153-464d-b1ce-8ed9bbcba705" xsi:nil="true"/>
    <l9b2a2b5f6d24b47a30842ad21197f74 xmlns="0096f3c1-dbbd-44e4-a971-8da0aee969f1">
      <Terms xmlns="http://schemas.microsoft.com/office/infopath/2007/PartnerControls"/>
    </l9b2a2b5f6d24b47a30842ad21197f74>
    <RCRCorrespondenceID xmlns="af32b6d2-edcc-4fb9-86a7-b5758ed74548" xsi:nil="true"/>
    <RCRIndividualNum xmlns="0096f3c1-dbbd-44e4-a971-8da0aee969f1" xsi:nil="true"/>
    <kf797c0aa1354fd2813e3958d25b77d2 xmlns="75945b9d-c78d-46ff-b80f-b4a89e1442d4">
      <Terms xmlns="http://schemas.microsoft.com/office/infopath/2007/PartnerControls"/>
    </kf797c0aa1354fd2813e3958d25b77d2>
    <i3a7a011e5ce460592b2ca9d4180129a xmlns="0096f3c1-dbbd-44e4-a971-8da0aee969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i3a7a011e5ce460592b2ca9d4180129a>
    <p8231fb849874eb885000ccc7e83e012 xmlns="0096f3c1-dbbd-44e4-a971-8da0aee969f1">
      <Terms xmlns="http://schemas.microsoft.com/office/infopath/2007/PartnerControls"/>
    </p8231fb849874eb885000ccc7e83e012>
    <RCRAttachedBy xmlns="0096f3c1-dbbd-44e4-a971-8da0aee969f1" xsi:nil="true"/>
    <j3cdb62dbfbc46b3a22b0e519a077477 xmlns="75945b9d-c78d-46ff-b80f-b4a89e1442d4">
      <Terms xmlns="http://schemas.microsoft.com/office/infopath/2007/PartnerControls"/>
    </j3cdb62dbfbc46b3a22b0e519a077477>
    <asicRCR_Disclosure xmlns="0096f3c1-dbbd-44e4-a971-8da0aee969f1" xsi:nil="true"/>
    <RCRSourceRecordIdentifier xmlns="0096f3c1-dbbd-44e4-a971-8da0aee969f1" xsi:nil="true"/>
    <SignificantFlag xmlns="da7a9ac0-bc47-4684-84e6-3a8e9ac80c12">false</SignificantFlag>
    <p435b0c653d84bb78348d93ddad92af6 xmlns="0096f3c1-dbbd-44e4-a971-8da0aee969f1">
      <Terms xmlns="http://schemas.microsoft.com/office/infopath/2007/PartnerControls"/>
    </p435b0c653d84bb78348d93ddad92af6>
    <RCRSourceRecordTitle xmlns="0096f3c1-dbbd-44e4-a971-8da0aee969f1" xsi:nil="true"/>
    <RCRAttachedOn xmlns="0096f3c1-dbbd-44e4-a971-8da0aee969f1" xsi:nil="true"/>
    <Record_x0020_Number xmlns="9e0c1413-16fd-471a-b853-da8dac0e6aab">CAS-43224-F8H8L4</Record_x0020_Number>
    <h9feabaa718f47b3aa570c427738929c xmlns="0096f3c1-dbbd-44e4-a971-8da0aee969f1">
      <Terms xmlns="http://schemas.microsoft.com/office/infopath/2007/PartnerControls"/>
    </h9feabaa718f47b3aa570c427738929c>
    <TaxCatchAll xmlns="0096f3c1-dbbd-44e4-a971-8da0aee969f1">
      <Value>67</Value>
      <Value>25</Value>
      <Value>196</Value>
    </TaxCatchAll>
    <asicRCR_DisclosureExported xmlns="0096f3c1-dbbd-44e4-a971-8da0aee969f1" xsi:nil="true"/>
    <RCRSourceRecordURI xmlns="0096f3c1-dbbd-44e4-a971-8da0aee969f1" xsi:nil="true"/>
    <FormData xmlns="http://schemas.microsoft.com/sharepoint/v3" xsi:nil="true"/>
    <RCROrganisationNum xmlns="0096f3c1-dbbd-44e4-a971-8da0aee969f1" xsi:nil="true"/>
    <SPLinkLabel xmlns="f209eca4-01ba-4ad9-b384-4cea5ab8bf88" xsi:nil="true"/>
    <SenateOrder12 xmlns="da7a9ac0-bc47-4684-84e6-3a8e9ac80c12">false</SenateOrder12>
    <asicRCRCategory xmlns="0096f3c1-dbbd-44e4-a971-8da0aee969f1" xsi:nil="true"/>
    <e7a4745032e2465585261b3624ec0eda xmlns="0096f3c1-dbbd-44e4-a971-8da0aee969f1">
      <Terms xmlns="http://schemas.microsoft.com/office/infopath/2007/PartnerControls"/>
    </e7a4745032e2465585261b3624ec0eda>
    <o25b9730307d4f30b906d99e119450b0 xmlns="75945b9d-c78d-46ff-b80f-b4a89e1442d4">
      <Terms xmlns="http://schemas.microsoft.com/office/infopath/2007/PartnerControls"/>
    </o25b9730307d4f30b906d99e119450b0>
    <ded95d7ab059406991d558011d18c177 xmlns="da7a9ac0-bc47-4684-84e6-3a8e9ac80c12" xsi:nil="true"/>
    <a73b100c6f084a8cb1ca45d55da1f19f xmlns="0096f3c1-dbbd-44e4-a971-8da0aee969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Surveillance - Proactive</TermName>
          <TermId xmlns="http://schemas.microsoft.com/office/infopath/2007/PartnerControls">ad07f8e0-09d9-e611-811a-005056a8b064</TermId>
        </TermInfo>
      </Terms>
    </a73b100c6f084a8cb1ca45d55da1f19f>
    <ld8ccc0d7a2b45c49821ab236ff7774c xmlns="75945b9d-c78d-46ff-b80f-b4a89e1442d4">
      <Terms xmlns="http://schemas.microsoft.com/office/infopath/2007/PartnerControls"/>
    </ld8ccc0d7a2b45c49821ab236ff7774c>
    <Reviewers xmlns="17f478ab-373e-4295-9ff0-9b833ad01319">
      <UserInfo>
        <DisplayName/>
        <AccountId xsi:nil="true"/>
        <AccountType/>
      </UserInfo>
    </Reviewers>
    <Approvers xmlns="da7a9ac0-bc47-4684-84e6-3a8e9ac80c12">
      <UserInfo>
        <DisplayName/>
        <AccountId xsi:nil="true"/>
        <AccountType/>
      </UserInfo>
    </Approvers>
    <RCRParentRecordURI xmlns="0096f3c1-dbbd-44e4-a971-8da0aee969f1" xsi:nil="true"/>
    <g8e051d9a524472da2319b4cfe0a679f xmlns="0096f3c1-dbbd-44e4-a971-8da0aee969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Policy</TermName>
          <TermId xmlns="http://schemas.microsoft.com/office/infopath/2007/PartnerControls">e7c99747-4396-e611-8114-005056a8b064</TermId>
        </TermInfo>
      </Terms>
    </g8e051d9a524472da2319b4cfe0a679f>
    <SignificantReason xmlns="da7a9ac0-bc47-4684-84e6-3a8e9ac80c12" xsi:nil="true"/>
    <RCRNoticeResponseID xmlns="af32b6d2-edcc-4fb9-86a7-b5758ed74548" xsi:nil="true"/>
    <RCRAttachmentsLinksID xmlns="af32b6d2-edcc-4fb9-86a7-b5758ed74548" xsi:nil="true"/>
    <NotesLinks xmlns="da7a9ac0-bc47-4684-84e6-3a8e9ac80c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CR Case Document" ma:contentTypeID="0x010100B5F685A1365F544391EF8C813B164F3A010100D5928CE713EB4849A701A12981667D72" ma:contentTypeVersion="42" ma:contentTypeDescription="RCR Case Document" ma:contentTypeScope="" ma:versionID="3e1aa0a22edf3e6a3ee925c33b93afe5">
  <xsd:schema xmlns:xsd="http://www.w3.org/2001/XMLSchema" xmlns:xs="http://www.w3.org/2001/XMLSchema" xmlns:p="http://schemas.microsoft.com/office/2006/metadata/properties" xmlns:ns1="http://schemas.microsoft.com/sharepoint/v3" xmlns:ns2="0096f3c1-dbbd-44e4-a971-8da0aee969f1" xmlns:ns3="af32b6d2-edcc-4fb9-86a7-b5758ed74548" xmlns:ns4="1bef7351-4cea-44e0-b418-5221243d7bc7" xmlns:ns5="f209eca4-01ba-4ad9-b384-4cea5ab8bf88" xmlns:ns6="da7a9ac0-bc47-4684-84e6-3a8e9ac80c12" xmlns:ns7="17f478ab-373e-4295-9ff0-9b833ad01319" xmlns:ns8="519b3faf-9153-464d-b1ce-8ed9bbcba705" xmlns:ns9="9e0c1413-16fd-471a-b853-da8dac0e6aab" xmlns:ns11="75945b9d-c78d-46ff-b80f-b4a89e1442d4" targetNamespace="http://schemas.microsoft.com/office/2006/metadata/properties" ma:root="true" ma:fieldsID="a0a4361195ba8c4938f4d306034e95b1" ns1:_="" ns2:_="" ns3:_="" ns4:_="" ns5:_="" ns6:_="" ns7:_="" ns8:_="" ns9:_="" ns11:_="">
    <xsd:import namespace="http://schemas.microsoft.com/sharepoint/v3"/>
    <xsd:import namespace="0096f3c1-dbbd-44e4-a971-8da0aee969f1"/>
    <xsd:import namespace="af32b6d2-edcc-4fb9-86a7-b5758ed74548"/>
    <xsd:import namespace="1bef7351-4cea-44e0-b418-5221243d7bc7"/>
    <xsd:import namespace="f209eca4-01ba-4ad9-b384-4cea5ab8bf88"/>
    <xsd:import namespace="da7a9ac0-bc47-4684-84e6-3a8e9ac80c12"/>
    <xsd:import namespace="17f478ab-373e-4295-9ff0-9b833ad01319"/>
    <xsd:import namespace="519b3faf-9153-464d-b1ce-8ed9bbcba705"/>
    <xsd:import namespace="9e0c1413-16fd-471a-b853-da8dac0e6aab"/>
    <xsd:import namespace="75945b9d-c78d-46ff-b80f-b4a89e1442d4"/>
    <xsd:element name="properties">
      <xsd:complexType>
        <xsd:sequence>
          <xsd:element name="documentManagement">
            <xsd:complexType>
              <xsd:all>
                <xsd:element ref="ns2:asicRCR_Disclosure" minOccurs="0"/>
                <xsd:element ref="ns2:asicRCR_DisclosureExported" minOccurs="0"/>
                <xsd:element ref="ns3:RCRNoticeID" minOccurs="0"/>
                <xsd:element ref="ns3:RCRCorrespondenceID" minOccurs="0"/>
                <xsd:element ref="ns3:RCRNoticeResponseID" minOccurs="0"/>
                <xsd:element ref="ns3:RCRAttachmentsLinksID" minOccurs="0"/>
                <xsd:element ref="ns4:DocumentNumber" minOccurs="0"/>
                <xsd:element ref="ns5:RCRContext" minOccurs="0"/>
                <xsd:element ref="ns5:SPLinkLabel" minOccurs="0"/>
                <xsd:element ref="ns6:NotesLinks" minOccurs="0"/>
                <xsd:element ref="ns7:Reviewers" minOccurs="0"/>
                <xsd:element ref="ns6:Approvers" minOccurs="0"/>
                <xsd:element ref="ns2:RCRSourceRecordTitle" minOccurs="0"/>
                <xsd:element ref="ns2:RCRSourceRecordIdentifier" minOccurs="0"/>
                <xsd:element ref="ns2:RCRSourceRecordURI" minOccurs="0"/>
                <xsd:element ref="ns2:RCRParentRecordTitle" minOccurs="0"/>
                <xsd:element ref="ns2:RCRParentRecordURI" minOccurs="0"/>
                <xsd:element ref="ns2:RCRAttachedBy" minOccurs="0"/>
                <xsd:element ref="ns2:RCRAttachedOn" minOccurs="0"/>
                <xsd:element ref="ns8:RCREntityNames" minOccurs="0"/>
                <xsd:element ref="ns2:RCRABN" minOccurs="0"/>
                <xsd:element ref="ns2:RCROrganisationNum" minOccurs="0"/>
                <xsd:element ref="ns2:RCRIndividualNum" minOccurs="0"/>
                <xsd:element ref="ns9:Record_x0020_Number" minOccurs="0"/>
                <xsd:element ref="ns6:SignificantFlag" minOccurs="0"/>
                <xsd:element ref="ns6:SenateOrder12" minOccurs="0"/>
                <xsd:element ref="ns6:RecordNumber" minOccurs="0"/>
                <xsd:element ref="ns6:ObjectiveID" minOccurs="0"/>
                <xsd:element ref="ns6:SignificantReason" minOccurs="0"/>
                <xsd:element ref="ns2:asicRCRCategory" minOccurs="0"/>
                <xsd:element ref="ns2:g8e051d9a524472da2319b4cfe0a679f" minOccurs="0"/>
                <xsd:element ref="ns6:ded95d7ab059406991d558011d18c177" minOccurs="0"/>
                <xsd:element ref="ns2:h9feabaa718f47b3aa570c427738929c" minOccurs="0"/>
                <xsd:element ref="ns2:e7a4745032e2465585261b3624ec0eda" minOccurs="0"/>
                <xsd:element ref="ns1:FormData" minOccurs="0"/>
                <xsd:element ref="ns11:kf797c0aa1354fd2813e3958d25b77d2" minOccurs="0"/>
                <xsd:element ref="ns11:j3cdb62dbfbc46b3a22b0e519a077477" minOccurs="0"/>
                <xsd:element ref="ns11:o25b9730307d4f30b906d99e119450b0" minOccurs="0"/>
                <xsd:element ref="ns2:l9b2a2b5f6d24b47a30842ad21197f74" minOccurs="0"/>
                <xsd:element ref="ns2:h304821935aa4fde90cc1033dec28af9" minOccurs="0"/>
                <xsd:element ref="ns2:p435b0c653d84bb78348d93ddad92af6" minOccurs="0"/>
                <xsd:element ref="ns2:i3a7a011e5ce460592b2ca9d4180129a" minOccurs="0"/>
                <xsd:element ref="ns2:TaxCatchAll" minOccurs="0"/>
                <xsd:element ref="ns2:TaxCatchAllLabel" minOccurs="0"/>
                <xsd:element ref="ns2:a73b100c6f084a8cb1ca45d55da1f19f" minOccurs="0"/>
                <xsd:element ref="ns2:p8231fb849874eb885000ccc7e83e012" minOccurs="0"/>
                <xsd:element ref="ns11:ld8ccc0d7a2b45c49821ab236ff7774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9" nillable="true" ma:displayName="Form Data" ma:description="" ma:hidden="true" ma:internalName="Form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6f3c1-dbbd-44e4-a971-8da0aee969f1" elementFormDefault="qualified">
    <xsd:import namespace="http://schemas.microsoft.com/office/2006/documentManagement/types"/>
    <xsd:import namespace="http://schemas.microsoft.com/office/infopath/2007/PartnerControls"/>
    <xsd:element name="asicRCR_Disclosure" ma:index="3" nillable="true" ma:displayName="Disclosure" ma:format="Dropdown" ma:internalName="asicRCR_Disclosure">
      <xsd:simpleType>
        <xsd:restriction base="dms:Choice">
          <xsd:enumeration value="A. Disclosable"/>
          <xsd:enumeration value="B. Credibility &amp; Reliability"/>
          <xsd:enumeration value="C. Not already listed in A or B"/>
          <xsd:enumeration value="D. Potentially immune from production"/>
          <xsd:enumeration value="E. Relevant persons not included in brief"/>
          <xsd:enumeration value="F. Related investigations"/>
          <xsd:enumeration value="G. Already in Ringtail"/>
          <xsd:enumeration value="H. Unused - Not Relevant"/>
        </xsd:restriction>
      </xsd:simpleType>
    </xsd:element>
    <xsd:element name="asicRCR_DisclosureExported" ma:index="4" nillable="true" ma:displayName="Disclosure Exported" ma:format="DateOnly" ma:internalName="asicRCR_DisclosureExported">
      <xsd:simpleType>
        <xsd:restriction base="dms:DateTime"/>
      </xsd:simpleType>
    </xsd:element>
    <xsd:element name="RCRSourceRecordTitle" ma:index="17" nillable="true" ma:displayName="Source Record Title" ma:description="" ma:internalName="RCRSourceRecordTitle">
      <xsd:simpleType>
        <xsd:restriction base="dms:Text"/>
      </xsd:simpleType>
    </xsd:element>
    <xsd:element name="RCRSourceRecordIdentifier" ma:index="18" nillable="true" ma:displayName="Source Record Identifier" ma:description="" ma:internalName="RCRSourceRecordIdentifier">
      <xsd:simpleType>
        <xsd:restriction base="dms:Text"/>
      </xsd:simpleType>
    </xsd:element>
    <xsd:element name="RCRSourceRecordURI" ma:index="19" nillable="true" ma:displayName="Source Record URI" ma:description="" ma:internalName="RCRSourceRecordURI">
      <xsd:simpleType>
        <xsd:restriction base="dms:Text"/>
      </xsd:simpleType>
    </xsd:element>
    <xsd:element name="RCRParentRecordTitle" ma:index="21" nillable="true" ma:displayName="Parent Record Title" ma:description="" ma:internalName="RCRParentRecordTitle">
      <xsd:simpleType>
        <xsd:restriction base="dms:Text"/>
      </xsd:simpleType>
    </xsd:element>
    <xsd:element name="RCRParentRecordURI" ma:index="22" nillable="true" ma:displayName="Parent Record URI" ma:description="" ma:internalName="RCRParentRecordURI">
      <xsd:simpleType>
        <xsd:restriction base="dms:Text"/>
      </xsd:simpleType>
    </xsd:element>
    <xsd:element name="RCRAttachedBy" ma:index="23" nillable="true" ma:displayName="Attached By" ma:description="" ma:internalName="RCRAttachedBy">
      <xsd:simpleType>
        <xsd:restriction base="dms:Text"/>
      </xsd:simpleType>
    </xsd:element>
    <xsd:element name="RCRAttachedOn" ma:index="24" nillable="true" ma:displayName="Attached On" ma:description="" ma:internalName="RCRAttachedOn">
      <xsd:simpleType>
        <xsd:restriction base="dms:DateTime"/>
      </xsd:simpleType>
    </xsd:element>
    <xsd:element name="RCRABN" ma:index="30" nillable="true" ma:displayName="ABN" ma:description="" ma:internalName="RCRABN">
      <xsd:simpleType>
        <xsd:restriction base="dms:Note">
          <xsd:maxLength value="255"/>
        </xsd:restriction>
      </xsd:simpleType>
    </xsd:element>
    <xsd:element name="RCROrganisationNum" ma:index="31" nillable="true" ma:displayName="Organisation Num" ma:description="" ma:internalName="RCROrganisationNum">
      <xsd:simpleType>
        <xsd:restriction base="dms:Note">
          <xsd:maxLength value="255"/>
        </xsd:restriction>
      </xsd:simpleType>
    </xsd:element>
    <xsd:element name="RCRIndividualNum" ma:index="32" nillable="true" ma:displayName="Individual Num" ma:description="" ma:internalName="RCRIndividualNum">
      <xsd:simpleType>
        <xsd:restriction base="dms:Note">
          <xsd:maxLength value="255"/>
        </xsd:restriction>
      </xsd:simpleType>
    </xsd:element>
    <xsd:element name="asicRCRCategory" ma:index="43" nillable="true" ma:displayName="Folder" ma:format="Dropdown" ma:internalName="asicRCRCategory">
      <xsd:simpleType>
        <xsd:restriction base="dms:Choice">
          <xsd:enumeration value="Analysis"/>
          <xsd:enumeration value="Briefs"/>
          <xsd:enumeration value="Correspondence"/>
          <xsd:enumeration value="Decisions"/>
          <xsd:enumeration value="Disclosure"/>
          <xsd:enumeration value="FAS"/>
          <xsd:enumeration value="File Notes"/>
          <xsd:enumeration value="File Review"/>
          <xsd:enumeration value="Finance and Administration"/>
          <xsd:enumeration value="Intel"/>
          <xsd:enumeration value="Legal Advice"/>
          <xsd:enumeration value="Mailstore"/>
          <xsd:enumeration value="Meeting Papers"/>
          <xsd:enumeration value="Memoranda"/>
          <xsd:enumeration value="Notices"/>
          <xsd:enumeration value="Orders"/>
          <xsd:enumeration value="Proceedings Documents"/>
          <xsd:enumeration value="Project Management"/>
          <xsd:enumeration value="Publications"/>
          <xsd:enumeration value="Research"/>
          <xsd:enumeration value="Search Warrant"/>
          <xsd:enumeration value="Transcripts"/>
          <xsd:enumeration value="Voluntary Document Requests"/>
          <xsd:enumeration value="Witness"/>
          <xsd:enumeration value="Working Documents"/>
        </xsd:restriction>
      </xsd:simpleType>
    </xsd:element>
    <xsd:element name="g8e051d9a524472da2319b4cfe0a679f" ma:index="44" ma:taxonomy="true" ma:internalName="g8e051d9a524472da2319b4cfe0a679f" ma:taxonomyFieldName="RCRDocumentType" ma:displayName="Document Type" ma:fieldId="{08e051d9-a524-472d-a231-9b4cfe0a679f}" ma:sspId="b38671ba-7d76-46f8-b8a5-5fc3a7d6229d" ma:termSetId="1fe2b1d4-b905-e611-8105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9feabaa718f47b3aa570c427738929c" ma:index="46" nillable="true" ma:taxonomy="true" ma:internalName="h9feabaa718f47b3aa570c427738929c" ma:taxonomyFieldName="RCRCfCs" ma:displayName="RC" ma:fieldId="{19feabaa-718f-47b3-aa57-0c427738929c}" ma:taxonomyMulti="true" ma:sspId="b38671ba-7d76-46f8-b8a5-5fc3a7d6229d" ma:termSetId="88481321-69fc-e511-8104-0050569c5e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a4745032e2465585261b3624ec0eda" ma:index="47" nillable="true" ma:taxonomy="true" ma:internalName="e7a4745032e2465585261b3624ec0eda" ma:taxonomyFieldName="RCRParentRecordType" ma:displayName="Parent Record Type" ma:fieldId="{e7a47450-32e2-4655-8526-1b3624ec0eda}" ma:sspId="b38671ba-7d76-46f8-b8a5-5fc3a7d6229d" ma:termSetId="b48a55cc-0df4-e611-811b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2a2b5f6d24b47a30842ad21197f74" ma:index="55" nillable="true" ma:taxonomy="true" ma:internalName="l9b2a2b5f6d24b47a30842ad21197f74" ma:taxonomyFieldName="RCRRegulatoryTopics" ma:displayName="Regulatory Topics" ma:fieldId="{59b2a2b5-f6d2-4b47-a308-42ad21197f74}" ma:taxonomyMulti="true" ma:sspId="b38671ba-7d76-46f8-b8a5-5fc3a7d6229d" ma:termSetId="53036289-c4fb-e511-8104-0050569c5e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04821935aa4fde90cc1033dec28af9" ma:index="56" nillable="true" ma:taxonomy="true" ma:internalName="h304821935aa4fde90cc1033dec28af9" ma:taxonomyFieldName="RCRSourceSystem" ma:displayName="Source System" ma:fieldId="{13048219-35aa-4fde-90cc-1033dec28af9}" ma:sspId="b38671ba-7d76-46f8-b8a5-5fc3a7d6229d" ma:termSetId="e1651526-0bf4-e611-811b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35b0c653d84bb78348d93ddad92af6" ma:index="57" nillable="true" ma:taxonomy="true" ma:internalName="p435b0c653d84bb78348d93ddad92af6" ma:taxonomyFieldName="RCRSourceRecordType" ma:displayName="Source Record Type" ma:fieldId="{9435b0c6-53d8-4bb7-8348-d93ddad92af6}" ma:sspId="b38671ba-7d76-46f8-b8a5-5fc3a7d6229d" ma:termSetId="b48a55cc-0df4-e611-811b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a7a011e5ce460592b2ca9d4180129a" ma:index="58" ma:taxonomy="true" ma:internalName="i3a7a011e5ce460592b2ca9d4180129a" ma:taxonomyFieldName="SecurityClassification" ma:displayName="Security Classification" ma:default="-1;#OFFICIAL - Sensitive|6eccc17f-024b-41b0-b6b1-faf98d2aff85" ma:fieldId="{23a7a011-e5ce-4605-92b2-ca9d4180129a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9" nillable="true" ma:displayName="Taxonomy Catch All Column" ma:description="" ma:hidden="true" ma:list="{b3d73016-55de-4921-b21d-2f79a5cad96d}" ma:internalName="TaxCatchAll" ma:showField="CatchAllData" ma:web="0096f3c1-dbbd-44e4-a971-8da0aee96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0" nillable="true" ma:displayName="Taxonomy Catch All Column1" ma:description="" ma:hidden="true" ma:list="{b3d73016-55de-4921-b21d-2f79a5cad96d}" ma:internalName="TaxCatchAllLabel" ma:readOnly="true" ma:showField="CatchAllDataLabel" ma:web="0096f3c1-dbbd-44e4-a971-8da0aee96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73b100c6f084a8cb1ca45d55da1f19f" ma:index="67" nillable="true" ma:taxonomy="true" ma:internalName="a73b100c6f084a8cb1ca45d55da1f19f" ma:taxonomyFieldName="RCRCaseType" ma:displayName="Case Type" ma:fieldId="{a73b100c-6f08-4a8c-b1ca-45d55da1f19f}" ma:sspId="b38671ba-7d76-46f8-b8a5-5fc3a7d6229d" ma:termSetId="43d48e2a-485e-42dd-9d81-933934294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231fb849874eb885000ccc7e83e012" ma:index="68" nillable="true" ma:taxonomy="true" ma:internalName="p8231fb849874eb885000ccc7e83e012" ma:taxonomyFieldName="RCRBusinessProcessPattern" ma:displayName="Business Process Pattern" ma:fieldId="{98231fb8-4987-4eb8-8500-0ccc7e83e012}" ma:sspId="b38671ba-7d76-46f8-b8a5-5fc3a7d6229d" ma:termSetId="8e2aa9d0-c3f4-e611-811b-005056a8b0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b6d2-edcc-4fb9-86a7-b5758ed74548" elementFormDefault="qualified">
    <xsd:import namespace="http://schemas.microsoft.com/office/2006/documentManagement/types"/>
    <xsd:import namespace="http://schemas.microsoft.com/office/infopath/2007/PartnerControls"/>
    <xsd:element name="RCRNoticeID" ma:index="5" nillable="true" ma:displayName="Notice ID" ma:description="" ma:internalName="RCRNoticeID">
      <xsd:simpleType>
        <xsd:restriction base="dms:Text"/>
      </xsd:simpleType>
    </xsd:element>
    <xsd:element name="RCRCorrespondenceID" ma:index="6" nillable="true" ma:displayName="Correspondence ID" ma:description="" ma:internalName="RCRCorrespondenceID">
      <xsd:simpleType>
        <xsd:restriction base="dms:Text"/>
      </xsd:simpleType>
    </xsd:element>
    <xsd:element name="RCRNoticeResponseID" ma:index="7" nillable="true" ma:displayName="Notice Response ID" ma:description="" ma:internalName="RCRNoticeResponseID">
      <xsd:simpleType>
        <xsd:restriction base="dms:Text"/>
      </xsd:simpleType>
    </xsd:element>
    <xsd:element name="RCRAttachmentsLinksID" ma:index="8" nillable="true" ma:displayName="RCRAttachmentsLinksID" ma:internalName="RCRAttachmentsLinks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f7351-4cea-44e0-b418-5221243d7bc7" elementFormDefault="qualified">
    <xsd:import namespace="http://schemas.microsoft.com/office/2006/documentManagement/types"/>
    <xsd:import namespace="http://schemas.microsoft.com/office/infopath/2007/PartnerControls"/>
    <xsd:element name="DocumentNumber" ma:index="9" nillable="true" ma:displayName="Document Number" ma:description="" ma:internalName="Document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9eca4-01ba-4ad9-b384-4cea5ab8bf88" elementFormDefault="qualified">
    <xsd:import namespace="http://schemas.microsoft.com/office/2006/documentManagement/types"/>
    <xsd:import namespace="http://schemas.microsoft.com/office/infopath/2007/PartnerControls"/>
    <xsd:element name="RCRContext" ma:index="10" nillable="true" ma:displayName="RCRContext" ma:internalName="RCRContext">
      <xsd:simpleType>
        <xsd:restriction base="dms:Note">
          <xsd:maxLength value="255"/>
        </xsd:restriction>
      </xsd:simpleType>
    </xsd:element>
    <xsd:element name="SPLinkLabel" ma:index="11" nillable="true" ma:displayName="SPLinkLabel" ma:internalName="SPLinkLabe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NotesLinks" ma:index="12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  <xsd:element name="Approvers" ma:index="14" nillable="true" ma:displayName="Approvers" ma:list="UserInfo" ma:SharePointGroup="0" ma:internalName="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ificantFlag" ma:index="34" nillable="true" ma:displayName="Significant Flag" ma:default="0" ma:hidden="true" ma:internalName="SignificantFlag" ma:readOnly="false">
      <xsd:simpleType>
        <xsd:restriction base="dms:Boolean"/>
      </xsd:simpleType>
    </xsd:element>
    <xsd:element name="SenateOrder12" ma:index="36" nillable="true" ma:displayName="Senate Order #12" ma:default="0" ma:hidden="true" ma:internalName="SenateOrder12" ma:readOnly="false">
      <xsd:simpleType>
        <xsd:restriction base="dms:Boolean"/>
      </xsd:simpleType>
    </xsd:element>
    <xsd:element name="RecordNumber" ma:index="37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8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ignificantReason" ma:index="40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45" nillable="true" ma:displayName="SecurityClassification_0" ma:hidden="true" ma:internalName="ded95d7ab059406991d558011d18c177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3" nillable="true" ma:displayName="Reviewers" ma:list="UserInfo" ma:SharePointGroup="0" ma:internalName="Re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b3faf-9153-464d-b1ce-8ed9bbcba705" elementFormDefault="qualified">
    <xsd:import namespace="http://schemas.microsoft.com/office/2006/documentManagement/types"/>
    <xsd:import namespace="http://schemas.microsoft.com/office/infopath/2007/PartnerControls"/>
    <xsd:element name="RCREntityNames" ma:index="27" nillable="true" ma:displayName="Entity Names" ma:description="" ma:internalName="RCREntityNa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1413-16fd-471a-b853-da8dac0e6aab" elementFormDefault="qualified">
    <xsd:import namespace="http://schemas.microsoft.com/office/2006/documentManagement/types"/>
    <xsd:import namespace="http://schemas.microsoft.com/office/infopath/2007/PartnerControls"/>
    <xsd:element name="Record_x0020_Number" ma:index="33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5b9d-c78d-46ff-b80f-b4a89e1442d4" elementFormDefault="qualified">
    <xsd:import namespace="http://schemas.microsoft.com/office/2006/documentManagement/types"/>
    <xsd:import namespace="http://schemas.microsoft.com/office/infopath/2007/PartnerControls"/>
    <xsd:element name="kf797c0aa1354fd2813e3958d25b77d2" ma:index="50" nillable="true" ma:taxonomy="true" ma:internalName="kf797c0aa1354fd2813e3958d25b77d2" ma:taxonomyFieldName="RCRRegulatoryRole" ma:displayName="Regulatory Role" ma:default="" ma:fieldId="{51a11719-d3dd-4eb3-92d2-1bc963e17503}" ma:taxonomyMulti="true" ma:sspId="b38671ba-7d76-46f8-b8a5-5fc3a7d6229d" ma:termSetId="53036289-c4fb-e511-8104-0050569c5e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cdb62dbfbc46b3a22b0e519a077477" ma:index="51" nillable="true" ma:taxonomy="true" ma:internalName="j3cdb62dbfbc46b3a22b0e519a077477" ma:taxonomyFieldName="RCRRegulatoryConsiderationType" ma:displayName="Regulatory Consideration Type" ma:default="" ma:fieldId="{430e3c52-62d8-4941-bc1a-7951f19995f7}" ma:taxonomyMulti="true" ma:sspId="b38671ba-7d76-46f8-b8a5-5fc3a7d6229d" ma:termSetId="88481321-69fc-e511-8104-0050569c5e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5b9730307d4f30b906d99e119450b0" ma:index="54" nillable="true" ma:taxonomy="true" ma:internalName="o25b9730307d4f30b906d99e119450b0" ma:taxonomyFieldName="RCRCaseSubType" ma:displayName="Case Sub Type" ma:default="" ma:fieldId="{825b9730-307d-4f30-b906-d99e119450b0}" ma:sspId="b38671ba-7d76-46f8-b8a5-5fc3a7d6229d" ma:termSetId="43d48e2a-485e-42dd-9d81-933934294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8ccc0d7a2b45c49821ab236ff7774c" ma:index="69" nillable="true" ma:taxonomy="true" ma:internalName="ld8ccc0d7a2b45c49821ab236ff7774c" ma:taxonomyFieldName="RCRRegulatoryConsiderationSubType" ma:displayName="Regulatory Consideration SubType" ma:default="" ma:fieldId="{0f8bd11a-e4d6-4746-8bc7-fa157533b4d7}" ma:taxonomyMulti="true" ma:sspId="b38671ba-7d76-46f8-b8a5-5fc3a7d6229d" ma:termSetId="88481321-69fc-e511-8104-0050569c5e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4" ma:displayName="Content Type"/>
        <xsd:element ref="dc:title" minOccurs="0" maxOccurs="1" ma:index="6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Props1.xml><?xml version="1.0" encoding="utf-8"?>
<ds:datastoreItem xmlns:ds="http://schemas.openxmlformats.org/officeDocument/2006/customXml" ds:itemID="{807E40D1-16BB-4821-BC42-3A5F9924C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5FEAA-A35A-4FD2-9FE2-B3ED8F19598A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BED7121-AC5E-4949-8885-BE18D1527BCA}">
  <ds:schemaRefs>
    <ds:schemaRef ds:uri="f209eca4-01ba-4ad9-b384-4cea5ab8bf88"/>
    <ds:schemaRef ds:uri="http://purl.org/dc/dcmitype/"/>
    <ds:schemaRef ds:uri="9e0c1413-16fd-471a-b853-da8dac0e6aab"/>
    <ds:schemaRef ds:uri="http://purl.org/dc/elements/1.1/"/>
    <ds:schemaRef ds:uri="0096f3c1-dbbd-44e4-a971-8da0aee969f1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da7a9ac0-bc47-4684-84e6-3a8e9ac80c12"/>
    <ds:schemaRef ds:uri="519b3faf-9153-464d-b1ce-8ed9bbcba705"/>
    <ds:schemaRef ds:uri="1bef7351-4cea-44e0-b418-5221243d7bc7"/>
    <ds:schemaRef ds:uri="http://schemas.microsoft.com/office/infopath/2007/PartnerControls"/>
    <ds:schemaRef ds:uri="75945b9d-c78d-46ff-b80f-b4a89e1442d4"/>
    <ds:schemaRef ds:uri="http://www.w3.org/XML/1998/namespace"/>
    <ds:schemaRef ds:uri="af32b6d2-edcc-4fb9-86a7-b5758ed74548"/>
    <ds:schemaRef ds:uri="17f478ab-373e-4295-9ff0-9b833ad01319"/>
  </ds:schemaRefs>
</ds:datastoreItem>
</file>

<file path=customXml/itemProps4.xml><?xml version="1.0" encoding="utf-8"?>
<ds:datastoreItem xmlns:ds="http://schemas.openxmlformats.org/officeDocument/2006/customXml" ds:itemID="{78A03991-0D6E-4CFF-A578-ACA0FA031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96f3c1-dbbd-44e4-a971-8da0aee969f1"/>
    <ds:schemaRef ds:uri="af32b6d2-edcc-4fb9-86a7-b5758ed74548"/>
    <ds:schemaRef ds:uri="1bef7351-4cea-44e0-b418-5221243d7bc7"/>
    <ds:schemaRef ds:uri="f209eca4-01ba-4ad9-b384-4cea5ab8bf88"/>
    <ds:schemaRef ds:uri="da7a9ac0-bc47-4684-84e6-3a8e9ac80c12"/>
    <ds:schemaRef ds:uri="17f478ab-373e-4295-9ff0-9b833ad01319"/>
    <ds:schemaRef ds:uri="519b3faf-9153-464d-b1ce-8ed9bbcba705"/>
    <ds:schemaRef ds:uri="9e0c1413-16fd-471a-b853-da8dac0e6aab"/>
    <ds:schemaRef ds:uri="75945b9d-c78d-46ff-b80f-b4a89e144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0AEA1A-6CD6-4EB2-8A4B-EDE377716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Collingwood-Smith</dc:creator>
  <cp:keywords/>
  <dc:description/>
  <cp:lastModifiedBy>Narelle Kane</cp:lastModifiedBy>
  <cp:revision>3</cp:revision>
  <dcterms:created xsi:type="dcterms:W3CDTF">2022-03-29T04:23:00Z</dcterms:created>
  <dcterms:modified xsi:type="dcterms:W3CDTF">2022-03-29T04:23:00Z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0x010100B5F685A1365F544391EF8C813B164F3A010100D5928CE713EB4849A701A12981667D72</vt:lpwstr>
  </property>
  <property fmtid="{D5CDD505-2E9C-101B-9397-08002B2CF9AE}" pid="3" name="RCRCaseSubType">
    <vt:lpwstr/>
  </property>
  <property fmtid="{D5CDD505-2E9C-101B-9397-08002B2CF9AE}" pid="4" name="RCRRegulatoryRole">
    <vt:lpwstr/>
  </property>
  <property fmtid="{D5CDD505-2E9C-101B-9397-08002B2CF9AE}" pid="5" name="RCRRegulatoryConsiderationSubType">
    <vt:lpwstr/>
  </property>
  <property fmtid="{D5CDD505-2E9C-101B-9397-08002B2CF9AE}" pid="6" name="RCRCfCs">
    <vt:lpwstr/>
  </property>
  <property fmtid="{D5CDD505-2E9C-101B-9397-08002B2CF9AE}" pid="7" name="RCRCaseType">
    <vt:lpwstr>25;#Surveillance - Proactive|ad07f8e0-09d9-e611-811a-005056a8b064</vt:lpwstr>
  </property>
  <property fmtid="{D5CDD505-2E9C-101B-9397-08002B2CF9AE}" pid="8" name="RCRRegulatoryConsiderationType">
    <vt:lpwstr/>
  </property>
  <property fmtid="{D5CDD505-2E9C-101B-9397-08002B2CF9AE}" pid="9" name="SecurityClassification">
    <vt:lpwstr>196;#OFFICIAL - Sensitive|6eccc17f-024b-41b0-b6b1-faf98d2aff85</vt:lpwstr>
  </property>
  <property fmtid="{D5CDD505-2E9C-101B-9397-08002B2CF9AE}" pid="10" name="RCRSourceSystem">
    <vt:lpwstr/>
  </property>
  <property fmtid="{D5CDD505-2E9C-101B-9397-08002B2CF9AE}" pid="11" name="RCRParentRecordType">
    <vt:lpwstr/>
  </property>
  <property fmtid="{D5CDD505-2E9C-101B-9397-08002B2CF9AE}" pid="12" name="RCRRegulatoryTopics">
    <vt:lpwstr/>
  </property>
  <property fmtid="{D5CDD505-2E9C-101B-9397-08002B2CF9AE}" pid="13" name="RCRBusinessProcessPattern">
    <vt:lpwstr/>
  </property>
  <property fmtid="{D5CDD505-2E9C-101B-9397-08002B2CF9AE}" pid="14" name="RCRSourceRecordType">
    <vt:lpwstr/>
  </property>
  <property fmtid="{D5CDD505-2E9C-101B-9397-08002B2CF9AE}" pid="15" name="RCRDocumentType">
    <vt:lpwstr>67;#Regulatory Policy|e7c99747-4396-e611-8114-005056a8b064</vt:lpwstr>
  </property>
</Properties>
</file>