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8EBD" w14:textId="77777777" w:rsidR="005E317F" w:rsidRPr="00B367C3" w:rsidRDefault="005E317F" w:rsidP="000B75B5">
      <w:pPr>
        <w:spacing w:line="240" w:lineRule="auto"/>
        <w:rPr>
          <w:sz w:val="28"/>
        </w:rPr>
      </w:pPr>
      <w:r w:rsidRPr="00B367C3">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B367C3" w:rsidRDefault="005E317F" w:rsidP="000B75B5">
      <w:pPr>
        <w:spacing w:line="240" w:lineRule="auto"/>
        <w:rPr>
          <w:sz w:val="19"/>
        </w:rPr>
      </w:pPr>
    </w:p>
    <w:p w14:paraId="6EEA8391" w14:textId="58366C23" w:rsidR="00A60204" w:rsidRPr="00B367C3" w:rsidRDefault="006D6F37" w:rsidP="000B75B5">
      <w:pPr>
        <w:spacing w:before="240" w:line="240" w:lineRule="auto"/>
        <w:rPr>
          <w:rFonts w:ascii="Arial" w:hAnsi="Arial" w:cs="Arial"/>
          <w:b/>
          <w:sz w:val="28"/>
          <w:szCs w:val="28"/>
        </w:rPr>
      </w:pPr>
      <w:r w:rsidRPr="00B367C3">
        <w:rPr>
          <w:rFonts w:ascii="Arial" w:hAnsi="Arial" w:cs="Arial"/>
          <w:b/>
          <w:sz w:val="28"/>
          <w:szCs w:val="28"/>
        </w:rPr>
        <w:t xml:space="preserve">PB </w:t>
      </w:r>
      <w:r w:rsidR="008B1546" w:rsidRPr="00B367C3">
        <w:rPr>
          <w:rFonts w:ascii="Arial" w:hAnsi="Arial" w:cs="Arial"/>
          <w:b/>
          <w:sz w:val="28"/>
          <w:szCs w:val="28"/>
        </w:rPr>
        <w:t>27</w:t>
      </w:r>
      <w:r w:rsidR="00A60204" w:rsidRPr="00B367C3">
        <w:rPr>
          <w:rFonts w:ascii="Arial" w:hAnsi="Arial" w:cs="Arial"/>
          <w:b/>
          <w:sz w:val="28"/>
          <w:szCs w:val="28"/>
        </w:rPr>
        <w:t xml:space="preserve"> of 202</w:t>
      </w:r>
      <w:r w:rsidR="006F2A1D" w:rsidRPr="00B367C3">
        <w:rPr>
          <w:rFonts w:ascii="Arial" w:hAnsi="Arial" w:cs="Arial"/>
          <w:b/>
          <w:sz w:val="28"/>
          <w:szCs w:val="28"/>
        </w:rPr>
        <w:t>2</w:t>
      </w:r>
    </w:p>
    <w:p w14:paraId="1EFD2C67" w14:textId="77777777" w:rsidR="001A286A" w:rsidRPr="00B367C3" w:rsidRDefault="001A286A" w:rsidP="00631973">
      <w:pPr>
        <w:pStyle w:val="ShortT"/>
      </w:pPr>
    </w:p>
    <w:p w14:paraId="77C43999" w14:textId="718AF431" w:rsidR="00A60204" w:rsidRPr="00B367C3" w:rsidRDefault="00A60204" w:rsidP="00631973">
      <w:pPr>
        <w:spacing w:line="240" w:lineRule="auto"/>
        <w:rPr>
          <w:rFonts w:ascii="Arial" w:hAnsi="Arial" w:cs="Arial"/>
          <w:b/>
          <w:sz w:val="39"/>
          <w:szCs w:val="39"/>
        </w:rPr>
      </w:pPr>
      <w:r w:rsidRPr="00B367C3">
        <w:rPr>
          <w:rFonts w:ascii="Arial" w:hAnsi="Arial" w:cs="Arial"/>
          <w:b/>
          <w:sz w:val="39"/>
          <w:szCs w:val="39"/>
        </w:rPr>
        <w:t>National Health (Highly Specialised Drugs Program) Special Arrangement Amendment (</w:t>
      </w:r>
      <w:r w:rsidR="00E02E85" w:rsidRPr="00B367C3">
        <w:rPr>
          <w:rFonts w:ascii="Arial" w:hAnsi="Arial" w:cs="Arial"/>
          <w:b/>
          <w:sz w:val="39"/>
          <w:szCs w:val="39"/>
        </w:rPr>
        <w:t>April</w:t>
      </w:r>
      <w:r w:rsidR="00D970A9" w:rsidRPr="00B367C3">
        <w:rPr>
          <w:rFonts w:ascii="Arial" w:hAnsi="Arial" w:cs="Arial"/>
          <w:b/>
          <w:sz w:val="39"/>
          <w:szCs w:val="39"/>
        </w:rPr>
        <w:t xml:space="preserve"> </w:t>
      </w:r>
      <w:r w:rsidRPr="00B367C3">
        <w:rPr>
          <w:rFonts w:ascii="Arial" w:hAnsi="Arial" w:cs="Arial"/>
          <w:b/>
          <w:sz w:val="39"/>
          <w:szCs w:val="39"/>
        </w:rPr>
        <w:t>Update) Instrument 202</w:t>
      </w:r>
      <w:r w:rsidR="005643C7" w:rsidRPr="00B367C3">
        <w:rPr>
          <w:rFonts w:ascii="Arial" w:hAnsi="Arial" w:cs="Arial"/>
          <w:b/>
          <w:sz w:val="39"/>
          <w:szCs w:val="39"/>
        </w:rPr>
        <w:t>2</w:t>
      </w:r>
    </w:p>
    <w:p w14:paraId="238D8D2E" w14:textId="77777777" w:rsidR="001A286A" w:rsidRPr="00B367C3" w:rsidRDefault="001A286A" w:rsidP="00631973">
      <w:pPr>
        <w:spacing w:line="240" w:lineRule="auto"/>
      </w:pPr>
    </w:p>
    <w:p w14:paraId="086DD131" w14:textId="77777777" w:rsidR="001A286A" w:rsidRPr="00B367C3" w:rsidRDefault="001A286A" w:rsidP="00631973">
      <w:pPr>
        <w:spacing w:line="240" w:lineRule="auto"/>
        <w:rPr>
          <w:rFonts w:ascii="Arial" w:hAnsi="Arial" w:cs="Arial"/>
          <w:i/>
          <w:sz w:val="28"/>
          <w:szCs w:val="28"/>
        </w:rPr>
      </w:pPr>
      <w:r w:rsidRPr="00B367C3">
        <w:rPr>
          <w:rFonts w:ascii="Arial" w:hAnsi="Arial" w:cs="Arial"/>
          <w:i/>
          <w:sz w:val="28"/>
          <w:szCs w:val="28"/>
        </w:rPr>
        <w:t>National Health Act 1953</w:t>
      </w:r>
    </w:p>
    <w:p w14:paraId="30980CC1" w14:textId="78C3DBC7" w:rsidR="005E317F" w:rsidRPr="00B367C3" w:rsidRDefault="005E317F" w:rsidP="00631973">
      <w:pPr>
        <w:pStyle w:val="SignCoverPageStart"/>
        <w:spacing w:before="240" w:line="240" w:lineRule="auto"/>
        <w:ind w:right="91"/>
        <w:rPr>
          <w:szCs w:val="22"/>
        </w:rPr>
      </w:pPr>
    </w:p>
    <w:p w14:paraId="70D5E97C" w14:textId="035A597C" w:rsidR="001A286A" w:rsidRPr="00B367C3" w:rsidRDefault="001A286A" w:rsidP="00631973">
      <w:pPr>
        <w:spacing w:line="240" w:lineRule="auto"/>
        <w:rPr>
          <w:b/>
        </w:rPr>
      </w:pPr>
      <w:r w:rsidRPr="00B367C3">
        <w:t xml:space="preserve">I, </w:t>
      </w:r>
      <w:r w:rsidR="006D6F37" w:rsidRPr="00B367C3">
        <w:t>DAVID LAFFAN</w:t>
      </w:r>
      <w:r w:rsidRPr="00B367C3">
        <w:t xml:space="preserve">, Assistant Secretary, Pharmacy Branch, Technology Assessment and Access Division, Department of Health, delegate of the </w:t>
      </w:r>
      <w:r w:rsidRPr="00B367C3">
        <w:rPr>
          <w:szCs w:val="22"/>
        </w:rPr>
        <w:t xml:space="preserve">Minister for Health </w:t>
      </w:r>
      <w:r w:rsidRPr="00B367C3">
        <w:t xml:space="preserve">and Aged Care, make this Instrument under subsection 100(2) of the </w:t>
      </w:r>
      <w:r w:rsidRPr="00B367C3">
        <w:rPr>
          <w:i/>
        </w:rPr>
        <w:t>National Health Act 1953</w:t>
      </w:r>
      <w:r w:rsidRPr="00B367C3">
        <w:t>.</w:t>
      </w:r>
    </w:p>
    <w:p w14:paraId="542E1E0E" w14:textId="61FCAA21" w:rsidR="005E317F" w:rsidRPr="00B367C3" w:rsidRDefault="001A286A" w:rsidP="00631973">
      <w:pPr>
        <w:keepNext/>
        <w:spacing w:before="300" w:line="240" w:lineRule="auto"/>
        <w:ind w:right="397"/>
        <w:jc w:val="both"/>
        <w:rPr>
          <w:szCs w:val="22"/>
        </w:rPr>
      </w:pPr>
      <w:r w:rsidRPr="00B367C3">
        <w:rPr>
          <w:szCs w:val="22"/>
        </w:rPr>
        <w:t>Date</w:t>
      </w:r>
      <w:r w:rsidR="00FF35E3" w:rsidRPr="00B367C3">
        <w:rPr>
          <w:szCs w:val="22"/>
        </w:rPr>
        <w:t xml:space="preserve"> 29 March </w:t>
      </w:r>
      <w:r w:rsidR="00184BEE" w:rsidRPr="00B367C3">
        <w:rPr>
          <w:szCs w:val="22"/>
        </w:rPr>
        <w:t>202</w:t>
      </w:r>
      <w:r w:rsidR="00C0679F" w:rsidRPr="00B367C3">
        <w:rPr>
          <w:szCs w:val="22"/>
        </w:rPr>
        <w:t>2</w:t>
      </w:r>
    </w:p>
    <w:p w14:paraId="37B85D1C" w14:textId="77777777" w:rsidR="001A286A" w:rsidRPr="00B367C3" w:rsidRDefault="001A286A" w:rsidP="00631973">
      <w:pPr>
        <w:spacing w:line="240" w:lineRule="auto"/>
        <w:rPr>
          <w:b/>
        </w:rPr>
      </w:pPr>
    </w:p>
    <w:p w14:paraId="357C7C44" w14:textId="77777777" w:rsidR="001A286A" w:rsidRPr="00B367C3" w:rsidRDefault="001A286A" w:rsidP="00631973">
      <w:pPr>
        <w:spacing w:line="240" w:lineRule="auto"/>
        <w:rPr>
          <w:b/>
        </w:rPr>
      </w:pPr>
    </w:p>
    <w:p w14:paraId="466E3961" w14:textId="77777777" w:rsidR="001A286A" w:rsidRPr="00B367C3" w:rsidRDefault="001A286A" w:rsidP="00631973">
      <w:pPr>
        <w:spacing w:line="240" w:lineRule="auto"/>
        <w:rPr>
          <w:b/>
        </w:rPr>
      </w:pPr>
    </w:p>
    <w:p w14:paraId="360FE310" w14:textId="77777777" w:rsidR="001A286A" w:rsidRPr="00B367C3" w:rsidRDefault="001A286A" w:rsidP="00631973">
      <w:pPr>
        <w:spacing w:line="240" w:lineRule="auto"/>
        <w:rPr>
          <w:b/>
        </w:rPr>
      </w:pPr>
    </w:p>
    <w:p w14:paraId="35C4D983" w14:textId="77777777" w:rsidR="001A286A" w:rsidRPr="00B367C3" w:rsidRDefault="001A286A" w:rsidP="00631973">
      <w:pPr>
        <w:spacing w:line="240" w:lineRule="auto"/>
        <w:rPr>
          <w:b/>
        </w:rPr>
      </w:pPr>
    </w:p>
    <w:p w14:paraId="38D8B5B0" w14:textId="459DF5D7" w:rsidR="001A286A" w:rsidRPr="00B367C3" w:rsidRDefault="001A286A" w:rsidP="00631973">
      <w:pPr>
        <w:spacing w:line="240" w:lineRule="auto"/>
        <w:rPr>
          <w:b/>
        </w:rPr>
      </w:pPr>
    </w:p>
    <w:p w14:paraId="57ED22E7" w14:textId="3F60E40A" w:rsidR="006D6F37" w:rsidRPr="00B367C3" w:rsidRDefault="006D6F37" w:rsidP="00631973">
      <w:pPr>
        <w:spacing w:line="240" w:lineRule="auto"/>
        <w:rPr>
          <w:b/>
        </w:rPr>
      </w:pPr>
    </w:p>
    <w:p w14:paraId="569355DE" w14:textId="6D51F931" w:rsidR="006D6F37" w:rsidRPr="00B367C3" w:rsidRDefault="006D6F37" w:rsidP="00631973">
      <w:pPr>
        <w:spacing w:line="240" w:lineRule="auto"/>
        <w:rPr>
          <w:b/>
        </w:rPr>
      </w:pPr>
    </w:p>
    <w:p w14:paraId="7CD1BAF1" w14:textId="14FDB05B" w:rsidR="006D6F37" w:rsidRPr="00B367C3" w:rsidRDefault="006D6F37" w:rsidP="00631973">
      <w:pPr>
        <w:spacing w:line="240" w:lineRule="auto"/>
        <w:rPr>
          <w:b/>
        </w:rPr>
      </w:pPr>
    </w:p>
    <w:p w14:paraId="63634FD3" w14:textId="77777777" w:rsidR="006D6F37" w:rsidRPr="00B367C3" w:rsidRDefault="006D6F37" w:rsidP="00631973">
      <w:pPr>
        <w:spacing w:line="240" w:lineRule="auto"/>
        <w:rPr>
          <w:b/>
        </w:rPr>
      </w:pPr>
    </w:p>
    <w:p w14:paraId="75797808" w14:textId="77777777" w:rsidR="001A286A" w:rsidRPr="00B367C3" w:rsidRDefault="001A286A" w:rsidP="00631973">
      <w:pPr>
        <w:spacing w:line="240" w:lineRule="auto"/>
        <w:rPr>
          <w:b/>
        </w:rPr>
      </w:pPr>
    </w:p>
    <w:p w14:paraId="2FFEF48B" w14:textId="2BC71CF8" w:rsidR="001A286A" w:rsidRPr="00B367C3" w:rsidRDefault="006D6F37" w:rsidP="00631973">
      <w:pPr>
        <w:spacing w:line="240" w:lineRule="auto"/>
        <w:rPr>
          <w:b/>
        </w:rPr>
      </w:pPr>
      <w:r w:rsidRPr="00B367C3">
        <w:rPr>
          <w:b/>
        </w:rPr>
        <w:t>DAVID LAFFAN</w:t>
      </w:r>
    </w:p>
    <w:p w14:paraId="62F835EF" w14:textId="27148BF2" w:rsidR="001A286A" w:rsidRPr="00B367C3" w:rsidRDefault="001A286A" w:rsidP="00631973">
      <w:pPr>
        <w:spacing w:line="240" w:lineRule="auto"/>
      </w:pPr>
      <w:r w:rsidRPr="00B367C3">
        <w:t>Assistant Secretary</w:t>
      </w:r>
    </w:p>
    <w:p w14:paraId="673A0FED" w14:textId="77777777" w:rsidR="001A286A" w:rsidRPr="00B367C3" w:rsidRDefault="001A286A" w:rsidP="00631973">
      <w:pPr>
        <w:spacing w:line="240" w:lineRule="auto"/>
      </w:pPr>
      <w:r w:rsidRPr="00B367C3">
        <w:t>Pharmacy Branch</w:t>
      </w:r>
    </w:p>
    <w:p w14:paraId="3981EBD6" w14:textId="77777777" w:rsidR="001A286A" w:rsidRPr="00B367C3" w:rsidRDefault="001A286A" w:rsidP="00631973">
      <w:pPr>
        <w:spacing w:line="240" w:lineRule="auto"/>
      </w:pPr>
      <w:r w:rsidRPr="00B367C3">
        <w:t>Technology Assessment and Access Division</w:t>
      </w:r>
    </w:p>
    <w:p w14:paraId="2FDCD724" w14:textId="54232FE7" w:rsidR="005E317F" w:rsidRPr="00B367C3" w:rsidRDefault="005E317F" w:rsidP="00631973">
      <w:pPr>
        <w:pStyle w:val="SignCoverPageEnd"/>
        <w:spacing w:line="240" w:lineRule="auto"/>
        <w:ind w:right="91"/>
        <w:rPr>
          <w:sz w:val="22"/>
        </w:rPr>
      </w:pPr>
    </w:p>
    <w:p w14:paraId="55F2CD66" w14:textId="77777777" w:rsidR="000B75B5" w:rsidRPr="00B367C3" w:rsidRDefault="000B75B5" w:rsidP="00631973">
      <w:pPr>
        <w:spacing w:line="240" w:lineRule="auto"/>
      </w:pPr>
    </w:p>
    <w:p w14:paraId="297B73B7" w14:textId="5E49F2C1" w:rsidR="000B75B5" w:rsidRPr="00B367C3" w:rsidRDefault="000B75B5" w:rsidP="00631973">
      <w:pPr>
        <w:spacing w:line="240" w:lineRule="auto"/>
        <w:sectPr w:rsidR="000B75B5" w:rsidRPr="00B367C3"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B367C3" w:rsidRDefault="00B20990" w:rsidP="00631973">
      <w:pPr>
        <w:spacing w:line="240" w:lineRule="auto"/>
        <w:outlineLvl w:val="0"/>
        <w:rPr>
          <w:sz w:val="36"/>
        </w:rPr>
      </w:pPr>
      <w:r w:rsidRPr="00B367C3">
        <w:rPr>
          <w:sz w:val="36"/>
        </w:rPr>
        <w:lastRenderedPageBreak/>
        <w:t>Contents</w:t>
      </w:r>
    </w:p>
    <w:bookmarkStart w:id="0" w:name="BKCheck15B_2"/>
    <w:bookmarkEnd w:id="0"/>
    <w:p w14:paraId="7377910A" w14:textId="4376D7AE" w:rsidR="005E317F" w:rsidRPr="00B367C3" w:rsidRDefault="00B20990" w:rsidP="00631973">
      <w:pPr>
        <w:pStyle w:val="TOC5"/>
        <w:rPr>
          <w:rFonts w:asciiTheme="minorHAnsi" w:eastAsiaTheme="minorEastAsia" w:hAnsiTheme="minorHAnsi" w:cstheme="minorBidi"/>
          <w:noProof/>
          <w:kern w:val="0"/>
          <w:sz w:val="22"/>
          <w:szCs w:val="22"/>
        </w:rPr>
      </w:pPr>
      <w:r w:rsidRPr="00B367C3">
        <w:fldChar w:fldCharType="begin" w:fldLock="1"/>
      </w:r>
      <w:r w:rsidRPr="00B367C3">
        <w:instrText xml:space="preserve"> TOC \o "1-9" </w:instrText>
      </w:r>
      <w:r w:rsidRPr="00B367C3">
        <w:fldChar w:fldCharType="separate"/>
      </w:r>
      <w:r w:rsidR="005E317F" w:rsidRPr="00B367C3">
        <w:rPr>
          <w:noProof/>
        </w:rPr>
        <w:t>1</w:t>
      </w:r>
      <w:r w:rsidR="005E317F" w:rsidRPr="00B367C3">
        <w:rPr>
          <w:noProof/>
        </w:rPr>
        <w:tab/>
        <w:t>Name</w:t>
      </w:r>
      <w:r w:rsidR="005E317F" w:rsidRPr="00B367C3">
        <w:rPr>
          <w:noProof/>
          <w:sz w:val="20"/>
        </w:rPr>
        <w:tab/>
      </w:r>
      <w:r w:rsidR="005E317F" w:rsidRPr="00B367C3">
        <w:rPr>
          <w:noProof/>
          <w:sz w:val="20"/>
        </w:rPr>
        <w:fldChar w:fldCharType="begin" w:fldLock="1"/>
      </w:r>
      <w:r w:rsidR="005E317F" w:rsidRPr="00B367C3">
        <w:rPr>
          <w:noProof/>
          <w:sz w:val="20"/>
        </w:rPr>
        <w:instrText xml:space="preserve"> PAGEREF _Toc478567687 \h </w:instrText>
      </w:r>
      <w:r w:rsidR="005E317F" w:rsidRPr="00B367C3">
        <w:rPr>
          <w:noProof/>
          <w:sz w:val="20"/>
        </w:rPr>
      </w:r>
      <w:r w:rsidR="005E317F" w:rsidRPr="00B367C3">
        <w:rPr>
          <w:noProof/>
          <w:sz w:val="20"/>
        </w:rPr>
        <w:fldChar w:fldCharType="separate"/>
      </w:r>
      <w:r w:rsidR="00A41414">
        <w:rPr>
          <w:noProof/>
          <w:sz w:val="20"/>
        </w:rPr>
        <w:t>1</w:t>
      </w:r>
      <w:r w:rsidR="005E317F" w:rsidRPr="00B367C3">
        <w:rPr>
          <w:noProof/>
          <w:sz w:val="20"/>
        </w:rPr>
        <w:fldChar w:fldCharType="end"/>
      </w:r>
    </w:p>
    <w:p w14:paraId="4D04226C" w14:textId="5C67F808" w:rsidR="005E317F" w:rsidRPr="00B367C3" w:rsidRDefault="005E317F" w:rsidP="00631973">
      <w:pPr>
        <w:pStyle w:val="TOC5"/>
        <w:rPr>
          <w:rFonts w:asciiTheme="minorHAnsi" w:eastAsiaTheme="minorEastAsia" w:hAnsiTheme="minorHAnsi" w:cstheme="minorBidi"/>
          <w:noProof/>
          <w:kern w:val="0"/>
          <w:sz w:val="22"/>
          <w:szCs w:val="22"/>
        </w:rPr>
      </w:pPr>
      <w:r w:rsidRPr="00B367C3">
        <w:rPr>
          <w:noProof/>
        </w:rPr>
        <w:t>2</w:t>
      </w:r>
      <w:r w:rsidRPr="00B367C3">
        <w:rPr>
          <w:noProof/>
        </w:rPr>
        <w:tab/>
        <w:t>Commencement</w:t>
      </w:r>
      <w:r w:rsidRPr="00B367C3">
        <w:rPr>
          <w:noProof/>
          <w:sz w:val="20"/>
        </w:rPr>
        <w:tab/>
      </w:r>
      <w:r w:rsidRPr="00B367C3">
        <w:rPr>
          <w:noProof/>
          <w:sz w:val="20"/>
        </w:rPr>
        <w:fldChar w:fldCharType="begin" w:fldLock="1"/>
      </w:r>
      <w:r w:rsidRPr="00B367C3">
        <w:rPr>
          <w:noProof/>
          <w:sz w:val="20"/>
        </w:rPr>
        <w:instrText xml:space="preserve"> PAGEREF _Toc478567688 \h </w:instrText>
      </w:r>
      <w:r w:rsidRPr="00B367C3">
        <w:rPr>
          <w:noProof/>
          <w:sz w:val="20"/>
        </w:rPr>
      </w:r>
      <w:r w:rsidRPr="00B367C3">
        <w:rPr>
          <w:noProof/>
          <w:sz w:val="20"/>
        </w:rPr>
        <w:fldChar w:fldCharType="separate"/>
      </w:r>
      <w:r w:rsidR="00A41414">
        <w:rPr>
          <w:noProof/>
          <w:sz w:val="20"/>
        </w:rPr>
        <w:t>1</w:t>
      </w:r>
      <w:r w:rsidRPr="00B367C3">
        <w:rPr>
          <w:noProof/>
          <w:sz w:val="20"/>
        </w:rPr>
        <w:fldChar w:fldCharType="end"/>
      </w:r>
    </w:p>
    <w:p w14:paraId="32A95F2E" w14:textId="608B599A" w:rsidR="005E317F" w:rsidRPr="00B367C3" w:rsidRDefault="005E317F" w:rsidP="00631973">
      <w:pPr>
        <w:pStyle w:val="TOC5"/>
        <w:rPr>
          <w:rFonts w:asciiTheme="minorHAnsi" w:eastAsiaTheme="minorEastAsia" w:hAnsiTheme="minorHAnsi" w:cstheme="minorBidi"/>
          <w:noProof/>
          <w:kern w:val="0"/>
          <w:sz w:val="22"/>
          <w:szCs w:val="22"/>
        </w:rPr>
      </w:pPr>
      <w:r w:rsidRPr="00B367C3">
        <w:rPr>
          <w:noProof/>
        </w:rPr>
        <w:t>3</w:t>
      </w:r>
      <w:r w:rsidRPr="00B367C3">
        <w:rPr>
          <w:noProof/>
        </w:rPr>
        <w:tab/>
        <w:t>Authority</w:t>
      </w:r>
      <w:r w:rsidRPr="00B367C3">
        <w:rPr>
          <w:noProof/>
          <w:sz w:val="20"/>
        </w:rPr>
        <w:tab/>
      </w:r>
      <w:r w:rsidRPr="00B367C3">
        <w:rPr>
          <w:noProof/>
          <w:sz w:val="20"/>
        </w:rPr>
        <w:fldChar w:fldCharType="begin" w:fldLock="1"/>
      </w:r>
      <w:r w:rsidRPr="00B367C3">
        <w:rPr>
          <w:noProof/>
          <w:sz w:val="20"/>
        </w:rPr>
        <w:instrText xml:space="preserve"> PAGEREF _Toc478567689 \h </w:instrText>
      </w:r>
      <w:r w:rsidRPr="00B367C3">
        <w:rPr>
          <w:noProof/>
          <w:sz w:val="20"/>
        </w:rPr>
      </w:r>
      <w:r w:rsidRPr="00B367C3">
        <w:rPr>
          <w:noProof/>
          <w:sz w:val="20"/>
        </w:rPr>
        <w:fldChar w:fldCharType="separate"/>
      </w:r>
      <w:r w:rsidR="00A41414">
        <w:rPr>
          <w:noProof/>
          <w:sz w:val="20"/>
        </w:rPr>
        <w:t>1</w:t>
      </w:r>
      <w:r w:rsidRPr="00B367C3">
        <w:rPr>
          <w:noProof/>
          <w:sz w:val="20"/>
        </w:rPr>
        <w:fldChar w:fldCharType="end"/>
      </w:r>
    </w:p>
    <w:p w14:paraId="26B5284D" w14:textId="66A86F75" w:rsidR="005E317F" w:rsidRPr="00B367C3" w:rsidRDefault="005E317F" w:rsidP="00631973">
      <w:pPr>
        <w:pStyle w:val="TOC5"/>
        <w:rPr>
          <w:rFonts w:asciiTheme="minorHAnsi" w:eastAsiaTheme="minorEastAsia" w:hAnsiTheme="minorHAnsi" w:cstheme="minorBidi"/>
          <w:noProof/>
          <w:kern w:val="0"/>
          <w:sz w:val="22"/>
          <w:szCs w:val="22"/>
        </w:rPr>
      </w:pPr>
      <w:r w:rsidRPr="00B367C3">
        <w:rPr>
          <w:noProof/>
        </w:rPr>
        <w:t>4</w:t>
      </w:r>
      <w:r w:rsidRPr="00B367C3">
        <w:rPr>
          <w:noProof/>
        </w:rPr>
        <w:tab/>
        <w:t>Schedules</w:t>
      </w:r>
      <w:r w:rsidRPr="00B367C3">
        <w:rPr>
          <w:noProof/>
          <w:sz w:val="20"/>
        </w:rPr>
        <w:tab/>
      </w:r>
      <w:r w:rsidRPr="00B367C3">
        <w:rPr>
          <w:noProof/>
          <w:sz w:val="20"/>
        </w:rPr>
        <w:fldChar w:fldCharType="begin" w:fldLock="1"/>
      </w:r>
      <w:r w:rsidRPr="00B367C3">
        <w:rPr>
          <w:noProof/>
          <w:sz w:val="20"/>
        </w:rPr>
        <w:instrText xml:space="preserve"> PAGEREF _Toc478567690 \h </w:instrText>
      </w:r>
      <w:r w:rsidRPr="00B367C3">
        <w:rPr>
          <w:noProof/>
          <w:sz w:val="20"/>
        </w:rPr>
      </w:r>
      <w:r w:rsidRPr="00B367C3">
        <w:rPr>
          <w:noProof/>
          <w:sz w:val="20"/>
        </w:rPr>
        <w:fldChar w:fldCharType="separate"/>
      </w:r>
      <w:r w:rsidR="00A41414">
        <w:rPr>
          <w:noProof/>
          <w:sz w:val="20"/>
        </w:rPr>
        <w:t>1</w:t>
      </w:r>
      <w:r w:rsidRPr="00B367C3">
        <w:rPr>
          <w:noProof/>
          <w:sz w:val="20"/>
        </w:rPr>
        <w:fldChar w:fldCharType="end"/>
      </w:r>
    </w:p>
    <w:p w14:paraId="0ED7DB7B" w14:textId="416B0E65" w:rsidR="005E317F" w:rsidRPr="00B367C3" w:rsidRDefault="005E317F" w:rsidP="00631973">
      <w:pPr>
        <w:pStyle w:val="TOC6"/>
        <w:rPr>
          <w:rFonts w:asciiTheme="minorHAnsi" w:eastAsiaTheme="minorEastAsia" w:hAnsiTheme="minorHAnsi" w:cstheme="minorBidi"/>
          <w:b w:val="0"/>
          <w:noProof/>
          <w:kern w:val="0"/>
          <w:sz w:val="22"/>
          <w:szCs w:val="22"/>
        </w:rPr>
      </w:pPr>
      <w:r w:rsidRPr="00B367C3">
        <w:rPr>
          <w:noProof/>
        </w:rPr>
        <w:t>Schedule</w:t>
      </w:r>
      <w:r w:rsidR="000B75B5" w:rsidRPr="00B367C3">
        <w:rPr>
          <w:noProof/>
        </w:rPr>
        <w:t xml:space="preserve"> </w:t>
      </w:r>
      <w:r w:rsidRPr="00B367C3">
        <w:rPr>
          <w:noProof/>
        </w:rPr>
        <w:t>1—Amendments</w:t>
      </w:r>
      <w:r w:rsidRPr="00B367C3">
        <w:rPr>
          <w:b w:val="0"/>
          <w:noProof/>
          <w:sz w:val="20"/>
        </w:rPr>
        <w:tab/>
      </w:r>
      <w:r w:rsidRPr="00B367C3">
        <w:rPr>
          <w:b w:val="0"/>
          <w:noProof/>
          <w:sz w:val="20"/>
        </w:rPr>
        <w:fldChar w:fldCharType="begin" w:fldLock="1"/>
      </w:r>
      <w:r w:rsidRPr="00B367C3">
        <w:rPr>
          <w:b w:val="0"/>
          <w:noProof/>
          <w:sz w:val="20"/>
        </w:rPr>
        <w:instrText xml:space="preserve"> PAGEREF _Toc478567691 \h </w:instrText>
      </w:r>
      <w:r w:rsidRPr="00B367C3">
        <w:rPr>
          <w:b w:val="0"/>
          <w:noProof/>
          <w:sz w:val="20"/>
        </w:rPr>
      </w:r>
      <w:r w:rsidRPr="00B367C3">
        <w:rPr>
          <w:b w:val="0"/>
          <w:noProof/>
          <w:sz w:val="20"/>
        </w:rPr>
        <w:fldChar w:fldCharType="separate"/>
      </w:r>
      <w:r w:rsidR="00A41414">
        <w:rPr>
          <w:b w:val="0"/>
          <w:noProof/>
          <w:sz w:val="20"/>
        </w:rPr>
        <w:t>2</w:t>
      </w:r>
      <w:r w:rsidRPr="00B367C3">
        <w:rPr>
          <w:b w:val="0"/>
          <w:noProof/>
          <w:sz w:val="20"/>
        </w:rPr>
        <w:fldChar w:fldCharType="end"/>
      </w:r>
    </w:p>
    <w:p w14:paraId="0A0BB86E" w14:textId="719FC24C" w:rsidR="005E317F" w:rsidRPr="00B367C3" w:rsidRDefault="00A60204" w:rsidP="00631973">
      <w:pPr>
        <w:pStyle w:val="TOC9"/>
        <w:rPr>
          <w:rFonts w:asciiTheme="minorHAnsi" w:eastAsiaTheme="minorEastAsia" w:hAnsiTheme="minorHAnsi" w:cstheme="minorBidi"/>
          <w:i w:val="0"/>
          <w:noProof/>
          <w:kern w:val="0"/>
          <w:sz w:val="22"/>
          <w:szCs w:val="22"/>
        </w:rPr>
      </w:pPr>
      <w:r w:rsidRPr="00B367C3">
        <w:t>National Health (Highly Specialised Drugs Program) Special Arrangement 2021</w:t>
      </w:r>
      <w:r w:rsidRPr="00B367C3">
        <w:br/>
        <w:t>(PB 27 of 2021)</w:t>
      </w:r>
      <w:r w:rsidR="005E317F" w:rsidRPr="00B367C3">
        <w:rPr>
          <w:i w:val="0"/>
          <w:noProof/>
        </w:rPr>
        <w:tab/>
      </w:r>
      <w:r w:rsidR="006331CB" w:rsidRPr="00B367C3">
        <w:rPr>
          <w:i w:val="0"/>
          <w:noProof/>
        </w:rPr>
        <w:t>2</w:t>
      </w:r>
    </w:p>
    <w:p w14:paraId="5B851D38" w14:textId="6FD219C0" w:rsidR="005E317F" w:rsidRPr="00B367C3" w:rsidRDefault="005E317F" w:rsidP="00631973">
      <w:pPr>
        <w:pStyle w:val="TOC9"/>
        <w:ind w:left="0"/>
        <w:rPr>
          <w:rFonts w:asciiTheme="minorHAnsi" w:eastAsiaTheme="minorEastAsia" w:hAnsiTheme="minorHAnsi" w:cstheme="minorBidi"/>
          <w:i w:val="0"/>
          <w:noProof/>
          <w:kern w:val="0"/>
          <w:sz w:val="22"/>
          <w:szCs w:val="22"/>
        </w:rPr>
      </w:pPr>
    </w:p>
    <w:p w14:paraId="1CBECAB5" w14:textId="77777777" w:rsidR="00B20990" w:rsidRPr="00B367C3" w:rsidRDefault="00B20990" w:rsidP="00631973">
      <w:pPr>
        <w:spacing w:line="240" w:lineRule="auto"/>
      </w:pPr>
      <w:r w:rsidRPr="00B367C3">
        <w:rPr>
          <w:rFonts w:cs="Times New Roman"/>
          <w:sz w:val="20"/>
        </w:rPr>
        <w:fldChar w:fldCharType="end"/>
      </w:r>
    </w:p>
    <w:p w14:paraId="5E7341AB" w14:textId="77777777" w:rsidR="00B20990" w:rsidRPr="00B367C3" w:rsidRDefault="00B20990" w:rsidP="00631973">
      <w:pPr>
        <w:spacing w:line="240" w:lineRule="auto"/>
      </w:pPr>
    </w:p>
    <w:p w14:paraId="2C1CCB12" w14:textId="77777777" w:rsidR="00E32692" w:rsidRPr="00B367C3" w:rsidRDefault="00E32692" w:rsidP="00631973">
      <w:pPr>
        <w:spacing w:line="240" w:lineRule="auto"/>
        <w:sectPr w:rsidR="00E32692" w:rsidRPr="00B367C3"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B367C3" w:rsidRDefault="005E317F" w:rsidP="00323E14">
      <w:pPr>
        <w:pStyle w:val="ActHead5"/>
        <w:numPr>
          <w:ilvl w:val="0"/>
          <w:numId w:val="4"/>
        </w:numPr>
        <w:ind w:left="284" w:hanging="284"/>
      </w:pPr>
      <w:bookmarkStart w:id="1" w:name="_Toc478567687"/>
      <w:r w:rsidRPr="00B367C3">
        <w:lastRenderedPageBreak/>
        <w:t>Name</w:t>
      </w:r>
      <w:bookmarkEnd w:id="1"/>
    </w:p>
    <w:p w14:paraId="77205F69" w14:textId="42E354C2" w:rsidR="005E317F" w:rsidRPr="00B367C3" w:rsidRDefault="005E317F" w:rsidP="00323E14">
      <w:pPr>
        <w:pStyle w:val="subsection"/>
        <w:numPr>
          <w:ilvl w:val="0"/>
          <w:numId w:val="3"/>
        </w:numPr>
        <w:tabs>
          <w:tab w:val="clear" w:pos="1021"/>
        </w:tabs>
        <w:ind w:left="1134" w:hanging="567"/>
      </w:pPr>
      <w:r w:rsidRPr="00B367C3">
        <w:t xml:space="preserve">This instrument is the </w:t>
      </w:r>
      <w:bookmarkStart w:id="2" w:name="BKCheck15B_3"/>
      <w:bookmarkEnd w:id="2"/>
      <w:r w:rsidR="00A60204" w:rsidRPr="00B367C3">
        <w:rPr>
          <w:i/>
        </w:rPr>
        <w:t>National Health (Highly Specialised Drugs Program) Special Arrangement Amendment (</w:t>
      </w:r>
      <w:r w:rsidR="00E02E85" w:rsidRPr="00B367C3">
        <w:rPr>
          <w:i/>
        </w:rPr>
        <w:t>April</w:t>
      </w:r>
      <w:r w:rsidR="00A60204" w:rsidRPr="00B367C3">
        <w:rPr>
          <w:i/>
        </w:rPr>
        <w:t xml:space="preserve"> Update) Instrument 202</w:t>
      </w:r>
      <w:r w:rsidR="005643C7" w:rsidRPr="00B367C3">
        <w:rPr>
          <w:i/>
        </w:rPr>
        <w:t>2</w:t>
      </w:r>
      <w:r w:rsidR="00A60204" w:rsidRPr="00B367C3">
        <w:rPr>
          <w:i/>
        </w:rPr>
        <w:t>.</w:t>
      </w:r>
    </w:p>
    <w:p w14:paraId="0FF7C4A3" w14:textId="5FEF0653" w:rsidR="001A286A" w:rsidRPr="00B367C3" w:rsidRDefault="001A286A" w:rsidP="00323E14">
      <w:pPr>
        <w:pStyle w:val="subsection"/>
        <w:numPr>
          <w:ilvl w:val="0"/>
          <w:numId w:val="3"/>
        </w:numPr>
        <w:tabs>
          <w:tab w:val="clear" w:pos="1021"/>
        </w:tabs>
        <w:ind w:left="1134" w:hanging="567"/>
      </w:pPr>
      <w:r w:rsidRPr="00B367C3">
        <w:t xml:space="preserve">This instrument may also be cited as </w:t>
      </w:r>
      <w:r w:rsidR="00BC7363" w:rsidRPr="00B367C3">
        <w:t xml:space="preserve">PB </w:t>
      </w:r>
      <w:r w:rsidR="008B1546" w:rsidRPr="00B367C3">
        <w:t>27</w:t>
      </w:r>
      <w:r w:rsidRPr="00B367C3">
        <w:t xml:space="preserve"> of 202</w:t>
      </w:r>
      <w:r w:rsidR="00ED42BE" w:rsidRPr="00B367C3">
        <w:t>2</w:t>
      </w:r>
      <w:r w:rsidR="004E1E67" w:rsidRPr="00B367C3">
        <w:t>.</w:t>
      </w:r>
    </w:p>
    <w:p w14:paraId="2FF92845" w14:textId="0941A0DC" w:rsidR="005E317F" w:rsidRPr="00B367C3" w:rsidRDefault="005E317F" w:rsidP="00323E14">
      <w:pPr>
        <w:pStyle w:val="ActHead5"/>
        <w:numPr>
          <w:ilvl w:val="0"/>
          <w:numId w:val="4"/>
        </w:numPr>
        <w:ind w:left="284" w:hanging="284"/>
      </w:pPr>
      <w:bookmarkStart w:id="3" w:name="_Toc478567688"/>
      <w:r w:rsidRPr="00B367C3">
        <w:t>Commencement</w:t>
      </w:r>
      <w:bookmarkEnd w:id="3"/>
    </w:p>
    <w:p w14:paraId="048AB2EA" w14:textId="5BA21B02" w:rsidR="00002BCC" w:rsidRPr="00B367C3" w:rsidRDefault="00002BCC" w:rsidP="00323E14">
      <w:pPr>
        <w:pStyle w:val="subsection"/>
        <w:numPr>
          <w:ilvl w:val="0"/>
          <w:numId w:val="7"/>
        </w:numPr>
        <w:tabs>
          <w:tab w:val="clear" w:pos="1021"/>
          <w:tab w:val="right" w:pos="1134"/>
        </w:tabs>
        <w:ind w:left="1134" w:hanging="567"/>
      </w:pPr>
      <w:bookmarkStart w:id="4" w:name="_Toc478567689"/>
      <w:r w:rsidRPr="00B367C3">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B367C3" w:rsidRDefault="00002BCC" w:rsidP="00631973">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870"/>
        <w:gridCol w:w="3651"/>
        <w:gridCol w:w="1843"/>
      </w:tblGrid>
      <w:tr w:rsidR="00002BCC" w:rsidRPr="00B367C3" w14:paraId="0CB707EA" w14:textId="77777777" w:rsidTr="00812A04">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B367C3" w:rsidRDefault="00002BCC" w:rsidP="00631973">
            <w:pPr>
              <w:pStyle w:val="TableHeading"/>
              <w:spacing w:line="240" w:lineRule="auto"/>
            </w:pPr>
            <w:r w:rsidRPr="00B367C3">
              <w:t>Commencement information</w:t>
            </w:r>
          </w:p>
        </w:tc>
      </w:tr>
      <w:tr w:rsidR="00002BCC" w:rsidRPr="00B367C3" w14:paraId="2F7AE697" w14:textId="77777777" w:rsidTr="00812A04">
        <w:trPr>
          <w:tblHeader/>
        </w:trPr>
        <w:tc>
          <w:tcPr>
            <w:tcW w:w="2870" w:type="dxa"/>
            <w:tcBorders>
              <w:top w:val="single" w:sz="6" w:space="0" w:color="auto"/>
              <w:bottom w:val="single" w:sz="6" w:space="0" w:color="auto"/>
            </w:tcBorders>
            <w:shd w:val="clear" w:color="auto" w:fill="auto"/>
            <w:hideMark/>
          </w:tcPr>
          <w:p w14:paraId="64B74E95" w14:textId="77777777" w:rsidR="00002BCC" w:rsidRPr="00B367C3" w:rsidRDefault="00002BCC" w:rsidP="00631973">
            <w:pPr>
              <w:pStyle w:val="TableHeading"/>
              <w:spacing w:line="240" w:lineRule="auto"/>
            </w:pPr>
            <w:r w:rsidRPr="00B367C3">
              <w:t>Column 1</w:t>
            </w:r>
          </w:p>
        </w:tc>
        <w:tc>
          <w:tcPr>
            <w:tcW w:w="3651" w:type="dxa"/>
            <w:tcBorders>
              <w:top w:val="single" w:sz="6" w:space="0" w:color="auto"/>
              <w:bottom w:val="single" w:sz="6" w:space="0" w:color="auto"/>
            </w:tcBorders>
            <w:shd w:val="clear" w:color="auto" w:fill="auto"/>
            <w:hideMark/>
          </w:tcPr>
          <w:p w14:paraId="674E9B45" w14:textId="77777777" w:rsidR="00002BCC" w:rsidRPr="00B367C3" w:rsidRDefault="00002BCC" w:rsidP="00631973">
            <w:pPr>
              <w:pStyle w:val="TableHeading"/>
              <w:spacing w:line="240" w:lineRule="auto"/>
            </w:pPr>
            <w:r w:rsidRPr="00B367C3">
              <w:t>Column 2</w:t>
            </w:r>
          </w:p>
        </w:tc>
        <w:tc>
          <w:tcPr>
            <w:tcW w:w="1843" w:type="dxa"/>
            <w:tcBorders>
              <w:top w:val="single" w:sz="6" w:space="0" w:color="auto"/>
              <w:bottom w:val="single" w:sz="6" w:space="0" w:color="auto"/>
            </w:tcBorders>
            <w:shd w:val="clear" w:color="auto" w:fill="auto"/>
            <w:hideMark/>
          </w:tcPr>
          <w:p w14:paraId="4DA78A8B" w14:textId="77777777" w:rsidR="00002BCC" w:rsidRPr="00B367C3" w:rsidRDefault="00002BCC" w:rsidP="00631973">
            <w:pPr>
              <w:pStyle w:val="TableHeading"/>
              <w:spacing w:line="240" w:lineRule="auto"/>
            </w:pPr>
            <w:r w:rsidRPr="00B367C3">
              <w:t>Column 3</w:t>
            </w:r>
          </w:p>
        </w:tc>
      </w:tr>
      <w:tr w:rsidR="00002BCC" w:rsidRPr="00B367C3" w14:paraId="43C4DB80" w14:textId="77777777" w:rsidTr="00812A04">
        <w:trPr>
          <w:tblHeader/>
        </w:trPr>
        <w:tc>
          <w:tcPr>
            <w:tcW w:w="2870" w:type="dxa"/>
            <w:tcBorders>
              <w:top w:val="single" w:sz="6" w:space="0" w:color="auto"/>
              <w:bottom w:val="single" w:sz="12" w:space="0" w:color="auto"/>
            </w:tcBorders>
            <w:shd w:val="clear" w:color="auto" w:fill="auto"/>
            <w:hideMark/>
          </w:tcPr>
          <w:p w14:paraId="18ECFE82" w14:textId="77777777" w:rsidR="00002BCC" w:rsidRPr="00B367C3" w:rsidRDefault="00002BCC" w:rsidP="00631973">
            <w:pPr>
              <w:pStyle w:val="TableHeading"/>
              <w:spacing w:line="240" w:lineRule="auto"/>
            </w:pPr>
            <w:r w:rsidRPr="00B367C3">
              <w:t>Provisions</w:t>
            </w:r>
          </w:p>
        </w:tc>
        <w:tc>
          <w:tcPr>
            <w:tcW w:w="3651" w:type="dxa"/>
            <w:tcBorders>
              <w:top w:val="single" w:sz="6" w:space="0" w:color="auto"/>
              <w:bottom w:val="single" w:sz="12" w:space="0" w:color="auto"/>
            </w:tcBorders>
            <w:shd w:val="clear" w:color="auto" w:fill="auto"/>
            <w:hideMark/>
          </w:tcPr>
          <w:p w14:paraId="56EC77EC" w14:textId="77777777" w:rsidR="00002BCC" w:rsidRPr="00B367C3" w:rsidRDefault="00002BCC" w:rsidP="00631973">
            <w:pPr>
              <w:pStyle w:val="TableHeading"/>
              <w:spacing w:line="240" w:lineRule="auto"/>
            </w:pPr>
            <w:r w:rsidRPr="00B367C3">
              <w:t>Commencement</w:t>
            </w:r>
          </w:p>
        </w:tc>
        <w:tc>
          <w:tcPr>
            <w:tcW w:w="1843" w:type="dxa"/>
            <w:tcBorders>
              <w:top w:val="single" w:sz="6" w:space="0" w:color="auto"/>
              <w:bottom w:val="single" w:sz="12" w:space="0" w:color="auto"/>
            </w:tcBorders>
            <w:shd w:val="clear" w:color="auto" w:fill="auto"/>
            <w:hideMark/>
          </w:tcPr>
          <w:p w14:paraId="48C18980" w14:textId="77777777" w:rsidR="00002BCC" w:rsidRPr="00B367C3" w:rsidRDefault="00002BCC" w:rsidP="00631973">
            <w:pPr>
              <w:pStyle w:val="TableHeading"/>
              <w:spacing w:line="240" w:lineRule="auto"/>
            </w:pPr>
            <w:r w:rsidRPr="00B367C3">
              <w:t>Date/Details</w:t>
            </w:r>
          </w:p>
        </w:tc>
      </w:tr>
      <w:tr w:rsidR="00002BCC" w:rsidRPr="00B367C3" w14:paraId="05C2B436" w14:textId="77777777" w:rsidTr="00812A04">
        <w:tc>
          <w:tcPr>
            <w:tcW w:w="2870" w:type="dxa"/>
            <w:tcBorders>
              <w:top w:val="single" w:sz="12" w:space="0" w:color="auto"/>
              <w:bottom w:val="single" w:sz="12" w:space="0" w:color="auto"/>
            </w:tcBorders>
            <w:shd w:val="clear" w:color="auto" w:fill="auto"/>
            <w:hideMark/>
          </w:tcPr>
          <w:p w14:paraId="72259BD5" w14:textId="1F156F94" w:rsidR="00002BCC" w:rsidRPr="00B367C3" w:rsidRDefault="00002BCC" w:rsidP="00631973">
            <w:pPr>
              <w:pStyle w:val="Tabletext"/>
              <w:spacing w:line="240" w:lineRule="auto"/>
              <w:rPr>
                <w:i/>
              </w:rPr>
            </w:pPr>
            <w:r w:rsidRPr="00B367C3">
              <w:t xml:space="preserve">1.  </w:t>
            </w:r>
            <w:r w:rsidR="001A286A" w:rsidRPr="00B367C3">
              <w:rPr>
                <w:i/>
              </w:rPr>
              <w:t>The whole of this instrument</w:t>
            </w:r>
          </w:p>
        </w:tc>
        <w:tc>
          <w:tcPr>
            <w:tcW w:w="3651" w:type="dxa"/>
            <w:tcBorders>
              <w:top w:val="single" w:sz="12" w:space="0" w:color="auto"/>
              <w:bottom w:val="single" w:sz="12" w:space="0" w:color="auto"/>
            </w:tcBorders>
            <w:shd w:val="clear" w:color="auto" w:fill="auto"/>
            <w:hideMark/>
          </w:tcPr>
          <w:p w14:paraId="27D82E85" w14:textId="31ECAD18" w:rsidR="00002BCC" w:rsidRPr="00B367C3" w:rsidRDefault="001A286A" w:rsidP="00631973">
            <w:pPr>
              <w:pStyle w:val="Tabletext"/>
              <w:spacing w:line="240" w:lineRule="auto"/>
              <w:rPr>
                <w:i/>
              </w:rPr>
            </w:pPr>
            <w:r w:rsidRPr="00B367C3">
              <w:rPr>
                <w:i/>
              </w:rPr>
              <w:t xml:space="preserve">1 </w:t>
            </w:r>
            <w:r w:rsidR="00E02E85" w:rsidRPr="00B367C3">
              <w:rPr>
                <w:i/>
              </w:rPr>
              <w:t>April</w:t>
            </w:r>
            <w:r w:rsidRPr="00B367C3">
              <w:rPr>
                <w:i/>
              </w:rPr>
              <w:t xml:space="preserve"> 202</w:t>
            </w:r>
            <w:r w:rsidR="005643C7" w:rsidRPr="00B367C3">
              <w:rPr>
                <w:i/>
              </w:rPr>
              <w:t>2</w:t>
            </w:r>
          </w:p>
        </w:tc>
        <w:tc>
          <w:tcPr>
            <w:tcW w:w="1843" w:type="dxa"/>
            <w:tcBorders>
              <w:top w:val="single" w:sz="12" w:space="0" w:color="auto"/>
              <w:bottom w:val="single" w:sz="12" w:space="0" w:color="auto"/>
            </w:tcBorders>
            <w:shd w:val="clear" w:color="auto" w:fill="auto"/>
          </w:tcPr>
          <w:p w14:paraId="2B7D6CC6" w14:textId="79717535" w:rsidR="00002BCC" w:rsidRPr="00B367C3" w:rsidRDefault="00194CE1" w:rsidP="00631973">
            <w:pPr>
              <w:pStyle w:val="Tabletext"/>
              <w:spacing w:line="240" w:lineRule="auto"/>
              <w:rPr>
                <w:i/>
              </w:rPr>
            </w:pPr>
            <w:r w:rsidRPr="00B367C3">
              <w:rPr>
                <w:i/>
              </w:rPr>
              <w:t xml:space="preserve">1 </w:t>
            </w:r>
            <w:r w:rsidR="00E02E85" w:rsidRPr="00B367C3">
              <w:rPr>
                <w:i/>
              </w:rPr>
              <w:t>April</w:t>
            </w:r>
            <w:r w:rsidRPr="00B367C3">
              <w:rPr>
                <w:i/>
              </w:rPr>
              <w:t xml:space="preserve"> 202</w:t>
            </w:r>
            <w:r w:rsidR="005643C7" w:rsidRPr="00B367C3">
              <w:rPr>
                <w:i/>
              </w:rPr>
              <w:t>2</w:t>
            </w:r>
          </w:p>
        </w:tc>
      </w:tr>
    </w:tbl>
    <w:p w14:paraId="19882BA6" w14:textId="77777777" w:rsidR="00002BCC" w:rsidRPr="00B367C3" w:rsidRDefault="00002BCC" w:rsidP="00631973">
      <w:pPr>
        <w:pStyle w:val="notetext"/>
        <w:spacing w:line="240" w:lineRule="auto"/>
      </w:pPr>
      <w:r w:rsidRPr="00B367C3">
        <w:rPr>
          <w:snapToGrid w:val="0"/>
          <w:lang w:eastAsia="en-US"/>
        </w:rPr>
        <w:t>Note:</w:t>
      </w:r>
      <w:r w:rsidRPr="00B367C3">
        <w:rPr>
          <w:snapToGrid w:val="0"/>
          <w:lang w:eastAsia="en-US"/>
        </w:rPr>
        <w:tab/>
        <w:t>This table relates only to the provisions of this instrument</w:t>
      </w:r>
      <w:r w:rsidRPr="00B367C3">
        <w:t xml:space="preserve"> </w:t>
      </w:r>
      <w:r w:rsidRPr="00B367C3">
        <w:rPr>
          <w:snapToGrid w:val="0"/>
          <w:lang w:eastAsia="en-US"/>
        </w:rPr>
        <w:t>as originally made. It will not be amended to deal with any later amendments of this instrument.</w:t>
      </w:r>
    </w:p>
    <w:p w14:paraId="17FF4358" w14:textId="4F0396D3" w:rsidR="00002BCC" w:rsidRPr="00B367C3" w:rsidRDefault="00002BCC" w:rsidP="00323E14">
      <w:pPr>
        <w:pStyle w:val="subsection"/>
        <w:numPr>
          <w:ilvl w:val="0"/>
          <w:numId w:val="7"/>
        </w:numPr>
        <w:tabs>
          <w:tab w:val="clear" w:pos="1021"/>
          <w:tab w:val="right" w:pos="1134"/>
        </w:tabs>
        <w:ind w:left="1134" w:hanging="567"/>
      </w:pPr>
      <w:r w:rsidRPr="00B367C3">
        <w:t>Any information in column 3 of the table is not part of this instrument. Information may be inserted in this column, or information in it may be edited, in any published version of this instrument.</w:t>
      </w:r>
    </w:p>
    <w:p w14:paraId="36C737BF" w14:textId="6236C44F" w:rsidR="005E317F" w:rsidRPr="00B367C3" w:rsidRDefault="005E317F" w:rsidP="00323E14">
      <w:pPr>
        <w:pStyle w:val="ActHead5"/>
        <w:numPr>
          <w:ilvl w:val="0"/>
          <w:numId w:val="4"/>
        </w:numPr>
        <w:ind w:left="284" w:hanging="284"/>
      </w:pPr>
      <w:r w:rsidRPr="00B367C3">
        <w:t>Authority</w:t>
      </w:r>
      <w:bookmarkEnd w:id="4"/>
    </w:p>
    <w:p w14:paraId="255D8561" w14:textId="3D160E1B" w:rsidR="001A286A" w:rsidRPr="00B367C3" w:rsidRDefault="005E317F" w:rsidP="00631973">
      <w:pPr>
        <w:pStyle w:val="subsection"/>
        <w:widowControl w:val="0"/>
        <w:ind w:left="1701"/>
      </w:pPr>
      <w:r w:rsidRPr="00B367C3">
        <w:tab/>
        <w:t>This instrument is made</w:t>
      </w:r>
      <w:r w:rsidR="001A286A" w:rsidRPr="00B367C3">
        <w:t xml:space="preserve"> </w:t>
      </w:r>
      <w:r w:rsidRPr="00B367C3">
        <w:t>under</w:t>
      </w:r>
      <w:r w:rsidR="001A286A" w:rsidRPr="00B367C3">
        <w:t xml:space="preserve"> subsection</w:t>
      </w:r>
      <w:r w:rsidR="00A60204" w:rsidRPr="00B367C3">
        <w:t xml:space="preserve"> </w:t>
      </w:r>
      <w:r w:rsidR="001A286A" w:rsidRPr="00B367C3">
        <w:t>100(2)</w:t>
      </w:r>
      <w:r w:rsidR="005E7450" w:rsidRPr="00B367C3">
        <w:t xml:space="preserve"> of the</w:t>
      </w:r>
      <w:r w:rsidR="001A286A" w:rsidRPr="00B367C3">
        <w:t xml:space="preserve"> </w:t>
      </w:r>
      <w:r w:rsidR="001A286A" w:rsidRPr="00B367C3">
        <w:rPr>
          <w:i/>
        </w:rPr>
        <w:t>National Health Act 1953</w:t>
      </w:r>
      <w:r w:rsidR="001A286A" w:rsidRPr="00B367C3">
        <w:t>.</w:t>
      </w:r>
    </w:p>
    <w:p w14:paraId="418EB651" w14:textId="77942D26" w:rsidR="005E317F" w:rsidRPr="00B367C3" w:rsidRDefault="005E317F" w:rsidP="00323E14">
      <w:pPr>
        <w:pStyle w:val="ActHead5"/>
        <w:numPr>
          <w:ilvl w:val="0"/>
          <w:numId w:val="4"/>
        </w:numPr>
        <w:ind w:left="284" w:hanging="284"/>
      </w:pPr>
      <w:bookmarkStart w:id="5" w:name="_Toc478567690"/>
      <w:r w:rsidRPr="00B367C3">
        <w:t>Schedules</w:t>
      </w:r>
      <w:bookmarkEnd w:id="5"/>
    </w:p>
    <w:p w14:paraId="60AC440F" w14:textId="0A950ADC" w:rsidR="000A4401" w:rsidRPr="00B367C3" w:rsidRDefault="005E317F" w:rsidP="00631973">
      <w:pPr>
        <w:pStyle w:val="subsection"/>
        <w:ind w:left="567" w:firstLine="0"/>
      </w:pPr>
      <w:r w:rsidRPr="00B367C3">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B367C3" w:rsidRDefault="00E32692" w:rsidP="00631973">
      <w:pPr>
        <w:spacing w:line="240" w:lineRule="auto"/>
        <w:rPr>
          <w:lang w:eastAsia="en-AU"/>
        </w:rPr>
      </w:pPr>
    </w:p>
    <w:p w14:paraId="1B271BE5" w14:textId="4665F130" w:rsidR="00E32692" w:rsidRPr="00B367C3" w:rsidRDefault="00E32692" w:rsidP="00631973">
      <w:pPr>
        <w:spacing w:line="240" w:lineRule="auto"/>
        <w:rPr>
          <w:lang w:eastAsia="en-AU"/>
        </w:rPr>
      </w:pPr>
    </w:p>
    <w:p w14:paraId="4FE2A5D7" w14:textId="4500F60F" w:rsidR="00E32692" w:rsidRPr="00B367C3" w:rsidRDefault="00E32692" w:rsidP="00631973">
      <w:pPr>
        <w:spacing w:line="240" w:lineRule="auto"/>
        <w:rPr>
          <w:lang w:eastAsia="en-AU"/>
        </w:rPr>
      </w:pPr>
    </w:p>
    <w:p w14:paraId="54BC1D3C" w14:textId="4ED88AAD" w:rsidR="00E32692" w:rsidRPr="00B367C3" w:rsidRDefault="00E32692" w:rsidP="00631973">
      <w:pPr>
        <w:spacing w:line="240" w:lineRule="auto"/>
        <w:rPr>
          <w:lang w:eastAsia="en-AU"/>
        </w:rPr>
        <w:sectPr w:rsidR="00E32692" w:rsidRPr="00B367C3"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B367C3" w:rsidRDefault="005E317F" w:rsidP="00D65B12">
      <w:pPr>
        <w:pStyle w:val="ActHead6"/>
        <w:pageBreakBefore/>
        <w:spacing w:after="120"/>
        <w:rPr>
          <w:rStyle w:val="CharAmSchText"/>
        </w:rPr>
      </w:pPr>
      <w:r w:rsidRPr="00B367C3">
        <w:rPr>
          <w:rStyle w:val="CharAmSchNo"/>
        </w:rPr>
        <w:lastRenderedPageBreak/>
        <w:t>Schedule</w:t>
      </w:r>
      <w:r w:rsidR="001A286A" w:rsidRPr="00B367C3">
        <w:rPr>
          <w:rStyle w:val="CharAmSchNo"/>
        </w:rPr>
        <w:t xml:space="preserve"> </w:t>
      </w:r>
      <w:r w:rsidRPr="00B367C3">
        <w:rPr>
          <w:rStyle w:val="CharAmSchNo"/>
        </w:rPr>
        <w:t>1</w:t>
      </w:r>
      <w:r w:rsidRPr="00B367C3">
        <w:t>—</w:t>
      </w:r>
      <w:r w:rsidRPr="00B367C3">
        <w:rPr>
          <w:rStyle w:val="CharAmSchText"/>
        </w:rPr>
        <w:t>Amendments</w:t>
      </w:r>
      <w:bookmarkEnd w:id="6"/>
    </w:p>
    <w:p w14:paraId="25914B65" w14:textId="270678DD" w:rsidR="00956076" w:rsidRPr="00B367C3" w:rsidRDefault="00956076" w:rsidP="006C00E6">
      <w:pPr>
        <w:pStyle w:val="ActHead9"/>
        <w:spacing w:before="120"/>
        <w:ind w:left="0" w:firstLine="0"/>
      </w:pPr>
      <w:r w:rsidRPr="00B367C3">
        <w:t>National Health (Highly Specialised Drugs Program) Special Arrangement 2021</w:t>
      </w:r>
      <w:r w:rsidR="008F19D9" w:rsidRPr="00B367C3">
        <w:t xml:space="preserve"> (PB 27 of 2021)</w:t>
      </w:r>
    </w:p>
    <w:p w14:paraId="416AC065" w14:textId="1EC3AD83" w:rsidR="00BC68A4" w:rsidRPr="00B367C3" w:rsidRDefault="00BC68A4" w:rsidP="00BC68A4">
      <w:pPr>
        <w:pStyle w:val="amendment10"/>
        <w:numPr>
          <w:ilvl w:val="0"/>
          <w:numId w:val="31"/>
        </w:numPr>
        <w:shd w:val="clear" w:color="auto" w:fill="FFFFFF"/>
        <w:spacing w:before="240" w:beforeAutospacing="0" w:after="0" w:afterAutospacing="0"/>
        <w:ind w:left="567" w:hanging="567"/>
        <w:rPr>
          <w:rFonts w:ascii="Arial" w:hAnsi="Arial" w:cs="Arial"/>
          <w:b/>
          <w:bCs/>
          <w:color w:val="000000"/>
          <w:sz w:val="20"/>
          <w:szCs w:val="20"/>
        </w:rPr>
      </w:pPr>
      <w:r w:rsidRPr="00B367C3">
        <w:rPr>
          <w:rFonts w:ascii="Arial" w:hAnsi="Arial" w:cs="Arial"/>
          <w:b/>
          <w:bCs/>
          <w:color w:val="000000"/>
          <w:sz w:val="20"/>
          <w:szCs w:val="20"/>
        </w:rPr>
        <w:t>Section 6, definition for “CAR drug”</w:t>
      </w:r>
    </w:p>
    <w:p w14:paraId="55579E66" w14:textId="2F36436E" w:rsidR="003313CB" w:rsidRPr="00B367C3" w:rsidRDefault="003313CB" w:rsidP="003313CB">
      <w:pPr>
        <w:pStyle w:val="amendment10"/>
        <w:shd w:val="clear" w:color="auto" w:fill="FFFFFF"/>
        <w:spacing w:before="60" w:beforeAutospacing="0" w:after="60" w:afterAutospacing="0"/>
        <w:ind w:firstLine="567"/>
        <w:rPr>
          <w:i/>
          <w:iCs/>
          <w:color w:val="000000"/>
          <w:sz w:val="20"/>
          <w:szCs w:val="20"/>
        </w:rPr>
      </w:pPr>
      <w:r w:rsidRPr="00B367C3">
        <w:rPr>
          <w:i/>
          <w:iCs/>
          <w:color w:val="000000"/>
          <w:sz w:val="20"/>
          <w:szCs w:val="20"/>
        </w:rPr>
        <w:t>substitute:</w:t>
      </w:r>
    </w:p>
    <w:p w14:paraId="4FC58F5A" w14:textId="65D5B3F5" w:rsidR="00BC68A4" w:rsidRPr="00B367C3" w:rsidRDefault="00BC68A4" w:rsidP="003313CB">
      <w:pPr>
        <w:pStyle w:val="amendment10"/>
        <w:shd w:val="clear" w:color="auto" w:fill="FFFFFF"/>
        <w:spacing w:before="60" w:beforeAutospacing="0" w:after="60" w:afterAutospacing="0"/>
        <w:ind w:firstLine="567"/>
        <w:rPr>
          <w:sz w:val="22"/>
          <w:szCs w:val="22"/>
        </w:rPr>
      </w:pPr>
      <w:r w:rsidRPr="00B367C3">
        <w:rPr>
          <w:b/>
          <w:i/>
          <w:sz w:val="22"/>
          <w:szCs w:val="22"/>
        </w:rPr>
        <w:t>CAR drug</w:t>
      </w:r>
      <w:r w:rsidRPr="00B367C3">
        <w:rPr>
          <w:i/>
          <w:sz w:val="22"/>
          <w:szCs w:val="22"/>
        </w:rPr>
        <w:t xml:space="preserve"> </w:t>
      </w:r>
      <w:r w:rsidRPr="00B367C3">
        <w:rPr>
          <w:sz w:val="22"/>
          <w:szCs w:val="22"/>
        </w:rPr>
        <w:t>(short for Complex Authority Required drug) means any of the following highly specialised drugs:</w:t>
      </w:r>
    </w:p>
    <w:p w14:paraId="1F64B152" w14:textId="7E38DC76" w:rsidR="00E037E8" w:rsidRPr="00B367C3" w:rsidRDefault="00E037E8" w:rsidP="00AB0CEA">
      <w:pPr>
        <w:pStyle w:val="paragraph"/>
        <w:tabs>
          <w:tab w:val="clear" w:pos="1531"/>
        </w:tabs>
        <w:ind w:left="1418" w:hanging="425"/>
      </w:pPr>
      <w:r w:rsidRPr="00B367C3">
        <w:t>(a)</w:t>
      </w:r>
      <w:r w:rsidR="008A058C" w:rsidRPr="00B367C3">
        <w:tab/>
      </w:r>
      <w:r w:rsidR="00766668" w:rsidRPr="00B367C3">
        <w:tab/>
      </w:r>
      <w:proofErr w:type="gramStart"/>
      <w:r w:rsidRPr="00B367C3">
        <w:t>abatacept;</w:t>
      </w:r>
      <w:proofErr w:type="gramEnd"/>
    </w:p>
    <w:p w14:paraId="74F3628A" w14:textId="77777777" w:rsidR="00E037E8" w:rsidRPr="00B367C3" w:rsidRDefault="00E037E8" w:rsidP="00AB0CEA">
      <w:pPr>
        <w:pStyle w:val="paragraph"/>
        <w:tabs>
          <w:tab w:val="clear" w:pos="1531"/>
        </w:tabs>
        <w:ind w:left="993" w:hanging="142"/>
      </w:pPr>
      <w:r w:rsidRPr="00B367C3">
        <w:tab/>
        <w:t>(b)</w:t>
      </w:r>
      <w:r w:rsidRPr="00B367C3">
        <w:tab/>
      </w:r>
      <w:proofErr w:type="gramStart"/>
      <w:r w:rsidRPr="00B367C3">
        <w:t>adalimumab;</w:t>
      </w:r>
      <w:proofErr w:type="gramEnd"/>
    </w:p>
    <w:p w14:paraId="38183A79" w14:textId="77777777" w:rsidR="00E037E8" w:rsidRPr="00B367C3" w:rsidRDefault="00E037E8" w:rsidP="00AB0CEA">
      <w:pPr>
        <w:pStyle w:val="paragraph"/>
        <w:tabs>
          <w:tab w:val="clear" w:pos="1531"/>
        </w:tabs>
        <w:ind w:left="993" w:hanging="142"/>
      </w:pPr>
      <w:r w:rsidRPr="00B367C3">
        <w:tab/>
        <w:t>(c)</w:t>
      </w:r>
      <w:r w:rsidRPr="00B367C3">
        <w:tab/>
      </w:r>
      <w:proofErr w:type="spellStart"/>
      <w:proofErr w:type="gramStart"/>
      <w:r w:rsidRPr="00B367C3">
        <w:t>ambrisentan</w:t>
      </w:r>
      <w:proofErr w:type="spellEnd"/>
      <w:r w:rsidRPr="00B367C3">
        <w:t>;</w:t>
      </w:r>
      <w:proofErr w:type="gramEnd"/>
    </w:p>
    <w:p w14:paraId="148814FE" w14:textId="77777777" w:rsidR="00E037E8" w:rsidRPr="00B367C3" w:rsidRDefault="00E037E8" w:rsidP="00AB0CEA">
      <w:pPr>
        <w:pStyle w:val="paragraph"/>
        <w:tabs>
          <w:tab w:val="clear" w:pos="1531"/>
        </w:tabs>
        <w:ind w:left="993" w:hanging="142"/>
      </w:pPr>
      <w:r w:rsidRPr="00B367C3">
        <w:tab/>
        <w:t>(d)</w:t>
      </w:r>
      <w:r w:rsidRPr="00B367C3">
        <w:tab/>
      </w:r>
      <w:proofErr w:type="spellStart"/>
      <w:proofErr w:type="gramStart"/>
      <w:r w:rsidRPr="00B367C3">
        <w:t>azacitidine</w:t>
      </w:r>
      <w:proofErr w:type="spellEnd"/>
      <w:r w:rsidRPr="00B367C3">
        <w:t>;</w:t>
      </w:r>
      <w:proofErr w:type="gramEnd"/>
    </w:p>
    <w:p w14:paraId="439A105E" w14:textId="77777777" w:rsidR="00E037E8" w:rsidRPr="00B367C3" w:rsidRDefault="00E037E8" w:rsidP="00AB0CEA">
      <w:pPr>
        <w:pStyle w:val="paragraph"/>
        <w:tabs>
          <w:tab w:val="clear" w:pos="1531"/>
        </w:tabs>
        <w:ind w:left="993" w:hanging="142"/>
      </w:pPr>
      <w:r w:rsidRPr="00B367C3">
        <w:tab/>
        <w:t>(e)</w:t>
      </w:r>
      <w:r w:rsidRPr="00B367C3">
        <w:tab/>
      </w:r>
      <w:proofErr w:type="spellStart"/>
      <w:proofErr w:type="gramStart"/>
      <w:r w:rsidRPr="00B367C3">
        <w:t>benralizumab</w:t>
      </w:r>
      <w:proofErr w:type="spellEnd"/>
      <w:r w:rsidRPr="00B367C3">
        <w:t>;</w:t>
      </w:r>
      <w:proofErr w:type="gramEnd"/>
    </w:p>
    <w:p w14:paraId="0872B38E" w14:textId="77777777" w:rsidR="00E037E8" w:rsidRPr="00B367C3" w:rsidRDefault="00E037E8" w:rsidP="00AB0CEA">
      <w:pPr>
        <w:pStyle w:val="paragraph"/>
        <w:tabs>
          <w:tab w:val="clear" w:pos="1531"/>
        </w:tabs>
        <w:ind w:left="993" w:hanging="142"/>
      </w:pPr>
      <w:r w:rsidRPr="00B367C3">
        <w:tab/>
        <w:t>(f)</w:t>
      </w:r>
      <w:r w:rsidRPr="00B367C3">
        <w:tab/>
      </w:r>
      <w:proofErr w:type="spellStart"/>
      <w:proofErr w:type="gramStart"/>
      <w:r w:rsidRPr="00B367C3">
        <w:t>bosentan</w:t>
      </w:r>
      <w:proofErr w:type="spellEnd"/>
      <w:r w:rsidRPr="00B367C3">
        <w:t>;</w:t>
      </w:r>
      <w:proofErr w:type="gramEnd"/>
    </w:p>
    <w:p w14:paraId="335EF40D" w14:textId="77777777" w:rsidR="00E037E8" w:rsidRPr="00B367C3" w:rsidRDefault="00E037E8" w:rsidP="00AB0CEA">
      <w:pPr>
        <w:pStyle w:val="paragraph"/>
        <w:tabs>
          <w:tab w:val="clear" w:pos="1531"/>
        </w:tabs>
        <w:ind w:left="993" w:hanging="142"/>
      </w:pPr>
      <w:r w:rsidRPr="00B367C3">
        <w:tab/>
        <w:t>(g)</w:t>
      </w:r>
      <w:r w:rsidRPr="00B367C3">
        <w:tab/>
      </w:r>
      <w:proofErr w:type="gramStart"/>
      <w:r w:rsidRPr="00B367C3">
        <w:t>dupilumab;</w:t>
      </w:r>
      <w:proofErr w:type="gramEnd"/>
    </w:p>
    <w:p w14:paraId="5CC569AB" w14:textId="77777777" w:rsidR="00E037E8" w:rsidRPr="00B367C3" w:rsidRDefault="00E037E8" w:rsidP="00AB0CEA">
      <w:pPr>
        <w:pStyle w:val="paragraph"/>
        <w:tabs>
          <w:tab w:val="clear" w:pos="1531"/>
        </w:tabs>
        <w:ind w:left="993" w:hanging="142"/>
      </w:pPr>
      <w:r w:rsidRPr="00B367C3">
        <w:tab/>
        <w:t>(h)</w:t>
      </w:r>
      <w:r w:rsidRPr="00B367C3">
        <w:tab/>
      </w:r>
      <w:proofErr w:type="gramStart"/>
      <w:r w:rsidRPr="00B367C3">
        <w:t>eculizumab;</w:t>
      </w:r>
      <w:proofErr w:type="gramEnd"/>
    </w:p>
    <w:p w14:paraId="1C73A1E3" w14:textId="77777777" w:rsidR="00E037E8" w:rsidRPr="00B367C3" w:rsidRDefault="00E037E8" w:rsidP="00AB0CEA">
      <w:pPr>
        <w:pStyle w:val="paragraph"/>
        <w:tabs>
          <w:tab w:val="clear" w:pos="1531"/>
        </w:tabs>
        <w:ind w:left="993" w:hanging="142"/>
      </w:pPr>
      <w:r w:rsidRPr="00B367C3">
        <w:tab/>
        <w:t>(</w:t>
      </w:r>
      <w:proofErr w:type="spellStart"/>
      <w:r w:rsidRPr="00B367C3">
        <w:t>i</w:t>
      </w:r>
      <w:proofErr w:type="spellEnd"/>
      <w:r w:rsidRPr="00B367C3">
        <w:t>)</w:t>
      </w:r>
      <w:r w:rsidRPr="00B367C3">
        <w:tab/>
      </w:r>
      <w:bookmarkStart w:id="7" w:name="_Hlk98505660"/>
      <w:proofErr w:type="spellStart"/>
      <w:r w:rsidRPr="00B367C3">
        <w:t>elexacaftor</w:t>
      </w:r>
      <w:proofErr w:type="spellEnd"/>
      <w:r w:rsidRPr="00B367C3">
        <w:t xml:space="preserve"> with </w:t>
      </w:r>
      <w:proofErr w:type="spellStart"/>
      <w:r w:rsidRPr="00B367C3">
        <w:t>tezacaftor</w:t>
      </w:r>
      <w:proofErr w:type="spellEnd"/>
      <w:r w:rsidRPr="00B367C3">
        <w:t xml:space="preserve"> and with ivacaftor, and </w:t>
      </w:r>
      <w:proofErr w:type="gramStart"/>
      <w:r w:rsidRPr="00B367C3">
        <w:t>ivacaftor</w:t>
      </w:r>
      <w:bookmarkEnd w:id="7"/>
      <w:r w:rsidRPr="00B367C3">
        <w:t>;</w:t>
      </w:r>
      <w:proofErr w:type="gramEnd"/>
    </w:p>
    <w:p w14:paraId="1B162FFF" w14:textId="5BF49B17" w:rsidR="00E037E8" w:rsidRPr="00B367C3" w:rsidRDefault="00E037E8" w:rsidP="00AB0CEA">
      <w:pPr>
        <w:pStyle w:val="paragraph"/>
        <w:tabs>
          <w:tab w:val="clear" w:pos="1531"/>
        </w:tabs>
        <w:ind w:left="993" w:hanging="142"/>
      </w:pPr>
      <w:r w:rsidRPr="00B367C3">
        <w:tab/>
        <w:t>(j)</w:t>
      </w:r>
      <w:r w:rsidRPr="00B367C3">
        <w:tab/>
      </w:r>
      <w:proofErr w:type="spellStart"/>
      <w:proofErr w:type="gramStart"/>
      <w:r w:rsidRPr="00B367C3">
        <w:t>eltrombopag</w:t>
      </w:r>
      <w:proofErr w:type="spellEnd"/>
      <w:r w:rsidRPr="00B367C3">
        <w:t>;</w:t>
      </w:r>
      <w:proofErr w:type="gramEnd"/>
    </w:p>
    <w:p w14:paraId="3D3C1BC2" w14:textId="51EE9EF1" w:rsidR="00E037E8" w:rsidRPr="00B367C3" w:rsidRDefault="00E037E8" w:rsidP="00AB0CEA">
      <w:pPr>
        <w:pStyle w:val="paragraph"/>
        <w:tabs>
          <w:tab w:val="clear" w:pos="1531"/>
        </w:tabs>
        <w:ind w:left="993" w:hanging="142"/>
      </w:pPr>
      <w:r w:rsidRPr="00B367C3">
        <w:tab/>
        <w:t>(k)</w:t>
      </w:r>
      <w:r w:rsidRPr="00B367C3">
        <w:tab/>
      </w:r>
      <w:proofErr w:type="spellStart"/>
      <w:proofErr w:type="gramStart"/>
      <w:r w:rsidRPr="00B367C3">
        <w:t>epoprostenol</w:t>
      </w:r>
      <w:proofErr w:type="spellEnd"/>
      <w:r w:rsidRPr="00B367C3">
        <w:t>;</w:t>
      </w:r>
      <w:proofErr w:type="gramEnd"/>
    </w:p>
    <w:p w14:paraId="4601BE50" w14:textId="4A54585F" w:rsidR="00E037E8" w:rsidRPr="00B367C3" w:rsidRDefault="00E037E8" w:rsidP="00AB0CEA">
      <w:pPr>
        <w:pStyle w:val="paragraph"/>
        <w:tabs>
          <w:tab w:val="clear" w:pos="1531"/>
        </w:tabs>
        <w:ind w:left="993" w:hanging="142"/>
      </w:pPr>
      <w:r w:rsidRPr="00B367C3">
        <w:tab/>
        <w:t>(l)</w:t>
      </w:r>
      <w:r w:rsidRPr="00B367C3">
        <w:tab/>
      </w:r>
      <w:proofErr w:type="gramStart"/>
      <w:r w:rsidRPr="00B367C3">
        <w:t>etanercept;</w:t>
      </w:r>
      <w:proofErr w:type="gramEnd"/>
    </w:p>
    <w:p w14:paraId="4BEEDEED" w14:textId="20CEFFAB" w:rsidR="00E037E8" w:rsidRPr="00B367C3" w:rsidRDefault="00E037E8" w:rsidP="00AB0CEA">
      <w:pPr>
        <w:pStyle w:val="paragraph"/>
        <w:tabs>
          <w:tab w:val="clear" w:pos="1531"/>
        </w:tabs>
        <w:ind w:left="993" w:hanging="142"/>
      </w:pPr>
      <w:r w:rsidRPr="00B367C3">
        <w:tab/>
        <w:t>(m)</w:t>
      </w:r>
      <w:r w:rsidRPr="00B367C3">
        <w:tab/>
      </w:r>
      <w:proofErr w:type="spellStart"/>
      <w:proofErr w:type="gramStart"/>
      <w:r w:rsidRPr="00B367C3">
        <w:t>iloprost</w:t>
      </w:r>
      <w:proofErr w:type="spellEnd"/>
      <w:r w:rsidRPr="00B367C3">
        <w:t>;</w:t>
      </w:r>
      <w:proofErr w:type="gramEnd"/>
    </w:p>
    <w:p w14:paraId="25EAF81A" w14:textId="4032FDB7" w:rsidR="00E037E8" w:rsidRPr="00B367C3" w:rsidRDefault="00E037E8" w:rsidP="00AB0CEA">
      <w:pPr>
        <w:pStyle w:val="paragraph"/>
        <w:tabs>
          <w:tab w:val="clear" w:pos="1531"/>
        </w:tabs>
        <w:ind w:left="993" w:hanging="142"/>
      </w:pPr>
      <w:r w:rsidRPr="00B367C3">
        <w:tab/>
        <w:t>(n)</w:t>
      </w:r>
      <w:r w:rsidRPr="00B367C3">
        <w:tab/>
      </w:r>
      <w:proofErr w:type="gramStart"/>
      <w:r w:rsidRPr="00B367C3">
        <w:t>infliximab;</w:t>
      </w:r>
      <w:proofErr w:type="gramEnd"/>
    </w:p>
    <w:p w14:paraId="423CB44B" w14:textId="7F3C30F7" w:rsidR="00E037E8" w:rsidRPr="00B367C3" w:rsidRDefault="00E037E8" w:rsidP="00AB0CEA">
      <w:pPr>
        <w:pStyle w:val="paragraph"/>
        <w:tabs>
          <w:tab w:val="clear" w:pos="1531"/>
        </w:tabs>
        <w:ind w:left="993" w:hanging="142"/>
      </w:pPr>
      <w:r w:rsidRPr="00B367C3">
        <w:tab/>
        <w:t>(o)</w:t>
      </w:r>
      <w:r w:rsidRPr="00B367C3">
        <w:tab/>
      </w:r>
      <w:proofErr w:type="gramStart"/>
      <w:r w:rsidRPr="00B367C3">
        <w:t>ivacaftor;</w:t>
      </w:r>
      <w:proofErr w:type="gramEnd"/>
    </w:p>
    <w:p w14:paraId="2DDD7997" w14:textId="432F6B9E" w:rsidR="00E037E8" w:rsidRPr="00B367C3" w:rsidRDefault="00E037E8" w:rsidP="00AB0CEA">
      <w:pPr>
        <w:pStyle w:val="paragraph"/>
        <w:tabs>
          <w:tab w:val="clear" w:pos="1531"/>
        </w:tabs>
        <w:ind w:left="993" w:hanging="142"/>
      </w:pPr>
      <w:r w:rsidRPr="00B367C3">
        <w:tab/>
        <w:t>(p)</w:t>
      </w:r>
      <w:r w:rsidRPr="00B367C3">
        <w:tab/>
      </w:r>
      <w:proofErr w:type="gramStart"/>
      <w:r w:rsidRPr="00B367C3">
        <w:t>lenalidomide;</w:t>
      </w:r>
      <w:proofErr w:type="gramEnd"/>
    </w:p>
    <w:p w14:paraId="248E4F41" w14:textId="0D4057DB" w:rsidR="00E037E8" w:rsidRPr="00B367C3" w:rsidRDefault="00E037E8" w:rsidP="00AB0CEA">
      <w:pPr>
        <w:pStyle w:val="paragraph"/>
        <w:tabs>
          <w:tab w:val="clear" w:pos="1531"/>
        </w:tabs>
        <w:ind w:left="993" w:hanging="142"/>
      </w:pPr>
      <w:r w:rsidRPr="00B367C3">
        <w:tab/>
        <w:t>(q)</w:t>
      </w:r>
      <w:r w:rsidRPr="00B367C3">
        <w:tab/>
        <w:t xml:space="preserve">lumacaftor with </w:t>
      </w:r>
      <w:proofErr w:type="gramStart"/>
      <w:r w:rsidRPr="00B367C3">
        <w:t>ivacaftor;</w:t>
      </w:r>
      <w:proofErr w:type="gramEnd"/>
    </w:p>
    <w:p w14:paraId="02832957" w14:textId="78771CA9" w:rsidR="00E037E8" w:rsidRPr="00B367C3" w:rsidRDefault="00E037E8" w:rsidP="00AB0CEA">
      <w:pPr>
        <w:pStyle w:val="paragraph"/>
        <w:tabs>
          <w:tab w:val="clear" w:pos="1531"/>
        </w:tabs>
        <w:ind w:left="993" w:hanging="142"/>
      </w:pPr>
      <w:r w:rsidRPr="00B367C3">
        <w:tab/>
        <w:t>(r)</w:t>
      </w:r>
      <w:r w:rsidRPr="00B367C3">
        <w:tab/>
      </w:r>
      <w:proofErr w:type="spellStart"/>
      <w:proofErr w:type="gramStart"/>
      <w:r w:rsidRPr="00B367C3">
        <w:t>macitentan</w:t>
      </w:r>
      <w:proofErr w:type="spellEnd"/>
      <w:r w:rsidRPr="00B367C3">
        <w:t>;</w:t>
      </w:r>
      <w:proofErr w:type="gramEnd"/>
    </w:p>
    <w:p w14:paraId="7CD58EF9" w14:textId="0C9370C4" w:rsidR="00E037E8" w:rsidRPr="00B367C3" w:rsidRDefault="00E037E8" w:rsidP="00AB0CEA">
      <w:pPr>
        <w:pStyle w:val="paragraph"/>
        <w:tabs>
          <w:tab w:val="clear" w:pos="1531"/>
        </w:tabs>
        <w:ind w:left="993" w:hanging="142"/>
      </w:pPr>
      <w:r w:rsidRPr="00B367C3">
        <w:tab/>
        <w:t>(s)</w:t>
      </w:r>
      <w:r w:rsidRPr="00B367C3">
        <w:tab/>
      </w:r>
      <w:proofErr w:type="gramStart"/>
      <w:r w:rsidRPr="00B367C3">
        <w:t>mepolizumab;</w:t>
      </w:r>
      <w:proofErr w:type="gramEnd"/>
    </w:p>
    <w:p w14:paraId="27DAD248" w14:textId="0F59BBF0" w:rsidR="00E037E8" w:rsidRPr="00B367C3" w:rsidRDefault="00E037E8" w:rsidP="00AB0CEA">
      <w:pPr>
        <w:pStyle w:val="paragraph"/>
        <w:tabs>
          <w:tab w:val="clear" w:pos="1531"/>
          <w:tab w:val="left" w:pos="1418"/>
        </w:tabs>
        <w:ind w:left="993" w:hanging="142"/>
      </w:pPr>
      <w:r w:rsidRPr="00B367C3">
        <w:tab/>
        <w:t>(t)</w:t>
      </w:r>
      <w:r w:rsidRPr="00B367C3">
        <w:tab/>
      </w:r>
      <w:proofErr w:type="spellStart"/>
      <w:proofErr w:type="gramStart"/>
      <w:r w:rsidRPr="00B367C3">
        <w:t>midostaurin</w:t>
      </w:r>
      <w:proofErr w:type="spellEnd"/>
      <w:r w:rsidRPr="00B367C3">
        <w:t>;</w:t>
      </w:r>
      <w:proofErr w:type="gramEnd"/>
    </w:p>
    <w:p w14:paraId="10C1ED40" w14:textId="258222E8" w:rsidR="00E037E8" w:rsidRPr="00B367C3" w:rsidRDefault="00E037E8" w:rsidP="00AB0CEA">
      <w:pPr>
        <w:pStyle w:val="paragraph"/>
        <w:tabs>
          <w:tab w:val="clear" w:pos="1531"/>
          <w:tab w:val="left" w:pos="1418"/>
        </w:tabs>
        <w:ind w:left="1276" w:hanging="283"/>
      </w:pPr>
      <w:r w:rsidRPr="00B367C3">
        <w:t>(u)</w:t>
      </w:r>
      <w:r w:rsidR="00AB0CEA" w:rsidRPr="00B367C3">
        <w:t xml:space="preserve"> </w:t>
      </w:r>
      <w:r w:rsidR="00AB0CEA" w:rsidRPr="00B367C3">
        <w:tab/>
      </w:r>
      <w:proofErr w:type="spellStart"/>
      <w:proofErr w:type="gramStart"/>
      <w:r w:rsidRPr="00B367C3">
        <w:t>nusinersen</w:t>
      </w:r>
      <w:proofErr w:type="spellEnd"/>
      <w:r w:rsidRPr="00B367C3">
        <w:t>;</w:t>
      </w:r>
      <w:proofErr w:type="gramEnd"/>
    </w:p>
    <w:p w14:paraId="7AB76299" w14:textId="0C81EEE8" w:rsidR="00E037E8" w:rsidRPr="00B367C3" w:rsidRDefault="00E037E8" w:rsidP="00AB0CEA">
      <w:pPr>
        <w:pStyle w:val="paragraph"/>
        <w:tabs>
          <w:tab w:val="clear" w:pos="1531"/>
        </w:tabs>
        <w:ind w:left="1276" w:hanging="283"/>
      </w:pPr>
      <w:r w:rsidRPr="00B367C3">
        <w:lastRenderedPageBreak/>
        <w:t>(v)</w:t>
      </w:r>
      <w:r w:rsidR="00AB0CEA" w:rsidRPr="00B367C3">
        <w:t xml:space="preserve"> </w:t>
      </w:r>
      <w:r w:rsidR="00AB0CEA" w:rsidRPr="00B367C3">
        <w:tab/>
      </w:r>
      <w:proofErr w:type="gramStart"/>
      <w:r w:rsidRPr="00B367C3">
        <w:t>omalizumab;</w:t>
      </w:r>
      <w:proofErr w:type="gramEnd"/>
    </w:p>
    <w:p w14:paraId="684E8A2E" w14:textId="6FB6FED7" w:rsidR="00E037E8" w:rsidRPr="00B367C3" w:rsidRDefault="00E037E8" w:rsidP="00AB0CEA">
      <w:pPr>
        <w:pStyle w:val="paragraph"/>
        <w:tabs>
          <w:tab w:val="clear" w:pos="1531"/>
        </w:tabs>
        <w:ind w:left="1276" w:hanging="283"/>
      </w:pPr>
      <w:r w:rsidRPr="00B367C3">
        <w:t>(w)</w:t>
      </w:r>
      <w:r w:rsidR="00AB0CEA" w:rsidRPr="00B367C3">
        <w:t xml:space="preserve"> </w:t>
      </w:r>
      <w:r w:rsidR="00AB0CEA" w:rsidRPr="00B367C3">
        <w:tab/>
      </w:r>
      <w:proofErr w:type="spellStart"/>
      <w:proofErr w:type="gramStart"/>
      <w:r w:rsidRPr="00B367C3">
        <w:t>pasireotide</w:t>
      </w:r>
      <w:proofErr w:type="spellEnd"/>
      <w:r w:rsidRPr="00B367C3">
        <w:t>;</w:t>
      </w:r>
      <w:proofErr w:type="gramEnd"/>
    </w:p>
    <w:p w14:paraId="2817F7A1" w14:textId="7DDE807E" w:rsidR="00E037E8" w:rsidRPr="00B367C3" w:rsidRDefault="00E037E8" w:rsidP="00AB0CEA">
      <w:pPr>
        <w:pStyle w:val="paragraph"/>
        <w:tabs>
          <w:tab w:val="clear" w:pos="1531"/>
        </w:tabs>
        <w:ind w:left="1276" w:hanging="283"/>
      </w:pPr>
      <w:r w:rsidRPr="00B367C3">
        <w:t>(x)</w:t>
      </w:r>
      <w:r w:rsidR="00AB0CEA" w:rsidRPr="00B367C3">
        <w:t xml:space="preserve"> </w:t>
      </w:r>
      <w:r w:rsidR="00AB0CEA" w:rsidRPr="00B367C3">
        <w:tab/>
      </w:r>
      <w:proofErr w:type="spellStart"/>
      <w:proofErr w:type="gramStart"/>
      <w:r w:rsidRPr="00B367C3">
        <w:t>pegvisomant</w:t>
      </w:r>
      <w:proofErr w:type="spellEnd"/>
      <w:r w:rsidRPr="00B367C3">
        <w:t>;</w:t>
      </w:r>
      <w:proofErr w:type="gramEnd"/>
    </w:p>
    <w:p w14:paraId="3A83AB10" w14:textId="6D629E5C" w:rsidR="00E037E8" w:rsidRPr="00B367C3" w:rsidRDefault="00E037E8" w:rsidP="00AB0CEA">
      <w:pPr>
        <w:pStyle w:val="paragraph"/>
        <w:tabs>
          <w:tab w:val="clear" w:pos="1531"/>
        </w:tabs>
        <w:ind w:left="1276" w:hanging="283"/>
      </w:pPr>
      <w:r w:rsidRPr="00B367C3">
        <w:t>(y)</w:t>
      </w:r>
      <w:r w:rsidRPr="00B367C3">
        <w:tab/>
      </w:r>
      <w:r w:rsidR="00AB0CEA" w:rsidRPr="00B367C3">
        <w:tab/>
      </w:r>
      <w:proofErr w:type="gramStart"/>
      <w:r w:rsidRPr="00B367C3">
        <w:t>pomalidomide;</w:t>
      </w:r>
      <w:proofErr w:type="gramEnd"/>
    </w:p>
    <w:p w14:paraId="50609C76" w14:textId="0165361C" w:rsidR="008A058C" w:rsidRPr="00B367C3" w:rsidRDefault="00E037E8" w:rsidP="00AB0CEA">
      <w:pPr>
        <w:pStyle w:val="paragraph"/>
        <w:tabs>
          <w:tab w:val="clear" w:pos="1531"/>
        </w:tabs>
        <w:ind w:left="1276" w:hanging="283"/>
      </w:pPr>
      <w:r w:rsidRPr="00B367C3">
        <w:t>(z)</w:t>
      </w:r>
      <w:r w:rsidRPr="00B367C3">
        <w:tab/>
      </w:r>
      <w:r w:rsidR="00AB0CEA" w:rsidRPr="00B367C3">
        <w:tab/>
      </w:r>
      <w:proofErr w:type="spellStart"/>
      <w:r w:rsidR="008A058C" w:rsidRPr="00B367C3">
        <w:rPr>
          <w:rFonts w:eastAsia="Arial"/>
          <w:lang w:eastAsia="zh-CN"/>
        </w:rPr>
        <w:t>ravulizumab</w:t>
      </w:r>
      <w:proofErr w:type="spellEnd"/>
    </w:p>
    <w:p w14:paraId="68465AE7" w14:textId="38358149" w:rsidR="00E037E8" w:rsidRPr="00B367C3" w:rsidRDefault="008A058C" w:rsidP="00AB0CEA">
      <w:pPr>
        <w:pStyle w:val="paragraph"/>
        <w:tabs>
          <w:tab w:val="clear" w:pos="1531"/>
        </w:tabs>
        <w:ind w:left="1276" w:hanging="283"/>
      </w:pPr>
      <w:r w:rsidRPr="00B367C3">
        <w:t>(aa)</w:t>
      </w:r>
      <w:r w:rsidRPr="00B367C3">
        <w:tab/>
      </w:r>
      <w:proofErr w:type="spellStart"/>
      <w:proofErr w:type="gramStart"/>
      <w:r w:rsidR="00E037E8" w:rsidRPr="00B367C3">
        <w:t>riociguat</w:t>
      </w:r>
      <w:proofErr w:type="spellEnd"/>
      <w:r w:rsidR="00E037E8" w:rsidRPr="00B367C3">
        <w:t>;</w:t>
      </w:r>
      <w:proofErr w:type="gramEnd"/>
    </w:p>
    <w:p w14:paraId="4166BFBD" w14:textId="19E877D3" w:rsidR="008A058C" w:rsidRPr="00B367C3" w:rsidRDefault="008A058C" w:rsidP="00AB0CEA">
      <w:pPr>
        <w:pStyle w:val="paragraph"/>
        <w:tabs>
          <w:tab w:val="clear" w:pos="1531"/>
        </w:tabs>
        <w:ind w:left="1276" w:hanging="283"/>
      </w:pPr>
      <w:r w:rsidRPr="00B367C3">
        <w:t>(bb)</w:t>
      </w:r>
      <w:r w:rsidRPr="00B367C3">
        <w:tab/>
      </w:r>
      <w:proofErr w:type="spellStart"/>
      <w:r w:rsidRPr="00B367C3">
        <w:t>risdiplam</w:t>
      </w:r>
      <w:proofErr w:type="spellEnd"/>
    </w:p>
    <w:p w14:paraId="6E1A44CE" w14:textId="447747EC" w:rsidR="00E037E8" w:rsidRPr="00B367C3" w:rsidRDefault="00E037E8" w:rsidP="00AB0CEA">
      <w:pPr>
        <w:pStyle w:val="paragraph"/>
        <w:tabs>
          <w:tab w:val="clear" w:pos="1531"/>
        </w:tabs>
        <w:ind w:left="1276" w:hanging="283"/>
      </w:pPr>
      <w:r w:rsidRPr="00B367C3">
        <w:t>(</w:t>
      </w:r>
      <w:r w:rsidR="008A058C" w:rsidRPr="00B367C3">
        <w:t>cc</w:t>
      </w:r>
      <w:r w:rsidRPr="00B367C3">
        <w:t>)</w:t>
      </w:r>
      <w:r w:rsidRPr="00B367C3">
        <w:tab/>
      </w:r>
      <w:proofErr w:type="gramStart"/>
      <w:r w:rsidRPr="00B367C3">
        <w:t>rituximab;</w:t>
      </w:r>
      <w:proofErr w:type="gramEnd"/>
    </w:p>
    <w:p w14:paraId="00CE7A77" w14:textId="35BF8FF4" w:rsidR="00E037E8" w:rsidRPr="00B367C3" w:rsidRDefault="00E037E8" w:rsidP="00AB0CEA">
      <w:pPr>
        <w:pStyle w:val="paragraph"/>
        <w:tabs>
          <w:tab w:val="clear" w:pos="1531"/>
        </w:tabs>
        <w:ind w:left="1276" w:hanging="283"/>
      </w:pPr>
      <w:r w:rsidRPr="00B367C3">
        <w:t>(</w:t>
      </w:r>
      <w:r w:rsidR="008A058C" w:rsidRPr="00B367C3">
        <w:t>dd</w:t>
      </w:r>
      <w:r w:rsidRPr="00B367C3">
        <w:t>)</w:t>
      </w:r>
      <w:r w:rsidRPr="00B367C3">
        <w:tab/>
      </w:r>
      <w:proofErr w:type="gramStart"/>
      <w:r w:rsidRPr="00B367C3">
        <w:t>romiplostim;</w:t>
      </w:r>
      <w:proofErr w:type="gramEnd"/>
    </w:p>
    <w:p w14:paraId="0C3CE2CD" w14:textId="76119791" w:rsidR="00E037E8" w:rsidRPr="00B367C3" w:rsidRDefault="00E037E8" w:rsidP="00AB0CEA">
      <w:pPr>
        <w:pStyle w:val="paragraph"/>
        <w:tabs>
          <w:tab w:val="clear" w:pos="1531"/>
        </w:tabs>
        <w:ind w:left="1276" w:hanging="283"/>
      </w:pPr>
      <w:r w:rsidRPr="00B367C3">
        <w:t>(</w:t>
      </w:r>
      <w:proofErr w:type="spellStart"/>
      <w:r w:rsidR="008A058C" w:rsidRPr="00B367C3">
        <w:t>ee</w:t>
      </w:r>
      <w:proofErr w:type="spellEnd"/>
      <w:r w:rsidRPr="00B367C3">
        <w:t>)</w:t>
      </w:r>
      <w:r w:rsidRPr="00B367C3">
        <w:tab/>
      </w:r>
      <w:proofErr w:type="gramStart"/>
      <w:r w:rsidRPr="00B367C3">
        <w:t>sildenafil;</w:t>
      </w:r>
      <w:proofErr w:type="gramEnd"/>
    </w:p>
    <w:p w14:paraId="16D59576" w14:textId="476E311D" w:rsidR="00E037E8" w:rsidRPr="00B367C3" w:rsidRDefault="00E037E8" w:rsidP="00AB0CEA">
      <w:pPr>
        <w:pStyle w:val="paragraph"/>
        <w:tabs>
          <w:tab w:val="clear" w:pos="1531"/>
        </w:tabs>
        <w:ind w:left="1276" w:hanging="283"/>
      </w:pPr>
      <w:r w:rsidRPr="00B367C3">
        <w:t>(</w:t>
      </w:r>
      <w:r w:rsidR="008A058C" w:rsidRPr="00B367C3">
        <w:t>ff</w:t>
      </w:r>
      <w:r w:rsidRPr="00B367C3">
        <w:t>)</w:t>
      </w:r>
      <w:r w:rsidRPr="00B367C3">
        <w:tab/>
      </w:r>
      <w:proofErr w:type="gramStart"/>
      <w:r w:rsidRPr="00B367C3">
        <w:t>tadalafil;</w:t>
      </w:r>
      <w:proofErr w:type="gramEnd"/>
    </w:p>
    <w:p w14:paraId="1AD39DAF" w14:textId="0C64E5E3" w:rsidR="00E037E8" w:rsidRPr="00B367C3" w:rsidRDefault="00E037E8" w:rsidP="00AB0CEA">
      <w:pPr>
        <w:pStyle w:val="paragraph"/>
        <w:tabs>
          <w:tab w:val="clear" w:pos="1531"/>
        </w:tabs>
        <w:ind w:left="1276" w:hanging="283"/>
      </w:pPr>
      <w:r w:rsidRPr="00B367C3">
        <w:t>(</w:t>
      </w:r>
      <w:r w:rsidR="008A058C" w:rsidRPr="00B367C3">
        <w:t>gg</w:t>
      </w:r>
      <w:r w:rsidRPr="00B367C3">
        <w:t>)</w:t>
      </w:r>
      <w:r w:rsidRPr="00B367C3">
        <w:tab/>
      </w:r>
      <w:proofErr w:type="gramStart"/>
      <w:r w:rsidRPr="00B367C3">
        <w:t>teduglutide;</w:t>
      </w:r>
      <w:proofErr w:type="gramEnd"/>
    </w:p>
    <w:p w14:paraId="4354FB2F" w14:textId="2C0BED11" w:rsidR="00E037E8" w:rsidRPr="00B367C3" w:rsidRDefault="00E037E8" w:rsidP="00AB0CEA">
      <w:pPr>
        <w:pStyle w:val="paragraph"/>
        <w:tabs>
          <w:tab w:val="clear" w:pos="1531"/>
        </w:tabs>
        <w:ind w:left="1276" w:hanging="283"/>
      </w:pPr>
      <w:r w:rsidRPr="00B367C3">
        <w:t>(</w:t>
      </w:r>
      <w:proofErr w:type="spellStart"/>
      <w:r w:rsidR="008A058C" w:rsidRPr="00B367C3">
        <w:t>hh</w:t>
      </w:r>
      <w:proofErr w:type="spellEnd"/>
      <w:r w:rsidRPr="00B367C3">
        <w:t>)</w:t>
      </w:r>
      <w:r w:rsidRPr="00B367C3">
        <w:tab/>
      </w:r>
      <w:proofErr w:type="spellStart"/>
      <w:r w:rsidRPr="00B367C3">
        <w:t>tezacaftor</w:t>
      </w:r>
      <w:proofErr w:type="spellEnd"/>
      <w:r w:rsidRPr="00B367C3">
        <w:t xml:space="preserve"> with ivacaftor and </w:t>
      </w:r>
      <w:proofErr w:type="gramStart"/>
      <w:r w:rsidRPr="00B367C3">
        <w:t>ivacaftor;</w:t>
      </w:r>
      <w:proofErr w:type="gramEnd"/>
    </w:p>
    <w:p w14:paraId="2E350989" w14:textId="67A7A8B9" w:rsidR="00E037E8" w:rsidRPr="00B367C3" w:rsidRDefault="00E037E8" w:rsidP="00AB0CEA">
      <w:pPr>
        <w:pStyle w:val="paragraph"/>
        <w:tabs>
          <w:tab w:val="clear" w:pos="1531"/>
        </w:tabs>
        <w:ind w:left="1276" w:hanging="283"/>
      </w:pPr>
      <w:r w:rsidRPr="00B367C3">
        <w:t>(</w:t>
      </w:r>
      <w:r w:rsidR="008A058C" w:rsidRPr="00B367C3">
        <w:t>ii</w:t>
      </w:r>
      <w:r w:rsidRPr="00B367C3">
        <w:t>)</w:t>
      </w:r>
      <w:r w:rsidRPr="00B367C3">
        <w:tab/>
      </w:r>
      <w:r w:rsidR="00766668" w:rsidRPr="00B367C3">
        <w:tab/>
      </w:r>
      <w:proofErr w:type="gramStart"/>
      <w:r w:rsidRPr="00B367C3">
        <w:t>tocilizumab;</w:t>
      </w:r>
      <w:proofErr w:type="gramEnd"/>
    </w:p>
    <w:p w14:paraId="43BBABA1" w14:textId="1FC9206E" w:rsidR="00E037E8" w:rsidRPr="00B367C3" w:rsidRDefault="00E037E8" w:rsidP="00AB0CEA">
      <w:pPr>
        <w:pStyle w:val="paragraph"/>
        <w:ind w:left="1418" w:hanging="425"/>
      </w:pPr>
      <w:r w:rsidRPr="00B367C3">
        <w:t>(</w:t>
      </w:r>
      <w:proofErr w:type="spellStart"/>
      <w:r w:rsidR="008A058C" w:rsidRPr="00B367C3">
        <w:t>jj</w:t>
      </w:r>
      <w:proofErr w:type="spellEnd"/>
      <w:r w:rsidRPr="00B367C3">
        <w:t>)</w:t>
      </w:r>
      <w:r w:rsidRPr="00B367C3">
        <w:tab/>
      </w:r>
      <w:proofErr w:type="spellStart"/>
      <w:proofErr w:type="gramStart"/>
      <w:r w:rsidRPr="00B367C3">
        <w:t>ustekinumab</w:t>
      </w:r>
      <w:proofErr w:type="spellEnd"/>
      <w:r w:rsidRPr="00B367C3">
        <w:t>;</w:t>
      </w:r>
      <w:proofErr w:type="gramEnd"/>
    </w:p>
    <w:p w14:paraId="5265BA76" w14:textId="7997422D" w:rsidR="00BC68A4" w:rsidRPr="00B367C3" w:rsidRDefault="00E037E8" w:rsidP="008A058C">
      <w:pPr>
        <w:pStyle w:val="paragraph"/>
        <w:ind w:left="1418" w:hanging="425"/>
      </w:pPr>
      <w:r w:rsidRPr="00B367C3">
        <w:t>(</w:t>
      </w:r>
      <w:r w:rsidR="008A058C" w:rsidRPr="00B367C3">
        <w:t>kk</w:t>
      </w:r>
      <w:r w:rsidRPr="00B367C3">
        <w:t>)</w:t>
      </w:r>
      <w:r w:rsidRPr="00B367C3">
        <w:tab/>
        <w:t>vedolizumab</w:t>
      </w:r>
      <w:r w:rsidR="008A058C" w:rsidRPr="00B367C3">
        <w:t>.</w:t>
      </w:r>
    </w:p>
    <w:p w14:paraId="5FE0022A" w14:textId="40A8B8AC" w:rsidR="003313CB" w:rsidRPr="00B367C3" w:rsidRDefault="003313CB" w:rsidP="003313CB">
      <w:pPr>
        <w:pStyle w:val="amendment10"/>
        <w:numPr>
          <w:ilvl w:val="0"/>
          <w:numId w:val="31"/>
        </w:numPr>
        <w:shd w:val="clear" w:color="auto" w:fill="FFFFFF"/>
        <w:spacing w:before="240" w:beforeAutospacing="0" w:after="0" w:afterAutospacing="0"/>
        <w:ind w:left="567" w:hanging="567"/>
        <w:rPr>
          <w:rFonts w:ascii="Arial" w:hAnsi="Arial" w:cs="Arial"/>
          <w:b/>
          <w:bCs/>
          <w:color w:val="000000"/>
        </w:rPr>
      </w:pPr>
      <w:r w:rsidRPr="00B367C3">
        <w:rPr>
          <w:rFonts w:ascii="Arial" w:hAnsi="Arial" w:cs="Arial"/>
          <w:b/>
          <w:bCs/>
          <w:color w:val="000000"/>
          <w:sz w:val="20"/>
          <w:szCs w:val="20"/>
        </w:rPr>
        <w:t>Section 6, definition for “</w:t>
      </w:r>
      <w:bookmarkStart w:id="8" w:name="_Hlk98505717"/>
      <w:r w:rsidRPr="00B367C3">
        <w:rPr>
          <w:rFonts w:ascii="Arial" w:hAnsi="Arial" w:cs="Arial"/>
          <w:b/>
          <w:bCs/>
          <w:color w:val="000000"/>
          <w:sz w:val="20"/>
          <w:szCs w:val="20"/>
        </w:rPr>
        <w:t>medication for the treatment of HIV or A</w:t>
      </w:r>
      <w:bookmarkEnd w:id="8"/>
      <w:r w:rsidRPr="00B367C3">
        <w:rPr>
          <w:rFonts w:ascii="Arial" w:hAnsi="Arial" w:cs="Arial"/>
          <w:b/>
          <w:bCs/>
          <w:color w:val="000000"/>
          <w:sz w:val="20"/>
          <w:szCs w:val="20"/>
        </w:rPr>
        <w:t>IDS”</w:t>
      </w:r>
    </w:p>
    <w:p w14:paraId="2FBFE65E" w14:textId="77777777" w:rsidR="003313CB" w:rsidRPr="00B367C3" w:rsidRDefault="003313CB" w:rsidP="003313CB">
      <w:pPr>
        <w:pStyle w:val="amendment10"/>
        <w:shd w:val="clear" w:color="auto" w:fill="FFFFFF"/>
        <w:spacing w:before="60" w:beforeAutospacing="0" w:after="60" w:afterAutospacing="0"/>
        <w:ind w:left="567"/>
        <w:rPr>
          <w:i/>
          <w:iCs/>
          <w:color w:val="000000"/>
          <w:sz w:val="20"/>
          <w:szCs w:val="20"/>
        </w:rPr>
      </w:pPr>
      <w:r w:rsidRPr="00B367C3">
        <w:rPr>
          <w:i/>
          <w:iCs/>
          <w:color w:val="000000"/>
          <w:sz w:val="20"/>
          <w:szCs w:val="20"/>
        </w:rPr>
        <w:t>substitute:</w:t>
      </w:r>
    </w:p>
    <w:p w14:paraId="4054649B" w14:textId="77777777" w:rsidR="003313CB" w:rsidRPr="00B367C3" w:rsidRDefault="003313CB" w:rsidP="00520E7B">
      <w:pPr>
        <w:pStyle w:val="Definition"/>
        <w:spacing w:before="60"/>
        <w:ind w:left="0" w:firstLine="567"/>
        <w:rPr>
          <w:iCs/>
          <w:color w:val="000000"/>
        </w:rPr>
      </w:pPr>
      <w:r w:rsidRPr="00B367C3">
        <w:rPr>
          <w:b/>
          <w:bCs/>
          <w:i/>
          <w:iCs/>
          <w:color w:val="000000"/>
        </w:rPr>
        <w:t>medication for the treatment of HIV or AIDS</w:t>
      </w:r>
      <w:r w:rsidRPr="00B367C3">
        <w:rPr>
          <w:bCs/>
          <w:iCs/>
          <w:color w:val="000000"/>
        </w:rPr>
        <w:t xml:space="preserve"> means any of the following:</w:t>
      </w:r>
    </w:p>
    <w:p w14:paraId="00A46DB2" w14:textId="52B726CB" w:rsidR="003313CB" w:rsidRPr="00B367C3" w:rsidRDefault="003313CB" w:rsidP="00BC68A4">
      <w:pPr>
        <w:pStyle w:val="paragraph"/>
        <w:tabs>
          <w:tab w:val="clear" w:pos="1531"/>
          <w:tab w:val="left" w:pos="993"/>
        </w:tabs>
        <w:ind w:left="1418" w:hanging="2069"/>
      </w:pPr>
      <w:r w:rsidRPr="00B367C3">
        <w:tab/>
        <w:t>(a)</w:t>
      </w:r>
      <w:r w:rsidRPr="00B367C3">
        <w:tab/>
      </w:r>
      <w:proofErr w:type="gramStart"/>
      <w:r w:rsidRPr="00B367C3">
        <w:t>abacavir;</w:t>
      </w:r>
      <w:proofErr w:type="gramEnd"/>
    </w:p>
    <w:p w14:paraId="3F1101E8" w14:textId="4C29D65B" w:rsidR="003313CB" w:rsidRPr="00B367C3" w:rsidRDefault="003313CB" w:rsidP="00BC68A4">
      <w:pPr>
        <w:pStyle w:val="paragraph"/>
        <w:tabs>
          <w:tab w:val="clear" w:pos="1531"/>
          <w:tab w:val="left" w:pos="1418"/>
        </w:tabs>
        <w:ind w:left="993"/>
      </w:pPr>
      <w:r w:rsidRPr="00B367C3">
        <w:tab/>
        <w:t>(b)</w:t>
      </w:r>
      <w:r w:rsidRPr="00B367C3">
        <w:tab/>
        <w:t xml:space="preserve">abacavir with </w:t>
      </w:r>
      <w:proofErr w:type="gramStart"/>
      <w:r w:rsidRPr="00B367C3">
        <w:t>lamivudine;</w:t>
      </w:r>
      <w:proofErr w:type="gramEnd"/>
    </w:p>
    <w:p w14:paraId="0A82FCA0" w14:textId="3313F47E" w:rsidR="003313CB" w:rsidRPr="00B367C3" w:rsidRDefault="003313CB" w:rsidP="00BC68A4">
      <w:pPr>
        <w:pStyle w:val="paragraph"/>
        <w:tabs>
          <w:tab w:val="clear" w:pos="1531"/>
          <w:tab w:val="left" w:pos="1418"/>
        </w:tabs>
        <w:ind w:left="993"/>
      </w:pPr>
      <w:r w:rsidRPr="00B367C3">
        <w:tab/>
        <w:t>(c)</w:t>
      </w:r>
      <w:r w:rsidRPr="00B367C3">
        <w:tab/>
        <w:t xml:space="preserve">abacavir with lamivudine and </w:t>
      </w:r>
      <w:proofErr w:type="gramStart"/>
      <w:r w:rsidRPr="00B367C3">
        <w:t>zidovudine;</w:t>
      </w:r>
      <w:proofErr w:type="gramEnd"/>
    </w:p>
    <w:p w14:paraId="5E222ECF" w14:textId="568C4866" w:rsidR="003313CB" w:rsidRPr="00B367C3" w:rsidRDefault="003313CB" w:rsidP="00BC68A4">
      <w:pPr>
        <w:pStyle w:val="paragraph"/>
        <w:tabs>
          <w:tab w:val="clear" w:pos="1531"/>
          <w:tab w:val="left" w:pos="993"/>
        </w:tabs>
        <w:ind w:left="993"/>
      </w:pPr>
      <w:r w:rsidRPr="00B367C3">
        <w:tab/>
        <w:t>(d)</w:t>
      </w:r>
      <w:r w:rsidR="00BC68A4" w:rsidRPr="00B367C3">
        <w:tab/>
      </w:r>
      <w:proofErr w:type="gramStart"/>
      <w:r w:rsidRPr="00B367C3">
        <w:t>atazanavir;</w:t>
      </w:r>
      <w:proofErr w:type="gramEnd"/>
    </w:p>
    <w:p w14:paraId="606AAD3D" w14:textId="1EA4C3D7" w:rsidR="003313CB" w:rsidRPr="00B367C3" w:rsidRDefault="003313CB" w:rsidP="00BC68A4">
      <w:pPr>
        <w:pStyle w:val="paragraph"/>
        <w:tabs>
          <w:tab w:val="clear" w:pos="1531"/>
          <w:tab w:val="left" w:pos="993"/>
          <w:tab w:val="right" w:pos="1418"/>
        </w:tabs>
        <w:ind w:left="993"/>
      </w:pPr>
      <w:r w:rsidRPr="00B367C3">
        <w:tab/>
        <w:t>(e)</w:t>
      </w:r>
      <w:r w:rsidRPr="00B367C3">
        <w:tab/>
      </w:r>
      <w:r w:rsidR="00BC68A4" w:rsidRPr="00B367C3">
        <w:tab/>
      </w:r>
      <w:r w:rsidRPr="00B367C3">
        <w:t xml:space="preserve">atazanavir with </w:t>
      </w:r>
      <w:proofErr w:type="gramStart"/>
      <w:r w:rsidRPr="00B367C3">
        <w:t>cobicistat;</w:t>
      </w:r>
      <w:proofErr w:type="gramEnd"/>
    </w:p>
    <w:p w14:paraId="7784E888" w14:textId="77777777" w:rsidR="003313CB" w:rsidRPr="00B367C3" w:rsidRDefault="003313CB" w:rsidP="00BC68A4">
      <w:pPr>
        <w:pStyle w:val="paragraph"/>
        <w:tabs>
          <w:tab w:val="clear" w:pos="1531"/>
          <w:tab w:val="left" w:pos="993"/>
        </w:tabs>
        <w:ind w:left="993"/>
      </w:pPr>
      <w:r w:rsidRPr="00B367C3">
        <w:tab/>
        <w:t>(f)</w:t>
      </w:r>
      <w:r w:rsidRPr="00B367C3">
        <w:tab/>
      </w:r>
      <w:proofErr w:type="gramStart"/>
      <w:r w:rsidRPr="00B367C3">
        <w:t>azithromycin;</w:t>
      </w:r>
      <w:proofErr w:type="gramEnd"/>
    </w:p>
    <w:p w14:paraId="40D98E69" w14:textId="77777777" w:rsidR="003313CB" w:rsidRPr="00B367C3" w:rsidRDefault="003313CB" w:rsidP="00BC68A4">
      <w:pPr>
        <w:pStyle w:val="paragraph"/>
        <w:tabs>
          <w:tab w:val="clear" w:pos="1531"/>
          <w:tab w:val="left" w:pos="993"/>
        </w:tabs>
        <w:ind w:left="993"/>
      </w:pPr>
      <w:r w:rsidRPr="00B367C3">
        <w:tab/>
        <w:t>(g)</w:t>
      </w:r>
      <w:r w:rsidRPr="00B367C3">
        <w:tab/>
      </w:r>
      <w:proofErr w:type="spellStart"/>
      <w:r w:rsidRPr="00B367C3">
        <w:t>bictegravir</w:t>
      </w:r>
      <w:proofErr w:type="spellEnd"/>
      <w:r w:rsidRPr="00B367C3">
        <w:t xml:space="preserve"> with emtricitabine with tenofovir </w:t>
      </w:r>
      <w:proofErr w:type="gramStart"/>
      <w:r w:rsidRPr="00B367C3">
        <w:t>alafenamide;</w:t>
      </w:r>
      <w:proofErr w:type="gramEnd"/>
    </w:p>
    <w:p w14:paraId="75392649" w14:textId="77777777" w:rsidR="003313CB" w:rsidRPr="00B367C3" w:rsidRDefault="003313CB" w:rsidP="00BC68A4">
      <w:pPr>
        <w:pStyle w:val="paragraph"/>
        <w:tabs>
          <w:tab w:val="clear" w:pos="1531"/>
          <w:tab w:val="left" w:pos="993"/>
        </w:tabs>
        <w:ind w:left="993"/>
      </w:pPr>
      <w:r w:rsidRPr="00B367C3">
        <w:tab/>
        <w:t>(h)</w:t>
      </w:r>
      <w:r w:rsidRPr="00B367C3">
        <w:tab/>
      </w:r>
      <w:proofErr w:type="gramStart"/>
      <w:r w:rsidRPr="00B367C3">
        <w:t>cabotegravir;</w:t>
      </w:r>
      <w:proofErr w:type="gramEnd"/>
      <w:r w:rsidRPr="00B367C3">
        <w:t xml:space="preserve"> </w:t>
      </w:r>
    </w:p>
    <w:p w14:paraId="2C7EBE0D" w14:textId="77777777" w:rsidR="003313CB" w:rsidRPr="00B367C3" w:rsidRDefault="003313CB" w:rsidP="00BC68A4">
      <w:pPr>
        <w:pStyle w:val="paragraph"/>
        <w:tabs>
          <w:tab w:val="clear" w:pos="1531"/>
          <w:tab w:val="left" w:pos="993"/>
        </w:tabs>
        <w:ind w:left="993"/>
      </w:pPr>
      <w:r w:rsidRPr="00B367C3">
        <w:lastRenderedPageBreak/>
        <w:tab/>
        <w:t>(</w:t>
      </w:r>
      <w:proofErr w:type="spellStart"/>
      <w:r w:rsidRPr="00B367C3">
        <w:t>i</w:t>
      </w:r>
      <w:proofErr w:type="spellEnd"/>
      <w:r w:rsidRPr="00B367C3">
        <w:t>)</w:t>
      </w:r>
      <w:r w:rsidRPr="00B367C3">
        <w:tab/>
        <w:t xml:space="preserve">cabotegravir and </w:t>
      </w:r>
      <w:proofErr w:type="spellStart"/>
      <w:proofErr w:type="gramStart"/>
      <w:r w:rsidRPr="00B367C3">
        <w:t>rilpivirine</w:t>
      </w:r>
      <w:proofErr w:type="spellEnd"/>
      <w:r w:rsidRPr="00B367C3">
        <w:t>;</w:t>
      </w:r>
      <w:proofErr w:type="gramEnd"/>
    </w:p>
    <w:p w14:paraId="154DB232" w14:textId="661A7E05" w:rsidR="003313CB" w:rsidRPr="00B367C3" w:rsidRDefault="003313CB" w:rsidP="00BC68A4">
      <w:pPr>
        <w:pStyle w:val="paragraph"/>
        <w:tabs>
          <w:tab w:val="clear" w:pos="1531"/>
          <w:tab w:val="left" w:pos="993"/>
        </w:tabs>
        <w:ind w:left="993"/>
      </w:pPr>
      <w:r w:rsidRPr="00B367C3">
        <w:tab/>
        <w:t>(j)</w:t>
      </w:r>
      <w:r w:rsidRPr="00B367C3">
        <w:tab/>
      </w:r>
      <w:proofErr w:type="gramStart"/>
      <w:r w:rsidRPr="00B367C3">
        <w:t>darunavir;</w:t>
      </w:r>
      <w:proofErr w:type="gramEnd"/>
    </w:p>
    <w:p w14:paraId="60B9E7DA" w14:textId="7D3CD723" w:rsidR="003313CB" w:rsidRPr="00B367C3" w:rsidRDefault="003313CB" w:rsidP="00BC68A4">
      <w:pPr>
        <w:pStyle w:val="paragraph"/>
        <w:tabs>
          <w:tab w:val="clear" w:pos="1531"/>
          <w:tab w:val="left" w:pos="993"/>
        </w:tabs>
        <w:ind w:left="993"/>
      </w:pPr>
      <w:r w:rsidRPr="00B367C3">
        <w:tab/>
        <w:t>(k)</w:t>
      </w:r>
      <w:r w:rsidRPr="00B367C3">
        <w:tab/>
        <w:t xml:space="preserve">darunavir with </w:t>
      </w:r>
      <w:proofErr w:type="gramStart"/>
      <w:r w:rsidRPr="00B367C3">
        <w:t>cobicistat;</w:t>
      </w:r>
      <w:proofErr w:type="gramEnd"/>
    </w:p>
    <w:p w14:paraId="57007F2B" w14:textId="77777777" w:rsidR="003313CB" w:rsidRPr="00B367C3" w:rsidRDefault="003313CB" w:rsidP="00BC68A4">
      <w:pPr>
        <w:pStyle w:val="paragraph"/>
        <w:tabs>
          <w:tab w:val="clear" w:pos="1531"/>
          <w:tab w:val="left" w:pos="993"/>
        </w:tabs>
        <w:ind w:left="993"/>
      </w:pPr>
      <w:r w:rsidRPr="00B367C3">
        <w:tab/>
        <w:t>(l)</w:t>
      </w:r>
      <w:r w:rsidRPr="00B367C3">
        <w:tab/>
        <w:t xml:space="preserve">darunavir with cobicistat, emtricitabine and tenofovir </w:t>
      </w:r>
      <w:proofErr w:type="gramStart"/>
      <w:r w:rsidRPr="00B367C3">
        <w:t>alafenamide;</w:t>
      </w:r>
      <w:proofErr w:type="gramEnd"/>
    </w:p>
    <w:p w14:paraId="491B80D1" w14:textId="00C46432" w:rsidR="003313CB" w:rsidRPr="00B367C3" w:rsidRDefault="003313CB" w:rsidP="00BC68A4">
      <w:pPr>
        <w:pStyle w:val="paragraph"/>
        <w:tabs>
          <w:tab w:val="clear" w:pos="1531"/>
          <w:tab w:val="left" w:pos="993"/>
        </w:tabs>
        <w:ind w:left="993"/>
      </w:pPr>
      <w:r w:rsidRPr="00B367C3">
        <w:tab/>
        <w:t>(m)</w:t>
      </w:r>
      <w:r w:rsidRPr="00B367C3">
        <w:tab/>
      </w:r>
      <w:proofErr w:type="gramStart"/>
      <w:r w:rsidRPr="00B367C3">
        <w:t>dolutegravir;</w:t>
      </w:r>
      <w:proofErr w:type="gramEnd"/>
    </w:p>
    <w:p w14:paraId="3F29B6DB" w14:textId="510D3B57" w:rsidR="003313CB" w:rsidRPr="00B367C3" w:rsidRDefault="003313CB" w:rsidP="00BC68A4">
      <w:pPr>
        <w:pStyle w:val="paragraph"/>
        <w:tabs>
          <w:tab w:val="clear" w:pos="1531"/>
          <w:tab w:val="left" w:pos="993"/>
        </w:tabs>
        <w:ind w:left="993"/>
      </w:pPr>
      <w:r w:rsidRPr="00B367C3">
        <w:tab/>
        <w:t>(n)</w:t>
      </w:r>
      <w:r w:rsidRPr="00B367C3">
        <w:tab/>
        <w:t xml:space="preserve">dolutegravir with abacavir and </w:t>
      </w:r>
      <w:proofErr w:type="gramStart"/>
      <w:r w:rsidRPr="00B367C3">
        <w:t>lamivudine;</w:t>
      </w:r>
      <w:proofErr w:type="gramEnd"/>
    </w:p>
    <w:p w14:paraId="3E58BCBC" w14:textId="4117832D" w:rsidR="003313CB" w:rsidRPr="00B367C3" w:rsidRDefault="003313CB" w:rsidP="00BC68A4">
      <w:pPr>
        <w:pStyle w:val="paragraph"/>
        <w:tabs>
          <w:tab w:val="clear" w:pos="1531"/>
          <w:tab w:val="left" w:pos="993"/>
        </w:tabs>
        <w:ind w:left="993"/>
      </w:pPr>
      <w:r w:rsidRPr="00B367C3">
        <w:tab/>
        <w:t>(o)</w:t>
      </w:r>
      <w:r w:rsidRPr="00B367C3">
        <w:tab/>
        <w:t xml:space="preserve">dolutegravir with </w:t>
      </w:r>
      <w:proofErr w:type="gramStart"/>
      <w:r w:rsidRPr="00B367C3">
        <w:t>lamivudine;</w:t>
      </w:r>
      <w:proofErr w:type="gramEnd"/>
    </w:p>
    <w:p w14:paraId="6D4D5595" w14:textId="11E4E1AD" w:rsidR="003313CB" w:rsidRPr="00B367C3" w:rsidRDefault="003313CB" w:rsidP="00BC68A4">
      <w:pPr>
        <w:pStyle w:val="paragraph"/>
        <w:tabs>
          <w:tab w:val="clear" w:pos="1531"/>
          <w:tab w:val="left" w:pos="993"/>
        </w:tabs>
        <w:ind w:left="993"/>
      </w:pPr>
      <w:r w:rsidRPr="00B367C3">
        <w:tab/>
        <w:t>(p)</w:t>
      </w:r>
      <w:r w:rsidRPr="00B367C3">
        <w:tab/>
        <w:t xml:space="preserve">dolutegravir with </w:t>
      </w:r>
      <w:proofErr w:type="spellStart"/>
      <w:proofErr w:type="gramStart"/>
      <w:r w:rsidRPr="00B367C3">
        <w:t>rilpivirine</w:t>
      </w:r>
      <w:proofErr w:type="spellEnd"/>
      <w:r w:rsidRPr="00B367C3">
        <w:t>;</w:t>
      </w:r>
      <w:proofErr w:type="gramEnd"/>
    </w:p>
    <w:p w14:paraId="4AD91470" w14:textId="0BF2C882" w:rsidR="003313CB" w:rsidRPr="00B367C3" w:rsidRDefault="003313CB" w:rsidP="00BC68A4">
      <w:pPr>
        <w:pStyle w:val="paragraph"/>
        <w:tabs>
          <w:tab w:val="clear" w:pos="1531"/>
          <w:tab w:val="left" w:pos="993"/>
        </w:tabs>
        <w:ind w:left="993"/>
      </w:pPr>
      <w:r w:rsidRPr="00B367C3">
        <w:tab/>
        <w:t>(q)</w:t>
      </w:r>
      <w:r w:rsidRPr="00B367C3">
        <w:tab/>
        <w:t xml:space="preserve">doxorubicin </w:t>
      </w:r>
      <w:r w:rsidRPr="00B367C3">
        <w:noBreakHyphen/>
        <w:t xml:space="preserve"> pegylated </w:t>
      </w:r>
      <w:proofErr w:type="gramStart"/>
      <w:r w:rsidRPr="00B367C3">
        <w:t>liposomal;</w:t>
      </w:r>
      <w:proofErr w:type="gramEnd"/>
    </w:p>
    <w:p w14:paraId="04F1E854" w14:textId="70CFA794" w:rsidR="003313CB" w:rsidRPr="00B367C3" w:rsidRDefault="003313CB" w:rsidP="00BC68A4">
      <w:pPr>
        <w:pStyle w:val="paragraph"/>
        <w:tabs>
          <w:tab w:val="clear" w:pos="1531"/>
          <w:tab w:val="left" w:pos="993"/>
        </w:tabs>
        <w:ind w:left="993"/>
      </w:pPr>
      <w:r w:rsidRPr="00B367C3">
        <w:tab/>
        <w:t>(r)</w:t>
      </w:r>
      <w:r w:rsidRPr="00B367C3">
        <w:tab/>
      </w:r>
      <w:proofErr w:type="gramStart"/>
      <w:r w:rsidRPr="00B367C3">
        <w:t>efavirenz;</w:t>
      </w:r>
      <w:proofErr w:type="gramEnd"/>
    </w:p>
    <w:p w14:paraId="4F6A979C" w14:textId="58245B3B" w:rsidR="003313CB" w:rsidRPr="00B367C3" w:rsidRDefault="003313CB" w:rsidP="00BC68A4">
      <w:pPr>
        <w:pStyle w:val="paragraph"/>
        <w:tabs>
          <w:tab w:val="clear" w:pos="1531"/>
          <w:tab w:val="left" w:pos="993"/>
        </w:tabs>
        <w:ind w:left="993"/>
      </w:pPr>
      <w:r w:rsidRPr="00B367C3">
        <w:tab/>
        <w:t>(s)</w:t>
      </w:r>
      <w:r w:rsidRPr="00B367C3">
        <w:tab/>
        <w:t xml:space="preserve">emtricitabine with </w:t>
      </w:r>
      <w:proofErr w:type="spellStart"/>
      <w:r w:rsidRPr="00B367C3">
        <w:t>rilpivirine</w:t>
      </w:r>
      <w:proofErr w:type="spellEnd"/>
      <w:r w:rsidRPr="00B367C3">
        <w:t xml:space="preserve"> with tenofovir </w:t>
      </w:r>
      <w:proofErr w:type="gramStart"/>
      <w:r w:rsidRPr="00B367C3">
        <w:t>alafenamide;</w:t>
      </w:r>
      <w:proofErr w:type="gramEnd"/>
    </w:p>
    <w:p w14:paraId="4747253F" w14:textId="08CF3C7B" w:rsidR="003313CB" w:rsidRPr="00B367C3" w:rsidRDefault="003313CB" w:rsidP="00BC68A4">
      <w:pPr>
        <w:pStyle w:val="paragraph"/>
        <w:tabs>
          <w:tab w:val="clear" w:pos="1531"/>
          <w:tab w:val="left" w:pos="993"/>
        </w:tabs>
        <w:ind w:left="993"/>
      </w:pPr>
      <w:r w:rsidRPr="00B367C3">
        <w:tab/>
        <w:t>(t)</w:t>
      </w:r>
      <w:r w:rsidRPr="00B367C3">
        <w:tab/>
        <w:t xml:space="preserve">emtricitabine with tenofovir </w:t>
      </w:r>
      <w:proofErr w:type="gramStart"/>
      <w:r w:rsidRPr="00B367C3">
        <w:t>alafenamide;</w:t>
      </w:r>
      <w:proofErr w:type="gramEnd"/>
    </w:p>
    <w:p w14:paraId="0F6CB91B" w14:textId="70F8CA25" w:rsidR="003313CB" w:rsidRPr="00B367C3" w:rsidRDefault="003313CB" w:rsidP="00BC68A4">
      <w:pPr>
        <w:pStyle w:val="paragraph"/>
        <w:tabs>
          <w:tab w:val="clear" w:pos="1531"/>
          <w:tab w:val="left" w:pos="993"/>
        </w:tabs>
        <w:ind w:left="993"/>
      </w:pPr>
      <w:r w:rsidRPr="00B367C3">
        <w:tab/>
        <w:t>(u)</w:t>
      </w:r>
      <w:r w:rsidRPr="00B367C3">
        <w:tab/>
      </w:r>
      <w:proofErr w:type="gramStart"/>
      <w:r w:rsidRPr="00B367C3">
        <w:t>enfuvirtide;</w:t>
      </w:r>
      <w:proofErr w:type="gramEnd"/>
    </w:p>
    <w:p w14:paraId="590604C4" w14:textId="21C414E5" w:rsidR="003313CB" w:rsidRPr="00B367C3" w:rsidRDefault="003313CB" w:rsidP="00BC68A4">
      <w:pPr>
        <w:pStyle w:val="paragraph"/>
        <w:tabs>
          <w:tab w:val="clear" w:pos="1531"/>
          <w:tab w:val="left" w:pos="993"/>
        </w:tabs>
        <w:ind w:left="993"/>
      </w:pPr>
      <w:r w:rsidRPr="00B367C3">
        <w:tab/>
        <w:t>(v)</w:t>
      </w:r>
      <w:r w:rsidRPr="00B367C3">
        <w:tab/>
      </w:r>
      <w:proofErr w:type="gramStart"/>
      <w:r w:rsidRPr="00B367C3">
        <w:t>etravirine;</w:t>
      </w:r>
      <w:proofErr w:type="gramEnd"/>
    </w:p>
    <w:p w14:paraId="56F1C9BD" w14:textId="2CDCE0F1" w:rsidR="003313CB" w:rsidRPr="00B367C3" w:rsidRDefault="003313CB" w:rsidP="00BC68A4">
      <w:pPr>
        <w:pStyle w:val="paragraph"/>
        <w:tabs>
          <w:tab w:val="clear" w:pos="1531"/>
          <w:tab w:val="left" w:pos="993"/>
        </w:tabs>
        <w:ind w:left="993"/>
      </w:pPr>
      <w:r w:rsidRPr="00B367C3">
        <w:tab/>
        <w:t>(w)</w:t>
      </w:r>
      <w:r w:rsidRPr="00B367C3">
        <w:tab/>
      </w:r>
      <w:proofErr w:type="spellStart"/>
      <w:proofErr w:type="gramStart"/>
      <w:r w:rsidRPr="00B367C3">
        <w:t>fosamprenavir</w:t>
      </w:r>
      <w:proofErr w:type="spellEnd"/>
      <w:r w:rsidRPr="00B367C3">
        <w:t>;</w:t>
      </w:r>
      <w:proofErr w:type="gramEnd"/>
    </w:p>
    <w:p w14:paraId="14D53F24" w14:textId="3A2398EF" w:rsidR="003313CB" w:rsidRPr="00B367C3" w:rsidRDefault="003313CB" w:rsidP="00BC68A4">
      <w:pPr>
        <w:pStyle w:val="paragraph"/>
        <w:tabs>
          <w:tab w:val="clear" w:pos="1531"/>
          <w:tab w:val="left" w:pos="993"/>
        </w:tabs>
        <w:ind w:left="993"/>
      </w:pPr>
      <w:r w:rsidRPr="00B367C3">
        <w:tab/>
        <w:t>(x)</w:t>
      </w:r>
      <w:r w:rsidRPr="00B367C3">
        <w:tab/>
      </w:r>
      <w:proofErr w:type="gramStart"/>
      <w:r w:rsidRPr="00B367C3">
        <w:t>ganciclovir;</w:t>
      </w:r>
      <w:proofErr w:type="gramEnd"/>
    </w:p>
    <w:p w14:paraId="53E3F5A2" w14:textId="4A8A111B" w:rsidR="003313CB" w:rsidRPr="00B367C3" w:rsidRDefault="003313CB" w:rsidP="00BC68A4">
      <w:pPr>
        <w:pStyle w:val="paragraph"/>
        <w:tabs>
          <w:tab w:val="clear" w:pos="1531"/>
          <w:tab w:val="left" w:pos="993"/>
        </w:tabs>
        <w:ind w:left="993"/>
      </w:pPr>
      <w:r w:rsidRPr="00B367C3">
        <w:tab/>
        <w:t>(y)</w:t>
      </w:r>
      <w:r w:rsidRPr="00B367C3">
        <w:tab/>
      </w:r>
      <w:proofErr w:type="gramStart"/>
      <w:r w:rsidRPr="00B367C3">
        <w:t>lamivudine;</w:t>
      </w:r>
      <w:proofErr w:type="gramEnd"/>
    </w:p>
    <w:p w14:paraId="6B533279" w14:textId="4AC9A71E" w:rsidR="003313CB" w:rsidRPr="00B367C3" w:rsidRDefault="003313CB" w:rsidP="00BC68A4">
      <w:pPr>
        <w:pStyle w:val="paragraph"/>
        <w:tabs>
          <w:tab w:val="clear" w:pos="1531"/>
          <w:tab w:val="left" w:pos="993"/>
        </w:tabs>
        <w:ind w:left="993"/>
      </w:pPr>
      <w:r w:rsidRPr="00B367C3">
        <w:tab/>
        <w:t>(z)</w:t>
      </w:r>
      <w:r w:rsidRPr="00B367C3">
        <w:tab/>
        <w:t xml:space="preserve">lamivudine with </w:t>
      </w:r>
      <w:proofErr w:type="gramStart"/>
      <w:r w:rsidRPr="00B367C3">
        <w:t>zidovudine;</w:t>
      </w:r>
      <w:proofErr w:type="gramEnd"/>
    </w:p>
    <w:p w14:paraId="71C43800" w14:textId="3042D4C2" w:rsidR="003313CB" w:rsidRPr="00B367C3" w:rsidRDefault="003313CB" w:rsidP="00BC68A4">
      <w:pPr>
        <w:pStyle w:val="paragraph"/>
        <w:tabs>
          <w:tab w:val="clear" w:pos="1531"/>
          <w:tab w:val="left" w:pos="993"/>
        </w:tabs>
        <w:ind w:left="993"/>
      </w:pPr>
      <w:r w:rsidRPr="00B367C3">
        <w:tab/>
        <w:t>(aa)</w:t>
      </w:r>
      <w:r w:rsidRPr="00B367C3">
        <w:tab/>
        <w:t xml:space="preserve">lopinavir with </w:t>
      </w:r>
      <w:proofErr w:type="gramStart"/>
      <w:r w:rsidRPr="00B367C3">
        <w:t>ritonavir;</w:t>
      </w:r>
      <w:proofErr w:type="gramEnd"/>
    </w:p>
    <w:p w14:paraId="0FA55582" w14:textId="03196C6D" w:rsidR="003313CB" w:rsidRPr="00B367C3" w:rsidRDefault="003313CB" w:rsidP="00BC68A4">
      <w:pPr>
        <w:pStyle w:val="paragraph"/>
        <w:tabs>
          <w:tab w:val="clear" w:pos="1531"/>
          <w:tab w:val="left" w:pos="993"/>
        </w:tabs>
        <w:ind w:left="993"/>
      </w:pPr>
      <w:r w:rsidRPr="00B367C3">
        <w:tab/>
        <w:t>(bb)</w:t>
      </w:r>
      <w:r w:rsidRPr="00B367C3">
        <w:tab/>
      </w:r>
      <w:proofErr w:type="gramStart"/>
      <w:r w:rsidRPr="00B367C3">
        <w:t>maraviroc;</w:t>
      </w:r>
      <w:proofErr w:type="gramEnd"/>
    </w:p>
    <w:p w14:paraId="54CE194B" w14:textId="62534E5C" w:rsidR="003313CB" w:rsidRPr="00B367C3" w:rsidRDefault="003313CB" w:rsidP="00BC68A4">
      <w:pPr>
        <w:pStyle w:val="paragraph"/>
        <w:tabs>
          <w:tab w:val="clear" w:pos="1531"/>
          <w:tab w:val="left" w:pos="993"/>
        </w:tabs>
        <w:ind w:left="993"/>
      </w:pPr>
      <w:r w:rsidRPr="00B367C3">
        <w:tab/>
        <w:t>(cc)</w:t>
      </w:r>
      <w:r w:rsidRPr="00B367C3">
        <w:tab/>
      </w:r>
      <w:proofErr w:type="gramStart"/>
      <w:r w:rsidRPr="00B367C3">
        <w:t>nevirapine;</w:t>
      </w:r>
      <w:proofErr w:type="gramEnd"/>
    </w:p>
    <w:p w14:paraId="01AD2D83" w14:textId="0EB621D4" w:rsidR="003313CB" w:rsidRPr="00B367C3" w:rsidRDefault="003313CB" w:rsidP="00BC68A4">
      <w:pPr>
        <w:pStyle w:val="paragraph"/>
        <w:tabs>
          <w:tab w:val="clear" w:pos="1531"/>
          <w:tab w:val="left" w:pos="993"/>
        </w:tabs>
        <w:ind w:left="993"/>
      </w:pPr>
      <w:r w:rsidRPr="00B367C3">
        <w:tab/>
        <w:t>(dd)</w:t>
      </w:r>
      <w:r w:rsidRPr="00B367C3">
        <w:tab/>
      </w:r>
      <w:proofErr w:type="spellStart"/>
      <w:proofErr w:type="gramStart"/>
      <w:r w:rsidRPr="00B367C3">
        <w:t>raltegravir</w:t>
      </w:r>
      <w:proofErr w:type="spellEnd"/>
      <w:r w:rsidRPr="00B367C3">
        <w:t>;</w:t>
      </w:r>
      <w:proofErr w:type="gramEnd"/>
    </w:p>
    <w:p w14:paraId="6BB7B734" w14:textId="3B1213F3" w:rsidR="003313CB" w:rsidRPr="00B367C3" w:rsidRDefault="003313CB" w:rsidP="00BC68A4">
      <w:pPr>
        <w:pStyle w:val="paragraph"/>
        <w:tabs>
          <w:tab w:val="clear" w:pos="1531"/>
          <w:tab w:val="left" w:pos="993"/>
        </w:tabs>
        <w:ind w:left="993"/>
      </w:pPr>
      <w:r w:rsidRPr="00B367C3">
        <w:tab/>
        <w:t>(</w:t>
      </w:r>
      <w:proofErr w:type="spellStart"/>
      <w:r w:rsidRPr="00B367C3">
        <w:t>ee</w:t>
      </w:r>
      <w:proofErr w:type="spellEnd"/>
      <w:r w:rsidRPr="00B367C3">
        <w:t>)</w:t>
      </w:r>
      <w:r w:rsidRPr="00B367C3">
        <w:tab/>
      </w:r>
      <w:proofErr w:type="gramStart"/>
      <w:r w:rsidRPr="00B367C3">
        <w:t>rifabutin;</w:t>
      </w:r>
      <w:proofErr w:type="gramEnd"/>
    </w:p>
    <w:p w14:paraId="01FC4414" w14:textId="5C94D5DD" w:rsidR="003313CB" w:rsidRPr="00B367C3" w:rsidRDefault="003313CB" w:rsidP="00BC68A4">
      <w:pPr>
        <w:pStyle w:val="paragraph"/>
        <w:tabs>
          <w:tab w:val="clear" w:pos="1531"/>
          <w:tab w:val="left" w:pos="993"/>
        </w:tabs>
        <w:ind w:left="993"/>
      </w:pPr>
      <w:r w:rsidRPr="00B367C3">
        <w:tab/>
        <w:t>(ff)</w:t>
      </w:r>
      <w:r w:rsidRPr="00B367C3">
        <w:tab/>
      </w:r>
      <w:proofErr w:type="spellStart"/>
      <w:proofErr w:type="gramStart"/>
      <w:r w:rsidRPr="00B367C3">
        <w:t>rilpivirine</w:t>
      </w:r>
      <w:proofErr w:type="spellEnd"/>
      <w:r w:rsidRPr="00B367C3">
        <w:t>;</w:t>
      </w:r>
      <w:proofErr w:type="gramEnd"/>
    </w:p>
    <w:p w14:paraId="45CC52F6" w14:textId="504E4786" w:rsidR="003313CB" w:rsidRPr="00B367C3" w:rsidRDefault="003313CB" w:rsidP="00BC68A4">
      <w:pPr>
        <w:pStyle w:val="paragraph"/>
        <w:tabs>
          <w:tab w:val="clear" w:pos="1531"/>
          <w:tab w:val="left" w:pos="993"/>
        </w:tabs>
        <w:ind w:left="993"/>
      </w:pPr>
      <w:r w:rsidRPr="00B367C3">
        <w:tab/>
        <w:t>(gg)</w:t>
      </w:r>
      <w:r w:rsidRPr="00B367C3">
        <w:tab/>
      </w:r>
      <w:proofErr w:type="gramStart"/>
      <w:r w:rsidRPr="00B367C3">
        <w:t>ritonavir;</w:t>
      </w:r>
      <w:proofErr w:type="gramEnd"/>
    </w:p>
    <w:p w14:paraId="4A977AD7" w14:textId="60073A38" w:rsidR="003313CB" w:rsidRPr="00B367C3" w:rsidRDefault="003313CB" w:rsidP="00BC68A4">
      <w:pPr>
        <w:pStyle w:val="paragraph"/>
        <w:tabs>
          <w:tab w:val="clear" w:pos="1531"/>
          <w:tab w:val="left" w:pos="993"/>
        </w:tabs>
        <w:ind w:left="993"/>
      </w:pPr>
      <w:r w:rsidRPr="00B367C3">
        <w:tab/>
        <w:t>(</w:t>
      </w:r>
      <w:proofErr w:type="spellStart"/>
      <w:r w:rsidRPr="00B367C3">
        <w:t>hh</w:t>
      </w:r>
      <w:proofErr w:type="spellEnd"/>
      <w:r w:rsidRPr="00B367C3">
        <w:t>)</w:t>
      </w:r>
      <w:r w:rsidRPr="00B367C3">
        <w:tab/>
      </w:r>
      <w:proofErr w:type="gramStart"/>
      <w:r w:rsidRPr="00B367C3">
        <w:t>saquinavir;</w:t>
      </w:r>
      <w:proofErr w:type="gramEnd"/>
    </w:p>
    <w:p w14:paraId="305061EC" w14:textId="58EA426E" w:rsidR="003313CB" w:rsidRPr="00B367C3" w:rsidRDefault="003313CB" w:rsidP="00BC68A4">
      <w:pPr>
        <w:pStyle w:val="paragraph"/>
        <w:tabs>
          <w:tab w:val="clear" w:pos="1531"/>
          <w:tab w:val="left" w:pos="993"/>
        </w:tabs>
        <w:ind w:left="993"/>
      </w:pPr>
      <w:r w:rsidRPr="00B367C3">
        <w:tab/>
        <w:t>(ii)</w:t>
      </w:r>
      <w:r w:rsidRPr="00B367C3">
        <w:tab/>
      </w:r>
      <w:proofErr w:type="gramStart"/>
      <w:r w:rsidRPr="00B367C3">
        <w:t>tenofovir;</w:t>
      </w:r>
      <w:proofErr w:type="gramEnd"/>
    </w:p>
    <w:p w14:paraId="16C97015" w14:textId="468AC693" w:rsidR="003313CB" w:rsidRPr="00B367C3" w:rsidRDefault="003313CB" w:rsidP="00BC68A4">
      <w:pPr>
        <w:pStyle w:val="paragraph"/>
        <w:tabs>
          <w:tab w:val="clear" w:pos="1531"/>
          <w:tab w:val="left" w:pos="993"/>
        </w:tabs>
        <w:ind w:left="993"/>
      </w:pPr>
      <w:r w:rsidRPr="00B367C3">
        <w:tab/>
        <w:t>(</w:t>
      </w:r>
      <w:proofErr w:type="spellStart"/>
      <w:r w:rsidRPr="00B367C3">
        <w:t>jj</w:t>
      </w:r>
      <w:proofErr w:type="spellEnd"/>
      <w:r w:rsidRPr="00B367C3">
        <w:t>)</w:t>
      </w:r>
      <w:r w:rsidRPr="00B367C3">
        <w:tab/>
        <w:t xml:space="preserve">tenofovir alafenamide with emtricitabine, elvitegravir and </w:t>
      </w:r>
      <w:proofErr w:type="gramStart"/>
      <w:r w:rsidRPr="00B367C3">
        <w:t>cobicistat;</w:t>
      </w:r>
      <w:proofErr w:type="gramEnd"/>
    </w:p>
    <w:p w14:paraId="48DD84D5" w14:textId="19AD8115" w:rsidR="003313CB" w:rsidRPr="00B367C3" w:rsidRDefault="003313CB" w:rsidP="00BC68A4">
      <w:pPr>
        <w:pStyle w:val="paragraph"/>
        <w:tabs>
          <w:tab w:val="clear" w:pos="1531"/>
          <w:tab w:val="left" w:pos="993"/>
        </w:tabs>
        <w:ind w:left="993"/>
      </w:pPr>
      <w:r w:rsidRPr="00B367C3">
        <w:lastRenderedPageBreak/>
        <w:tab/>
        <w:t>(kk)</w:t>
      </w:r>
      <w:r w:rsidRPr="00B367C3">
        <w:tab/>
        <w:t xml:space="preserve">tenofovir with </w:t>
      </w:r>
      <w:proofErr w:type="gramStart"/>
      <w:r w:rsidRPr="00B367C3">
        <w:t>emtricitabine;</w:t>
      </w:r>
      <w:proofErr w:type="gramEnd"/>
    </w:p>
    <w:p w14:paraId="753DC9D9" w14:textId="797E31EA" w:rsidR="003313CB" w:rsidRPr="00B367C3" w:rsidRDefault="003313CB" w:rsidP="00BC68A4">
      <w:pPr>
        <w:pStyle w:val="paragraph"/>
        <w:tabs>
          <w:tab w:val="clear" w:pos="1531"/>
          <w:tab w:val="left" w:pos="993"/>
        </w:tabs>
        <w:ind w:left="993"/>
      </w:pPr>
      <w:r w:rsidRPr="00B367C3">
        <w:tab/>
        <w:t>(</w:t>
      </w:r>
      <w:proofErr w:type="spellStart"/>
      <w:r w:rsidRPr="00B367C3">
        <w:t>ll</w:t>
      </w:r>
      <w:proofErr w:type="spellEnd"/>
      <w:r w:rsidRPr="00B367C3">
        <w:t>)</w:t>
      </w:r>
      <w:r w:rsidRPr="00B367C3">
        <w:tab/>
        <w:t xml:space="preserve">tenofovir with emtricitabine and </w:t>
      </w:r>
      <w:proofErr w:type="gramStart"/>
      <w:r w:rsidRPr="00B367C3">
        <w:t>efavirenz;</w:t>
      </w:r>
      <w:proofErr w:type="gramEnd"/>
    </w:p>
    <w:p w14:paraId="5E758E4E" w14:textId="3A769490" w:rsidR="003313CB" w:rsidRPr="00B367C3" w:rsidRDefault="003313CB" w:rsidP="00BC68A4">
      <w:pPr>
        <w:pStyle w:val="paragraph"/>
        <w:tabs>
          <w:tab w:val="clear" w:pos="1531"/>
          <w:tab w:val="left" w:pos="993"/>
        </w:tabs>
        <w:ind w:left="993"/>
      </w:pPr>
      <w:r w:rsidRPr="00B367C3">
        <w:tab/>
        <w:t>(mm)</w:t>
      </w:r>
      <w:r w:rsidR="00BC68A4" w:rsidRPr="00B367C3">
        <w:t xml:space="preserve"> </w:t>
      </w:r>
      <w:proofErr w:type="gramStart"/>
      <w:r w:rsidRPr="00B367C3">
        <w:t>tipranavir;</w:t>
      </w:r>
      <w:proofErr w:type="gramEnd"/>
    </w:p>
    <w:p w14:paraId="5EE12591" w14:textId="6723580B" w:rsidR="003313CB" w:rsidRPr="00B367C3" w:rsidRDefault="003313CB" w:rsidP="00BC68A4">
      <w:pPr>
        <w:pStyle w:val="paragraph"/>
        <w:tabs>
          <w:tab w:val="clear" w:pos="1531"/>
          <w:tab w:val="left" w:pos="993"/>
        </w:tabs>
        <w:ind w:left="993"/>
      </w:pPr>
      <w:r w:rsidRPr="00B367C3">
        <w:tab/>
        <w:t>(</w:t>
      </w:r>
      <w:proofErr w:type="spellStart"/>
      <w:r w:rsidRPr="00B367C3">
        <w:t>nn</w:t>
      </w:r>
      <w:proofErr w:type="spellEnd"/>
      <w:r w:rsidRPr="00B367C3">
        <w:t>)</w:t>
      </w:r>
      <w:r w:rsidRPr="00B367C3">
        <w:tab/>
      </w:r>
      <w:r w:rsidR="00BC68A4" w:rsidRPr="00B367C3">
        <w:t xml:space="preserve"> </w:t>
      </w:r>
      <w:proofErr w:type="gramStart"/>
      <w:r w:rsidRPr="00B367C3">
        <w:t>valganciclovir;</w:t>
      </w:r>
      <w:proofErr w:type="gramEnd"/>
    </w:p>
    <w:p w14:paraId="7E6B26B4" w14:textId="3A18C1B3" w:rsidR="003313CB" w:rsidRPr="00B367C3" w:rsidRDefault="003313CB" w:rsidP="00BC68A4">
      <w:pPr>
        <w:pStyle w:val="paragraph"/>
        <w:tabs>
          <w:tab w:val="clear" w:pos="1531"/>
          <w:tab w:val="left" w:pos="993"/>
        </w:tabs>
        <w:ind w:left="993"/>
      </w:pPr>
      <w:r w:rsidRPr="00B367C3">
        <w:tab/>
        <w:t>(oo)</w:t>
      </w:r>
      <w:r w:rsidRPr="00B367C3">
        <w:tab/>
        <w:t>zidovudine.</w:t>
      </w:r>
    </w:p>
    <w:p w14:paraId="607B2A36" w14:textId="1FEA1FFB" w:rsidR="009258DE" w:rsidRPr="00B367C3" w:rsidRDefault="009258DE" w:rsidP="008B6EBA">
      <w:pPr>
        <w:pStyle w:val="Amendment1"/>
        <w:numPr>
          <w:ilvl w:val="0"/>
          <w:numId w:val="31"/>
        </w:numPr>
        <w:ind w:left="567" w:hanging="567"/>
        <w:rPr>
          <w:bCs w:val="0"/>
          <w:iCs/>
        </w:rPr>
      </w:pPr>
      <w:r w:rsidRPr="00B367C3">
        <w:rPr>
          <w:bCs w:val="0"/>
          <w:iCs/>
        </w:rPr>
        <w:t>S</w:t>
      </w:r>
      <w:r w:rsidRPr="00B367C3">
        <w:t xml:space="preserve">chedule 1, entry for </w:t>
      </w:r>
      <w:bookmarkStart w:id="9" w:name="_Hlk98505039"/>
      <w:proofErr w:type="spellStart"/>
      <w:r w:rsidR="00EF53AA" w:rsidRPr="00B367C3">
        <w:t>Azacitidine</w:t>
      </w:r>
      <w:bookmarkEnd w:id="9"/>
      <w:proofErr w:type="spellEnd"/>
    </w:p>
    <w:p w14:paraId="700F31CE" w14:textId="7BB21E4E" w:rsidR="009258DE" w:rsidRPr="00B367C3" w:rsidRDefault="00EF53AA" w:rsidP="00E31513">
      <w:pPr>
        <w:spacing w:before="60" w:after="60" w:line="260" w:lineRule="exact"/>
        <w:ind w:left="1276" w:hanging="709"/>
      </w:pPr>
      <w:r w:rsidRPr="00B367C3">
        <w:rPr>
          <w:i/>
          <w:sz w:val="20"/>
        </w:rPr>
        <w:t>insert in the columns in the order indicated, and in alphabetical order for the column headed “Brand”</w:t>
      </w:r>
      <w:r w:rsidR="009258DE" w:rsidRPr="00B367C3">
        <w:rPr>
          <w:i/>
        </w:rPr>
        <w: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EF53AA" w:rsidRPr="00B367C3" w14:paraId="1F0BF6E9" w14:textId="77777777" w:rsidTr="006E60F4">
        <w:tc>
          <w:tcPr>
            <w:tcW w:w="1701" w:type="dxa"/>
          </w:tcPr>
          <w:p w14:paraId="392CD9C9" w14:textId="77777777" w:rsidR="00EF53AA" w:rsidRPr="00B367C3" w:rsidRDefault="00EF53AA" w:rsidP="00EF53AA">
            <w:pPr>
              <w:widowControl w:val="0"/>
              <w:spacing w:before="60" w:after="60" w:line="240" w:lineRule="auto"/>
              <w:rPr>
                <w:rFonts w:cs="Arial"/>
                <w:szCs w:val="16"/>
              </w:rPr>
            </w:pPr>
          </w:p>
        </w:tc>
        <w:tc>
          <w:tcPr>
            <w:tcW w:w="3402" w:type="dxa"/>
          </w:tcPr>
          <w:p w14:paraId="08ABBFC7" w14:textId="77777777" w:rsidR="00EF53AA" w:rsidRPr="00B367C3" w:rsidRDefault="00EF53AA" w:rsidP="00EF53AA">
            <w:pPr>
              <w:widowControl w:val="0"/>
              <w:spacing w:before="60" w:after="60" w:line="240" w:lineRule="auto"/>
              <w:rPr>
                <w:rFonts w:ascii="Arial" w:hAnsi="Arial" w:cs="Arial"/>
                <w:sz w:val="16"/>
                <w:szCs w:val="16"/>
                <w:lang w:eastAsia="en-AU"/>
              </w:rPr>
            </w:pPr>
          </w:p>
        </w:tc>
        <w:tc>
          <w:tcPr>
            <w:tcW w:w="1417" w:type="dxa"/>
          </w:tcPr>
          <w:p w14:paraId="3FE8DAE8" w14:textId="77777777" w:rsidR="00EF53AA" w:rsidRPr="00B367C3" w:rsidRDefault="00EF53AA" w:rsidP="00EF53AA">
            <w:pPr>
              <w:widowControl w:val="0"/>
              <w:spacing w:before="60" w:after="60" w:line="240" w:lineRule="auto"/>
              <w:rPr>
                <w:rFonts w:ascii="Arial" w:hAnsi="Arial" w:cs="Arial"/>
                <w:sz w:val="16"/>
                <w:szCs w:val="16"/>
                <w:lang w:eastAsia="en-AU"/>
              </w:rPr>
            </w:pPr>
          </w:p>
        </w:tc>
        <w:tc>
          <w:tcPr>
            <w:tcW w:w="1701" w:type="dxa"/>
          </w:tcPr>
          <w:p w14:paraId="6322D729" w14:textId="7CC22677" w:rsidR="00EF53AA" w:rsidRPr="00B367C3" w:rsidRDefault="00EF53AA" w:rsidP="00EF53AA">
            <w:pPr>
              <w:widowControl w:val="0"/>
              <w:spacing w:before="60" w:after="60" w:line="240" w:lineRule="auto"/>
              <w:rPr>
                <w:rFonts w:ascii="Arial" w:hAnsi="Arial" w:cs="Arial"/>
                <w:sz w:val="16"/>
                <w:szCs w:val="16"/>
                <w:lang w:eastAsia="en-AU"/>
              </w:rPr>
            </w:pPr>
            <w:proofErr w:type="spellStart"/>
            <w:r w:rsidRPr="00B367C3">
              <w:rPr>
                <w:rFonts w:ascii="Arial" w:eastAsia="Arial" w:hAnsi="Arial" w:cs="Arial"/>
                <w:sz w:val="16"/>
                <w:szCs w:val="16"/>
                <w:lang w:eastAsia="en-AU"/>
              </w:rPr>
              <w:t>Azacitidine</w:t>
            </w:r>
            <w:proofErr w:type="spellEnd"/>
            <w:r w:rsidRPr="00B367C3">
              <w:rPr>
                <w:rFonts w:ascii="Arial" w:eastAsia="Arial" w:hAnsi="Arial" w:cs="Arial"/>
                <w:sz w:val="16"/>
                <w:szCs w:val="16"/>
                <w:lang w:eastAsia="en-AU"/>
              </w:rPr>
              <w:t xml:space="preserve"> MSN</w:t>
            </w:r>
          </w:p>
        </w:tc>
        <w:tc>
          <w:tcPr>
            <w:tcW w:w="1417" w:type="dxa"/>
          </w:tcPr>
          <w:p w14:paraId="4AA53AC7" w14:textId="3F4AAF59" w:rsidR="00EF53AA" w:rsidRPr="00B367C3" w:rsidRDefault="00EF53AA" w:rsidP="00EF53AA">
            <w:pPr>
              <w:widowControl w:val="0"/>
              <w:spacing w:before="60" w:after="60" w:line="240" w:lineRule="auto"/>
              <w:rPr>
                <w:rFonts w:ascii="Arial" w:hAnsi="Arial" w:cs="Arial"/>
                <w:sz w:val="16"/>
                <w:szCs w:val="16"/>
                <w:lang w:eastAsia="en-AU"/>
              </w:rPr>
            </w:pPr>
            <w:r w:rsidRPr="00B367C3">
              <w:rPr>
                <w:rFonts w:ascii="Arial" w:hAnsi="Arial" w:cs="Arial"/>
                <w:sz w:val="16"/>
                <w:szCs w:val="16"/>
              </w:rPr>
              <w:t>C6132 C6143 C6144 C6177 C6186 C6199 C12439</w:t>
            </w:r>
          </w:p>
        </w:tc>
        <w:tc>
          <w:tcPr>
            <w:tcW w:w="1417" w:type="dxa"/>
          </w:tcPr>
          <w:p w14:paraId="3FCCB9F0" w14:textId="77777777" w:rsidR="00EF53AA" w:rsidRPr="00B367C3" w:rsidRDefault="00EF53AA" w:rsidP="00EF53AA">
            <w:pPr>
              <w:widowControl w:val="0"/>
              <w:spacing w:before="60" w:after="60" w:line="240" w:lineRule="auto"/>
              <w:rPr>
                <w:rFonts w:ascii="Arial" w:hAnsi="Arial" w:cs="Arial"/>
                <w:sz w:val="16"/>
                <w:szCs w:val="16"/>
                <w:lang w:eastAsia="en-AU"/>
              </w:rPr>
            </w:pPr>
          </w:p>
        </w:tc>
        <w:tc>
          <w:tcPr>
            <w:tcW w:w="1417" w:type="dxa"/>
          </w:tcPr>
          <w:p w14:paraId="2C05F744" w14:textId="2F35B696" w:rsidR="00EF53AA" w:rsidRPr="00B367C3" w:rsidRDefault="00EF53AA" w:rsidP="00EF53AA">
            <w:pPr>
              <w:widowControl w:val="0"/>
              <w:spacing w:before="60" w:after="60" w:line="240" w:lineRule="auto"/>
              <w:rPr>
                <w:rFonts w:ascii="Arial" w:hAnsi="Arial" w:cs="Arial"/>
                <w:sz w:val="16"/>
                <w:szCs w:val="16"/>
                <w:lang w:eastAsia="en-AU"/>
              </w:rPr>
            </w:pPr>
            <w:r w:rsidRPr="00B367C3">
              <w:rPr>
                <w:rFonts w:ascii="Arial" w:hAnsi="Arial" w:cs="Arial"/>
                <w:sz w:val="16"/>
                <w:szCs w:val="16"/>
              </w:rPr>
              <w:t>See Schedule 2</w:t>
            </w:r>
          </w:p>
        </w:tc>
        <w:tc>
          <w:tcPr>
            <w:tcW w:w="1417" w:type="dxa"/>
          </w:tcPr>
          <w:p w14:paraId="7BEBC5B0" w14:textId="3AAA5662" w:rsidR="00EF53AA" w:rsidRPr="00B367C3" w:rsidRDefault="00EF53AA" w:rsidP="00EF53AA">
            <w:pPr>
              <w:widowControl w:val="0"/>
              <w:spacing w:before="60" w:after="60" w:line="240" w:lineRule="auto"/>
              <w:rPr>
                <w:rFonts w:ascii="Arial" w:hAnsi="Arial" w:cs="Arial"/>
                <w:sz w:val="16"/>
                <w:szCs w:val="16"/>
                <w:lang w:eastAsia="en-AU"/>
              </w:rPr>
            </w:pPr>
            <w:r w:rsidRPr="00B367C3">
              <w:rPr>
                <w:rFonts w:ascii="Arial" w:hAnsi="Arial" w:cs="Arial"/>
                <w:sz w:val="16"/>
                <w:szCs w:val="16"/>
              </w:rPr>
              <w:t>See Schedule 2</w:t>
            </w:r>
          </w:p>
        </w:tc>
      </w:tr>
    </w:tbl>
    <w:p w14:paraId="7F990E2F" w14:textId="73488181" w:rsidR="00F50F16" w:rsidRPr="00B367C3" w:rsidRDefault="00F50F16" w:rsidP="00F50F16">
      <w:pPr>
        <w:pStyle w:val="Amendment1"/>
        <w:numPr>
          <w:ilvl w:val="0"/>
          <w:numId w:val="31"/>
        </w:numPr>
        <w:ind w:left="567" w:hanging="567"/>
        <w:rPr>
          <w:b w:val="0"/>
          <w:bCs w:val="0"/>
          <w:sz w:val="24"/>
          <w:szCs w:val="24"/>
        </w:rPr>
      </w:pPr>
      <w:r w:rsidRPr="00B367C3">
        <w:t xml:space="preserve">Schedule </w:t>
      </w:r>
      <w:r w:rsidR="00E20BFB" w:rsidRPr="00B367C3">
        <w:t>1</w:t>
      </w:r>
      <w:r w:rsidRPr="00B367C3">
        <w:t xml:space="preserve">, </w:t>
      </w:r>
      <w:r w:rsidR="00EF53AA" w:rsidRPr="00B367C3">
        <w:t xml:space="preserve">after </w:t>
      </w:r>
      <w:r w:rsidRPr="00B367C3">
        <w:t xml:space="preserve">entry for </w:t>
      </w:r>
      <w:proofErr w:type="spellStart"/>
      <w:r w:rsidR="00EF53AA" w:rsidRPr="00B367C3">
        <w:t>Bosentan</w:t>
      </w:r>
      <w:proofErr w:type="spellEnd"/>
      <w:r w:rsidR="00EF53AA" w:rsidRPr="00B367C3">
        <w:t xml:space="preserve"> in the form Tablet 125 mg (as monohydrate)</w:t>
      </w:r>
    </w:p>
    <w:p w14:paraId="2DC21118" w14:textId="3682B662" w:rsidR="00F50F16" w:rsidRPr="00B367C3" w:rsidRDefault="00F50F16" w:rsidP="00F50F16">
      <w:pPr>
        <w:pStyle w:val="Amendment1"/>
        <w:tabs>
          <w:tab w:val="clear" w:pos="794"/>
        </w:tabs>
        <w:spacing w:before="60" w:after="60"/>
        <w:ind w:left="567" w:firstLine="0"/>
        <w:rPr>
          <w:rFonts w:ascii="Times New Roman" w:hAnsi="Times New Roman" w:cs="Times New Roman"/>
          <w:b w:val="0"/>
          <w:i/>
        </w:rPr>
      </w:pPr>
      <w:r w:rsidRPr="00B367C3">
        <w:rPr>
          <w:rFonts w:ascii="Times New Roman" w:hAnsi="Times New Roman" w:cs="Times New Roman"/>
          <w:b w:val="0"/>
          <w:i/>
        </w:rPr>
        <w:t>inser</w:t>
      </w:r>
      <w:r w:rsidR="00EF53AA" w:rsidRPr="00B367C3">
        <w:rPr>
          <w:rFonts w:ascii="Times New Roman" w:hAnsi="Times New Roman" w:cs="Times New Roman"/>
          <w:b w:val="0"/>
          <w:i/>
        </w:rPr>
        <w:t>t</w:t>
      </w:r>
      <w:r w:rsidRPr="00B367C3">
        <w:rPr>
          <w:rFonts w:ascii="Times New Roman" w:hAnsi="Times New Roman" w:cs="Times New Roman"/>
          <w:b w:val="0"/>
          <w:i/>
        </w:rPr>
        <w: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E20BFB" w:rsidRPr="00B367C3" w14:paraId="7E78BF03" w14:textId="77777777" w:rsidTr="00416A8C">
        <w:tc>
          <w:tcPr>
            <w:tcW w:w="1701" w:type="dxa"/>
          </w:tcPr>
          <w:p w14:paraId="5F271CDD" w14:textId="647323C6" w:rsidR="00E20BFB" w:rsidRPr="00B367C3" w:rsidRDefault="00E20BFB" w:rsidP="00E20BFB">
            <w:pPr>
              <w:widowControl w:val="0"/>
              <w:spacing w:before="60" w:after="60" w:line="240" w:lineRule="auto"/>
              <w:rPr>
                <w:rFonts w:cs="Arial"/>
                <w:szCs w:val="16"/>
              </w:rPr>
            </w:pPr>
            <w:bookmarkStart w:id="10" w:name="_Hlk98504931"/>
            <w:r w:rsidRPr="00B367C3">
              <w:rPr>
                <w:rFonts w:ascii="Arial" w:eastAsia="Arial" w:hAnsi="Arial" w:cs="Arial"/>
                <w:sz w:val="16"/>
                <w:szCs w:val="16"/>
                <w:lang w:eastAsia="en-AU"/>
              </w:rPr>
              <w:t>Cabotegravir</w:t>
            </w:r>
            <w:bookmarkEnd w:id="10"/>
          </w:p>
        </w:tc>
        <w:tc>
          <w:tcPr>
            <w:tcW w:w="3402" w:type="dxa"/>
          </w:tcPr>
          <w:p w14:paraId="7A8B2AF0" w14:textId="30304516"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lang w:eastAsia="en-AU"/>
              </w:rPr>
              <w:t>Tablet 30 mg</w:t>
            </w:r>
          </w:p>
        </w:tc>
        <w:tc>
          <w:tcPr>
            <w:tcW w:w="1417" w:type="dxa"/>
          </w:tcPr>
          <w:p w14:paraId="47FB4587" w14:textId="46D734E2"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lang w:eastAsia="en-AU"/>
              </w:rPr>
              <w:t>Oral</w:t>
            </w:r>
          </w:p>
        </w:tc>
        <w:tc>
          <w:tcPr>
            <w:tcW w:w="1701" w:type="dxa"/>
          </w:tcPr>
          <w:p w14:paraId="0DA72E21" w14:textId="49149E6A" w:rsidR="00E20BFB" w:rsidRPr="00B367C3" w:rsidRDefault="00E20BFB" w:rsidP="00E20BFB">
            <w:pPr>
              <w:widowControl w:val="0"/>
              <w:spacing w:before="60" w:after="60" w:line="240" w:lineRule="auto"/>
              <w:rPr>
                <w:rFonts w:ascii="Arial" w:hAnsi="Arial" w:cs="Arial"/>
                <w:sz w:val="16"/>
                <w:szCs w:val="16"/>
                <w:lang w:eastAsia="en-AU"/>
              </w:rPr>
            </w:pPr>
            <w:proofErr w:type="spellStart"/>
            <w:r w:rsidRPr="00B367C3">
              <w:rPr>
                <w:rFonts w:ascii="Arial" w:eastAsia="Arial" w:hAnsi="Arial" w:cs="Arial"/>
                <w:sz w:val="16"/>
                <w:szCs w:val="16"/>
                <w:lang w:eastAsia="en-AU"/>
              </w:rPr>
              <w:t>Vocabria</w:t>
            </w:r>
            <w:proofErr w:type="spellEnd"/>
          </w:p>
        </w:tc>
        <w:tc>
          <w:tcPr>
            <w:tcW w:w="1417" w:type="dxa"/>
          </w:tcPr>
          <w:p w14:paraId="61A1528C" w14:textId="370E19F5"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lang w:eastAsia="en-AU"/>
              </w:rPr>
              <w:t>C12619</w:t>
            </w:r>
          </w:p>
        </w:tc>
        <w:tc>
          <w:tcPr>
            <w:tcW w:w="1417" w:type="dxa"/>
          </w:tcPr>
          <w:p w14:paraId="04E8A54C" w14:textId="77777777" w:rsidR="00E20BFB" w:rsidRPr="00B367C3" w:rsidRDefault="00E20BFB" w:rsidP="00E20BFB">
            <w:pPr>
              <w:widowControl w:val="0"/>
              <w:spacing w:before="60" w:after="60" w:line="240" w:lineRule="auto"/>
              <w:rPr>
                <w:rFonts w:ascii="Arial" w:hAnsi="Arial" w:cs="Arial"/>
                <w:sz w:val="16"/>
                <w:szCs w:val="16"/>
                <w:lang w:eastAsia="en-AU"/>
              </w:rPr>
            </w:pPr>
          </w:p>
        </w:tc>
        <w:tc>
          <w:tcPr>
            <w:tcW w:w="1417" w:type="dxa"/>
          </w:tcPr>
          <w:p w14:paraId="6C19FF51" w14:textId="3306907D"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hAnsi="Arial" w:cs="Arial"/>
                <w:sz w:val="16"/>
                <w:szCs w:val="16"/>
              </w:rPr>
              <w:t>30</w:t>
            </w:r>
          </w:p>
        </w:tc>
        <w:tc>
          <w:tcPr>
            <w:tcW w:w="1417" w:type="dxa"/>
          </w:tcPr>
          <w:p w14:paraId="3C64B4CC" w14:textId="1DE1E600"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hAnsi="Arial" w:cs="Arial"/>
                <w:sz w:val="16"/>
                <w:szCs w:val="16"/>
              </w:rPr>
              <w:t>0</w:t>
            </w:r>
          </w:p>
        </w:tc>
      </w:tr>
    </w:tbl>
    <w:p w14:paraId="3E824A9D" w14:textId="690914C6" w:rsidR="00E20BFB" w:rsidRPr="00B367C3" w:rsidRDefault="00E20BFB" w:rsidP="00E20BFB">
      <w:pPr>
        <w:pStyle w:val="Amendment1"/>
        <w:numPr>
          <w:ilvl w:val="0"/>
          <w:numId w:val="31"/>
        </w:numPr>
        <w:ind w:left="567" w:hanging="567"/>
        <w:rPr>
          <w:b w:val="0"/>
          <w:bCs w:val="0"/>
          <w:sz w:val="24"/>
          <w:szCs w:val="24"/>
        </w:rPr>
      </w:pPr>
      <w:r w:rsidRPr="00B367C3">
        <w:t xml:space="preserve">Schedule 1, after entry for </w:t>
      </w:r>
      <w:r w:rsidRPr="00B367C3">
        <w:rPr>
          <w:rFonts w:eastAsia="Arial"/>
        </w:rPr>
        <w:t>Cabotegravir</w:t>
      </w:r>
    </w:p>
    <w:p w14:paraId="27754C64" w14:textId="77777777" w:rsidR="00E20BFB" w:rsidRPr="00B367C3" w:rsidRDefault="00E20BFB" w:rsidP="00E20BFB">
      <w:pPr>
        <w:pStyle w:val="Amendment1"/>
        <w:tabs>
          <w:tab w:val="clear" w:pos="794"/>
        </w:tabs>
        <w:spacing w:before="60" w:after="60"/>
        <w:ind w:left="567" w:firstLine="0"/>
        <w:rPr>
          <w:rFonts w:ascii="Times New Roman" w:hAnsi="Times New Roman" w:cs="Times New Roman"/>
          <w:b w:val="0"/>
          <w:i/>
        </w:rPr>
      </w:pPr>
      <w:r w:rsidRPr="00B367C3">
        <w:rPr>
          <w:rFonts w:ascii="Times New Roman" w:hAnsi="Times New Roman" w:cs="Times New Roman"/>
          <w:b w:val="0"/>
          <w:i/>
        </w:rPr>
        <w:t>insert: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E20BFB" w:rsidRPr="00B367C3" w14:paraId="51011B2A" w14:textId="77777777" w:rsidTr="00416A8C">
        <w:tc>
          <w:tcPr>
            <w:tcW w:w="1701" w:type="dxa"/>
          </w:tcPr>
          <w:p w14:paraId="5A006C9F" w14:textId="29AC28CF" w:rsidR="00E20BFB" w:rsidRPr="00B367C3" w:rsidRDefault="00E20BFB" w:rsidP="00E20BFB">
            <w:pPr>
              <w:widowControl w:val="0"/>
              <w:spacing w:before="60" w:after="60" w:line="240" w:lineRule="auto"/>
              <w:rPr>
                <w:rFonts w:cs="Arial"/>
                <w:szCs w:val="16"/>
              </w:rPr>
            </w:pPr>
            <w:bookmarkStart w:id="11" w:name="_Hlk98504942"/>
            <w:r w:rsidRPr="00B367C3">
              <w:rPr>
                <w:rFonts w:ascii="Arial" w:eastAsia="Arial" w:hAnsi="Arial" w:cs="Arial"/>
                <w:sz w:val="16"/>
                <w:szCs w:val="16"/>
                <w:lang w:eastAsia="en-AU"/>
              </w:rPr>
              <w:t xml:space="preserve">Cabotegravir and </w:t>
            </w:r>
            <w:proofErr w:type="spellStart"/>
            <w:r w:rsidRPr="00B367C3">
              <w:rPr>
                <w:rFonts w:ascii="Arial" w:eastAsia="Arial" w:hAnsi="Arial" w:cs="Arial"/>
                <w:sz w:val="16"/>
                <w:szCs w:val="16"/>
                <w:lang w:eastAsia="en-AU"/>
              </w:rPr>
              <w:t>rilpivirine</w:t>
            </w:r>
            <w:bookmarkEnd w:id="11"/>
            <w:proofErr w:type="spellEnd"/>
          </w:p>
        </w:tc>
        <w:tc>
          <w:tcPr>
            <w:tcW w:w="3402" w:type="dxa"/>
          </w:tcPr>
          <w:p w14:paraId="5D53F6DD" w14:textId="4CA6526F"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lang w:eastAsia="en-AU"/>
              </w:rPr>
              <w:t xml:space="preserve">Pack containing 1 vial cabotegravir 600 mg in 3 mL and 1 vial </w:t>
            </w:r>
            <w:proofErr w:type="spellStart"/>
            <w:r w:rsidRPr="00B367C3">
              <w:rPr>
                <w:rFonts w:ascii="Arial" w:eastAsia="Arial" w:hAnsi="Arial" w:cs="Arial"/>
                <w:sz w:val="16"/>
                <w:szCs w:val="16"/>
                <w:lang w:eastAsia="en-AU"/>
              </w:rPr>
              <w:t>rilpivirine</w:t>
            </w:r>
            <w:proofErr w:type="spellEnd"/>
            <w:r w:rsidRPr="00B367C3">
              <w:rPr>
                <w:rFonts w:ascii="Arial" w:eastAsia="Arial" w:hAnsi="Arial" w:cs="Arial"/>
                <w:sz w:val="16"/>
                <w:szCs w:val="16"/>
                <w:lang w:eastAsia="en-AU"/>
              </w:rPr>
              <w:t xml:space="preserve"> 900 mg in 3mL</w:t>
            </w:r>
          </w:p>
        </w:tc>
        <w:tc>
          <w:tcPr>
            <w:tcW w:w="1417" w:type="dxa"/>
          </w:tcPr>
          <w:p w14:paraId="793253B9" w14:textId="23B53FDF"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lang w:eastAsia="en-AU"/>
              </w:rPr>
              <w:t>Injection</w:t>
            </w:r>
          </w:p>
        </w:tc>
        <w:tc>
          <w:tcPr>
            <w:tcW w:w="1701" w:type="dxa"/>
          </w:tcPr>
          <w:p w14:paraId="1AC2DF70" w14:textId="7B6015CA" w:rsidR="00E20BFB" w:rsidRPr="00B367C3" w:rsidRDefault="00E20BFB" w:rsidP="00E20BFB">
            <w:pPr>
              <w:widowControl w:val="0"/>
              <w:spacing w:before="60" w:after="60" w:line="240" w:lineRule="auto"/>
              <w:rPr>
                <w:rFonts w:ascii="Arial" w:hAnsi="Arial" w:cs="Arial"/>
                <w:sz w:val="16"/>
                <w:szCs w:val="16"/>
                <w:lang w:eastAsia="en-AU"/>
              </w:rPr>
            </w:pPr>
            <w:proofErr w:type="spellStart"/>
            <w:r w:rsidRPr="00B367C3">
              <w:rPr>
                <w:rFonts w:ascii="Arial" w:eastAsia="Arial" w:hAnsi="Arial" w:cs="Arial"/>
                <w:sz w:val="16"/>
                <w:szCs w:val="16"/>
                <w:lang w:eastAsia="en-AU"/>
              </w:rPr>
              <w:t>Cabenuva</w:t>
            </w:r>
            <w:proofErr w:type="spellEnd"/>
          </w:p>
        </w:tc>
        <w:tc>
          <w:tcPr>
            <w:tcW w:w="1417" w:type="dxa"/>
          </w:tcPr>
          <w:p w14:paraId="41028FA6" w14:textId="3030E709"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lang w:eastAsia="en-AU"/>
              </w:rPr>
              <w:t>C12636</w:t>
            </w:r>
          </w:p>
        </w:tc>
        <w:tc>
          <w:tcPr>
            <w:tcW w:w="1417" w:type="dxa"/>
          </w:tcPr>
          <w:p w14:paraId="1A4DA37B" w14:textId="77777777" w:rsidR="00E20BFB" w:rsidRPr="00B367C3" w:rsidRDefault="00E20BFB" w:rsidP="00E20BFB">
            <w:pPr>
              <w:widowControl w:val="0"/>
              <w:spacing w:before="60" w:after="60" w:line="240" w:lineRule="auto"/>
              <w:rPr>
                <w:rFonts w:ascii="Arial" w:hAnsi="Arial" w:cs="Arial"/>
                <w:sz w:val="16"/>
                <w:szCs w:val="16"/>
                <w:lang w:eastAsia="en-AU"/>
              </w:rPr>
            </w:pPr>
          </w:p>
        </w:tc>
        <w:tc>
          <w:tcPr>
            <w:tcW w:w="1417" w:type="dxa"/>
          </w:tcPr>
          <w:p w14:paraId="2F8566CC" w14:textId="5F1C1976"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hAnsi="Arial" w:cs="Arial"/>
                <w:sz w:val="16"/>
                <w:szCs w:val="16"/>
              </w:rPr>
              <w:t>1</w:t>
            </w:r>
          </w:p>
        </w:tc>
        <w:tc>
          <w:tcPr>
            <w:tcW w:w="1417" w:type="dxa"/>
          </w:tcPr>
          <w:p w14:paraId="2BC57408" w14:textId="5409B1DC"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hAnsi="Arial" w:cs="Arial"/>
                <w:sz w:val="16"/>
                <w:szCs w:val="16"/>
              </w:rPr>
              <w:t>5</w:t>
            </w:r>
          </w:p>
        </w:tc>
      </w:tr>
    </w:tbl>
    <w:p w14:paraId="113396AB" w14:textId="2FCADD47" w:rsidR="00E20BFB" w:rsidRPr="00B367C3" w:rsidRDefault="00E20BFB" w:rsidP="00E20BFB">
      <w:pPr>
        <w:pStyle w:val="Amendment1"/>
        <w:numPr>
          <w:ilvl w:val="0"/>
          <w:numId w:val="31"/>
        </w:numPr>
        <w:ind w:left="567" w:hanging="567"/>
        <w:rPr>
          <w:b w:val="0"/>
          <w:bCs w:val="0"/>
          <w:sz w:val="24"/>
          <w:szCs w:val="24"/>
        </w:rPr>
      </w:pPr>
      <w:r w:rsidRPr="00B367C3">
        <w:t>Schedule 1, after entry for Efavirenz in the form Tablet 600 mg</w:t>
      </w:r>
    </w:p>
    <w:p w14:paraId="0327C96F" w14:textId="77777777" w:rsidR="00E20BFB" w:rsidRPr="00B367C3" w:rsidRDefault="00E20BFB" w:rsidP="00E20BFB">
      <w:pPr>
        <w:pStyle w:val="Amendment1"/>
        <w:tabs>
          <w:tab w:val="clear" w:pos="794"/>
        </w:tabs>
        <w:spacing w:before="60" w:after="60"/>
        <w:ind w:left="567" w:firstLine="0"/>
        <w:rPr>
          <w:rFonts w:ascii="Times New Roman" w:hAnsi="Times New Roman" w:cs="Times New Roman"/>
          <w:b w:val="0"/>
          <w:i/>
        </w:rPr>
      </w:pPr>
      <w:r w:rsidRPr="00B367C3">
        <w:rPr>
          <w:rFonts w:ascii="Times New Roman" w:hAnsi="Times New Roman" w:cs="Times New Roman"/>
          <w:b w:val="0"/>
          <w:i/>
        </w:rPr>
        <w:t>insert: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E20BFB" w:rsidRPr="00B367C3" w14:paraId="77A1E3FA" w14:textId="77777777" w:rsidTr="00416A8C">
        <w:tc>
          <w:tcPr>
            <w:tcW w:w="1701" w:type="dxa"/>
          </w:tcPr>
          <w:p w14:paraId="28675A5A" w14:textId="76D78228" w:rsidR="00E20BFB" w:rsidRPr="00B367C3" w:rsidRDefault="00E20BFB" w:rsidP="00E20BFB">
            <w:pPr>
              <w:widowControl w:val="0"/>
              <w:spacing w:before="60" w:after="60" w:line="240" w:lineRule="auto"/>
              <w:rPr>
                <w:rFonts w:cs="Arial"/>
                <w:szCs w:val="16"/>
              </w:rPr>
            </w:pPr>
            <w:bookmarkStart w:id="12" w:name="_Hlk98504954"/>
            <w:proofErr w:type="spellStart"/>
            <w:r w:rsidRPr="00B367C3">
              <w:rPr>
                <w:rFonts w:ascii="Arial" w:eastAsia="Arial" w:hAnsi="Arial" w:cs="Arial"/>
                <w:sz w:val="16"/>
                <w:szCs w:val="10"/>
                <w:lang w:eastAsia="en-AU"/>
              </w:rPr>
              <w:t>Elexacaftor</w:t>
            </w:r>
            <w:proofErr w:type="spellEnd"/>
            <w:r w:rsidRPr="00B367C3">
              <w:rPr>
                <w:rFonts w:ascii="Arial" w:eastAsia="Arial" w:hAnsi="Arial" w:cs="Arial"/>
                <w:sz w:val="16"/>
                <w:szCs w:val="10"/>
                <w:lang w:eastAsia="en-AU"/>
              </w:rPr>
              <w:t xml:space="preserve"> with </w:t>
            </w:r>
            <w:proofErr w:type="spellStart"/>
            <w:r w:rsidRPr="00B367C3">
              <w:rPr>
                <w:rFonts w:ascii="Arial" w:eastAsia="Arial" w:hAnsi="Arial" w:cs="Arial"/>
                <w:sz w:val="16"/>
                <w:szCs w:val="10"/>
                <w:lang w:eastAsia="en-AU"/>
              </w:rPr>
              <w:t>tezacaftor</w:t>
            </w:r>
            <w:proofErr w:type="spellEnd"/>
            <w:r w:rsidRPr="00B367C3">
              <w:rPr>
                <w:rFonts w:ascii="Arial" w:eastAsia="Arial" w:hAnsi="Arial" w:cs="Arial"/>
                <w:sz w:val="16"/>
                <w:szCs w:val="10"/>
                <w:lang w:eastAsia="en-AU"/>
              </w:rPr>
              <w:t xml:space="preserve"> and with ivacaftor, and ivacaftor</w:t>
            </w:r>
            <w:bookmarkEnd w:id="12"/>
          </w:p>
        </w:tc>
        <w:tc>
          <w:tcPr>
            <w:tcW w:w="3402" w:type="dxa"/>
          </w:tcPr>
          <w:p w14:paraId="2001FCED" w14:textId="44A937E9"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0"/>
                <w:lang w:eastAsia="en-AU"/>
              </w:rPr>
              <w:t xml:space="preserve">Pack containing 56 tablets </w:t>
            </w:r>
            <w:proofErr w:type="spellStart"/>
            <w:r w:rsidRPr="00B367C3">
              <w:rPr>
                <w:rFonts w:ascii="Arial" w:eastAsia="Arial" w:hAnsi="Arial" w:cs="Arial"/>
                <w:sz w:val="16"/>
                <w:szCs w:val="10"/>
                <w:lang w:eastAsia="en-AU"/>
              </w:rPr>
              <w:t>elexacaftor</w:t>
            </w:r>
            <w:proofErr w:type="spellEnd"/>
            <w:r w:rsidRPr="00B367C3">
              <w:rPr>
                <w:rFonts w:ascii="Arial" w:eastAsia="Arial" w:hAnsi="Arial" w:cs="Arial"/>
                <w:sz w:val="16"/>
                <w:szCs w:val="10"/>
                <w:lang w:eastAsia="en-AU"/>
              </w:rPr>
              <w:t xml:space="preserve"> 100 mg with </w:t>
            </w:r>
            <w:proofErr w:type="spellStart"/>
            <w:r w:rsidRPr="00B367C3">
              <w:rPr>
                <w:rFonts w:ascii="Arial" w:eastAsia="Arial" w:hAnsi="Arial" w:cs="Arial"/>
                <w:sz w:val="16"/>
                <w:szCs w:val="10"/>
                <w:lang w:eastAsia="en-AU"/>
              </w:rPr>
              <w:t>tezacaftor</w:t>
            </w:r>
            <w:proofErr w:type="spellEnd"/>
            <w:r w:rsidRPr="00B367C3">
              <w:rPr>
                <w:rFonts w:ascii="Arial" w:eastAsia="Arial" w:hAnsi="Arial" w:cs="Arial"/>
                <w:sz w:val="16"/>
                <w:szCs w:val="10"/>
                <w:lang w:eastAsia="en-AU"/>
              </w:rPr>
              <w:t xml:space="preserve"> 50 mg and with ivacaftor 75 mg and 28 tablets ivacaftor 150 mg</w:t>
            </w:r>
          </w:p>
        </w:tc>
        <w:tc>
          <w:tcPr>
            <w:tcW w:w="1417" w:type="dxa"/>
          </w:tcPr>
          <w:p w14:paraId="0750CC7E" w14:textId="2AD2B765"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0"/>
                <w:lang w:eastAsia="en-AU"/>
              </w:rPr>
              <w:t>Oral</w:t>
            </w:r>
          </w:p>
        </w:tc>
        <w:tc>
          <w:tcPr>
            <w:tcW w:w="1701" w:type="dxa"/>
          </w:tcPr>
          <w:p w14:paraId="41C1C0AF" w14:textId="70D257AF" w:rsidR="00E20BFB" w:rsidRPr="00B367C3" w:rsidRDefault="00E20BFB" w:rsidP="00E20BFB">
            <w:pPr>
              <w:widowControl w:val="0"/>
              <w:spacing w:before="60" w:after="60" w:line="240" w:lineRule="auto"/>
              <w:rPr>
                <w:rFonts w:ascii="Arial" w:hAnsi="Arial" w:cs="Arial"/>
                <w:sz w:val="16"/>
                <w:szCs w:val="16"/>
                <w:lang w:eastAsia="en-AU"/>
              </w:rPr>
            </w:pPr>
            <w:proofErr w:type="spellStart"/>
            <w:r w:rsidRPr="00B367C3">
              <w:rPr>
                <w:rFonts w:ascii="Arial" w:eastAsia="Arial" w:hAnsi="Arial" w:cs="Arial"/>
                <w:sz w:val="16"/>
                <w:szCs w:val="10"/>
                <w:lang w:eastAsia="en-AU"/>
              </w:rPr>
              <w:t>Trikafta</w:t>
            </w:r>
            <w:proofErr w:type="spellEnd"/>
          </w:p>
        </w:tc>
        <w:tc>
          <w:tcPr>
            <w:tcW w:w="1417" w:type="dxa"/>
          </w:tcPr>
          <w:p w14:paraId="4109DB48" w14:textId="507AC50A"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0"/>
                <w:lang w:eastAsia="en-AU"/>
              </w:rPr>
              <w:t>C12618 C12626</w:t>
            </w:r>
          </w:p>
        </w:tc>
        <w:tc>
          <w:tcPr>
            <w:tcW w:w="1417" w:type="dxa"/>
          </w:tcPr>
          <w:p w14:paraId="322E2D9A" w14:textId="77777777" w:rsidR="00E20BFB" w:rsidRPr="00B367C3" w:rsidRDefault="00E20BFB" w:rsidP="00E20BFB">
            <w:pPr>
              <w:widowControl w:val="0"/>
              <w:spacing w:before="60" w:after="60" w:line="240" w:lineRule="auto"/>
              <w:rPr>
                <w:rFonts w:ascii="Arial" w:hAnsi="Arial" w:cs="Arial"/>
                <w:sz w:val="16"/>
                <w:szCs w:val="16"/>
                <w:lang w:eastAsia="en-AU"/>
              </w:rPr>
            </w:pPr>
          </w:p>
        </w:tc>
        <w:tc>
          <w:tcPr>
            <w:tcW w:w="1417" w:type="dxa"/>
          </w:tcPr>
          <w:p w14:paraId="30983B9F" w14:textId="10E60334"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hAnsi="Arial" w:cs="Arial"/>
                <w:sz w:val="16"/>
                <w:szCs w:val="16"/>
              </w:rPr>
              <w:t>See Schedule 2</w:t>
            </w:r>
          </w:p>
        </w:tc>
        <w:tc>
          <w:tcPr>
            <w:tcW w:w="1417" w:type="dxa"/>
          </w:tcPr>
          <w:p w14:paraId="5B3411F6" w14:textId="63158AF3" w:rsidR="00E20BFB" w:rsidRPr="00B367C3" w:rsidRDefault="00E20BFB" w:rsidP="00E20BFB">
            <w:pPr>
              <w:widowControl w:val="0"/>
              <w:spacing w:before="60" w:after="60" w:line="240" w:lineRule="auto"/>
              <w:rPr>
                <w:rFonts w:ascii="Arial" w:hAnsi="Arial" w:cs="Arial"/>
                <w:sz w:val="16"/>
                <w:szCs w:val="16"/>
                <w:lang w:eastAsia="en-AU"/>
              </w:rPr>
            </w:pPr>
            <w:r w:rsidRPr="00B367C3">
              <w:rPr>
                <w:rFonts w:ascii="Arial" w:hAnsi="Arial" w:cs="Arial"/>
                <w:sz w:val="16"/>
                <w:szCs w:val="16"/>
              </w:rPr>
              <w:t>See Schedule 2</w:t>
            </w:r>
          </w:p>
        </w:tc>
      </w:tr>
    </w:tbl>
    <w:p w14:paraId="2BF1EF08" w14:textId="02262B9A" w:rsidR="00E20BFB" w:rsidRPr="00B367C3" w:rsidRDefault="00E20BFB" w:rsidP="00F50F16">
      <w:pPr>
        <w:pStyle w:val="Amendment1"/>
        <w:numPr>
          <w:ilvl w:val="0"/>
          <w:numId w:val="31"/>
        </w:numPr>
        <w:ind w:left="567" w:hanging="567"/>
        <w:rPr>
          <w:bCs w:val="0"/>
          <w:iCs/>
        </w:rPr>
      </w:pPr>
      <w:r w:rsidRPr="00B367C3">
        <w:t xml:space="preserve">Schedule 1, entry for </w:t>
      </w:r>
      <w:bookmarkStart w:id="13" w:name="_Hlk98505112"/>
      <w:r w:rsidRPr="00B367C3">
        <w:t>Ivacaftor</w:t>
      </w:r>
      <w:r w:rsidRPr="00B367C3">
        <w:rPr>
          <w:sz w:val="24"/>
          <w:szCs w:val="24"/>
        </w:rPr>
        <w:t xml:space="preserve"> </w:t>
      </w:r>
      <w:bookmarkEnd w:id="13"/>
      <w:r w:rsidRPr="00B367C3">
        <w:t xml:space="preserve">in each of the forms: Sachet containing granules 50 mg; Sachet containing granules 75 mg; and Tablet </w:t>
      </w:r>
      <w:r w:rsidRPr="00B367C3">
        <w:br/>
        <w:t>150 mg</w:t>
      </w:r>
    </w:p>
    <w:p w14:paraId="667A16FF" w14:textId="61CB0953" w:rsidR="00A775DB" w:rsidRPr="00B367C3" w:rsidRDefault="00A775DB" w:rsidP="00A775DB">
      <w:pPr>
        <w:spacing w:before="60" w:after="60"/>
        <w:ind w:firstLine="567"/>
        <w:rPr>
          <w:rFonts w:ascii="Arial" w:hAnsi="Arial" w:cs="Arial"/>
          <w:b/>
          <w:sz w:val="20"/>
        </w:rPr>
      </w:pPr>
      <w:r w:rsidRPr="00B367C3">
        <w:rPr>
          <w:i/>
          <w:sz w:val="20"/>
        </w:rPr>
        <w:t>omit from the column headed “Circumstances”:</w:t>
      </w:r>
      <w:r w:rsidRPr="00B367C3">
        <w:rPr>
          <w:rFonts w:ascii="Arial" w:hAnsi="Arial" w:cs="Arial"/>
          <w:color w:val="FF0000"/>
          <w:sz w:val="16"/>
          <w:szCs w:val="16"/>
        </w:rPr>
        <w:t xml:space="preserve"> </w:t>
      </w:r>
      <w:r w:rsidRPr="00B367C3">
        <w:rPr>
          <w:rFonts w:ascii="Arial" w:hAnsi="Arial" w:cs="Arial"/>
          <w:b/>
          <w:bCs/>
          <w:sz w:val="20"/>
        </w:rPr>
        <w:t>C9889 C9890</w:t>
      </w:r>
      <w:r w:rsidRPr="00B367C3">
        <w:rPr>
          <w:i/>
          <w:sz w:val="20"/>
        </w:rPr>
        <w:tab/>
      </w:r>
      <w:r w:rsidRPr="00B367C3">
        <w:rPr>
          <w:i/>
          <w:sz w:val="20"/>
        </w:rPr>
        <w:tab/>
        <w:t xml:space="preserve">substitute: </w:t>
      </w:r>
      <w:r w:rsidRPr="00B367C3">
        <w:rPr>
          <w:rFonts w:ascii="Arial" w:hAnsi="Arial" w:cs="Arial"/>
          <w:b/>
          <w:bCs/>
          <w:sz w:val="20"/>
        </w:rPr>
        <w:t>C12624 C12625</w:t>
      </w:r>
    </w:p>
    <w:p w14:paraId="7859FF35" w14:textId="77777777" w:rsidR="001D4D1D" w:rsidRPr="00B367C3" w:rsidRDefault="001D4D1D">
      <w:pPr>
        <w:spacing w:line="240" w:lineRule="auto"/>
        <w:rPr>
          <w:rFonts w:ascii="Arial" w:eastAsia="Times New Roman" w:hAnsi="Arial" w:cs="Arial"/>
          <w:b/>
          <w:bCs/>
          <w:sz w:val="20"/>
          <w:lang w:eastAsia="en-AU"/>
        </w:rPr>
      </w:pPr>
      <w:r w:rsidRPr="00B367C3">
        <w:br w:type="page"/>
      </w:r>
    </w:p>
    <w:p w14:paraId="6D096018" w14:textId="53E44C8F" w:rsidR="007635F4" w:rsidRPr="00B367C3" w:rsidRDefault="007635F4" w:rsidP="007635F4">
      <w:pPr>
        <w:pStyle w:val="Amendment1"/>
        <w:numPr>
          <w:ilvl w:val="0"/>
          <w:numId w:val="31"/>
        </w:numPr>
        <w:ind w:left="567" w:hanging="567"/>
        <w:rPr>
          <w:bCs w:val="0"/>
          <w:iCs/>
          <w:sz w:val="24"/>
          <w:szCs w:val="24"/>
        </w:rPr>
      </w:pPr>
      <w:r w:rsidRPr="00B367C3">
        <w:lastRenderedPageBreak/>
        <w:t xml:space="preserve">Schedule 1, entry for </w:t>
      </w:r>
      <w:bookmarkStart w:id="14" w:name="_Hlk98505124"/>
      <w:r w:rsidRPr="00B367C3">
        <w:t>Lumacaftor with ivacaftor</w:t>
      </w:r>
      <w:r w:rsidRPr="00B367C3">
        <w:rPr>
          <w:sz w:val="24"/>
          <w:szCs w:val="24"/>
        </w:rPr>
        <w:t xml:space="preserve"> </w:t>
      </w:r>
      <w:bookmarkEnd w:id="14"/>
      <w:r w:rsidRPr="00B367C3">
        <w:t>in each of the forms: Sachet containing granules, lumacaftor 100 mg and ivacaftor 125 mg; and Sachet containing granules, lumacaftor 150 mg and ivacaftor 188 mg</w:t>
      </w:r>
    </w:p>
    <w:p w14:paraId="1BB8667E" w14:textId="267BC467" w:rsidR="007635F4" w:rsidRPr="00B367C3" w:rsidRDefault="007635F4" w:rsidP="007635F4">
      <w:pPr>
        <w:spacing w:before="60" w:after="60"/>
        <w:ind w:firstLine="567"/>
        <w:rPr>
          <w:rFonts w:ascii="Arial" w:hAnsi="Arial" w:cs="Arial"/>
          <w:b/>
          <w:sz w:val="20"/>
        </w:rPr>
      </w:pPr>
      <w:r w:rsidRPr="00B367C3">
        <w:rPr>
          <w:i/>
          <w:sz w:val="20"/>
        </w:rPr>
        <w:t xml:space="preserve">omit from the column headed “Circumstances”: </w:t>
      </w:r>
      <w:r w:rsidRPr="00B367C3">
        <w:rPr>
          <w:rFonts w:ascii="Arial" w:hAnsi="Arial" w:cs="Arial"/>
          <w:b/>
          <w:bCs/>
          <w:sz w:val="20"/>
        </w:rPr>
        <w:t>C10005 C10007</w:t>
      </w:r>
      <w:r w:rsidRPr="00B367C3">
        <w:rPr>
          <w:i/>
          <w:sz w:val="20"/>
        </w:rPr>
        <w:tab/>
        <w:t xml:space="preserve">substitute: </w:t>
      </w:r>
      <w:r w:rsidRPr="00B367C3">
        <w:rPr>
          <w:rFonts w:ascii="Arial" w:eastAsia="Arial" w:hAnsi="Arial" w:cs="Arial"/>
          <w:b/>
          <w:bCs/>
          <w:sz w:val="20"/>
          <w:szCs w:val="14"/>
          <w:lang w:eastAsia="en-AU"/>
        </w:rPr>
        <w:t>C12610 C12621</w:t>
      </w:r>
    </w:p>
    <w:p w14:paraId="34F99982" w14:textId="0F6C53E4" w:rsidR="007635F4" w:rsidRPr="00B367C3" w:rsidRDefault="007635F4" w:rsidP="007635F4">
      <w:pPr>
        <w:pStyle w:val="Amendment1"/>
        <w:numPr>
          <w:ilvl w:val="0"/>
          <w:numId w:val="31"/>
        </w:numPr>
        <w:ind w:left="567" w:hanging="567"/>
        <w:rPr>
          <w:bCs w:val="0"/>
          <w:iCs/>
          <w:sz w:val="24"/>
          <w:szCs w:val="24"/>
        </w:rPr>
      </w:pPr>
      <w:r w:rsidRPr="00B367C3">
        <w:t>Schedule 1, entry for Lumacaftor with ivacaftor</w:t>
      </w:r>
      <w:r w:rsidRPr="00B367C3">
        <w:rPr>
          <w:sz w:val="24"/>
          <w:szCs w:val="24"/>
        </w:rPr>
        <w:t xml:space="preserve"> </w:t>
      </w:r>
      <w:r w:rsidRPr="00B367C3">
        <w:t>in the form Tablet containing lumacaftor 100 mg with ivacaftor 125 mg</w:t>
      </w:r>
    </w:p>
    <w:p w14:paraId="6682D6F5" w14:textId="3B1F1143" w:rsidR="007635F4" w:rsidRPr="00B367C3" w:rsidRDefault="007635F4" w:rsidP="007635F4">
      <w:pPr>
        <w:spacing w:before="60" w:after="60"/>
        <w:ind w:firstLine="567"/>
        <w:rPr>
          <w:rFonts w:ascii="Arial" w:hAnsi="Arial" w:cs="Arial"/>
          <w:b/>
          <w:sz w:val="20"/>
        </w:rPr>
      </w:pPr>
      <w:r w:rsidRPr="00B367C3">
        <w:rPr>
          <w:i/>
          <w:sz w:val="20"/>
        </w:rPr>
        <w:t>omit from the column headed “Circumstances”:</w:t>
      </w:r>
      <w:r w:rsidRPr="00B367C3">
        <w:rPr>
          <w:rFonts w:ascii="Arial" w:hAnsi="Arial" w:cs="Arial"/>
          <w:b/>
          <w:bCs/>
          <w:sz w:val="20"/>
        </w:rPr>
        <w:t xml:space="preserve"> C</w:t>
      </w:r>
      <w:r w:rsidR="008A058C" w:rsidRPr="00B367C3">
        <w:rPr>
          <w:rFonts w:ascii="Arial" w:hAnsi="Arial" w:cs="Arial"/>
          <w:b/>
          <w:bCs/>
          <w:sz w:val="20"/>
        </w:rPr>
        <w:t>9891</w:t>
      </w:r>
      <w:r w:rsidRPr="00B367C3">
        <w:rPr>
          <w:rFonts w:ascii="Arial" w:hAnsi="Arial" w:cs="Arial"/>
          <w:b/>
          <w:bCs/>
          <w:sz w:val="20"/>
        </w:rPr>
        <w:t xml:space="preserve"> C</w:t>
      </w:r>
      <w:r w:rsidR="008A058C" w:rsidRPr="00B367C3">
        <w:rPr>
          <w:rFonts w:ascii="Arial" w:hAnsi="Arial" w:cs="Arial"/>
          <w:b/>
          <w:bCs/>
          <w:sz w:val="20"/>
        </w:rPr>
        <w:t>9920</w:t>
      </w:r>
      <w:r w:rsidR="008A058C" w:rsidRPr="00B367C3">
        <w:rPr>
          <w:rFonts w:ascii="Arial" w:hAnsi="Arial" w:cs="Arial"/>
          <w:b/>
          <w:bCs/>
          <w:sz w:val="20"/>
        </w:rPr>
        <w:tab/>
      </w:r>
      <w:r w:rsidRPr="00B367C3">
        <w:rPr>
          <w:i/>
          <w:sz w:val="20"/>
        </w:rPr>
        <w:tab/>
        <w:t xml:space="preserve">substitute: </w:t>
      </w:r>
      <w:r w:rsidRPr="00B367C3">
        <w:rPr>
          <w:rFonts w:ascii="Arial" w:eastAsia="Arial" w:hAnsi="Arial" w:cs="Arial"/>
          <w:b/>
          <w:bCs/>
          <w:sz w:val="20"/>
          <w:szCs w:val="14"/>
          <w:lang w:eastAsia="en-AU"/>
        </w:rPr>
        <w:t>C12627 C12633</w:t>
      </w:r>
    </w:p>
    <w:p w14:paraId="49C35116" w14:textId="4021CF3B" w:rsidR="007635F4" w:rsidRPr="00B367C3" w:rsidRDefault="007635F4" w:rsidP="007635F4">
      <w:pPr>
        <w:pStyle w:val="Amendment1"/>
        <w:numPr>
          <w:ilvl w:val="0"/>
          <w:numId w:val="31"/>
        </w:numPr>
        <w:ind w:left="567" w:hanging="567"/>
        <w:rPr>
          <w:bCs w:val="0"/>
          <w:iCs/>
          <w:sz w:val="24"/>
          <w:szCs w:val="24"/>
        </w:rPr>
      </w:pPr>
      <w:r w:rsidRPr="00B367C3">
        <w:t>Schedule 1, entry for Lumacaftor with ivacaftor</w:t>
      </w:r>
      <w:r w:rsidRPr="00B367C3">
        <w:rPr>
          <w:sz w:val="24"/>
          <w:szCs w:val="24"/>
        </w:rPr>
        <w:t xml:space="preserve"> </w:t>
      </w:r>
      <w:r w:rsidRPr="00B367C3">
        <w:t>in the form Tablet containing lumacaftor 200 mg with ivacaftor 125 mg</w:t>
      </w:r>
    </w:p>
    <w:p w14:paraId="650AA723" w14:textId="6D7C2E6C" w:rsidR="007635F4" w:rsidRPr="00B367C3" w:rsidRDefault="007635F4" w:rsidP="007635F4">
      <w:pPr>
        <w:spacing w:before="60" w:after="60"/>
        <w:ind w:firstLine="567"/>
        <w:rPr>
          <w:rFonts w:ascii="Arial" w:hAnsi="Arial" w:cs="Arial"/>
          <w:b/>
          <w:sz w:val="20"/>
        </w:rPr>
      </w:pPr>
      <w:r w:rsidRPr="00B367C3">
        <w:rPr>
          <w:i/>
          <w:sz w:val="20"/>
        </w:rPr>
        <w:t>omit from the column headed “Circumstances”:</w:t>
      </w:r>
      <w:r w:rsidRPr="00B367C3">
        <w:rPr>
          <w:rFonts w:ascii="Arial" w:hAnsi="Arial" w:cs="Arial"/>
          <w:b/>
          <w:bCs/>
          <w:sz w:val="20"/>
        </w:rPr>
        <w:t xml:space="preserve"> C</w:t>
      </w:r>
      <w:r w:rsidR="008A058C" w:rsidRPr="00B367C3">
        <w:rPr>
          <w:rFonts w:ascii="Arial" w:hAnsi="Arial" w:cs="Arial"/>
          <w:b/>
          <w:bCs/>
          <w:sz w:val="20"/>
        </w:rPr>
        <w:t>9857</w:t>
      </w:r>
      <w:r w:rsidRPr="00B367C3">
        <w:rPr>
          <w:rFonts w:ascii="Arial" w:hAnsi="Arial" w:cs="Arial"/>
          <w:b/>
          <w:bCs/>
          <w:sz w:val="20"/>
        </w:rPr>
        <w:t xml:space="preserve"> C</w:t>
      </w:r>
      <w:r w:rsidR="008A058C" w:rsidRPr="00B367C3">
        <w:rPr>
          <w:rFonts w:ascii="Arial" w:hAnsi="Arial" w:cs="Arial"/>
          <w:b/>
          <w:bCs/>
          <w:sz w:val="20"/>
        </w:rPr>
        <w:t>9943</w:t>
      </w:r>
      <w:r w:rsidR="008A058C" w:rsidRPr="00B367C3">
        <w:rPr>
          <w:rFonts w:ascii="Arial" w:hAnsi="Arial" w:cs="Arial"/>
          <w:b/>
          <w:bCs/>
          <w:sz w:val="20"/>
        </w:rPr>
        <w:tab/>
      </w:r>
      <w:r w:rsidRPr="00B367C3">
        <w:rPr>
          <w:i/>
          <w:sz w:val="20"/>
        </w:rPr>
        <w:tab/>
        <w:t xml:space="preserve">substitute: </w:t>
      </w:r>
      <w:r w:rsidRPr="00B367C3">
        <w:rPr>
          <w:rFonts w:ascii="Arial" w:eastAsia="Arial" w:hAnsi="Arial" w:cs="Arial"/>
          <w:b/>
          <w:bCs/>
          <w:sz w:val="20"/>
          <w:szCs w:val="14"/>
          <w:lang w:eastAsia="en-AU"/>
        </w:rPr>
        <w:t>C12612 C12623</w:t>
      </w:r>
    </w:p>
    <w:p w14:paraId="26DF48F8" w14:textId="74D13A26" w:rsidR="007635F4" w:rsidRPr="00B367C3" w:rsidRDefault="00B07AF7" w:rsidP="00F50F16">
      <w:pPr>
        <w:pStyle w:val="Amendment1"/>
        <w:numPr>
          <w:ilvl w:val="0"/>
          <w:numId w:val="31"/>
        </w:numPr>
        <w:ind w:left="567" w:hanging="567"/>
        <w:rPr>
          <w:bCs w:val="0"/>
          <w:iCs/>
        </w:rPr>
      </w:pPr>
      <w:r w:rsidRPr="00B367C3">
        <w:t xml:space="preserve">Schedule 1, entry for </w:t>
      </w:r>
      <w:bookmarkStart w:id="15" w:name="_Hlk98505064"/>
      <w:proofErr w:type="spellStart"/>
      <w:r w:rsidRPr="00B367C3">
        <w:t>Pegfilgrastim</w:t>
      </w:r>
      <w:bookmarkEnd w:id="15"/>
      <w:proofErr w:type="spellEnd"/>
    </w:p>
    <w:p w14:paraId="19B0B94B" w14:textId="3F2D2E72" w:rsidR="00B07AF7" w:rsidRPr="00B367C3" w:rsidRDefault="00B07AF7" w:rsidP="00B07AF7">
      <w:pPr>
        <w:pStyle w:val="Amendment3"/>
        <w:numPr>
          <w:ilvl w:val="0"/>
          <w:numId w:val="44"/>
        </w:numPr>
        <w:ind w:left="1134" w:hanging="567"/>
        <w:rPr>
          <w:i/>
          <w:iCs w:val="0"/>
          <w:sz w:val="20"/>
          <w:szCs w:val="20"/>
        </w:rPr>
      </w:pPr>
      <w:r w:rsidRPr="00B367C3">
        <w:rPr>
          <w:i/>
          <w:iCs w:val="0"/>
          <w:sz w:val="20"/>
          <w:szCs w:val="20"/>
        </w:rPr>
        <w:t>omit: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B07AF7" w:rsidRPr="00B367C3" w14:paraId="4511EC66" w14:textId="77777777" w:rsidTr="00416A8C">
        <w:tc>
          <w:tcPr>
            <w:tcW w:w="1701" w:type="dxa"/>
          </w:tcPr>
          <w:p w14:paraId="776E2BE6" w14:textId="787DA4CB" w:rsidR="00B07AF7" w:rsidRPr="00B367C3" w:rsidRDefault="00B07AF7" w:rsidP="00B07AF7">
            <w:pPr>
              <w:widowControl w:val="0"/>
              <w:spacing w:before="60" w:after="60" w:line="240" w:lineRule="auto"/>
              <w:rPr>
                <w:rFonts w:cs="Arial"/>
                <w:szCs w:val="16"/>
              </w:rPr>
            </w:pPr>
          </w:p>
        </w:tc>
        <w:tc>
          <w:tcPr>
            <w:tcW w:w="3402" w:type="dxa"/>
          </w:tcPr>
          <w:p w14:paraId="58971C86" w14:textId="645A550C" w:rsidR="00B07AF7" w:rsidRPr="00B367C3" w:rsidRDefault="00B07AF7" w:rsidP="00B07AF7">
            <w:pPr>
              <w:widowControl w:val="0"/>
              <w:spacing w:before="60" w:after="60" w:line="240" w:lineRule="auto"/>
              <w:rPr>
                <w:rFonts w:ascii="Arial" w:hAnsi="Arial" w:cs="Arial"/>
                <w:sz w:val="16"/>
                <w:szCs w:val="16"/>
                <w:lang w:eastAsia="en-AU"/>
              </w:rPr>
            </w:pPr>
          </w:p>
        </w:tc>
        <w:tc>
          <w:tcPr>
            <w:tcW w:w="1417" w:type="dxa"/>
          </w:tcPr>
          <w:p w14:paraId="382E3831" w14:textId="3DAB0136" w:rsidR="00B07AF7" w:rsidRPr="00B367C3" w:rsidRDefault="00B07AF7" w:rsidP="00B07AF7">
            <w:pPr>
              <w:widowControl w:val="0"/>
              <w:spacing w:before="60" w:after="60" w:line="240" w:lineRule="auto"/>
              <w:rPr>
                <w:rFonts w:ascii="Arial" w:hAnsi="Arial" w:cs="Arial"/>
                <w:sz w:val="16"/>
                <w:szCs w:val="16"/>
                <w:lang w:eastAsia="en-AU"/>
              </w:rPr>
            </w:pPr>
          </w:p>
        </w:tc>
        <w:tc>
          <w:tcPr>
            <w:tcW w:w="1701" w:type="dxa"/>
          </w:tcPr>
          <w:p w14:paraId="602E7EC6" w14:textId="10986A48" w:rsidR="00B07AF7" w:rsidRPr="00B367C3" w:rsidRDefault="00B07AF7" w:rsidP="00B07AF7">
            <w:pPr>
              <w:widowControl w:val="0"/>
              <w:spacing w:before="60" w:after="60" w:line="240" w:lineRule="auto"/>
              <w:rPr>
                <w:rFonts w:ascii="Arial" w:hAnsi="Arial" w:cs="Arial"/>
                <w:sz w:val="16"/>
                <w:szCs w:val="16"/>
                <w:lang w:eastAsia="en-AU"/>
              </w:rPr>
            </w:pPr>
            <w:r w:rsidRPr="00B367C3">
              <w:rPr>
                <w:rFonts w:ascii="Arial" w:hAnsi="Arial" w:cs="Arial"/>
                <w:sz w:val="16"/>
                <w:szCs w:val="16"/>
              </w:rPr>
              <w:t>Neulasta</w:t>
            </w:r>
          </w:p>
        </w:tc>
        <w:tc>
          <w:tcPr>
            <w:tcW w:w="1417" w:type="dxa"/>
          </w:tcPr>
          <w:p w14:paraId="72C25D00" w14:textId="4231FBD0" w:rsidR="00B07AF7" w:rsidRPr="00B367C3" w:rsidRDefault="00B07AF7" w:rsidP="00B07AF7">
            <w:pPr>
              <w:widowControl w:val="0"/>
              <w:spacing w:before="60" w:after="60" w:line="240" w:lineRule="auto"/>
              <w:rPr>
                <w:rFonts w:ascii="Arial" w:hAnsi="Arial" w:cs="Arial"/>
                <w:sz w:val="16"/>
                <w:szCs w:val="16"/>
                <w:lang w:eastAsia="en-AU"/>
              </w:rPr>
            </w:pPr>
            <w:r w:rsidRPr="00B367C3">
              <w:rPr>
                <w:rFonts w:ascii="Arial" w:hAnsi="Arial" w:cs="Arial"/>
                <w:sz w:val="16"/>
                <w:szCs w:val="16"/>
              </w:rPr>
              <w:t>C7822 C7843 C9235 C9303</w:t>
            </w:r>
          </w:p>
        </w:tc>
        <w:tc>
          <w:tcPr>
            <w:tcW w:w="1417" w:type="dxa"/>
          </w:tcPr>
          <w:p w14:paraId="2576B87F" w14:textId="77777777" w:rsidR="00B07AF7" w:rsidRPr="00B367C3" w:rsidRDefault="00B07AF7" w:rsidP="00B07AF7">
            <w:pPr>
              <w:widowControl w:val="0"/>
              <w:spacing w:before="60" w:after="60" w:line="240" w:lineRule="auto"/>
              <w:rPr>
                <w:rFonts w:ascii="Arial" w:hAnsi="Arial" w:cs="Arial"/>
                <w:sz w:val="16"/>
                <w:szCs w:val="16"/>
                <w:lang w:eastAsia="en-AU"/>
              </w:rPr>
            </w:pPr>
          </w:p>
        </w:tc>
        <w:tc>
          <w:tcPr>
            <w:tcW w:w="1417" w:type="dxa"/>
          </w:tcPr>
          <w:p w14:paraId="56909E67" w14:textId="1296221F" w:rsidR="00B07AF7" w:rsidRPr="00B367C3" w:rsidRDefault="00B07AF7" w:rsidP="00B07AF7">
            <w:pPr>
              <w:widowControl w:val="0"/>
              <w:spacing w:before="60" w:after="60" w:line="240" w:lineRule="auto"/>
              <w:rPr>
                <w:rFonts w:ascii="Arial" w:hAnsi="Arial" w:cs="Arial"/>
                <w:sz w:val="16"/>
                <w:szCs w:val="16"/>
                <w:lang w:eastAsia="en-AU"/>
              </w:rPr>
            </w:pPr>
            <w:r w:rsidRPr="00B367C3">
              <w:rPr>
                <w:rFonts w:ascii="Arial" w:hAnsi="Arial" w:cs="Arial"/>
                <w:sz w:val="16"/>
                <w:szCs w:val="16"/>
              </w:rPr>
              <w:t>1</w:t>
            </w:r>
          </w:p>
        </w:tc>
        <w:tc>
          <w:tcPr>
            <w:tcW w:w="1417" w:type="dxa"/>
          </w:tcPr>
          <w:p w14:paraId="0519AD17" w14:textId="24A7C4A6" w:rsidR="00B07AF7" w:rsidRPr="00B367C3" w:rsidRDefault="00B07AF7" w:rsidP="00B07AF7">
            <w:pPr>
              <w:widowControl w:val="0"/>
              <w:spacing w:before="60" w:after="60" w:line="240" w:lineRule="auto"/>
              <w:rPr>
                <w:rFonts w:ascii="Arial" w:hAnsi="Arial" w:cs="Arial"/>
                <w:sz w:val="16"/>
                <w:szCs w:val="16"/>
                <w:lang w:eastAsia="en-AU"/>
              </w:rPr>
            </w:pPr>
            <w:r w:rsidRPr="00B367C3">
              <w:rPr>
                <w:rFonts w:ascii="Arial" w:hAnsi="Arial" w:cs="Arial"/>
                <w:sz w:val="16"/>
                <w:szCs w:val="16"/>
              </w:rPr>
              <w:t>11</w:t>
            </w:r>
          </w:p>
        </w:tc>
      </w:tr>
    </w:tbl>
    <w:p w14:paraId="519267BC" w14:textId="0CBE4802" w:rsidR="00B07AF7" w:rsidRPr="00B367C3" w:rsidRDefault="00B07AF7" w:rsidP="00B07AF7">
      <w:pPr>
        <w:pStyle w:val="Amendment3"/>
        <w:numPr>
          <w:ilvl w:val="0"/>
          <w:numId w:val="44"/>
        </w:numPr>
        <w:ind w:left="1134" w:hanging="567"/>
        <w:rPr>
          <w:i/>
          <w:iCs w:val="0"/>
          <w:sz w:val="20"/>
          <w:szCs w:val="20"/>
        </w:rPr>
      </w:pPr>
      <w:r w:rsidRPr="00B367C3">
        <w:rPr>
          <w:i/>
          <w:iCs w:val="0"/>
          <w:sz w:val="20"/>
          <w:szCs w:val="20"/>
        </w:rPr>
        <w:t>omit: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B07AF7" w:rsidRPr="00B367C3" w14:paraId="6FDE6B3D" w14:textId="77777777" w:rsidTr="00416A8C">
        <w:tc>
          <w:tcPr>
            <w:tcW w:w="1701" w:type="dxa"/>
          </w:tcPr>
          <w:p w14:paraId="5AACEEE8" w14:textId="77777777" w:rsidR="00B07AF7" w:rsidRPr="00B367C3" w:rsidRDefault="00B07AF7" w:rsidP="00416A8C">
            <w:pPr>
              <w:widowControl w:val="0"/>
              <w:spacing w:before="60" w:after="60" w:line="240" w:lineRule="auto"/>
              <w:rPr>
                <w:rFonts w:cs="Arial"/>
                <w:szCs w:val="16"/>
              </w:rPr>
            </w:pPr>
          </w:p>
        </w:tc>
        <w:tc>
          <w:tcPr>
            <w:tcW w:w="3402" w:type="dxa"/>
          </w:tcPr>
          <w:p w14:paraId="37562102" w14:textId="77777777" w:rsidR="00B07AF7" w:rsidRPr="00B367C3" w:rsidRDefault="00B07AF7" w:rsidP="00416A8C">
            <w:pPr>
              <w:widowControl w:val="0"/>
              <w:spacing w:before="60" w:after="60" w:line="240" w:lineRule="auto"/>
              <w:rPr>
                <w:rFonts w:ascii="Arial" w:hAnsi="Arial" w:cs="Arial"/>
                <w:sz w:val="16"/>
                <w:szCs w:val="16"/>
                <w:lang w:eastAsia="en-AU"/>
              </w:rPr>
            </w:pPr>
          </w:p>
        </w:tc>
        <w:tc>
          <w:tcPr>
            <w:tcW w:w="1417" w:type="dxa"/>
          </w:tcPr>
          <w:p w14:paraId="7E3D24B0" w14:textId="77777777" w:rsidR="00B07AF7" w:rsidRPr="00B367C3" w:rsidRDefault="00B07AF7" w:rsidP="00416A8C">
            <w:pPr>
              <w:widowControl w:val="0"/>
              <w:spacing w:before="60" w:after="60" w:line="240" w:lineRule="auto"/>
              <w:rPr>
                <w:rFonts w:ascii="Arial" w:hAnsi="Arial" w:cs="Arial"/>
                <w:sz w:val="16"/>
                <w:szCs w:val="16"/>
                <w:lang w:eastAsia="en-AU"/>
              </w:rPr>
            </w:pPr>
          </w:p>
        </w:tc>
        <w:tc>
          <w:tcPr>
            <w:tcW w:w="1701" w:type="dxa"/>
          </w:tcPr>
          <w:p w14:paraId="0AB56169" w14:textId="07A0D2AE" w:rsidR="00B07AF7" w:rsidRPr="00B367C3" w:rsidRDefault="00B07AF7" w:rsidP="00416A8C">
            <w:pPr>
              <w:widowControl w:val="0"/>
              <w:spacing w:before="60" w:after="60" w:line="240" w:lineRule="auto"/>
              <w:rPr>
                <w:rFonts w:ascii="Arial" w:hAnsi="Arial" w:cs="Arial"/>
                <w:sz w:val="16"/>
                <w:szCs w:val="16"/>
                <w:lang w:eastAsia="en-AU"/>
              </w:rPr>
            </w:pPr>
            <w:proofErr w:type="spellStart"/>
            <w:r w:rsidRPr="00B367C3">
              <w:rPr>
                <w:rFonts w:ascii="Arial" w:hAnsi="Arial" w:cs="Arial"/>
                <w:sz w:val="16"/>
                <w:szCs w:val="16"/>
              </w:rPr>
              <w:t>Tezmota</w:t>
            </w:r>
            <w:proofErr w:type="spellEnd"/>
          </w:p>
        </w:tc>
        <w:tc>
          <w:tcPr>
            <w:tcW w:w="1417" w:type="dxa"/>
          </w:tcPr>
          <w:p w14:paraId="6B66BB27" w14:textId="77777777" w:rsidR="00B07AF7" w:rsidRPr="00B367C3" w:rsidRDefault="00B07AF7" w:rsidP="00416A8C">
            <w:pPr>
              <w:widowControl w:val="0"/>
              <w:spacing w:before="60" w:after="60" w:line="240" w:lineRule="auto"/>
              <w:rPr>
                <w:rFonts w:ascii="Arial" w:hAnsi="Arial" w:cs="Arial"/>
                <w:sz w:val="16"/>
                <w:szCs w:val="16"/>
                <w:lang w:eastAsia="en-AU"/>
              </w:rPr>
            </w:pPr>
            <w:r w:rsidRPr="00B367C3">
              <w:rPr>
                <w:rFonts w:ascii="Arial" w:hAnsi="Arial" w:cs="Arial"/>
                <w:sz w:val="16"/>
                <w:szCs w:val="16"/>
              </w:rPr>
              <w:t>C7822 C7843 C9235 C9303</w:t>
            </w:r>
          </w:p>
        </w:tc>
        <w:tc>
          <w:tcPr>
            <w:tcW w:w="1417" w:type="dxa"/>
          </w:tcPr>
          <w:p w14:paraId="5F26C858" w14:textId="77777777" w:rsidR="00B07AF7" w:rsidRPr="00B367C3" w:rsidRDefault="00B07AF7" w:rsidP="00416A8C">
            <w:pPr>
              <w:widowControl w:val="0"/>
              <w:spacing w:before="60" w:after="60" w:line="240" w:lineRule="auto"/>
              <w:rPr>
                <w:rFonts w:ascii="Arial" w:hAnsi="Arial" w:cs="Arial"/>
                <w:sz w:val="16"/>
                <w:szCs w:val="16"/>
                <w:lang w:eastAsia="en-AU"/>
              </w:rPr>
            </w:pPr>
          </w:p>
        </w:tc>
        <w:tc>
          <w:tcPr>
            <w:tcW w:w="1417" w:type="dxa"/>
          </w:tcPr>
          <w:p w14:paraId="6DE0B780" w14:textId="77777777" w:rsidR="00B07AF7" w:rsidRPr="00B367C3" w:rsidRDefault="00B07AF7" w:rsidP="00416A8C">
            <w:pPr>
              <w:widowControl w:val="0"/>
              <w:spacing w:before="60" w:after="60" w:line="240" w:lineRule="auto"/>
              <w:rPr>
                <w:rFonts w:ascii="Arial" w:hAnsi="Arial" w:cs="Arial"/>
                <w:sz w:val="16"/>
                <w:szCs w:val="16"/>
                <w:lang w:eastAsia="en-AU"/>
              </w:rPr>
            </w:pPr>
            <w:r w:rsidRPr="00B367C3">
              <w:rPr>
                <w:rFonts w:ascii="Arial" w:hAnsi="Arial" w:cs="Arial"/>
                <w:sz w:val="16"/>
                <w:szCs w:val="16"/>
              </w:rPr>
              <w:t>1</w:t>
            </w:r>
          </w:p>
        </w:tc>
        <w:tc>
          <w:tcPr>
            <w:tcW w:w="1417" w:type="dxa"/>
          </w:tcPr>
          <w:p w14:paraId="60EC9A0A" w14:textId="77777777" w:rsidR="00B07AF7" w:rsidRPr="00B367C3" w:rsidRDefault="00B07AF7" w:rsidP="00416A8C">
            <w:pPr>
              <w:widowControl w:val="0"/>
              <w:spacing w:before="60" w:after="60" w:line="240" w:lineRule="auto"/>
              <w:rPr>
                <w:rFonts w:ascii="Arial" w:hAnsi="Arial" w:cs="Arial"/>
                <w:sz w:val="16"/>
                <w:szCs w:val="16"/>
                <w:lang w:eastAsia="en-AU"/>
              </w:rPr>
            </w:pPr>
            <w:r w:rsidRPr="00B367C3">
              <w:rPr>
                <w:rFonts w:ascii="Arial" w:hAnsi="Arial" w:cs="Arial"/>
                <w:sz w:val="16"/>
                <w:szCs w:val="16"/>
              </w:rPr>
              <w:t>11</w:t>
            </w:r>
          </w:p>
        </w:tc>
      </w:tr>
    </w:tbl>
    <w:p w14:paraId="04A4C3C4" w14:textId="206635EB" w:rsidR="00B07AF7" w:rsidRPr="00B367C3" w:rsidRDefault="00B07AF7" w:rsidP="00B07AF7">
      <w:pPr>
        <w:pStyle w:val="Amendment1"/>
        <w:numPr>
          <w:ilvl w:val="0"/>
          <w:numId w:val="31"/>
        </w:numPr>
        <w:ind w:left="567" w:hanging="567"/>
        <w:rPr>
          <w:bCs w:val="0"/>
          <w:iCs/>
          <w:sz w:val="24"/>
          <w:szCs w:val="24"/>
        </w:rPr>
      </w:pPr>
      <w:r w:rsidRPr="00B367C3">
        <w:t xml:space="preserve">Schedule 1, entry for </w:t>
      </w:r>
      <w:bookmarkStart w:id="16" w:name="_Hlk94773940"/>
      <w:bookmarkStart w:id="17" w:name="_Hlk98505141"/>
      <w:proofErr w:type="spellStart"/>
      <w:r w:rsidRPr="00B367C3">
        <w:rPr>
          <w:rFonts w:eastAsia="Arial"/>
          <w:szCs w:val="28"/>
          <w:lang w:eastAsia="zh-CN"/>
        </w:rPr>
        <w:t>Ravulizumab</w:t>
      </w:r>
      <w:bookmarkEnd w:id="16"/>
      <w:proofErr w:type="spellEnd"/>
      <w:r w:rsidRPr="00B367C3">
        <w:rPr>
          <w:rFonts w:eastAsia="Arial"/>
          <w:szCs w:val="28"/>
          <w:lang w:eastAsia="zh-CN"/>
        </w:rPr>
        <w:t xml:space="preserve"> </w:t>
      </w:r>
      <w:bookmarkEnd w:id="17"/>
      <w:r w:rsidRPr="00B367C3">
        <w:rPr>
          <w:rFonts w:eastAsia="Arial"/>
          <w:szCs w:val="28"/>
          <w:lang w:eastAsia="zh-CN"/>
        </w:rPr>
        <w:t>in each of the forms: Solution concentrate for I.V. infusion 300 mg in 3 mL; and Solution concentrate for I.V. infusion 1,100 mg in 11 mL</w:t>
      </w:r>
    </w:p>
    <w:p w14:paraId="39136961" w14:textId="243A8224" w:rsidR="007138ED" w:rsidRPr="00B367C3" w:rsidRDefault="007138ED" w:rsidP="0064049E">
      <w:pPr>
        <w:pStyle w:val="Amendment3"/>
        <w:numPr>
          <w:ilvl w:val="0"/>
          <w:numId w:val="46"/>
        </w:numPr>
        <w:ind w:left="1134" w:hanging="567"/>
        <w:rPr>
          <w:i/>
          <w:iCs w:val="0"/>
          <w:sz w:val="20"/>
          <w:szCs w:val="20"/>
        </w:rPr>
      </w:pPr>
      <w:r w:rsidRPr="00B367C3">
        <w:rPr>
          <w:i/>
          <w:iCs w:val="0"/>
          <w:sz w:val="20"/>
          <w:szCs w:val="20"/>
        </w:rPr>
        <w:t xml:space="preserve">omit from the column headed “Circumstances”: </w:t>
      </w:r>
      <w:r w:rsidRPr="00B367C3">
        <w:rPr>
          <w:rFonts w:ascii="Arial" w:hAnsi="Arial" w:cs="Arial"/>
          <w:b/>
          <w:bCs/>
          <w:sz w:val="20"/>
          <w:szCs w:val="20"/>
        </w:rPr>
        <w:t>C12509</w:t>
      </w:r>
    </w:p>
    <w:p w14:paraId="51FAE4A1" w14:textId="77777777" w:rsidR="007138ED" w:rsidRPr="00B367C3" w:rsidRDefault="00B07AF7" w:rsidP="0064049E">
      <w:pPr>
        <w:pStyle w:val="Amendment3"/>
        <w:numPr>
          <w:ilvl w:val="0"/>
          <w:numId w:val="46"/>
        </w:numPr>
        <w:ind w:left="1134" w:hanging="567"/>
        <w:rPr>
          <w:i/>
          <w:iCs w:val="0"/>
          <w:sz w:val="20"/>
          <w:szCs w:val="20"/>
        </w:rPr>
      </w:pPr>
      <w:r w:rsidRPr="00B367C3">
        <w:rPr>
          <w:i/>
          <w:iCs w:val="0"/>
          <w:sz w:val="20"/>
          <w:szCs w:val="20"/>
        </w:rPr>
        <w:t xml:space="preserve">omit from the column headed “Circumstances”: </w:t>
      </w:r>
      <w:r w:rsidR="007138ED" w:rsidRPr="00B367C3">
        <w:rPr>
          <w:rFonts w:ascii="Arial" w:eastAsia="Arial" w:hAnsi="Arial" w:cs="Arial"/>
          <w:b/>
          <w:bCs/>
          <w:iCs w:val="0"/>
          <w:sz w:val="20"/>
          <w:szCs w:val="14"/>
        </w:rPr>
        <w:t>C12575</w:t>
      </w:r>
    </w:p>
    <w:p w14:paraId="7C8E5369" w14:textId="28E524FF" w:rsidR="00B07AF7" w:rsidRPr="00B367C3" w:rsidRDefault="00B07AF7" w:rsidP="0064049E">
      <w:pPr>
        <w:pStyle w:val="Amendment3"/>
        <w:numPr>
          <w:ilvl w:val="0"/>
          <w:numId w:val="46"/>
        </w:numPr>
        <w:ind w:left="1134" w:hanging="567"/>
        <w:rPr>
          <w:i/>
          <w:iCs w:val="0"/>
          <w:sz w:val="20"/>
          <w:szCs w:val="20"/>
        </w:rPr>
      </w:pPr>
      <w:r w:rsidRPr="00B367C3">
        <w:rPr>
          <w:i/>
          <w:iCs w:val="0"/>
          <w:sz w:val="20"/>
          <w:szCs w:val="20"/>
        </w:rPr>
        <w:t>insert in numerical order in the column headed “Circumstances”:</w:t>
      </w:r>
      <w:r w:rsidRPr="00B367C3">
        <w:rPr>
          <w:i/>
          <w:iCs w:val="0"/>
        </w:rPr>
        <w:t xml:space="preserve"> </w:t>
      </w:r>
      <w:r w:rsidRPr="00B367C3">
        <w:rPr>
          <w:rFonts w:ascii="Arial" w:eastAsia="Arial" w:hAnsi="Arial" w:cs="Arial"/>
          <w:b/>
          <w:bCs/>
          <w:iCs w:val="0"/>
          <w:sz w:val="20"/>
          <w:szCs w:val="14"/>
        </w:rPr>
        <w:t>C12593 C12605</w:t>
      </w:r>
    </w:p>
    <w:p w14:paraId="510AF0C3" w14:textId="166025D0" w:rsidR="00E67B0E" w:rsidRPr="00B367C3" w:rsidRDefault="00E67B0E" w:rsidP="00E67B0E">
      <w:pPr>
        <w:pStyle w:val="Amendment1"/>
        <w:numPr>
          <w:ilvl w:val="0"/>
          <w:numId w:val="31"/>
        </w:numPr>
        <w:ind w:left="567" w:hanging="567"/>
        <w:rPr>
          <w:bCs w:val="0"/>
          <w:iCs/>
        </w:rPr>
      </w:pPr>
      <w:r w:rsidRPr="00B367C3">
        <w:t>Schedule 1, after entry for Sildenafil</w:t>
      </w:r>
    </w:p>
    <w:p w14:paraId="2BC338CA" w14:textId="5A32A09D" w:rsidR="00E67B0E" w:rsidRPr="00B367C3" w:rsidRDefault="00E67B0E" w:rsidP="00E67B0E">
      <w:pPr>
        <w:pStyle w:val="Amendment3"/>
        <w:ind w:firstLine="567"/>
        <w:rPr>
          <w:i/>
          <w:iCs w:val="0"/>
          <w:sz w:val="20"/>
          <w:szCs w:val="20"/>
        </w:rPr>
      </w:pPr>
      <w:r w:rsidRPr="00B367C3">
        <w:rPr>
          <w:i/>
          <w:iCs w:val="0"/>
          <w:sz w:val="20"/>
          <w:szCs w:val="20"/>
        </w:rPr>
        <w:t>insert:</w:t>
      </w:r>
    </w:p>
    <w:tbl>
      <w:tblPr>
        <w:tblStyle w:val="TableGrid"/>
        <w:tblW w:w="13889"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3402"/>
        <w:gridCol w:w="1417"/>
        <w:gridCol w:w="1701"/>
        <w:gridCol w:w="1417"/>
        <w:gridCol w:w="1417"/>
        <w:gridCol w:w="1417"/>
        <w:gridCol w:w="1417"/>
      </w:tblGrid>
      <w:tr w:rsidR="00E67B0E" w:rsidRPr="00B367C3" w14:paraId="1B1894FC" w14:textId="77777777" w:rsidTr="00416A8C">
        <w:tc>
          <w:tcPr>
            <w:tcW w:w="1701" w:type="dxa"/>
          </w:tcPr>
          <w:p w14:paraId="7B666FF3" w14:textId="1FE4843A" w:rsidR="00E67B0E" w:rsidRPr="00B367C3" w:rsidRDefault="00E67B0E" w:rsidP="00E67B0E">
            <w:pPr>
              <w:widowControl w:val="0"/>
              <w:spacing w:before="60" w:after="60" w:line="240" w:lineRule="auto"/>
              <w:rPr>
                <w:rFonts w:cs="Arial"/>
                <w:szCs w:val="16"/>
              </w:rPr>
            </w:pPr>
            <w:bookmarkStart w:id="18" w:name="_Hlk98504971"/>
            <w:proofErr w:type="spellStart"/>
            <w:r w:rsidRPr="00B367C3">
              <w:rPr>
                <w:rFonts w:ascii="Arial" w:eastAsia="Arial" w:hAnsi="Arial" w:cs="Arial"/>
                <w:sz w:val="16"/>
                <w:szCs w:val="16"/>
              </w:rPr>
              <w:t>Siltuximab</w:t>
            </w:r>
            <w:bookmarkEnd w:id="18"/>
            <w:proofErr w:type="spellEnd"/>
          </w:p>
        </w:tc>
        <w:tc>
          <w:tcPr>
            <w:tcW w:w="3402" w:type="dxa"/>
          </w:tcPr>
          <w:p w14:paraId="23E1C3ED" w14:textId="1CB1662F"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Powder for injection 100 mg</w:t>
            </w:r>
          </w:p>
        </w:tc>
        <w:tc>
          <w:tcPr>
            <w:tcW w:w="1417" w:type="dxa"/>
          </w:tcPr>
          <w:p w14:paraId="27261E4F" w14:textId="5CA9ECFE"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Injection</w:t>
            </w:r>
          </w:p>
        </w:tc>
        <w:tc>
          <w:tcPr>
            <w:tcW w:w="1701" w:type="dxa"/>
          </w:tcPr>
          <w:p w14:paraId="7C6593EA" w14:textId="7DF5B6E5" w:rsidR="00E67B0E" w:rsidRPr="00B367C3" w:rsidRDefault="00E67B0E" w:rsidP="00E67B0E">
            <w:pPr>
              <w:widowControl w:val="0"/>
              <w:spacing w:before="60" w:after="60" w:line="240" w:lineRule="auto"/>
              <w:rPr>
                <w:rFonts w:ascii="Arial" w:hAnsi="Arial" w:cs="Arial"/>
                <w:sz w:val="16"/>
                <w:szCs w:val="16"/>
                <w:lang w:eastAsia="en-AU"/>
              </w:rPr>
            </w:pPr>
            <w:proofErr w:type="spellStart"/>
            <w:r w:rsidRPr="00B367C3">
              <w:rPr>
                <w:rFonts w:ascii="Arial" w:eastAsia="Arial" w:hAnsi="Arial" w:cs="Arial"/>
                <w:sz w:val="16"/>
                <w:szCs w:val="16"/>
              </w:rPr>
              <w:t>Sylvant</w:t>
            </w:r>
            <w:proofErr w:type="spellEnd"/>
          </w:p>
        </w:tc>
        <w:tc>
          <w:tcPr>
            <w:tcW w:w="1417" w:type="dxa"/>
          </w:tcPr>
          <w:p w14:paraId="5FE86254" w14:textId="56765B3D"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C12585 C12594</w:t>
            </w:r>
          </w:p>
        </w:tc>
        <w:tc>
          <w:tcPr>
            <w:tcW w:w="1417" w:type="dxa"/>
          </w:tcPr>
          <w:p w14:paraId="71112720" w14:textId="77777777" w:rsidR="00E67B0E" w:rsidRPr="00B367C3" w:rsidRDefault="00E67B0E" w:rsidP="00E67B0E">
            <w:pPr>
              <w:widowControl w:val="0"/>
              <w:spacing w:before="60" w:after="60" w:line="240" w:lineRule="auto"/>
              <w:rPr>
                <w:rFonts w:ascii="Arial" w:hAnsi="Arial" w:cs="Arial"/>
                <w:sz w:val="16"/>
                <w:szCs w:val="16"/>
                <w:lang w:eastAsia="en-AU"/>
              </w:rPr>
            </w:pPr>
          </w:p>
        </w:tc>
        <w:tc>
          <w:tcPr>
            <w:tcW w:w="1417" w:type="dxa"/>
          </w:tcPr>
          <w:p w14:paraId="3A16E512" w14:textId="15970A4E"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2</w:t>
            </w:r>
          </w:p>
        </w:tc>
        <w:tc>
          <w:tcPr>
            <w:tcW w:w="1417" w:type="dxa"/>
          </w:tcPr>
          <w:p w14:paraId="1B5EB37D" w14:textId="5E730F53"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4</w:t>
            </w:r>
          </w:p>
        </w:tc>
      </w:tr>
      <w:tr w:rsidR="00E67B0E" w:rsidRPr="00B367C3" w14:paraId="5816B450" w14:textId="77777777" w:rsidTr="00416A8C">
        <w:tc>
          <w:tcPr>
            <w:tcW w:w="1701" w:type="dxa"/>
          </w:tcPr>
          <w:p w14:paraId="7C301D63" w14:textId="77777777" w:rsidR="00E67B0E" w:rsidRPr="00B367C3" w:rsidRDefault="00E67B0E" w:rsidP="00E67B0E">
            <w:pPr>
              <w:widowControl w:val="0"/>
              <w:spacing w:before="60" w:after="60" w:line="240" w:lineRule="auto"/>
              <w:rPr>
                <w:rFonts w:cs="Arial"/>
                <w:szCs w:val="16"/>
              </w:rPr>
            </w:pPr>
          </w:p>
        </w:tc>
        <w:tc>
          <w:tcPr>
            <w:tcW w:w="3402" w:type="dxa"/>
          </w:tcPr>
          <w:p w14:paraId="5CE45367" w14:textId="7F1FDDCE"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Powder for injection 400 mg</w:t>
            </w:r>
          </w:p>
        </w:tc>
        <w:tc>
          <w:tcPr>
            <w:tcW w:w="1417" w:type="dxa"/>
          </w:tcPr>
          <w:p w14:paraId="3E607ABF" w14:textId="048D354E"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Injection</w:t>
            </w:r>
          </w:p>
        </w:tc>
        <w:tc>
          <w:tcPr>
            <w:tcW w:w="1701" w:type="dxa"/>
          </w:tcPr>
          <w:p w14:paraId="1651D38C" w14:textId="3842A26A" w:rsidR="00E67B0E" w:rsidRPr="00B367C3" w:rsidRDefault="00E67B0E" w:rsidP="00E67B0E">
            <w:pPr>
              <w:widowControl w:val="0"/>
              <w:spacing w:before="60" w:after="60" w:line="240" w:lineRule="auto"/>
              <w:rPr>
                <w:rFonts w:ascii="Arial" w:hAnsi="Arial" w:cs="Arial"/>
                <w:sz w:val="16"/>
                <w:szCs w:val="16"/>
                <w:lang w:eastAsia="en-AU"/>
              </w:rPr>
            </w:pPr>
            <w:proofErr w:type="spellStart"/>
            <w:r w:rsidRPr="00B367C3">
              <w:rPr>
                <w:rFonts w:ascii="Arial" w:eastAsia="Arial" w:hAnsi="Arial" w:cs="Arial"/>
                <w:sz w:val="16"/>
                <w:szCs w:val="16"/>
              </w:rPr>
              <w:t>Sylvant</w:t>
            </w:r>
            <w:proofErr w:type="spellEnd"/>
          </w:p>
        </w:tc>
        <w:tc>
          <w:tcPr>
            <w:tcW w:w="1417" w:type="dxa"/>
          </w:tcPr>
          <w:p w14:paraId="5C2D5363" w14:textId="6F5D955F"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C12585 C12594</w:t>
            </w:r>
          </w:p>
        </w:tc>
        <w:tc>
          <w:tcPr>
            <w:tcW w:w="1417" w:type="dxa"/>
          </w:tcPr>
          <w:p w14:paraId="51E4D947" w14:textId="77777777" w:rsidR="00E67B0E" w:rsidRPr="00B367C3" w:rsidRDefault="00E67B0E" w:rsidP="00E67B0E">
            <w:pPr>
              <w:widowControl w:val="0"/>
              <w:spacing w:before="60" w:after="60" w:line="240" w:lineRule="auto"/>
              <w:rPr>
                <w:rFonts w:ascii="Arial" w:hAnsi="Arial" w:cs="Arial"/>
                <w:sz w:val="16"/>
                <w:szCs w:val="16"/>
                <w:lang w:eastAsia="en-AU"/>
              </w:rPr>
            </w:pPr>
          </w:p>
        </w:tc>
        <w:tc>
          <w:tcPr>
            <w:tcW w:w="1417" w:type="dxa"/>
          </w:tcPr>
          <w:p w14:paraId="53704A3D" w14:textId="743847AF"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2</w:t>
            </w:r>
          </w:p>
        </w:tc>
        <w:tc>
          <w:tcPr>
            <w:tcW w:w="1417" w:type="dxa"/>
          </w:tcPr>
          <w:p w14:paraId="15DCF103" w14:textId="2E22ED40" w:rsidR="00E67B0E" w:rsidRPr="00B367C3" w:rsidRDefault="00E67B0E" w:rsidP="00E67B0E">
            <w:pPr>
              <w:widowControl w:val="0"/>
              <w:spacing w:before="60" w:after="60" w:line="240" w:lineRule="auto"/>
              <w:rPr>
                <w:rFonts w:ascii="Arial" w:hAnsi="Arial" w:cs="Arial"/>
                <w:sz w:val="16"/>
                <w:szCs w:val="16"/>
                <w:lang w:eastAsia="en-AU"/>
              </w:rPr>
            </w:pPr>
            <w:r w:rsidRPr="00B367C3">
              <w:rPr>
                <w:rFonts w:ascii="Arial" w:eastAsia="Arial" w:hAnsi="Arial" w:cs="Arial"/>
                <w:sz w:val="16"/>
                <w:szCs w:val="16"/>
              </w:rPr>
              <w:t>4</w:t>
            </w:r>
          </w:p>
        </w:tc>
      </w:tr>
    </w:tbl>
    <w:p w14:paraId="3F48D5B6" w14:textId="4C4FE9EA" w:rsidR="00E67B0E" w:rsidRPr="00B367C3" w:rsidRDefault="00E67B0E" w:rsidP="00E67B0E">
      <w:pPr>
        <w:pStyle w:val="Amendment1"/>
        <w:numPr>
          <w:ilvl w:val="0"/>
          <w:numId w:val="31"/>
        </w:numPr>
        <w:ind w:left="567" w:hanging="567"/>
        <w:rPr>
          <w:bCs w:val="0"/>
          <w:iCs/>
          <w:sz w:val="24"/>
          <w:szCs w:val="24"/>
        </w:rPr>
      </w:pPr>
      <w:r w:rsidRPr="00B367C3">
        <w:t xml:space="preserve">Schedule 1, entry for </w:t>
      </w:r>
      <w:bookmarkStart w:id="19" w:name="_Hlk98505167"/>
      <w:proofErr w:type="spellStart"/>
      <w:r w:rsidRPr="00B367C3">
        <w:t>Tezacaftor</w:t>
      </w:r>
      <w:proofErr w:type="spellEnd"/>
      <w:r w:rsidRPr="00B367C3">
        <w:t xml:space="preserve"> with ivacaftor and ivacaftor</w:t>
      </w:r>
      <w:bookmarkEnd w:id="19"/>
    </w:p>
    <w:p w14:paraId="683B6C80" w14:textId="65B456D6" w:rsidR="00E67B0E" w:rsidRPr="00B367C3" w:rsidRDefault="00E67B0E" w:rsidP="00E67B0E">
      <w:pPr>
        <w:spacing w:before="60" w:after="60"/>
        <w:ind w:firstLine="567"/>
        <w:rPr>
          <w:rFonts w:ascii="Arial" w:hAnsi="Arial" w:cs="Arial"/>
          <w:b/>
          <w:sz w:val="20"/>
        </w:rPr>
      </w:pPr>
      <w:r w:rsidRPr="00B367C3">
        <w:rPr>
          <w:i/>
          <w:sz w:val="20"/>
        </w:rPr>
        <w:t>omit from the column headed “Circumstances”:</w:t>
      </w:r>
      <w:r w:rsidRPr="00B367C3">
        <w:rPr>
          <w:rFonts w:ascii="Arial" w:hAnsi="Arial" w:cs="Arial"/>
          <w:b/>
          <w:bCs/>
          <w:sz w:val="20"/>
        </w:rPr>
        <w:t xml:space="preserve"> C9880 C9961 C10064 C10069</w:t>
      </w:r>
      <w:r w:rsidRPr="00B367C3">
        <w:rPr>
          <w:i/>
          <w:sz w:val="20"/>
        </w:rPr>
        <w:tab/>
        <w:t xml:space="preserve">substitute: </w:t>
      </w:r>
      <w:r w:rsidRPr="00B367C3">
        <w:rPr>
          <w:rFonts w:ascii="Arial" w:eastAsia="Arial" w:hAnsi="Arial" w:cs="Arial"/>
          <w:b/>
          <w:bCs/>
          <w:sz w:val="20"/>
          <w:szCs w:val="14"/>
        </w:rPr>
        <w:t>C12609 C12614 C12630 C12635</w:t>
      </w:r>
    </w:p>
    <w:p w14:paraId="79C90A19" w14:textId="34271529" w:rsidR="00E67B0E" w:rsidRPr="00B367C3" w:rsidRDefault="00E67B0E" w:rsidP="00E67B0E">
      <w:pPr>
        <w:pStyle w:val="Amendment1"/>
        <w:numPr>
          <w:ilvl w:val="0"/>
          <w:numId w:val="31"/>
        </w:numPr>
        <w:ind w:left="567" w:hanging="567"/>
        <w:rPr>
          <w:i/>
        </w:rPr>
      </w:pPr>
      <w:r w:rsidRPr="00B367C3">
        <w:lastRenderedPageBreak/>
        <w:t xml:space="preserve">Schedule 2, after entry for </w:t>
      </w:r>
      <w:r w:rsidR="00D96416" w:rsidRPr="00B367C3">
        <w:t>Eculizumab</w:t>
      </w:r>
    </w:p>
    <w:p w14:paraId="6B10A4BC" w14:textId="722CFF69" w:rsidR="00E67B0E" w:rsidRPr="00B367C3" w:rsidRDefault="00E67B0E" w:rsidP="00E67B0E">
      <w:pPr>
        <w:pStyle w:val="Amendment1"/>
        <w:tabs>
          <w:tab w:val="clear" w:pos="794"/>
        </w:tabs>
        <w:spacing w:before="60" w:after="60"/>
        <w:ind w:left="567" w:firstLine="0"/>
        <w:rPr>
          <w:rFonts w:ascii="Times New Roman" w:hAnsi="Times New Roman" w:cs="Times New Roman"/>
          <w:b w:val="0"/>
          <w:bCs w:val="0"/>
          <w:i/>
          <w:iCs/>
        </w:rPr>
      </w:pPr>
      <w:r w:rsidRPr="00B367C3">
        <w:rPr>
          <w:rFonts w:ascii="Times New Roman" w:hAnsi="Times New Roman" w:cs="Times New Roman"/>
          <w:b w:val="0"/>
          <w:bCs w:val="0"/>
          <w:i/>
          <w:iCs/>
        </w:rPr>
        <w:t>insert:</w:t>
      </w:r>
    </w:p>
    <w:tbl>
      <w:tblPr>
        <w:tblW w:w="0" w:type="auto"/>
        <w:tblLayout w:type="fixed"/>
        <w:tblCellMar>
          <w:left w:w="0" w:type="dxa"/>
          <w:right w:w="0" w:type="dxa"/>
        </w:tblCellMar>
        <w:tblLook w:val="01E0" w:firstRow="1" w:lastRow="1" w:firstColumn="1" w:lastColumn="1" w:noHBand="0" w:noVBand="0"/>
      </w:tblPr>
      <w:tblGrid>
        <w:gridCol w:w="1701"/>
        <w:gridCol w:w="4111"/>
        <w:gridCol w:w="1418"/>
        <w:gridCol w:w="2693"/>
      </w:tblGrid>
      <w:tr w:rsidR="00E67B0E" w:rsidRPr="00B367C3" w14:paraId="35A4F598" w14:textId="77777777" w:rsidTr="00416A8C">
        <w:trPr>
          <w:trHeight w:val="306"/>
        </w:trPr>
        <w:tc>
          <w:tcPr>
            <w:tcW w:w="1701" w:type="dxa"/>
            <w:tcBorders>
              <w:top w:val="single" w:sz="2" w:space="0" w:color="000000"/>
              <w:left w:val="nil"/>
              <w:bottom w:val="single" w:sz="2" w:space="0" w:color="000000"/>
              <w:right w:val="nil"/>
            </w:tcBorders>
          </w:tcPr>
          <w:p w14:paraId="1C0BEDF8" w14:textId="4F48CCD9" w:rsidR="00E67B0E" w:rsidRPr="00B367C3" w:rsidRDefault="00E67B0E" w:rsidP="00E67B0E">
            <w:pPr>
              <w:pStyle w:val="TableParagraph"/>
              <w:spacing w:before="60" w:after="60"/>
              <w:ind w:left="57"/>
              <w:rPr>
                <w:rFonts w:ascii="Times New Roman" w:hAnsi="Times New Roman" w:cs="Times New Roman"/>
                <w:sz w:val="20"/>
                <w:szCs w:val="20"/>
              </w:rPr>
            </w:pPr>
            <w:proofErr w:type="spellStart"/>
            <w:r w:rsidRPr="00B367C3">
              <w:rPr>
                <w:sz w:val="16"/>
                <w:szCs w:val="10"/>
                <w:lang w:eastAsia="en-AU"/>
              </w:rPr>
              <w:t>Elexacaftor</w:t>
            </w:r>
            <w:proofErr w:type="spellEnd"/>
            <w:r w:rsidRPr="00B367C3">
              <w:rPr>
                <w:sz w:val="16"/>
                <w:szCs w:val="10"/>
                <w:lang w:eastAsia="en-AU"/>
              </w:rPr>
              <w:t xml:space="preserve"> with </w:t>
            </w:r>
            <w:proofErr w:type="spellStart"/>
            <w:r w:rsidRPr="00B367C3">
              <w:rPr>
                <w:sz w:val="16"/>
                <w:szCs w:val="10"/>
                <w:lang w:eastAsia="en-AU"/>
              </w:rPr>
              <w:t>tezacaftor</w:t>
            </w:r>
            <w:proofErr w:type="spellEnd"/>
            <w:r w:rsidRPr="00B367C3">
              <w:rPr>
                <w:sz w:val="16"/>
                <w:szCs w:val="10"/>
                <w:lang w:eastAsia="en-AU"/>
              </w:rPr>
              <w:t xml:space="preserve"> and with ivacaftor, and ivacaftor</w:t>
            </w:r>
          </w:p>
        </w:tc>
        <w:tc>
          <w:tcPr>
            <w:tcW w:w="4111" w:type="dxa"/>
            <w:tcBorders>
              <w:top w:val="single" w:sz="2" w:space="0" w:color="000000"/>
              <w:left w:val="nil"/>
              <w:bottom w:val="single" w:sz="2" w:space="0" w:color="000000"/>
              <w:right w:val="nil"/>
            </w:tcBorders>
          </w:tcPr>
          <w:p w14:paraId="10B4FFDD" w14:textId="36E78A68" w:rsidR="00E67B0E" w:rsidRPr="00B367C3" w:rsidRDefault="00E67B0E" w:rsidP="00E67B0E">
            <w:pPr>
              <w:pStyle w:val="TableParagraph"/>
              <w:spacing w:before="60" w:after="60"/>
              <w:ind w:left="57"/>
              <w:rPr>
                <w:rFonts w:ascii="Times New Roman" w:hAnsi="Times New Roman" w:cs="Times New Roman"/>
                <w:sz w:val="20"/>
                <w:szCs w:val="20"/>
              </w:rPr>
            </w:pPr>
            <w:r w:rsidRPr="00B367C3">
              <w:rPr>
                <w:sz w:val="16"/>
                <w:szCs w:val="10"/>
                <w:lang w:eastAsia="en-AU"/>
              </w:rPr>
              <w:t>C12618 C12626</w:t>
            </w:r>
          </w:p>
        </w:tc>
        <w:tc>
          <w:tcPr>
            <w:tcW w:w="1418" w:type="dxa"/>
            <w:tcBorders>
              <w:top w:val="single" w:sz="2" w:space="0" w:color="000000"/>
              <w:left w:val="nil"/>
              <w:bottom w:val="single" w:sz="2" w:space="0" w:color="000000"/>
              <w:right w:val="nil"/>
            </w:tcBorders>
          </w:tcPr>
          <w:p w14:paraId="0AC880AE" w14:textId="03AA5B4C" w:rsidR="00E67B0E" w:rsidRPr="00B367C3" w:rsidRDefault="001D4D1D" w:rsidP="00E67B0E">
            <w:pPr>
              <w:pStyle w:val="TableParagraph"/>
              <w:spacing w:before="60" w:after="60"/>
              <w:ind w:left="57"/>
              <w:rPr>
                <w:rFonts w:ascii="Times New Roman" w:hAnsi="Times New Roman" w:cs="Times New Roman"/>
                <w:sz w:val="20"/>
                <w:szCs w:val="20"/>
              </w:rPr>
            </w:pPr>
            <w:r w:rsidRPr="00B367C3">
              <w:rPr>
                <w:sz w:val="16"/>
                <w:szCs w:val="16"/>
              </w:rPr>
              <w:t>1 pack</w:t>
            </w:r>
          </w:p>
        </w:tc>
        <w:tc>
          <w:tcPr>
            <w:tcW w:w="2693" w:type="dxa"/>
            <w:tcBorders>
              <w:top w:val="single" w:sz="2" w:space="0" w:color="000000"/>
              <w:left w:val="nil"/>
              <w:bottom w:val="single" w:sz="2" w:space="0" w:color="000000"/>
              <w:right w:val="nil"/>
            </w:tcBorders>
          </w:tcPr>
          <w:p w14:paraId="48FD39F3" w14:textId="2F3BB6F6" w:rsidR="00E67B0E" w:rsidRPr="00B367C3" w:rsidRDefault="00E67B0E" w:rsidP="00E67B0E">
            <w:pPr>
              <w:pStyle w:val="TableParagraph"/>
              <w:spacing w:before="60" w:after="60"/>
              <w:ind w:left="57"/>
              <w:rPr>
                <w:rFonts w:ascii="Times New Roman" w:hAnsi="Times New Roman" w:cs="Times New Roman"/>
                <w:sz w:val="20"/>
                <w:szCs w:val="20"/>
              </w:rPr>
            </w:pPr>
            <w:r w:rsidRPr="00B367C3">
              <w:rPr>
                <w:sz w:val="16"/>
                <w:szCs w:val="16"/>
              </w:rPr>
              <w:t>5</w:t>
            </w:r>
          </w:p>
        </w:tc>
      </w:tr>
    </w:tbl>
    <w:p w14:paraId="409FF9CB" w14:textId="2AC85D70" w:rsidR="00E67B0E" w:rsidRPr="00B367C3" w:rsidRDefault="00E67B0E" w:rsidP="00E67B0E">
      <w:pPr>
        <w:pStyle w:val="Amendment1"/>
        <w:numPr>
          <w:ilvl w:val="0"/>
          <w:numId w:val="31"/>
        </w:numPr>
        <w:ind w:left="567" w:hanging="567"/>
        <w:rPr>
          <w:i/>
        </w:rPr>
      </w:pPr>
      <w:r w:rsidRPr="00B367C3">
        <w:t>Schedule 2, entry for Ivacaftor</w:t>
      </w:r>
    </w:p>
    <w:p w14:paraId="543EB99C" w14:textId="716F401C" w:rsidR="00E67B0E" w:rsidRPr="00B367C3" w:rsidRDefault="0015668E" w:rsidP="00E67B0E">
      <w:pPr>
        <w:pStyle w:val="Amendment1"/>
        <w:tabs>
          <w:tab w:val="clear" w:pos="794"/>
        </w:tabs>
        <w:spacing w:before="60" w:after="60"/>
        <w:ind w:left="567" w:firstLine="0"/>
        <w:rPr>
          <w:rFonts w:ascii="Times New Roman" w:hAnsi="Times New Roman" w:cs="Times New Roman"/>
          <w:b w:val="0"/>
          <w:bCs w:val="0"/>
          <w:i/>
          <w:iCs/>
        </w:rPr>
      </w:pPr>
      <w:r w:rsidRPr="00B367C3">
        <w:rPr>
          <w:rFonts w:ascii="Times New Roman" w:hAnsi="Times New Roman" w:cs="Times New Roman"/>
          <w:b w:val="0"/>
          <w:bCs w:val="0"/>
          <w:i/>
          <w:iCs/>
        </w:rPr>
        <w:t>s</w:t>
      </w:r>
      <w:r w:rsidR="00E67B0E" w:rsidRPr="00B367C3">
        <w:rPr>
          <w:rFonts w:ascii="Times New Roman" w:hAnsi="Times New Roman" w:cs="Times New Roman"/>
          <w:b w:val="0"/>
          <w:bCs w:val="0"/>
          <w:i/>
          <w:iCs/>
        </w:rPr>
        <w:t>ubstitute</w:t>
      </w:r>
      <w:r w:rsidRPr="00B367C3">
        <w:rPr>
          <w:rFonts w:ascii="Times New Roman" w:hAnsi="Times New Roman" w:cs="Times New Roman"/>
          <w:b w:val="0"/>
          <w:bCs w:val="0"/>
          <w:i/>
          <w:iCs/>
        </w:rPr>
        <w:t>:</w:t>
      </w:r>
    </w:p>
    <w:tbl>
      <w:tblPr>
        <w:tblW w:w="0" w:type="auto"/>
        <w:tblLayout w:type="fixed"/>
        <w:tblCellMar>
          <w:left w:w="0" w:type="dxa"/>
          <w:right w:w="0" w:type="dxa"/>
        </w:tblCellMar>
        <w:tblLook w:val="01E0" w:firstRow="1" w:lastRow="1" w:firstColumn="1" w:lastColumn="1" w:noHBand="0" w:noVBand="0"/>
      </w:tblPr>
      <w:tblGrid>
        <w:gridCol w:w="1701"/>
        <w:gridCol w:w="4111"/>
        <w:gridCol w:w="1418"/>
        <w:gridCol w:w="2693"/>
      </w:tblGrid>
      <w:tr w:rsidR="0015668E" w:rsidRPr="00B367C3" w14:paraId="27377417" w14:textId="77777777" w:rsidTr="00416A8C">
        <w:trPr>
          <w:trHeight w:val="306"/>
        </w:trPr>
        <w:tc>
          <w:tcPr>
            <w:tcW w:w="1701" w:type="dxa"/>
            <w:tcBorders>
              <w:top w:val="single" w:sz="2" w:space="0" w:color="000000"/>
              <w:left w:val="nil"/>
              <w:bottom w:val="single" w:sz="2" w:space="0" w:color="000000"/>
              <w:right w:val="nil"/>
            </w:tcBorders>
          </w:tcPr>
          <w:p w14:paraId="05637FD9" w14:textId="4CA0F942"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Ivacaftor</w:t>
            </w:r>
          </w:p>
        </w:tc>
        <w:tc>
          <w:tcPr>
            <w:tcW w:w="4111" w:type="dxa"/>
            <w:tcBorders>
              <w:top w:val="single" w:sz="2" w:space="0" w:color="000000"/>
              <w:left w:val="nil"/>
              <w:bottom w:val="single" w:sz="2" w:space="0" w:color="000000"/>
              <w:right w:val="nil"/>
            </w:tcBorders>
          </w:tcPr>
          <w:p w14:paraId="552C6A11" w14:textId="56D36211"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0"/>
                <w:lang w:eastAsia="en-AU"/>
              </w:rPr>
              <w:t>C12624 C12625</w:t>
            </w:r>
          </w:p>
        </w:tc>
        <w:tc>
          <w:tcPr>
            <w:tcW w:w="1418" w:type="dxa"/>
            <w:tcBorders>
              <w:top w:val="single" w:sz="2" w:space="0" w:color="000000"/>
              <w:left w:val="nil"/>
              <w:bottom w:val="single" w:sz="2" w:space="0" w:color="000000"/>
              <w:right w:val="nil"/>
            </w:tcBorders>
          </w:tcPr>
          <w:p w14:paraId="23EDFDE5" w14:textId="1AD7F78F"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1 pack</w:t>
            </w:r>
          </w:p>
        </w:tc>
        <w:tc>
          <w:tcPr>
            <w:tcW w:w="2693" w:type="dxa"/>
            <w:tcBorders>
              <w:top w:val="single" w:sz="2" w:space="0" w:color="000000"/>
              <w:left w:val="nil"/>
              <w:bottom w:val="single" w:sz="2" w:space="0" w:color="000000"/>
              <w:right w:val="nil"/>
            </w:tcBorders>
          </w:tcPr>
          <w:p w14:paraId="7C320D5C" w14:textId="6A40E663"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Sufficient for 24 weeks of treatment</w:t>
            </w:r>
          </w:p>
        </w:tc>
      </w:tr>
    </w:tbl>
    <w:p w14:paraId="1FD7BCE9" w14:textId="2E39833C" w:rsidR="0015668E" w:rsidRPr="00B367C3" w:rsidRDefault="0015668E" w:rsidP="0015668E">
      <w:pPr>
        <w:pStyle w:val="Amendment1"/>
        <w:numPr>
          <w:ilvl w:val="0"/>
          <w:numId w:val="31"/>
        </w:numPr>
        <w:ind w:left="567" w:hanging="567"/>
        <w:rPr>
          <w:i/>
        </w:rPr>
      </w:pPr>
      <w:r w:rsidRPr="00B367C3">
        <w:t>Schedule 2, entry for Lumacaftor with Ivacaftor</w:t>
      </w:r>
    </w:p>
    <w:p w14:paraId="327708D8" w14:textId="77777777" w:rsidR="0015668E" w:rsidRPr="00B367C3" w:rsidRDefault="0015668E" w:rsidP="0015668E">
      <w:pPr>
        <w:pStyle w:val="Amendment1"/>
        <w:tabs>
          <w:tab w:val="clear" w:pos="794"/>
        </w:tabs>
        <w:spacing w:before="60" w:after="60"/>
        <w:ind w:left="567" w:firstLine="0"/>
        <w:rPr>
          <w:rFonts w:ascii="Times New Roman" w:hAnsi="Times New Roman" w:cs="Times New Roman"/>
          <w:b w:val="0"/>
          <w:bCs w:val="0"/>
          <w:i/>
          <w:iCs/>
        </w:rPr>
      </w:pPr>
      <w:r w:rsidRPr="00B367C3">
        <w:rPr>
          <w:rFonts w:ascii="Times New Roman" w:hAnsi="Times New Roman" w:cs="Times New Roman"/>
          <w:b w:val="0"/>
          <w:bCs w:val="0"/>
          <w:i/>
          <w:iCs/>
        </w:rPr>
        <w:t>substitute:</w:t>
      </w:r>
    </w:p>
    <w:tbl>
      <w:tblPr>
        <w:tblW w:w="0" w:type="auto"/>
        <w:tblLayout w:type="fixed"/>
        <w:tblCellMar>
          <w:left w:w="0" w:type="dxa"/>
          <w:right w:w="0" w:type="dxa"/>
        </w:tblCellMar>
        <w:tblLook w:val="01E0" w:firstRow="1" w:lastRow="1" w:firstColumn="1" w:lastColumn="1" w:noHBand="0" w:noVBand="0"/>
      </w:tblPr>
      <w:tblGrid>
        <w:gridCol w:w="1701"/>
        <w:gridCol w:w="4111"/>
        <w:gridCol w:w="1418"/>
        <w:gridCol w:w="2693"/>
      </w:tblGrid>
      <w:tr w:rsidR="0015668E" w:rsidRPr="00B367C3" w14:paraId="5D3A9F6B" w14:textId="77777777" w:rsidTr="00416A8C">
        <w:trPr>
          <w:trHeight w:val="306"/>
        </w:trPr>
        <w:tc>
          <w:tcPr>
            <w:tcW w:w="1701" w:type="dxa"/>
            <w:tcBorders>
              <w:top w:val="single" w:sz="2" w:space="0" w:color="000000"/>
              <w:left w:val="nil"/>
              <w:bottom w:val="single" w:sz="2" w:space="0" w:color="000000"/>
              <w:right w:val="nil"/>
            </w:tcBorders>
          </w:tcPr>
          <w:p w14:paraId="1B9B03EA" w14:textId="1F7EB8D3" w:rsidR="0015668E" w:rsidRPr="00B367C3" w:rsidRDefault="0015668E" w:rsidP="0015668E">
            <w:pPr>
              <w:pStyle w:val="TableParagraph"/>
              <w:spacing w:before="60" w:after="60"/>
              <w:ind w:left="57"/>
              <w:rPr>
                <w:rFonts w:ascii="Times New Roman" w:hAnsi="Times New Roman" w:cs="Times New Roman"/>
                <w:sz w:val="20"/>
                <w:szCs w:val="20"/>
              </w:rPr>
            </w:pPr>
            <w:bookmarkStart w:id="20" w:name="_Hlk98497911"/>
            <w:r w:rsidRPr="00B367C3">
              <w:rPr>
                <w:sz w:val="16"/>
                <w:szCs w:val="16"/>
              </w:rPr>
              <w:t>Lumacaftor with Ivacaftor</w:t>
            </w:r>
            <w:bookmarkEnd w:id="20"/>
          </w:p>
        </w:tc>
        <w:tc>
          <w:tcPr>
            <w:tcW w:w="4111" w:type="dxa"/>
            <w:tcBorders>
              <w:top w:val="single" w:sz="2" w:space="0" w:color="000000"/>
              <w:left w:val="nil"/>
              <w:bottom w:val="single" w:sz="2" w:space="0" w:color="000000"/>
              <w:right w:val="nil"/>
            </w:tcBorders>
          </w:tcPr>
          <w:p w14:paraId="24F1D963" w14:textId="03D77592"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0"/>
                <w:lang w:eastAsia="en-AU"/>
              </w:rPr>
              <w:t xml:space="preserve">C12610 C12612 C12621 C12623 C12627 C12633 </w:t>
            </w:r>
          </w:p>
        </w:tc>
        <w:tc>
          <w:tcPr>
            <w:tcW w:w="1418" w:type="dxa"/>
            <w:tcBorders>
              <w:top w:val="single" w:sz="2" w:space="0" w:color="000000"/>
              <w:left w:val="nil"/>
              <w:bottom w:val="single" w:sz="2" w:space="0" w:color="000000"/>
              <w:right w:val="nil"/>
            </w:tcBorders>
          </w:tcPr>
          <w:p w14:paraId="6D2D7956" w14:textId="4699DA65"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1 pack</w:t>
            </w:r>
          </w:p>
        </w:tc>
        <w:tc>
          <w:tcPr>
            <w:tcW w:w="2693" w:type="dxa"/>
            <w:tcBorders>
              <w:top w:val="single" w:sz="2" w:space="0" w:color="000000"/>
              <w:left w:val="nil"/>
              <w:bottom w:val="single" w:sz="2" w:space="0" w:color="000000"/>
              <w:right w:val="nil"/>
            </w:tcBorders>
          </w:tcPr>
          <w:p w14:paraId="0494D84C" w14:textId="43C8A7BA"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5</w:t>
            </w:r>
          </w:p>
        </w:tc>
      </w:tr>
    </w:tbl>
    <w:p w14:paraId="73CE4346" w14:textId="54B07958" w:rsidR="0015668E" w:rsidRPr="00B367C3" w:rsidRDefault="0015668E" w:rsidP="0015668E">
      <w:pPr>
        <w:pStyle w:val="Amendment1"/>
        <w:numPr>
          <w:ilvl w:val="0"/>
          <w:numId w:val="31"/>
        </w:numPr>
        <w:ind w:left="567" w:hanging="567"/>
        <w:rPr>
          <w:i/>
        </w:rPr>
      </w:pPr>
      <w:r w:rsidRPr="00B367C3">
        <w:t xml:space="preserve">Schedule 2, entry for </w:t>
      </w:r>
      <w:proofErr w:type="spellStart"/>
      <w:r w:rsidRPr="00B367C3">
        <w:t>Ravulizumab</w:t>
      </w:r>
      <w:proofErr w:type="spellEnd"/>
    </w:p>
    <w:p w14:paraId="4AF7C02D" w14:textId="77777777" w:rsidR="0015668E" w:rsidRPr="00B367C3" w:rsidRDefault="0015668E" w:rsidP="0015668E">
      <w:pPr>
        <w:pStyle w:val="Amendment1"/>
        <w:tabs>
          <w:tab w:val="clear" w:pos="794"/>
        </w:tabs>
        <w:spacing w:before="60" w:after="60"/>
        <w:ind w:left="567" w:firstLine="0"/>
        <w:rPr>
          <w:rFonts w:ascii="Times New Roman" w:hAnsi="Times New Roman" w:cs="Times New Roman"/>
          <w:b w:val="0"/>
          <w:bCs w:val="0"/>
          <w:i/>
          <w:iCs/>
        </w:rPr>
      </w:pPr>
      <w:r w:rsidRPr="00B367C3">
        <w:rPr>
          <w:rFonts w:ascii="Times New Roman" w:hAnsi="Times New Roman" w:cs="Times New Roman"/>
          <w:b w:val="0"/>
          <w:bCs w:val="0"/>
          <w:i/>
          <w:iCs/>
        </w:rPr>
        <w:t>substitute:</w:t>
      </w:r>
    </w:p>
    <w:tbl>
      <w:tblPr>
        <w:tblW w:w="0" w:type="auto"/>
        <w:tblLayout w:type="fixed"/>
        <w:tblCellMar>
          <w:left w:w="0" w:type="dxa"/>
          <w:right w:w="0" w:type="dxa"/>
        </w:tblCellMar>
        <w:tblLook w:val="01E0" w:firstRow="1" w:lastRow="1" w:firstColumn="1" w:lastColumn="1" w:noHBand="0" w:noVBand="0"/>
      </w:tblPr>
      <w:tblGrid>
        <w:gridCol w:w="1701"/>
        <w:gridCol w:w="4111"/>
        <w:gridCol w:w="1418"/>
        <w:gridCol w:w="2693"/>
      </w:tblGrid>
      <w:tr w:rsidR="0015668E" w:rsidRPr="00B367C3" w14:paraId="45431C43" w14:textId="77777777" w:rsidTr="00416A8C">
        <w:trPr>
          <w:trHeight w:val="306"/>
        </w:trPr>
        <w:tc>
          <w:tcPr>
            <w:tcW w:w="1701" w:type="dxa"/>
            <w:tcBorders>
              <w:top w:val="single" w:sz="2" w:space="0" w:color="000000"/>
              <w:left w:val="nil"/>
              <w:bottom w:val="single" w:sz="2" w:space="0" w:color="000000"/>
              <w:right w:val="nil"/>
            </w:tcBorders>
          </w:tcPr>
          <w:p w14:paraId="1D945FFB" w14:textId="457B3531" w:rsidR="0015668E" w:rsidRPr="00B367C3" w:rsidRDefault="0015668E" w:rsidP="0015668E">
            <w:pPr>
              <w:pStyle w:val="TableParagraph"/>
              <w:spacing w:before="60" w:after="60"/>
              <w:ind w:left="57"/>
              <w:rPr>
                <w:rFonts w:ascii="Times New Roman" w:hAnsi="Times New Roman" w:cs="Times New Roman"/>
                <w:sz w:val="20"/>
                <w:szCs w:val="20"/>
              </w:rPr>
            </w:pPr>
            <w:bookmarkStart w:id="21" w:name="_Hlk98497956"/>
            <w:proofErr w:type="spellStart"/>
            <w:r w:rsidRPr="00B367C3">
              <w:rPr>
                <w:sz w:val="16"/>
                <w:szCs w:val="16"/>
              </w:rPr>
              <w:t>Ravulizumab</w:t>
            </w:r>
            <w:bookmarkEnd w:id="21"/>
            <w:proofErr w:type="spellEnd"/>
          </w:p>
        </w:tc>
        <w:tc>
          <w:tcPr>
            <w:tcW w:w="4111" w:type="dxa"/>
            <w:tcBorders>
              <w:top w:val="single" w:sz="2" w:space="0" w:color="000000"/>
              <w:left w:val="nil"/>
              <w:bottom w:val="single" w:sz="2" w:space="0" w:color="000000"/>
              <w:right w:val="nil"/>
            </w:tcBorders>
          </w:tcPr>
          <w:p w14:paraId="6032EDA8" w14:textId="7F489320"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 xml:space="preserve">C12517 C12518 C12519 </w:t>
            </w:r>
          </w:p>
        </w:tc>
        <w:tc>
          <w:tcPr>
            <w:tcW w:w="1418" w:type="dxa"/>
            <w:tcBorders>
              <w:top w:val="single" w:sz="2" w:space="0" w:color="000000"/>
              <w:left w:val="nil"/>
              <w:bottom w:val="single" w:sz="2" w:space="0" w:color="000000"/>
              <w:right w:val="nil"/>
            </w:tcBorders>
          </w:tcPr>
          <w:p w14:paraId="1CD43F31" w14:textId="477E32CC"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1 dose</w:t>
            </w:r>
          </w:p>
        </w:tc>
        <w:tc>
          <w:tcPr>
            <w:tcW w:w="2693" w:type="dxa"/>
            <w:tcBorders>
              <w:top w:val="single" w:sz="2" w:space="0" w:color="000000"/>
              <w:left w:val="nil"/>
              <w:bottom w:val="single" w:sz="2" w:space="0" w:color="000000"/>
              <w:right w:val="nil"/>
            </w:tcBorders>
          </w:tcPr>
          <w:p w14:paraId="158909A1" w14:textId="045D1989"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0</w:t>
            </w:r>
          </w:p>
        </w:tc>
      </w:tr>
      <w:tr w:rsidR="0015668E" w:rsidRPr="00B367C3" w14:paraId="58747298" w14:textId="77777777" w:rsidTr="00416A8C">
        <w:trPr>
          <w:trHeight w:val="306"/>
        </w:trPr>
        <w:tc>
          <w:tcPr>
            <w:tcW w:w="1701" w:type="dxa"/>
            <w:tcBorders>
              <w:top w:val="single" w:sz="2" w:space="0" w:color="000000"/>
              <w:left w:val="nil"/>
              <w:bottom w:val="single" w:sz="2" w:space="0" w:color="000000"/>
              <w:right w:val="nil"/>
            </w:tcBorders>
          </w:tcPr>
          <w:p w14:paraId="42C865B5" w14:textId="77777777" w:rsidR="0015668E" w:rsidRPr="00B367C3" w:rsidRDefault="0015668E" w:rsidP="0015668E">
            <w:pPr>
              <w:pStyle w:val="TableParagraph"/>
              <w:spacing w:before="60" w:after="60"/>
              <w:ind w:left="57"/>
              <w:rPr>
                <w:sz w:val="16"/>
                <w:szCs w:val="16"/>
              </w:rPr>
            </w:pPr>
          </w:p>
        </w:tc>
        <w:tc>
          <w:tcPr>
            <w:tcW w:w="4111" w:type="dxa"/>
            <w:tcBorders>
              <w:top w:val="single" w:sz="2" w:space="0" w:color="000000"/>
              <w:left w:val="nil"/>
              <w:bottom w:val="single" w:sz="2" w:space="0" w:color="000000"/>
              <w:right w:val="nil"/>
            </w:tcBorders>
          </w:tcPr>
          <w:p w14:paraId="1CF2AB58" w14:textId="6555B323" w:rsidR="0015668E" w:rsidRPr="00B367C3" w:rsidRDefault="0015668E" w:rsidP="0015668E">
            <w:pPr>
              <w:pStyle w:val="TableParagraph"/>
              <w:spacing w:before="60" w:after="60"/>
              <w:ind w:left="57"/>
              <w:rPr>
                <w:sz w:val="16"/>
                <w:szCs w:val="10"/>
                <w:lang w:eastAsia="en-AU"/>
              </w:rPr>
            </w:pPr>
            <w:r w:rsidRPr="00B367C3">
              <w:rPr>
                <w:sz w:val="16"/>
                <w:szCs w:val="16"/>
              </w:rPr>
              <w:t>C12511 C12593 C12605</w:t>
            </w:r>
          </w:p>
        </w:tc>
        <w:tc>
          <w:tcPr>
            <w:tcW w:w="1418" w:type="dxa"/>
            <w:tcBorders>
              <w:top w:val="single" w:sz="2" w:space="0" w:color="000000"/>
              <w:left w:val="nil"/>
              <w:bottom w:val="single" w:sz="2" w:space="0" w:color="000000"/>
              <w:right w:val="nil"/>
            </w:tcBorders>
          </w:tcPr>
          <w:p w14:paraId="24A41999" w14:textId="32E8C489" w:rsidR="0015668E" w:rsidRPr="00B367C3" w:rsidRDefault="0015668E" w:rsidP="0015668E">
            <w:pPr>
              <w:pStyle w:val="TableParagraph"/>
              <w:spacing w:before="60" w:after="60"/>
              <w:ind w:left="57"/>
              <w:rPr>
                <w:sz w:val="16"/>
                <w:szCs w:val="16"/>
              </w:rPr>
            </w:pPr>
            <w:r w:rsidRPr="00B367C3">
              <w:rPr>
                <w:sz w:val="16"/>
                <w:szCs w:val="16"/>
              </w:rPr>
              <w:t>1 dose</w:t>
            </w:r>
          </w:p>
        </w:tc>
        <w:tc>
          <w:tcPr>
            <w:tcW w:w="2693" w:type="dxa"/>
            <w:tcBorders>
              <w:top w:val="single" w:sz="2" w:space="0" w:color="000000"/>
              <w:left w:val="nil"/>
              <w:bottom w:val="single" w:sz="2" w:space="0" w:color="000000"/>
              <w:right w:val="nil"/>
            </w:tcBorders>
          </w:tcPr>
          <w:p w14:paraId="4676D920" w14:textId="26C8928A" w:rsidR="0015668E" w:rsidRPr="00B367C3" w:rsidRDefault="0015668E" w:rsidP="0015668E">
            <w:pPr>
              <w:pStyle w:val="TableParagraph"/>
              <w:spacing w:before="60" w:after="60"/>
              <w:ind w:left="57"/>
              <w:rPr>
                <w:sz w:val="16"/>
                <w:szCs w:val="16"/>
              </w:rPr>
            </w:pPr>
            <w:r w:rsidRPr="00B367C3">
              <w:rPr>
                <w:sz w:val="16"/>
                <w:szCs w:val="16"/>
              </w:rPr>
              <w:t>2</w:t>
            </w:r>
          </w:p>
        </w:tc>
      </w:tr>
    </w:tbl>
    <w:p w14:paraId="557B281C" w14:textId="7AF655C2" w:rsidR="0015668E" w:rsidRPr="00B367C3" w:rsidRDefault="0015668E" w:rsidP="0015668E">
      <w:pPr>
        <w:pStyle w:val="Amendment1"/>
        <w:numPr>
          <w:ilvl w:val="0"/>
          <w:numId w:val="31"/>
        </w:numPr>
        <w:ind w:left="567" w:hanging="567"/>
        <w:rPr>
          <w:i/>
        </w:rPr>
      </w:pPr>
      <w:r w:rsidRPr="00B367C3">
        <w:t xml:space="preserve">Schedule 2, entry for </w:t>
      </w:r>
      <w:proofErr w:type="spellStart"/>
      <w:r w:rsidRPr="00B367C3">
        <w:t>Tezacaftor</w:t>
      </w:r>
      <w:proofErr w:type="spellEnd"/>
      <w:r w:rsidRPr="00B367C3">
        <w:t xml:space="preserve"> with Ivacaftor and Ivacaftor</w:t>
      </w:r>
    </w:p>
    <w:p w14:paraId="70BE9821" w14:textId="77777777" w:rsidR="0015668E" w:rsidRPr="00B367C3" w:rsidRDefault="0015668E" w:rsidP="0015668E">
      <w:pPr>
        <w:pStyle w:val="Amendment1"/>
        <w:tabs>
          <w:tab w:val="clear" w:pos="794"/>
        </w:tabs>
        <w:spacing w:before="60" w:after="60"/>
        <w:ind w:left="567" w:firstLine="0"/>
        <w:rPr>
          <w:rFonts w:ascii="Times New Roman" w:hAnsi="Times New Roman" w:cs="Times New Roman"/>
          <w:b w:val="0"/>
          <w:bCs w:val="0"/>
          <w:i/>
          <w:iCs/>
        </w:rPr>
      </w:pPr>
      <w:r w:rsidRPr="00B367C3">
        <w:rPr>
          <w:rFonts w:ascii="Times New Roman" w:hAnsi="Times New Roman" w:cs="Times New Roman"/>
          <w:b w:val="0"/>
          <w:bCs w:val="0"/>
          <w:i/>
          <w:iCs/>
        </w:rPr>
        <w:t>substitute:</w:t>
      </w:r>
    </w:p>
    <w:tbl>
      <w:tblPr>
        <w:tblW w:w="0" w:type="auto"/>
        <w:tblLayout w:type="fixed"/>
        <w:tblCellMar>
          <w:left w:w="0" w:type="dxa"/>
          <w:right w:w="0" w:type="dxa"/>
        </w:tblCellMar>
        <w:tblLook w:val="01E0" w:firstRow="1" w:lastRow="1" w:firstColumn="1" w:lastColumn="1" w:noHBand="0" w:noVBand="0"/>
      </w:tblPr>
      <w:tblGrid>
        <w:gridCol w:w="1701"/>
        <w:gridCol w:w="4111"/>
        <w:gridCol w:w="1418"/>
        <w:gridCol w:w="2693"/>
      </w:tblGrid>
      <w:tr w:rsidR="0015668E" w:rsidRPr="00B367C3" w14:paraId="20CBDFD7" w14:textId="77777777" w:rsidTr="00416A8C">
        <w:trPr>
          <w:trHeight w:val="306"/>
        </w:trPr>
        <w:tc>
          <w:tcPr>
            <w:tcW w:w="1701" w:type="dxa"/>
            <w:tcBorders>
              <w:top w:val="single" w:sz="2" w:space="0" w:color="000000"/>
              <w:left w:val="nil"/>
              <w:bottom w:val="single" w:sz="2" w:space="0" w:color="000000"/>
              <w:right w:val="nil"/>
            </w:tcBorders>
          </w:tcPr>
          <w:p w14:paraId="5ADF21A6" w14:textId="172779E8" w:rsidR="0015668E" w:rsidRPr="00B367C3" w:rsidRDefault="0015668E" w:rsidP="0015668E">
            <w:pPr>
              <w:pStyle w:val="TableParagraph"/>
              <w:spacing w:before="60" w:after="60"/>
              <w:ind w:left="57"/>
              <w:rPr>
                <w:rFonts w:ascii="Times New Roman" w:hAnsi="Times New Roman" w:cs="Times New Roman"/>
                <w:sz w:val="20"/>
                <w:szCs w:val="20"/>
              </w:rPr>
            </w:pPr>
            <w:bookmarkStart w:id="22" w:name="_Hlk98498004"/>
            <w:proofErr w:type="spellStart"/>
            <w:r w:rsidRPr="00B367C3">
              <w:rPr>
                <w:sz w:val="16"/>
                <w:szCs w:val="16"/>
              </w:rPr>
              <w:t>Tezacaftor</w:t>
            </w:r>
            <w:proofErr w:type="spellEnd"/>
            <w:r w:rsidRPr="00B367C3">
              <w:rPr>
                <w:sz w:val="16"/>
                <w:szCs w:val="16"/>
              </w:rPr>
              <w:t xml:space="preserve"> with Ivacaftor and Ivacaftor</w:t>
            </w:r>
            <w:bookmarkEnd w:id="22"/>
          </w:p>
        </w:tc>
        <w:tc>
          <w:tcPr>
            <w:tcW w:w="4111" w:type="dxa"/>
            <w:tcBorders>
              <w:top w:val="single" w:sz="2" w:space="0" w:color="000000"/>
              <w:left w:val="nil"/>
              <w:bottom w:val="single" w:sz="2" w:space="0" w:color="000000"/>
              <w:right w:val="nil"/>
            </w:tcBorders>
          </w:tcPr>
          <w:p w14:paraId="3D1ABA4B" w14:textId="37767913"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0"/>
              </w:rPr>
              <w:t>C12609 C12614 C12630 C12635</w:t>
            </w:r>
          </w:p>
        </w:tc>
        <w:tc>
          <w:tcPr>
            <w:tcW w:w="1418" w:type="dxa"/>
            <w:tcBorders>
              <w:top w:val="single" w:sz="2" w:space="0" w:color="000000"/>
              <w:left w:val="nil"/>
              <w:bottom w:val="single" w:sz="2" w:space="0" w:color="000000"/>
              <w:right w:val="nil"/>
            </w:tcBorders>
          </w:tcPr>
          <w:p w14:paraId="456992AE" w14:textId="12D7B938" w:rsidR="0015668E" w:rsidRPr="00B367C3" w:rsidRDefault="0015668E" w:rsidP="0015668E">
            <w:pPr>
              <w:pStyle w:val="TableParagraph"/>
              <w:spacing w:before="60" w:after="60"/>
              <w:ind w:left="57"/>
              <w:rPr>
                <w:rFonts w:ascii="Times New Roman" w:hAnsi="Times New Roman" w:cs="Times New Roman"/>
                <w:sz w:val="20"/>
                <w:szCs w:val="20"/>
              </w:rPr>
            </w:pPr>
            <w:r w:rsidRPr="00B367C3">
              <w:rPr>
                <w:sz w:val="16"/>
                <w:szCs w:val="16"/>
              </w:rPr>
              <w:t>1 pack</w:t>
            </w:r>
          </w:p>
        </w:tc>
        <w:tc>
          <w:tcPr>
            <w:tcW w:w="2693" w:type="dxa"/>
            <w:tcBorders>
              <w:top w:val="single" w:sz="2" w:space="0" w:color="000000"/>
              <w:left w:val="nil"/>
              <w:bottom w:val="single" w:sz="2" w:space="0" w:color="000000"/>
              <w:right w:val="nil"/>
            </w:tcBorders>
          </w:tcPr>
          <w:p w14:paraId="7E2D0954" w14:textId="288E2D77" w:rsidR="0015668E" w:rsidRPr="00B367C3" w:rsidRDefault="0015668E" w:rsidP="0015668E">
            <w:pPr>
              <w:pStyle w:val="TableParagraph"/>
              <w:spacing w:before="60" w:after="60"/>
              <w:ind w:left="57"/>
              <w:rPr>
                <w:rFonts w:ascii="Times New Roman" w:hAnsi="Times New Roman" w:cs="Times New Roman"/>
                <w:sz w:val="20"/>
                <w:szCs w:val="20"/>
              </w:rPr>
            </w:pPr>
            <w:r w:rsidRPr="00B367C3">
              <w:rPr>
                <w:rFonts w:eastAsia="Times New Roman"/>
                <w:sz w:val="16"/>
                <w:szCs w:val="16"/>
                <w:lang w:eastAsia="en-AU"/>
              </w:rPr>
              <w:t>5</w:t>
            </w:r>
          </w:p>
        </w:tc>
      </w:tr>
    </w:tbl>
    <w:p w14:paraId="4AA9EB37" w14:textId="22D4E5D6" w:rsidR="00F50F16" w:rsidRPr="00B367C3" w:rsidRDefault="00F50F16" w:rsidP="00F50F16">
      <w:pPr>
        <w:pStyle w:val="Amendment1"/>
        <w:numPr>
          <w:ilvl w:val="0"/>
          <w:numId w:val="31"/>
        </w:numPr>
        <w:ind w:left="567" w:hanging="567"/>
        <w:rPr>
          <w:bCs w:val="0"/>
          <w:iCs/>
        </w:rPr>
      </w:pPr>
      <w:r w:rsidRPr="00B367C3">
        <w:t>Schedule</w:t>
      </w:r>
      <w:r w:rsidRPr="00B367C3">
        <w:rPr>
          <w:bCs w:val="0"/>
          <w:iCs/>
        </w:rPr>
        <w:t xml:space="preserve"> 3, </w:t>
      </w:r>
      <w:r w:rsidR="00D30036" w:rsidRPr="00B367C3">
        <w:rPr>
          <w:bCs w:val="0"/>
          <w:iCs/>
        </w:rPr>
        <w:t xml:space="preserve">after </w:t>
      </w:r>
      <w:r w:rsidRPr="00B367C3">
        <w:rPr>
          <w:bCs w:val="0"/>
          <w:iCs/>
        </w:rPr>
        <w:t>entry for</w:t>
      </w:r>
      <w:r w:rsidR="00D30036" w:rsidRPr="00B367C3">
        <w:rPr>
          <w:bCs w:val="0"/>
          <w:iCs/>
        </w:rPr>
        <w:t xml:space="preserve"> </w:t>
      </w:r>
      <w:proofErr w:type="spellStart"/>
      <w:r w:rsidR="00D30036" w:rsidRPr="00B367C3">
        <w:rPr>
          <w:bCs w:val="0"/>
          <w:iCs/>
        </w:rPr>
        <w:t>Bosentan</w:t>
      </w:r>
      <w:proofErr w:type="spellEnd"/>
      <w:r w:rsidRPr="00B367C3">
        <w:rPr>
          <w:bCs w:val="0"/>
          <w:iCs/>
        </w:rPr>
        <w:t xml:space="preserve"> </w:t>
      </w:r>
    </w:p>
    <w:p w14:paraId="73B17B03" w14:textId="777216D5" w:rsidR="00F50F16" w:rsidRPr="00B367C3" w:rsidRDefault="00D30036" w:rsidP="00F50F16">
      <w:pPr>
        <w:pStyle w:val="Amendment1"/>
        <w:tabs>
          <w:tab w:val="left" w:pos="720"/>
        </w:tabs>
        <w:spacing w:before="60" w:after="60" w:line="260" w:lineRule="exact"/>
        <w:ind w:left="1134" w:hanging="567"/>
        <w:rPr>
          <w:rFonts w:ascii="Times New Roman" w:hAnsi="Times New Roman" w:cs="Times New Roman"/>
          <w:b w:val="0"/>
          <w:bCs w:val="0"/>
          <w:i/>
          <w:iCs/>
        </w:rPr>
      </w:pPr>
      <w:r w:rsidRPr="00B367C3">
        <w:rPr>
          <w:rFonts w:ascii="Times New Roman" w:hAnsi="Times New Roman" w:cs="Times New Roman"/>
          <w:b w:val="0"/>
          <w:bCs w:val="0"/>
          <w:i/>
          <w:iCs/>
        </w:rPr>
        <w:t>i</w:t>
      </w:r>
      <w:r w:rsidR="00F50F16" w:rsidRPr="00B367C3">
        <w:rPr>
          <w:rFonts w:ascii="Times New Roman" w:hAnsi="Times New Roman" w:cs="Times New Roman"/>
          <w:b w:val="0"/>
          <w:bCs w:val="0"/>
          <w:i/>
          <w:iCs/>
        </w:rPr>
        <w:t>nser</w:t>
      </w:r>
      <w:r w:rsidRPr="00B367C3">
        <w:rPr>
          <w:rFonts w:ascii="Times New Roman" w:hAnsi="Times New Roman" w:cs="Times New Roman"/>
          <w:b w:val="0"/>
          <w:bCs w:val="0"/>
          <w:i/>
          <w:iCs/>
        </w:rPr>
        <w:t>t</w:t>
      </w:r>
      <w:r w:rsidR="00F50F16" w:rsidRPr="00B367C3">
        <w:rPr>
          <w:rFonts w:ascii="Times New Roman" w:hAnsi="Times New Roman" w:cs="Times New Roman"/>
          <w:b w:val="0"/>
          <w:bCs w:val="0"/>
          <w:i/>
          <w:iCs/>
        </w:rPr>
        <w: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416A8C" w:rsidRPr="00B367C3" w14:paraId="38E44A58" w14:textId="77777777" w:rsidTr="00416A8C">
        <w:tc>
          <w:tcPr>
            <w:tcW w:w="1701" w:type="dxa"/>
            <w:tcBorders>
              <w:top w:val="single" w:sz="4" w:space="0" w:color="auto"/>
              <w:left w:val="single" w:sz="4" w:space="0" w:color="auto"/>
              <w:bottom w:val="single" w:sz="4" w:space="0" w:color="auto"/>
              <w:right w:val="single" w:sz="4" w:space="0" w:color="auto"/>
            </w:tcBorders>
          </w:tcPr>
          <w:p w14:paraId="7AC920B7" w14:textId="6B27744F" w:rsidR="00416A8C" w:rsidRPr="00B367C3" w:rsidRDefault="00416A8C" w:rsidP="00416A8C">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0"/>
                <w:lang w:val="en-US"/>
              </w:rPr>
              <w:t>Cabotegravir</w:t>
            </w:r>
          </w:p>
        </w:tc>
        <w:tc>
          <w:tcPr>
            <w:tcW w:w="850" w:type="dxa"/>
            <w:tcBorders>
              <w:top w:val="single" w:sz="4" w:space="0" w:color="auto"/>
              <w:left w:val="single" w:sz="4" w:space="0" w:color="auto"/>
              <w:bottom w:val="single" w:sz="4" w:space="0" w:color="auto"/>
              <w:right w:val="single" w:sz="4" w:space="0" w:color="auto"/>
            </w:tcBorders>
          </w:tcPr>
          <w:p w14:paraId="10F90BC9" w14:textId="63A5EDDD" w:rsidR="00416A8C" w:rsidRPr="00B367C3" w:rsidRDefault="00416A8C" w:rsidP="00416A8C">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0"/>
                <w:lang w:val="en-US"/>
              </w:rPr>
              <w:t>C12619</w:t>
            </w:r>
          </w:p>
        </w:tc>
        <w:tc>
          <w:tcPr>
            <w:tcW w:w="850" w:type="dxa"/>
            <w:tcBorders>
              <w:top w:val="single" w:sz="4" w:space="0" w:color="auto"/>
              <w:left w:val="single" w:sz="4" w:space="0" w:color="auto"/>
              <w:bottom w:val="single" w:sz="4" w:space="0" w:color="auto"/>
              <w:right w:val="single" w:sz="4" w:space="0" w:color="auto"/>
            </w:tcBorders>
          </w:tcPr>
          <w:p w14:paraId="3D45E8E0" w14:textId="7D0BAA2E" w:rsidR="00416A8C" w:rsidRPr="00B367C3" w:rsidRDefault="00416A8C" w:rsidP="00416A8C">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3E039E76" w14:textId="4C3319A3" w:rsidR="00416A8C" w:rsidRPr="00B367C3" w:rsidRDefault="00416A8C" w:rsidP="00416A8C">
            <w:pPr>
              <w:pStyle w:val="mps3-data"/>
              <w:rPr>
                <w:b/>
                <w:bCs/>
              </w:rPr>
            </w:pPr>
            <w:r w:rsidRPr="00B367C3">
              <w:rPr>
                <w:szCs w:val="10"/>
                <w:lang w:val="en-US"/>
              </w:rPr>
              <w:t>HIV infection</w:t>
            </w:r>
            <w:r w:rsidRPr="00B367C3">
              <w:rPr>
                <w:szCs w:val="10"/>
                <w:lang w:val="en-US"/>
              </w:rPr>
              <w:br/>
              <w:t>Patient must be virologically suppressed on a stable antiretroviral regimen for at least 6 months; AND</w:t>
            </w:r>
            <w:r w:rsidRPr="00B367C3">
              <w:rPr>
                <w:szCs w:val="10"/>
                <w:lang w:val="en-US"/>
              </w:rPr>
              <w:br/>
              <w:t xml:space="preserve">The treatment must be in combination with </w:t>
            </w:r>
            <w:proofErr w:type="spellStart"/>
            <w:r w:rsidRPr="00B367C3">
              <w:rPr>
                <w:szCs w:val="10"/>
                <w:lang w:val="en-US"/>
              </w:rPr>
              <w:t>rilpivirine</w:t>
            </w:r>
            <w:proofErr w:type="spellEnd"/>
            <w:r w:rsidRPr="00B367C3">
              <w:rPr>
                <w:szCs w:val="10"/>
                <w:lang w:val="en-US"/>
              </w:rPr>
              <w:t xml:space="preserve"> tablets; AND</w:t>
            </w:r>
            <w:r w:rsidRPr="00B367C3">
              <w:rPr>
                <w:szCs w:val="10"/>
                <w:lang w:val="en-US"/>
              </w:rPr>
              <w:br/>
              <w:t xml:space="preserve">Patient must intend to proceed to treatment with intramuscular administration of cabotegravir and </w:t>
            </w:r>
            <w:proofErr w:type="spellStart"/>
            <w:r w:rsidRPr="00B367C3">
              <w:rPr>
                <w:szCs w:val="10"/>
                <w:lang w:val="en-US"/>
              </w:rPr>
              <w:t>rilpivirine</w:t>
            </w:r>
            <w:proofErr w:type="spellEnd"/>
            <w:r w:rsidRPr="00B367C3">
              <w:rPr>
                <w:szCs w:val="10"/>
                <w:lang w:val="en-US"/>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2BE2DA7A" w14:textId="03683E83" w:rsidR="00416A8C" w:rsidRPr="00B367C3" w:rsidRDefault="00416A8C" w:rsidP="00416A8C">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0"/>
                <w:lang w:val="en-US"/>
              </w:rPr>
              <w:t>Compliance with Authority Required procedures - Streamlined Authority Code 12619</w:t>
            </w:r>
          </w:p>
        </w:tc>
      </w:tr>
    </w:tbl>
    <w:p w14:paraId="541A1AB7" w14:textId="77777777" w:rsidR="00416A8C" w:rsidRPr="00B367C3" w:rsidRDefault="00416A8C">
      <w:pPr>
        <w:spacing w:line="240" w:lineRule="auto"/>
        <w:rPr>
          <w:rFonts w:ascii="Arial" w:eastAsia="Times New Roman" w:hAnsi="Arial" w:cs="Arial"/>
          <w:b/>
          <w:bCs/>
          <w:sz w:val="20"/>
          <w:lang w:eastAsia="en-AU"/>
        </w:rPr>
      </w:pPr>
      <w:r w:rsidRPr="00B367C3">
        <w:br w:type="page"/>
      </w:r>
    </w:p>
    <w:p w14:paraId="7B03341A" w14:textId="64B6CE6D" w:rsidR="00416A8C" w:rsidRPr="00B367C3" w:rsidRDefault="00416A8C" w:rsidP="00416A8C">
      <w:pPr>
        <w:pStyle w:val="Amendment1"/>
        <w:numPr>
          <w:ilvl w:val="0"/>
          <w:numId w:val="31"/>
        </w:numPr>
        <w:ind w:left="567" w:hanging="567"/>
        <w:rPr>
          <w:bCs w:val="0"/>
          <w:iCs/>
        </w:rPr>
      </w:pPr>
      <w:r w:rsidRPr="00B367C3">
        <w:lastRenderedPageBreak/>
        <w:t>Schedule</w:t>
      </w:r>
      <w:r w:rsidRPr="00B367C3">
        <w:rPr>
          <w:bCs w:val="0"/>
          <w:iCs/>
        </w:rPr>
        <w:t xml:space="preserve"> 3, after entry for </w:t>
      </w:r>
      <w:r w:rsidRPr="00B367C3">
        <w:rPr>
          <w:szCs w:val="14"/>
          <w:lang w:val="en-US"/>
        </w:rPr>
        <w:t>Cabotegravir</w:t>
      </w:r>
    </w:p>
    <w:p w14:paraId="44F2D304" w14:textId="77777777" w:rsidR="00416A8C" w:rsidRPr="00B367C3" w:rsidRDefault="00416A8C" w:rsidP="00416A8C">
      <w:pPr>
        <w:pStyle w:val="Amendment1"/>
        <w:tabs>
          <w:tab w:val="left" w:pos="720"/>
        </w:tabs>
        <w:spacing w:before="60" w:after="60" w:line="260" w:lineRule="exact"/>
        <w:ind w:left="1134" w:hanging="567"/>
        <w:rPr>
          <w:rFonts w:ascii="Times New Roman" w:hAnsi="Times New Roman" w:cs="Times New Roman"/>
          <w:b w:val="0"/>
          <w:bCs w:val="0"/>
          <w:i/>
          <w:iCs/>
        </w:rPr>
      </w:pPr>
      <w:r w:rsidRPr="00B367C3">
        <w:rPr>
          <w:rFonts w:ascii="Times New Roman" w:hAnsi="Times New Roman" w:cs="Times New Roman"/>
          <w:b w:val="0"/>
          <w:bCs w:val="0"/>
          <w:i/>
          <w:iCs/>
        </w:rPr>
        <w:t>insert: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416A8C" w:rsidRPr="00B367C3" w14:paraId="4FBF6CD7" w14:textId="77777777" w:rsidTr="00416A8C">
        <w:tc>
          <w:tcPr>
            <w:tcW w:w="1701" w:type="dxa"/>
            <w:tcBorders>
              <w:top w:val="single" w:sz="4" w:space="0" w:color="auto"/>
              <w:left w:val="single" w:sz="4" w:space="0" w:color="auto"/>
              <w:bottom w:val="single" w:sz="4" w:space="0" w:color="auto"/>
              <w:right w:val="single" w:sz="4" w:space="0" w:color="auto"/>
            </w:tcBorders>
          </w:tcPr>
          <w:p w14:paraId="329606D0" w14:textId="53DC2553" w:rsidR="00416A8C" w:rsidRPr="00B367C3" w:rsidRDefault="00416A8C" w:rsidP="00416A8C">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0"/>
                <w:lang w:val="en-US"/>
              </w:rPr>
              <w:t xml:space="preserve">Cabotegravir and </w:t>
            </w:r>
            <w:proofErr w:type="spellStart"/>
            <w:r w:rsidRPr="00B367C3">
              <w:rPr>
                <w:rFonts w:ascii="Arial" w:hAnsi="Arial" w:cs="Arial"/>
                <w:sz w:val="16"/>
                <w:szCs w:val="10"/>
                <w:lang w:val="en-US"/>
              </w:rPr>
              <w:t>rilpivirine</w:t>
            </w:r>
            <w:proofErr w:type="spellEnd"/>
          </w:p>
        </w:tc>
        <w:tc>
          <w:tcPr>
            <w:tcW w:w="850" w:type="dxa"/>
            <w:tcBorders>
              <w:top w:val="single" w:sz="4" w:space="0" w:color="auto"/>
              <w:left w:val="single" w:sz="4" w:space="0" w:color="auto"/>
              <w:bottom w:val="single" w:sz="4" w:space="0" w:color="auto"/>
              <w:right w:val="single" w:sz="4" w:space="0" w:color="auto"/>
            </w:tcBorders>
          </w:tcPr>
          <w:p w14:paraId="4090228B" w14:textId="3F90C5A2" w:rsidR="00416A8C" w:rsidRPr="00B367C3" w:rsidRDefault="00416A8C" w:rsidP="00416A8C">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0"/>
                <w:lang w:val="en-US"/>
              </w:rPr>
              <w:t>C12636</w:t>
            </w:r>
          </w:p>
        </w:tc>
        <w:tc>
          <w:tcPr>
            <w:tcW w:w="850" w:type="dxa"/>
            <w:tcBorders>
              <w:top w:val="single" w:sz="4" w:space="0" w:color="auto"/>
              <w:left w:val="single" w:sz="4" w:space="0" w:color="auto"/>
              <w:bottom w:val="single" w:sz="4" w:space="0" w:color="auto"/>
              <w:right w:val="single" w:sz="4" w:space="0" w:color="auto"/>
            </w:tcBorders>
          </w:tcPr>
          <w:p w14:paraId="748A052F" w14:textId="77777777" w:rsidR="00416A8C" w:rsidRPr="00B367C3" w:rsidRDefault="00416A8C" w:rsidP="00416A8C">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6DF5E258" w14:textId="4333C064" w:rsidR="00416A8C" w:rsidRPr="00B367C3" w:rsidRDefault="00416A8C" w:rsidP="00416A8C">
            <w:pPr>
              <w:pStyle w:val="mps3-data"/>
              <w:rPr>
                <w:b/>
                <w:bCs/>
              </w:rPr>
            </w:pPr>
            <w:r w:rsidRPr="00B367C3">
              <w:rPr>
                <w:szCs w:val="10"/>
                <w:lang w:val="en-US"/>
              </w:rPr>
              <w:t>HIV infection</w:t>
            </w:r>
            <w:r w:rsidRPr="00B367C3">
              <w:rPr>
                <w:szCs w:val="10"/>
                <w:lang w:val="en-US"/>
              </w:rPr>
              <w:br/>
              <w:t>Patient must have previously received PBS-</w:t>
            </w:r>
            <w:proofErr w:type="spellStart"/>
            <w:r w:rsidRPr="00B367C3">
              <w:rPr>
                <w:szCs w:val="10"/>
                <w:lang w:val="en-US"/>
              </w:rPr>
              <w:t>subsidised</w:t>
            </w:r>
            <w:proofErr w:type="spellEnd"/>
            <w:r w:rsidRPr="00B367C3">
              <w:rPr>
                <w:szCs w:val="10"/>
                <w:lang w:val="en-US"/>
              </w:rPr>
              <w:t xml:space="preserve"> therapy for this condition; AND</w:t>
            </w:r>
            <w:r w:rsidRPr="00B367C3">
              <w:rPr>
                <w:szCs w:val="10"/>
                <w:lang w:val="en-US"/>
              </w:rPr>
              <w:br/>
              <w:t>The treatment must be the sole PBS-</w:t>
            </w:r>
            <w:proofErr w:type="spellStart"/>
            <w:r w:rsidRPr="00B367C3">
              <w:rPr>
                <w:szCs w:val="10"/>
                <w:lang w:val="en-US"/>
              </w:rPr>
              <w:t>subsidised</w:t>
            </w:r>
            <w:proofErr w:type="spellEnd"/>
            <w:r w:rsidRPr="00B367C3">
              <w:rPr>
                <w:szCs w:val="10"/>
                <w:lang w:val="en-US"/>
              </w:rPr>
              <w:t xml:space="preserve"> therapy for this condition.</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0CF936FE" w14:textId="1CB0A077" w:rsidR="00416A8C" w:rsidRPr="00B367C3" w:rsidRDefault="00416A8C" w:rsidP="00416A8C">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0"/>
                <w:lang w:val="en-US"/>
              </w:rPr>
              <w:t>Compliance with Authority Required procedures - Streamlined Authority Code 12636</w:t>
            </w:r>
          </w:p>
        </w:tc>
      </w:tr>
    </w:tbl>
    <w:p w14:paraId="78254FCF" w14:textId="691F3E43" w:rsidR="00416A8C" w:rsidRPr="00B367C3" w:rsidRDefault="00416A8C" w:rsidP="00416A8C">
      <w:pPr>
        <w:pStyle w:val="Amendment1"/>
        <w:numPr>
          <w:ilvl w:val="0"/>
          <w:numId w:val="31"/>
        </w:numPr>
        <w:ind w:left="567" w:hanging="567"/>
        <w:rPr>
          <w:bCs w:val="0"/>
          <w:iCs/>
        </w:rPr>
      </w:pPr>
      <w:r w:rsidRPr="00B367C3">
        <w:t>Schedule</w:t>
      </w:r>
      <w:r w:rsidRPr="00B367C3">
        <w:rPr>
          <w:bCs w:val="0"/>
          <w:iCs/>
        </w:rPr>
        <w:t xml:space="preserve"> 3, after entry for </w:t>
      </w:r>
      <w:r w:rsidRPr="00B367C3">
        <w:t>Efavirenz</w:t>
      </w:r>
    </w:p>
    <w:p w14:paraId="4A73C1C4" w14:textId="77777777" w:rsidR="00416A8C" w:rsidRPr="00B367C3" w:rsidRDefault="00416A8C" w:rsidP="00416A8C">
      <w:pPr>
        <w:pStyle w:val="Amendment1"/>
        <w:tabs>
          <w:tab w:val="left" w:pos="720"/>
        </w:tabs>
        <w:spacing w:before="60" w:after="60" w:line="260" w:lineRule="exact"/>
        <w:ind w:left="1134" w:hanging="567"/>
        <w:rPr>
          <w:rFonts w:ascii="Times New Roman" w:hAnsi="Times New Roman" w:cs="Times New Roman"/>
          <w:b w:val="0"/>
          <w:bCs w:val="0"/>
          <w:i/>
          <w:iCs/>
        </w:rPr>
      </w:pPr>
      <w:r w:rsidRPr="00B367C3">
        <w:rPr>
          <w:rFonts w:ascii="Times New Roman" w:hAnsi="Times New Roman" w:cs="Times New Roman"/>
          <w:b w:val="0"/>
          <w:bCs w:val="0"/>
          <w:i/>
          <w:iCs/>
        </w:rPr>
        <w:t>insert: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416A8C" w:rsidRPr="00B367C3" w14:paraId="71988D9C" w14:textId="77777777" w:rsidTr="00416A8C">
        <w:tc>
          <w:tcPr>
            <w:tcW w:w="1701" w:type="dxa"/>
            <w:tcBorders>
              <w:top w:val="single" w:sz="4" w:space="0" w:color="auto"/>
              <w:left w:val="single" w:sz="4" w:space="0" w:color="auto"/>
              <w:bottom w:val="single" w:sz="4" w:space="0" w:color="auto"/>
              <w:right w:val="single" w:sz="4" w:space="0" w:color="auto"/>
            </w:tcBorders>
          </w:tcPr>
          <w:p w14:paraId="55DD68EC" w14:textId="34E238C0" w:rsidR="00416A8C" w:rsidRPr="00B367C3" w:rsidRDefault="00416A8C" w:rsidP="00416A8C">
            <w:pPr>
              <w:pStyle w:val="Tabletext"/>
              <w:widowControl w:val="0"/>
              <w:spacing w:after="60" w:line="240" w:lineRule="auto"/>
              <w:rPr>
                <w:rFonts w:ascii="Arial" w:hAnsi="Arial" w:cs="Arial"/>
                <w:b/>
                <w:bCs/>
                <w:sz w:val="16"/>
                <w:szCs w:val="16"/>
                <w:lang w:eastAsia="en-US"/>
              </w:rPr>
            </w:pPr>
            <w:proofErr w:type="spellStart"/>
            <w:r w:rsidRPr="00B367C3">
              <w:rPr>
                <w:rFonts w:ascii="Arial" w:eastAsia="Arial" w:hAnsi="Arial" w:cs="Arial"/>
                <w:sz w:val="16"/>
                <w:szCs w:val="10"/>
              </w:rPr>
              <w:t>Elexacaftor</w:t>
            </w:r>
            <w:proofErr w:type="spellEnd"/>
            <w:r w:rsidRPr="00B367C3">
              <w:rPr>
                <w:rFonts w:ascii="Arial" w:eastAsia="Arial" w:hAnsi="Arial" w:cs="Arial"/>
                <w:sz w:val="16"/>
                <w:szCs w:val="10"/>
              </w:rPr>
              <w:t xml:space="preserve"> with </w:t>
            </w:r>
            <w:proofErr w:type="spellStart"/>
            <w:r w:rsidRPr="00B367C3">
              <w:rPr>
                <w:rFonts w:ascii="Arial" w:eastAsia="Arial" w:hAnsi="Arial" w:cs="Arial"/>
                <w:sz w:val="16"/>
                <w:szCs w:val="10"/>
              </w:rPr>
              <w:t>tezacaftor</w:t>
            </w:r>
            <w:proofErr w:type="spellEnd"/>
            <w:r w:rsidRPr="00B367C3">
              <w:rPr>
                <w:rFonts w:ascii="Arial" w:eastAsia="Arial" w:hAnsi="Arial" w:cs="Arial"/>
                <w:sz w:val="16"/>
                <w:szCs w:val="10"/>
              </w:rPr>
              <w:t xml:space="preserve"> and with ivacaftor, and ivacaftor</w:t>
            </w:r>
          </w:p>
        </w:tc>
        <w:tc>
          <w:tcPr>
            <w:tcW w:w="850" w:type="dxa"/>
            <w:tcBorders>
              <w:top w:val="single" w:sz="4" w:space="0" w:color="auto"/>
              <w:left w:val="single" w:sz="4" w:space="0" w:color="auto"/>
              <w:bottom w:val="single" w:sz="4" w:space="0" w:color="auto"/>
              <w:right w:val="single" w:sz="4" w:space="0" w:color="auto"/>
            </w:tcBorders>
          </w:tcPr>
          <w:p w14:paraId="2A0F1514" w14:textId="65A7FCAF" w:rsidR="00416A8C" w:rsidRPr="00B367C3" w:rsidRDefault="00416A8C" w:rsidP="00416A8C">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6"/>
                <w:lang w:val="en-US"/>
              </w:rPr>
              <w:t>C12618</w:t>
            </w:r>
          </w:p>
        </w:tc>
        <w:tc>
          <w:tcPr>
            <w:tcW w:w="850" w:type="dxa"/>
            <w:tcBorders>
              <w:top w:val="single" w:sz="4" w:space="0" w:color="auto"/>
              <w:left w:val="single" w:sz="4" w:space="0" w:color="auto"/>
              <w:bottom w:val="single" w:sz="4" w:space="0" w:color="auto"/>
              <w:right w:val="single" w:sz="4" w:space="0" w:color="auto"/>
            </w:tcBorders>
          </w:tcPr>
          <w:p w14:paraId="1FA876F6" w14:textId="77777777" w:rsidR="00416A8C" w:rsidRPr="00B367C3" w:rsidRDefault="00416A8C" w:rsidP="00416A8C">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1CE874EA" w14:textId="29B21AAA" w:rsidR="00416A8C" w:rsidRPr="00B367C3" w:rsidRDefault="00416A8C" w:rsidP="000E4592">
            <w:pPr>
              <w:pStyle w:val="mps3-data"/>
              <w:rPr>
                <w:b/>
                <w:bCs/>
              </w:rPr>
            </w:pPr>
            <w:r w:rsidRPr="00B367C3">
              <w:rPr>
                <w:szCs w:val="16"/>
                <w:lang w:val="en-US"/>
              </w:rPr>
              <w:t>Cystic fibrosis</w:t>
            </w:r>
            <w:r w:rsidRPr="00B367C3">
              <w:rPr>
                <w:szCs w:val="16"/>
                <w:lang w:val="en-US"/>
              </w:rPr>
              <w:br/>
              <w:t>Initial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have at least one F508del mutation in the cystic fibrosis transmembrane conductance (CFTR) gene; AND</w:t>
            </w:r>
            <w:r w:rsidR="000E4592" w:rsidRPr="00B367C3">
              <w:rPr>
                <w:szCs w:val="16"/>
                <w:lang w:val="en-US"/>
              </w:rPr>
              <w:br/>
            </w:r>
            <w:r w:rsidRPr="00B367C3">
              <w:rPr>
                <w:szCs w:val="16"/>
                <w:lang w:val="en-US"/>
              </w:rPr>
              <w:t>The treatment must be given concomitantly with standard therapy for this condition; AND</w:t>
            </w:r>
            <w:r w:rsidR="000E4592" w:rsidRPr="00B367C3">
              <w:rPr>
                <w:szCs w:val="16"/>
                <w:lang w:val="en-US"/>
              </w:rPr>
              <w:br/>
            </w:r>
            <w:r w:rsidRPr="00B367C3">
              <w:rPr>
                <w:szCs w:val="16"/>
                <w:lang w:val="en-US"/>
              </w:rPr>
              <w:t>Patient must have either chronic sinopulmonary disease or gastrointestinal and nutritional abnormalities, prior to initiating treatment with this drug.</w:t>
            </w:r>
            <w:r w:rsidR="000E4592" w:rsidRPr="00B367C3">
              <w:rPr>
                <w:szCs w:val="16"/>
                <w:lang w:val="en-US"/>
              </w:rPr>
              <w:br/>
            </w:r>
            <w:r w:rsidRPr="00B367C3">
              <w:rPr>
                <w:szCs w:val="16"/>
                <w:lang w:val="en-US"/>
              </w:rPr>
              <w:t>Patient must be 12 years of age or older.</w:t>
            </w:r>
            <w:r w:rsidR="000E4592" w:rsidRPr="00B367C3">
              <w:rPr>
                <w:szCs w:val="16"/>
                <w:lang w:val="en-US"/>
              </w:rPr>
              <w:br/>
            </w:r>
            <w:r w:rsidRPr="00B367C3">
              <w:rPr>
                <w:szCs w:val="16"/>
                <w:lang w:val="en-US"/>
              </w:rPr>
              <w:t>The patient must be registered in the Australian Cystic Fibrosis Database Registry.</w:t>
            </w:r>
            <w:r w:rsidR="000E4592" w:rsidRPr="00B367C3">
              <w:rPr>
                <w:szCs w:val="16"/>
                <w:lang w:val="en-US"/>
              </w:rPr>
              <w:br/>
            </w:r>
            <w:r w:rsidRPr="00B367C3">
              <w:rPr>
                <w:szCs w:val="16"/>
                <w:lang w:val="en-US"/>
              </w:rPr>
              <w:t>This pharmaceutical benefit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strong CYP3A4 inducers outlined in the Product Information.</w:t>
            </w:r>
            <w:r w:rsidR="000E4592" w:rsidRPr="00B367C3">
              <w:rPr>
                <w:szCs w:val="16"/>
                <w:lang w:val="en-US"/>
              </w:rPr>
              <w:br/>
            </w:r>
            <w:r w:rsidRPr="00B367C3">
              <w:rPr>
                <w:szCs w:val="16"/>
                <w:lang w:val="en-US"/>
              </w:rPr>
              <w:t>The authority application must be in writing and must include:</w:t>
            </w:r>
            <w:r w:rsidR="000E4592" w:rsidRPr="00B367C3">
              <w:rPr>
                <w:szCs w:val="16"/>
                <w:lang w:val="en-US"/>
              </w:rPr>
              <w:br/>
            </w:r>
            <w:r w:rsidRPr="00B367C3">
              <w:rPr>
                <w:szCs w:val="16"/>
                <w:lang w:val="en-US"/>
              </w:rPr>
              <w:t>(1) a completed authority prescription form; and</w:t>
            </w:r>
            <w:r w:rsidR="000E4592" w:rsidRPr="00B367C3">
              <w:rPr>
                <w:szCs w:val="16"/>
                <w:lang w:val="en-US"/>
              </w:rPr>
              <w:br/>
            </w:r>
            <w:r w:rsidRPr="00B367C3">
              <w:rPr>
                <w:szCs w:val="16"/>
                <w:lang w:val="en-US"/>
              </w:rPr>
              <w:t xml:space="preserve">(2) a completed Cystic Fibrosis </w:t>
            </w:r>
            <w:proofErr w:type="spellStart"/>
            <w:r w:rsidRPr="00B367C3">
              <w:rPr>
                <w:szCs w:val="16"/>
                <w:lang w:val="en-US"/>
              </w:rPr>
              <w:t>elexacaftor</w:t>
            </w:r>
            <w:proofErr w:type="spellEnd"/>
            <w:r w:rsidRPr="00B367C3">
              <w:rPr>
                <w:szCs w:val="16"/>
                <w:lang w:val="en-US"/>
              </w:rPr>
              <w:t xml:space="preserve">, </w:t>
            </w:r>
            <w:proofErr w:type="spellStart"/>
            <w:r w:rsidRPr="00B367C3">
              <w:rPr>
                <w:szCs w:val="16"/>
                <w:lang w:val="en-US"/>
              </w:rPr>
              <w:t>tezacaftor</w:t>
            </w:r>
            <w:proofErr w:type="spellEnd"/>
            <w:r w:rsidRPr="00B367C3">
              <w:rPr>
                <w:szCs w:val="16"/>
                <w:lang w:val="en-US"/>
              </w:rPr>
              <w:t xml:space="preserve"> with ivacaftor Authority Application Supporting Information Form; and</w:t>
            </w:r>
            <w:r w:rsidR="000E4592" w:rsidRPr="00B367C3">
              <w:rPr>
                <w:szCs w:val="16"/>
                <w:lang w:val="en-US"/>
              </w:rPr>
              <w:br/>
            </w:r>
            <w:r w:rsidRPr="00B367C3">
              <w:rPr>
                <w:szCs w:val="16"/>
                <w:lang w:val="en-US"/>
              </w:rPr>
              <w:t>(3) current CYP3A4 inhibitors, CYP3A4 inducers and IV antibiotics; and</w:t>
            </w:r>
            <w:r w:rsidR="000E4592" w:rsidRPr="00B367C3">
              <w:rPr>
                <w:szCs w:val="16"/>
                <w:lang w:val="en-US"/>
              </w:rPr>
              <w:br/>
            </w:r>
            <w:r w:rsidRPr="00B367C3">
              <w:rPr>
                <w:szCs w:val="16"/>
                <w:lang w:val="en-US"/>
              </w:rPr>
              <w:t>(4) details of the name of the molecular testing for the patient having at least one F508del mutation including: (</w:t>
            </w:r>
            <w:proofErr w:type="spellStart"/>
            <w:r w:rsidRPr="00B367C3">
              <w:rPr>
                <w:szCs w:val="16"/>
                <w:lang w:val="en-US"/>
              </w:rPr>
              <w:t>i</w:t>
            </w:r>
            <w:proofErr w:type="spellEnd"/>
            <w:r w:rsidRPr="00B367C3">
              <w:rPr>
                <w:szCs w:val="16"/>
                <w:lang w:val="en-US"/>
              </w:rPr>
              <w:t>) name of the pathology report provider (ii) date of pathology report (iii) unique identifying number/code that links the pathology result to the individual patient.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1CD9FBAB" w14:textId="334544AC" w:rsidR="00416A8C" w:rsidRPr="00B367C3" w:rsidRDefault="00416A8C" w:rsidP="00416A8C">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t>Compliance with Written Authority Required procedures</w:t>
            </w:r>
          </w:p>
        </w:tc>
      </w:tr>
      <w:tr w:rsidR="00416A8C" w:rsidRPr="00B367C3" w14:paraId="17AB0E21" w14:textId="77777777" w:rsidTr="00416A8C">
        <w:tc>
          <w:tcPr>
            <w:tcW w:w="1701" w:type="dxa"/>
            <w:tcBorders>
              <w:top w:val="single" w:sz="4" w:space="0" w:color="auto"/>
              <w:left w:val="single" w:sz="4" w:space="0" w:color="auto"/>
              <w:bottom w:val="single" w:sz="4" w:space="0" w:color="auto"/>
              <w:right w:val="single" w:sz="4" w:space="0" w:color="auto"/>
            </w:tcBorders>
          </w:tcPr>
          <w:p w14:paraId="72CE342A" w14:textId="77777777" w:rsidR="00416A8C" w:rsidRPr="00B367C3" w:rsidRDefault="00416A8C" w:rsidP="00416A8C">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6BB4238B" w14:textId="03684AF6" w:rsidR="00416A8C" w:rsidRPr="00B367C3" w:rsidRDefault="00416A8C" w:rsidP="00416A8C">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6"/>
                <w:lang w:val="en-US"/>
              </w:rPr>
              <w:t>C12626</w:t>
            </w:r>
          </w:p>
        </w:tc>
        <w:tc>
          <w:tcPr>
            <w:tcW w:w="850" w:type="dxa"/>
            <w:tcBorders>
              <w:top w:val="single" w:sz="4" w:space="0" w:color="auto"/>
              <w:left w:val="single" w:sz="4" w:space="0" w:color="auto"/>
              <w:bottom w:val="single" w:sz="4" w:space="0" w:color="auto"/>
              <w:right w:val="single" w:sz="4" w:space="0" w:color="auto"/>
            </w:tcBorders>
          </w:tcPr>
          <w:p w14:paraId="78C48819" w14:textId="77777777" w:rsidR="00416A8C" w:rsidRPr="00B367C3" w:rsidRDefault="00416A8C" w:rsidP="00416A8C">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26A629FC" w14:textId="31E03092" w:rsidR="00416A8C" w:rsidRPr="00B367C3" w:rsidRDefault="00416A8C" w:rsidP="000E4592">
            <w:pPr>
              <w:pStyle w:val="mps3-data"/>
              <w:rPr>
                <w:b/>
                <w:bCs/>
              </w:rPr>
            </w:pPr>
            <w:r w:rsidRPr="00B367C3">
              <w:rPr>
                <w:szCs w:val="16"/>
                <w:lang w:val="en-US"/>
              </w:rPr>
              <w:t>Cystic fibrosis</w:t>
            </w:r>
            <w:r w:rsidR="000E4592" w:rsidRPr="00B367C3">
              <w:rPr>
                <w:szCs w:val="16"/>
                <w:lang w:val="en-US"/>
              </w:rPr>
              <w:br/>
            </w:r>
            <w:r w:rsidRPr="00B367C3">
              <w:rPr>
                <w:szCs w:val="16"/>
                <w:lang w:val="en-US"/>
              </w:rPr>
              <w:t>Continuing treatment</w:t>
            </w:r>
            <w:r w:rsidR="000E4592" w:rsidRPr="00B367C3">
              <w:rPr>
                <w:szCs w:val="16"/>
                <w:lang w:val="en-US"/>
              </w:rPr>
              <w:br/>
            </w:r>
            <w:r w:rsidRPr="00B367C3">
              <w:rPr>
                <w:szCs w:val="16"/>
                <w:lang w:val="en-US"/>
              </w:rPr>
              <w:t>Must be treated by a specialist respiratory physician with expertise in cystic fibrosis or in consultation with a specialist respiratory physician with expertise in cystic fibrosis if attendance is not possible due to geographic isolation; AND</w:t>
            </w:r>
            <w:r w:rsidR="000E4592" w:rsidRPr="00B367C3">
              <w:rPr>
                <w:szCs w:val="16"/>
                <w:lang w:val="en-US"/>
              </w:rPr>
              <w:br/>
            </w:r>
            <w:r w:rsidRPr="00B367C3">
              <w:rPr>
                <w:szCs w:val="16"/>
                <w:lang w:val="en-US"/>
              </w:rP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w:t>
            </w:r>
            <w:r w:rsidRPr="00B367C3">
              <w:rPr>
                <w:szCs w:val="16"/>
                <w:lang w:val="en-US"/>
              </w:rPr>
              <w:lastRenderedPageBreak/>
              <w:t>cystic fibrosis if attendance is not possible due to geographic isolation.</w:t>
            </w:r>
            <w:r w:rsidR="000E4592" w:rsidRPr="00B367C3">
              <w:rPr>
                <w:szCs w:val="16"/>
                <w:lang w:val="en-US"/>
              </w:rPr>
              <w:br/>
            </w:r>
            <w:r w:rsidRPr="00B367C3">
              <w:rPr>
                <w:szCs w:val="16"/>
                <w:lang w:val="en-US"/>
              </w:rP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AND</w:t>
            </w:r>
            <w:r w:rsidR="000E4592" w:rsidRPr="00B367C3">
              <w:rPr>
                <w:szCs w:val="16"/>
                <w:lang w:val="en-US"/>
              </w:rPr>
              <w:br/>
            </w:r>
            <w:r w:rsidRPr="00B367C3">
              <w:rPr>
                <w:szCs w:val="16"/>
                <w:lang w:val="en-US"/>
              </w:rPr>
              <w:t>The treatment must be given concomitantly with standard therapy for this condition.</w:t>
            </w:r>
            <w:r w:rsidR="000E4592" w:rsidRPr="00B367C3">
              <w:rPr>
                <w:szCs w:val="16"/>
                <w:lang w:val="en-US"/>
              </w:rPr>
              <w:br/>
            </w:r>
            <w:r w:rsidRPr="00B367C3">
              <w:rPr>
                <w:szCs w:val="16"/>
                <w:lang w:val="en-US"/>
              </w:rPr>
              <w:t>Patient must be 12 years of age or older.</w:t>
            </w:r>
            <w:r w:rsidR="000E4592" w:rsidRPr="00B367C3">
              <w:rPr>
                <w:szCs w:val="16"/>
                <w:lang w:val="en-US"/>
              </w:rPr>
              <w:br/>
            </w:r>
            <w:r w:rsidRPr="00B367C3">
              <w:rPr>
                <w:szCs w:val="16"/>
                <w:lang w:val="en-US"/>
              </w:rPr>
              <w:t>This pharmaceutical benefit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strong CYP3A4 inducers outlined in the Product Information.</w:t>
            </w:r>
            <w:r w:rsidR="000E4592" w:rsidRPr="00B367C3">
              <w:rPr>
                <w:szCs w:val="16"/>
                <w:lang w:val="en-US"/>
              </w:rPr>
              <w:br/>
            </w:r>
            <w:r w:rsidRPr="00B367C3">
              <w:rPr>
                <w:szCs w:val="16"/>
                <w:lang w:val="en-US"/>
              </w:rPr>
              <w:t>The authority application must be in writing and must include:</w:t>
            </w:r>
            <w:r w:rsidR="000E4592" w:rsidRPr="00B367C3">
              <w:rPr>
                <w:szCs w:val="16"/>
                <w:lang w:val="en-US"/>
              </w:rPr>
              <w:br/>
            </w:r>
            <w:r w:rsidRPr="00B367C3">
              <w:rPr>
                <w:szCs w:val="16"/>
                <w:lang w:val="en-US"/>
              </w:rPr>
              <w:t>(1) a completed authority prescription form; and</w:t>
            </w:r>
            <w:r w:rsidR="000E4592" w:rsidRPr="00B367C3">
              <w:rPr>
                <w:szCs w:val="16"/>
                <w:lang w:val="en-US"/>
              </w:rPr>
              <w:br/>
            </w:r>
            <w:r w:rsidRPr="00B367C3">
              <w:rPr>
                <w:szCs w:val="16"/>
                <w:lang w:val="en-US"/>
              </w:rPr>
              <w:t xml:space="preserve">(2) a completed Cystic Fibrosis </w:t>
            </w:r>
            <w:proofErr w:type="spellStart"/>
            <w:r w:rsidRPr="00B367C3">
              <w:rPr>
                <w:szCs w:val="16"/>
                <w:lang w:val="en-US"/>
              </w:rPr>
              <w:t>elexacaftor</w:t>
            </w:r>
            <w:proofErr w:type="spellEnd"/>
            <w:r w:rsidRPr="00B367C3">
              <w:rPr>
                <w:szCs w:val="16"/>
                <w:lang w:val="en-US"/>
              </w:rPr>
              <w:t xml:space="preserve">, </w:t>
            </w:r>
            <w:proofErr w:type="spellStart"/>
            <w:r w:rsidRPr="00B367C3">
              <w:rPr>
                <w:szCs w:val="16"/>
                <w:lang w:val="en-US"/>
              </w:rPr>
              <w:t>tezacaftor</w:t>
            </w:r>
            <w:proofErr w:type="spellEnd"/>
            <w:r w:rsidRPr="00B367C3">
              <w:rPr>
                <w:szCs w:val="16"/>
                <w:lang w:val="en-US"/>
              </w:rPr>
              <w:t xml:space="preserve"> with ivacaftor Authority Application Supporting Information Form; and</w:t>
            </w:r>
            <w:r w:rsidR="000E4592" w:rsidRPr="00B367C3">
              <w:rPr>
                <w:szCs w:val="16"/>
                <w:lang w:val="en-US"/>
              </w:rPr>
              <w:br/>
            </w:r>
            <w:r w:rsidRPr="00B367C3">
              <w:rPr>
                <w:szCs w:val="16"/>
                <w:lang w:val="en-US"/>
              </w:rPr>
              <w:t>(3)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4FA5689C" w14:textId="0443EBAF" w:rsidR="00416A8C" w:rsidRPr="00B367C3" w:rsidRDefault="00416A8C" w:rsidP="00416A8C">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Written Authority Required procedures</w:t>
            </w:r>
          </w:p>
        </w:tc>
      </w:tr>
    </w:tbl>
    <w:p w14:paraId="3E1AA316" w14:textId="2AF5A197" w:rsidR="000E4592" w:rsidRPr="00B367C3" w:rsidRDefault="000E4592" w:rsidP="000E4592">
      <w:pPr>
        <w:pStyle w:val="Amendment1"/>
        <w:numPr>
          <w:ilvl w:val="0"/>
          <w:numId w:val="31"/>
        </w:numPr>
        <w:ind w:left="567" w:hanging="567"/>
        <w:rPr>
          <w:bCs w:val="0"/>
          <w:iCs/>
        </w:rPr>
      </w:pPr>
      <w:r w:rsidRPr="00B367C3">
        <w:t>Schedule</w:t>
      </w:r>
      <w:r w:rsidRPr="00B367C3">
        <w:rPr>
          <w:bCs w:val="0"/>
          <w:iCs/>
        </w:rPr>
        <w:t xml:space="preserve"> 3, entry for </w:t>
      </w:r>
      <w:r w:rsidRPr="00B367C3">
        <w:t>Ivacaftor</w:t>
      </w:r>
    </w:p>
    <w:p w14:paraId="1EEF66E0" w14:textId="6B981FB0" w:rsidR="000E4592" w:rsidRPr="00B367C3" w:rsidRDefault="000E4592" w:rsidP="000E4592">
      <w:pPr>
        <w:pStyle w:val="Amendment1"/>
        <w:tabs>
          <w:tab w:val="left" w:pos="720"/>
        </w:tabs>
        <w:spacing w:before="60" w:after="60" w:line="260" w:lineRule="exact"/>
        <w:ind w:left="1134" w:hanging="567"/>
        <w:rPr>
          <w:rFonts w:ascii="Times New Roman" w:hAnsi="Times New Roman" w:cs="Times New Roman"/>
          <w:b w:val="0"/>
          <w:bCs w:val="0"/>
          <w:i/>
          <w:iCs/>
        </w:rPr>
      </w:pPr>
      <w:r w:rsidRPr="00B367C3">
        <w:rPr>
          <w:rFonts w:ascii="Times New Roman" w:hAnsi="Times New Roman" w:cs="Times New Roman"/>
          <w:b w:val="0"/>
          <w:bCs w:val="0"/>
          <w:i/>
          <w:iCs/>
        </w:rPr>
        <w:t>substitute:</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0E4592" w:rsidRPr="00B367C3" w14:paraId="6CB29186" w14:textId="77777777" w:rsidTr="00852E90">
        <w:tc>
          <w:tcPr>
            <w:tcW w:w="1701" w:type="dxa"/>
            <w:tcBorders>
              <w:top w:val="single" w:sz="4" w:space="0" w:color="auto"/>
              <w:left w:val="single" w:sz="4" w:space="0" w:color="auto"/>
              <w:bottom w:val="single" w:sz="4" w:space="0" w:color="auto"/>
              <w:right w:val="single" w:sz="4" w:space="0" w:color="auto"/>
            </w:tcBorders>
          </w:tcPr>
          <w:p w14:paraId="614A57B8" w14:textId="7F82FBB7" w:rsidR="000E4592" w:rsidRPr="00B367C3" w:rsidRDefault="000E4592" w:rsidP="000E4592">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Ivacaftor</w:t>
            </w:r>
          </w:p>
        </w:tc>
        <w:tc>
          <w:tcPr>
            <w:tcW w:w="850" w:type="dxa"/>
            <w:tcBorders>
              <w:top w:val="single" w:sz="4" w:space="0" w:color="auto"/>
              <w:left w:val="single" w:sz="4" w:space="0" w:color="auto"/>
              <w:bottom w:val="single" w:sz="4" w:space="0" w:color="auto"/>
              <w:right w:val="single" w:sz="4" w:space="0" w:color="auto"/>
            </w:tcBorders>
          </w:tcPr>
          <w:p w14:paraId="7C141E75" w14:textId="46ADF9E9" w:rsidR="000E4592" w:rsidRPr="00B367C3" w:rsidRDefault="000E4592" w:rsidP="000E4592">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 xml:space="preserve">C12624 </w:t>
            </w:r>
          </w:p>
        </w:tc>
        <w:tc>
          <w:tcPr>
            <w:tcW w:w="850" w:type="dxa"/>
            <w:tcBorders>
              <w:top w:val="single" w:sz="4" w:space="0" w:color="auto"/>
              <w:left w:val="single" w:sz="4" w:space="0" w:color="auto"/>
              <w:bottom w:val="single" w:sz="4" w:space="0" w:color="auto"/>
              <w:right w:val="single" w:sz="4" w:space="0" w:color="auto"/>
            </w:tcBorders>
          </w:tcPr>
          <w:p w14:paraId="2AE16EEF"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25698731" w14:textId="0AF278F6" w:rsidR="000E4592" w:rsidRPr="00B367C3" w:rsidRDefault="000E4592" w:rsidP="000E4592">
            <w:pPr>
              <w:pStyle w:val="mps3-data"/>
              <w:rPr>
                <w:b/>
                <w:bCs/>
              </w:rPr>
            </w:pPr>
            <w:r w:rsidRPr="00B367C3">
              <w:rPr>
                <w:szCs w:val="16"/>
                <w:lang w:val="en-US"/>
              </w:rPr>
              <w:t>Cystic fibrosis</w:t>
            </w:r>
            <w:r w:rsidRPr="00B367C3">
              <w:rPr>
                <w:szCs w:val="16"/>
                <w:lang w:val="en-US"/>
              </w:rPr>
              <w:br/>
              <w:t>Initial treatment - New patients</w:t>
            </w:r>
            <w:r w:rsidRPr="00B367C3">
              <w:rPr>
                <w:szCs w:val="16"/>
                <w:lang w:val="en-US"/>
              </w:rPr>
              <w:br/>
              <w:t>Patient must be assessed through a cystic fibrosis clinic/</w:t>
            </w:r>
            <w:proofErr w:type="spellStart"/>
            <w:r w:rsidRPr="00B367C3">
              <w:rPr>
                <w:szCs w:val="16"/>
                <w:lang w:val="en-US"/>
              </w:rPr>
              <w:t>centre</w:t>
            </w:r>
            <w:proofErr w:type="spellEnd"/>
            <w:r w:rsidRPr="00B367C3">
              <w:rPr>
                <w:szCs w:val="16"/>
                <w:lang w:val="en-US"/>
              </w:rPr>
              <w:t xml:space="preserv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B367C3">
              <w:rPr>
                <w:szCs w:val="16"/>
                <w:lang w:val="en-US"/>
              </w:rPr>
              <w:br/>
              <w:t>Patient must have G551D mutation in the cystic fibrosis transmembrane conductance regulator (CFTR) gene on at least 1 allele; OR</w:t>
            </w:r>
            <w:r w:rsidRPr="00B367C3">
              <w:rPr>
                <w:szCs w:val="16"/>
                <w:lang w:val="en-US"/>
              </w:rPr>
              <w:br/>
              <w:t>Patient must have other gating (class III) mutation in the CFTR gene on at least 1 allele; AND</w:t>
            </w:r>
            <w:r w:rsidRPr="00B367C3">
              <w:rPr>
                <w:szCs w:val="16"/>
                <w:lang w:val="en-US"/>
              </w:rPr>
              <w:br/>
              <w:t>Patient must have a sweat chloride value of at least 60 mmol/L by quantitative pilocarpine iontophoresis; AND</w:t>
            </w:r>
            <w:r w:rsidRPr="00B367C3">
              <w:rPr>
                <w:szCs w:val="16"/>
                <w:lang w:val="en-US"/>
              </w:rPr>
              <w:br/>
              <w:t>Patient must not receive more than 24 weeks of treatment under this restriction; AND</w:t>
            </w:r>
            <w:r w:rsidRPr="00B367C3">
              <w:rPr>
                <w:szCs w:val="16"/>
                <w:lang w:val="en-US"/>
              </w:rPr>
              <w:br/>
              <w:t>The treatment must be given concomitantly with standard therapy for this condition.</w:t>
            </w:r>
            <w:r w:rsidRPr="00B367C3">
              <w:rPr>
                <w:szCs w:val="16"/>
                <w:lang w:val="en-US"/>
              </w:rPr>
              <w:br/>
              <w:t>Patient must be aged 12 months or older.</w:t>
            </w:r>
            <w:r w:rsidRPr="00B367C3">
              <w:rPr>
                <w:szCs w:val="16"/>
                <w:lang w:val="en-US"/>
              </w:rPr>
              <w:br/>
              <w:t xml:space="preserve">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w:t>
            </w:r>
            <w:proofErr w:type="spellStart"/>
            <w:r w:rsidRPr="00B367C3">
              <w:rPr>
                <w:szCs w:val="16"/>
                <w:lang w:val="en-US"/>
              </w:rPr>
              <w:t>posaconazole</w:t>
            </w:r>
            <w:proofErr w:type="spellEnd"/>
            <w:r w:rsidRPr="00B367C3">
              <w:rPr>
                <w:szCs w:val="16"/>
                <w:lang w:val="en-US"/>
              </w:rPr>
              <w:t>, ritonavir, saquinavir, telaprevir, telithromycin, voriconazole. Where a patient is concomitantly receiving a strong CYP3A4 inhibitor, a single supply of 56 tablets or sachets of ivacaftor will last for 28 weeks.</w:t>
            </w:r>
            <w:r w:rsidRPr="00B367C3">
              <w:rPr>
                <w:szCs w:val="16"/>
                <w:lang w:val="en-US"/>
              </w:rPr>
              <w:br/>
              <w:t xml:space="preserve">Dosage of ivacaftor must not exceed the dose of one tablet (150 mg) or one sachet once daily, if the patient is concomitantly receiving one of the following moderate CYP3A4 inhibitors: amprenavir, </w:t>
            </w:r>
            <w:proofErr w:type="spellStart"/>
            <w:r w:rsidRPr="00B367C3">
              <w:rPr>
                <w:szCs w:val="16"/>
                <w:lang w:val="en-US"/>
              </w:rPr>
              <w:t>aprepitant</w:t>
            </w:r>
            <w:proofErr w:type="spellEnd"/>
            <w:r w:rsidRPr="00B367C3">
              <w:rPr>
                <w:szCs w:val="16"/>
                <w:lang w:val="en-US"/>
              </w:rPr>
              <w:t xml:space="preserve">, atazanavir, darunavir/ritonavir, diltiazem, erythromycin, fluconazole, </w:t>
            </w:r>
            <w:proofErr w:type="spellStart"/>
            <w:r w:rsidRPr="00B367C3">
              <w:rPr>
                <w:szCs w:val="16"/>
                <w:lang w:val="en-US"/>
              </w:rPr>
              <w:t>fosamprenavir</w:t>
            </w:r>
            <w:proofErr w:type="spellEnd"/>
            <w:r w:rsidRPr="00B367C3">
              <w:rPr>
                <w:szCs w:val="16"/>
                <w:lang w:val="en-US"/>
              </w:rPr>
              <w:t>, imatinib, verapamil. Where a patient is concomitantly receiving a moderate CYP3A4 inhibitor, a single supply of 56 tablets or sachets of ivacaftor will last for 8 weeks.</w:t>
            </w:r>
            <w:r w:rsidRPr="00B367C3">
              <w:rPr>
                <w:szCs w:val="16"/>
                <w:lang w:val="en-US"/>
              </w:rPr>
              <w:br/>
              <w:t>Ivacaftor is not PBS-</w:t>
            </w:r>
            <w:proofErr w:type="spellStart"/>
            <w:r w:rsidRPr="00B367C3">
              <w:rPr>
                <w:szCs w:val="16"/>
                <w:lang w:val="en-US"/>
              </w:rPr>
              <w:t>subsidised</w:t>
            </w:r>
            <w:proofErr w:type="spellEnd"/>
            <w:r w:rsidRPr="00B367C3">
              <w:rPr>
                <w:szCs w:val="16"/>
                <w:lang w:val="en-US"/>
              </w:rPr>
              <w:t xml:space="preserve"> for this condition as a sole therapy.</w:t>
            </w:r>
            <w:r w:rsidRPr="00B367C3">
              <w:rPr>
                <w:szCs w:val="16"/>
                <w:lang w:val="en-US"/>
              </w:rPr>
              <w:br/>
              <w:t>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r>
            <w:r w:rsidRPr="00B367C3">
              <w:rPr>
                <w:szCs w:val="16"/>
                <w:lang w:val="en-US"/>
              </w:rPr>
              <w:lastRenderedPageBreak/>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Authority Application Supporting Information Form; and</w:t>
            </w:r>
            <w:r w:rsidRPr="00B367C3">
              <w:rPr>
                <w:szCs w:val="16"/>
                <w:lang w:val="en-US"/>
              </w:rPr>
              <w:br/>
              <w:t>(3) details of the pathology report substantiating G551D mutation or other gating (class III) mutation on the CFTR gene - quote each of the: (</w:t>
            </w:r>
            <w:proofErr w:type="spellStart"/>
            <w:r w:rsidRPr="00B367C3">
              <w:rPr>
                <w:szCs w:val="16"/>
                <w:lang w:val="en-US"/>
              </w:rPr>
              <w:t>i</w:t>
            </w:r>
            <w:proofErr w:type="spellEnd"/>
            <w:r w:rsidRPr="00B367C3">
              <w:rPr>
                <w:szCs w:val="16"/>
                <w:lang w:val="en-US"/>
              </w:rPr>
              <w:t>) name of the pathology report provider, (ii) date of pathology report, (iii) unique identifying number/code that links the pathology result to the individual patient; and</w:t>
            </w:r>
            <w:r w:rsidRPr="00B367C3">
              <w:rPr>
                <w:szCs w:val="16"/>
                <w:lang w:val="en-US"/>
              </w:rPr>
              <w:br/>
              <w:t>(4) current CYP3A4 inhibitors, CYP3A4 inducers and IV antibiotics; and</w:t>
            </w:r>
            <w:r w:rsidRPr="00B367C3">
              <w:rPr>
                <w:szCs w:val="16"/>
                <w:lang w:val="en-US"/>
              </w:rPr>
              <w:br/>
              <w:t>(5) sweat chloride result.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5C741766" w14:textId="77DD04F0" w:rsidR="000E4592" w:rsidRPr="00B367C3" w:rsidRDefault="000E4592" w:rsidP="000E4592">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Written Authority Required procedures</w:t>
            </w:r>
          </w:p>
        </w:tc>
      </w:tr>
      <w:tr w:rsidR="000E4592" w:rsidRPr="00B367C3" w14:paraId="6D7D1590" w14:textId="77777777" w:rsidTr="00852E90">
        <w:tc>
          <w:tcPr>
            <w:tcW w:w="1701" w:type="dxa"/>
            <w:tcBorders>
              <w:top w:val="single" w:sz="4" w:space="0" w:color="auto"/>
              <w:left w:val="single" w:sz="4" w:space="0" w:color="auto"/>
              <w:bottom w:val="single" w:sz="4" w:space="0" w:color="auto"/>
              <w:right w:val="single" w:sz="4" w:space="0" w:color="auto"/>
            </w:tcBorders>
          </w:tcPr>
          <w:p w14:paraId="526B75B6" w14:textId="77777777" w:rsidR="000E4592" w:rsidRPr="00B367C3" w:rsidRDefault="000E4592" w:rsidP="000E4592">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7F8FA945" w14:textId="75135E33" w:rsidR="000E4592" w:rsidRPr="00B367C3" w:rsidRDefault="000E4592" w:rsidP="000E4592">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C12625</w:t>
            </w:r>
          </w:p>
        </w:tc>
        <w:tc>
          <w:tcPr>
            <w:tcW w:w="850" w:type="dxa"/>
            <w:tcBorders>
              <w:top w:val="single" w:sz="4" w:space="0" w:color="auto"/>
              <w:left w:val="single" w:sz="4" w:space="0" w:color="auto"/>
              <w:bottom w:val="single" w:sz="4" w:space="0" w:color="auto"/>
              <w:right w:val="single" w:sz="4" w:space="0" w:color="auto"/>
            </w:tcBorders>
          </w:tcPr>
          <w:p w14:paraId="455DBA52"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37C1B82D" w14:textId="14C352AF" w:rsidR="000E4592" w:rsidRPr="00B367C3" w:rsidRDefault="000E4592" w:rsidP="000E4592">
            <w:pPr>
              <w:pStyle w:val="mps3-data"/>
              <w:rPr>
                <w:b/>
                <w:bCs/>
              </w:rPr>
            </w:pPr>
            <w:r w:rsidRPr="00B367C3">
              <w:rPr>
                <w:szCs w:val="16"/>
                <w:lang w:val="en-US"/>
              </w:rPr>
              <w:t>Cystic fibrosis</w:t>
            </w:r>
            <w:r w:rsidRPr="00B367C3">
              <w:rPr>
                <w:szCs w:val="16"/>
                <w:lang w:val="en-US"/>
              </w:rPr>
              <w:br/>
              <w:t>Continuing treatment</w:t>
            </w:r>
            <w:r w:rsidRPr="00B367C3">
              <w:rPr>
                <w:szCs w:val="16"/>
                <w:lang w:val="en-US"/>
              </w:rPr>
              <w:br/>
              <w:t>Patient must be assessed through a cystic fibrosis clinic/</w:t>
            </w:r>
            <w:proofErr w:type="spellStart"/>
            <w:r w:rsidRPr="00B367C3">
              <w:rPr>
                <w:szCs w:val="16"/>
                <w:lang w:val="en-US"/>
              </w:rPr>
              <w:t>centre</w:t>
            </w:r>
            <w:proofErr w:type="spellEnd"/>
            <w:r w:rsidRPr="00B367C3">
              <w:rPr>
                <w:szCs w:val="16"/>
                <w:lang w:val="en-US"/>
              </w:rPr>
              <w:t xml:space="preserv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B367C3">
              <w:rPr>
                <w:szCs w:val="16"/>
                <w:lang w:val="en-US"/>
              </w:rPr>
              <w:br/>
              <w:t>Patient must have received PBS-</w:t>
            </w:r>
            <w:proofErr w:type="spellStart"/>
            <w:r w:rsidRPr="00B367C3">
              <w:rPr>
                <w:szCs w:val="16"/>
                <w:lang w:val="en-US"/>
              </w:rPr>
              <w:t>subsidised</w:t>
            </w:r>
            <w:proofErr w:type="spellEnd"/>
            <w:r w:rsidRPr="00B367C3">
              <w:rPr>
                <w:szCs w:val="16"/>
                <w:lang w:val="en-US"/>
              </w:rPr>
              <w:t xml:space="preserve"> initial therapy with ivacaftor, given concomitantly with standard therapy, for this condition; AND</w:t>
            </w:r>
            <w:r w:rsidRPr="00B367C3">
              <w:rPr>
                <w:szCs w:val="16"/>
                <w:lang w:val="en-US"/>
              </w:rPr>
              <w:br/>
              <w:t>Patient must not receive more than 24 weeks of treatment under this restriction; AND</w:t>
            </w:r>
            <w:r w:rsidRPr="00B367C3">
              <w:rPr>
                <w:szCs w:val="16"/>
                <w:lang w:val="en-US"/>
              </w:rPr>
              <w:br/>
              <w:t>The treatment must be given concomitantly with standard therapy for this condition.</w:t>
            </w:r>
            <w:r w:rsidRPr="00B367C3">
              <w:rPr>
                <w:szCs w:val="16"/>
                <w:lang w:val="en-US"/>
              </w:rPr>
              <w:br/>
              <w:t>Patient must be aged 12 months or older.</w:t>
            </w:r>
            <w:r w:rsidRPr="00B367C3">
              <w:rPr>
                <w:szCs w:val="16"/>
                <w:lang w:val="en-US"/>
              </w:rPr>
              <w:br/>
              <w:t xml:space="preserve">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w:t>
            </w:r>
            <w:proofErr w:type="spellStart"/>
            <w:r w:rsidRPr="00B367C3">
              <w:rPr>
                <w:szCs w:val="16"/>
                <w:lang w:val="en-US"/>
              </w:rPr>
              <w:t>posaconazole</w:t>
            </w:r>
            <w:proofErr w:type="spellEnd"/>
            <w:r w:rsidRPr="00B367C3">
              <w:rPr>
                <w:szCs w:val="16"/>
                <w:lang w:val="en-US"/>
              </w:rPr>
              <w:t>, ritonavir, saquinavir, telaprevir, telithromycin, voriconazole. Where a patient is concomitantly receiving a strong CYP3A4 inhibitor, a single supply of 56 tablets or sachets of ivacaftor will last for 28 weeks.</w:t>
            </w:r>
            <w:r w:rsidRPr="00B367C3">
              <w:rPr>
                <w:szCs w:val="16"/>
                <w:lang w:val="en-US"/>
              </w:rPr>
              <w:br/>
              <w:t xml:space="preserve">Dosage of ivacaftor must not exceed the dose of one tablet (150 mg) or one sachet once daily, if the patient is concomitantly receiving one of the following moderate CYP3A4 inhibitors: amprenavir, </w:t>
            </w:r>
            <w:proofErr w:type="spellStart"/>
            <w:r w:rsidRPr="00B367C3">
              <w:rPr>
                <w:szCs w:val="16"/>
                <w:lang w:val="en-US"/>
              </w:rPr>
              <w:t>aprepitant</w:t>
            </w:r>
            <w:proofErr w:type="spellEnd"/>
            <w:r w:rsidRPr="00B367C3">
              <w:rPr>
                <w:szCs w:val="16"/>
                <w:lang w:val="en-US"/>
              </w:rPr>
              <w:t xml:space="preserve">, atazanavir, darunavir/ritonavir, diltiazem, erythromycin, fluconazole, </w:t>
            </w:r>
            <w:proofErr w:type="spellStart"/>
            <w:r w:rsidRPr="00B367C3">
              <w:rPr>
                <w:szCs w:val="16"/>
                <w:lang w:val="en-US"/>
              </w:rPr>
              <w:t>fosamprenavir</w:t>
            </w:r>
            <w:proofErr w:type="spellEnd"/>
            <w:r w:rsidRPr="00B367C3">
              <w:rPr>
                <w:szCs w:val="16"/>
                <w:lang w:val="en-US"/>
              </w:rPr>
              <w:t>, imatinib, verapamil. Where a patient is concomitantly receiving a moderate CYP3A4 inhibitor, a single supply of 56 tablets or sachets of ivacaftor will last for 8 weeks.</w:t>
            </w:r>
            <w:r w:rsidRPr="00B367C3">
              <w:rPr>
                <w:szCs w:val="16"/>
                <w:lang w:val="en-US"/>
              </w:rPr>
              <w:br/>
              <w:t>Ivacaftor is not PBS-</w:t>
            </w:r>
            <w:proofErr w:type="spellStart"/>
            <w:r w:rsidRPr="00B367C3">
              <w:rPr>
                <w:szCs w:val="16"/>
                <w:lang w:val="en-US"/>
              </w:rPr>
              <w:t>subsidised</w:t>
            </w:r>
            <w:proofErr w:type="spellEnd"/>
            <w:r w:rsidRPr="00B367C3">
              <w:rPr>
                <w:szCs w:val="16"/>
                <w:lang w:val="en-US"/>
              </w:rPr>
              <w:t xml:space="preserve"> for this condition as a sole therapy.</w:t>
            </w:r>
            <w:r w:rsidRPr="00B367C3">
              <w:rPr>
                <w:szCs w:val="16"/>
                <w:lang w:val="en-US"/>
              </w:rPr>
              <w:br/>
              <w:t>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Continuing Authority Application Supporting Information Form; and</w:t>
            </w:r>
            <w:r w:rsidRPr="00B367C3">
              <w:rPr>
                <w:szCs w:val="16"/>
                <w:lang w:val="en-US"/>
              </w:rPr>
              <w:br/>
              <w:t>(3)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1DC36EC4" w14:textId="579E4541" w:rsidR="000E4592" w:rsidRPr="00B367C3" w:rsidRDefault="000E4592" w:rsidP="000E4592">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t>Compliance with Written Authority Required procedures</w:t>
            </w:r>
          </w:p>
        </w:tc>
      </w:tr>
    </w:tbl>
    <w:p w14:paraId="2C0ED63F" w14:textId="57330724" w:rsidR="000E4592" w:rsidRPr="00B367C3" w:rsidRDefault="000E4592" w:rsidP="000E4592">
      <w:pPr>
        <w:pStyle w:val="Amendment1"/>
        <w:numPr>
          <w:ilvl w:val="0"/>
          <w:numId w:val="31"/>
        </w:numPr>
        <w:ind w:left="567" w:hanging="567"/>
        <w:rPr>
          <w:bCs w:val="0"/>
          <w:iCs/>
        </w:rPr>
      </w:pPr>
      <w:r w:rsidRPr="00B367C3">
        <w:lastRenderedPageBreak/>
        <w:t>Schedule</w:t>
      </w:r>
      <w:r w:rsidRPr="00B367C3">
        <w:rPr>
          <w:bCs w:val="0"/>
          <w:iCs/>
        </w:rPr>
        <w:t xml:space="preserve"> 3, entry for </w:t>
      </w:r>
      <w:r w:rsidRPr="00B367C3">
        <w:rPr>
          <w:rFonts w:eastAsia="SimSun"/>
          <w:lang w:eastAsia="zh-CN"/>
        </w:rPr>
        <w:t>Lumacaftor with ivacaftor</w:t>
      </w:r>
    </w:p>
    <w:p w14:paraId="503E073A" w14:textId="77777777" w:rsidR="000E4592" w:rsidRPr="00B367C3" w:rsidRDefault="000E4592" w:rsidP="000E4592">
      <w:pPr>
        <w:pStyle w:val="Amendment1"/>
        <w:tabs>
          <w:tab w:val="left" w:pos="720"/>
        </w:tabs>
        <w:spacing w:before="60" w:after="60" w:line="260" w:lineRule="exact"/>
        <w:ind w:left="1134" w:hanging="567"/>
        <w:rPr>
          <w:rFonts w:ascii="Times New Roman" w:hAnsi="Times New Roman" w:cs="Times New Roman"/>
          <w:b w:val="0"/>
          <w:bCs w:val="0"/>
          <w:i/>
          <w:iCs/>
        </w:rPr>
      </w:pPr>
      <w:r w:rsidRPr="00B367C3">
        <w:rPr>
          <w:rFonts w:ascii="Times New Roman" w:hAnsi="Times New Roman" w:cs="Times New Roman"/>
          <w:b w:val="0"/>
          <w:bCs w:val="0"/>
          <w:i/>
          <w:iCs/>
        </w:rPr>
        <w:t>substitute:</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0E4592" w:rsidRPr="00B367C3" w14:paraId="0F484F9A" w14:textId="77777777" w:rsidTr="00852E90">
        <w:tc>
          <w:tcPr>
            <w:tcW w:w="1701" w:type="dxa"/>
            <w:tcBorders>
              <w:top w:val="single" w:sz="4" w:space="0" w:color="auto"/>
              <w:left w:val="single" w:sz="4" w:space="0" w:color="auto"/>
              <w:bottom w:val="single" w:sz="4" w:space="0" w:color="auto"/>
              <w:right w:val="single" w:sz="4" w:space="0" w:color="auto"/>
            </w:tcBorders>
          </w:tcPr>
          <w:p w14:paraId="76A81BD3" w14:textId="2CB44011" w:rsidR="000E4592" w:rsidRPr="00B367C3" w:rsidRDefault="000E4592" w:rsidP="000E4592">
            <w:pPr>
              <w:pStyle w:val="Tabletext"/>
              <w:widowControl w:val="0"/>
              <w:spacing w:after="60" w:line="240" w:lineRule="auto"/>
              <w:rPr>
                <w:rFonts w:ascii="Arial" w:hAnsi="Arial" w:cs="Arial"/>
                <w:b/>
                <w:bCs/>
                <w:sz w:val="16"/>
                <w:szCs w:val="16"/>
                <w:lang w:eastAsia="en-US"/>
              </w:rPr>
            </w:pPr>
            <w:r w:rsidRPr="00B367C3">
              <w:rPr>
                <w:rFonts w:ascii="Arial" w:eastAsia="SimSun" w:hAnsi="Arial" w:cs="Arial"/>
                <w:sz w:val="16"/>
                <w:szCs w:val="16"/>
                <w:lang w:eastAsia="zh-CN"/>
              </w:rPr>
              <w:t>Lumacaftor with ivacaftor</w:t>
            </w:r>
          </w:p>
        </w:tc>
        <w:tc>
          <w:tcPr>
            <w:tcW w:w="850" w:type="dxa"/>
            <w:tcBorders>
              <w:top w:val="single" w:sz="4" w:space="0" w:color="auto"/>
              <w:left w:val="single" w:sz="4" w:space="0" w:color="auto"/>
              <w:bottom w:val="single" w:sz="4" w:space="0" w:color="auto"/>
              <w:right w:val="single" w:sz="4" w:space="0" w:color="auto"/>
            </w:tcBorders>
          </w:tcPr>
          <w:p w14:paraId="2A40731A" w14:textId="604F265A" w:rsidR="000E4592" w:rsidRPr="00B367C3" w:rsidRDefault="000E4592" w:rsidP="000E4592">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 xml:space="preserve">C12610 </w:t>
            </w:r>
          </w:p>
        </w:tc>
        <w:tc>
          <w:tcPr>
            <w:tcW w:w="850" w:type="dxa"/>
            <w:tcBorders>
              <w:top w:val="single" w:sz="4" w:space="0" w:color="auto"/>
              <w:left w:val="single" w:sz="4" w:space="0" w:color="auto"/>
              <w:bottom w:val="single" w:sz="4" w:space="0" w:color="auto"/>
              <w:right w:val="single" w:sz="4" w:space="0" w:color="auto"/>
            </w:tcBorders>
          </w:tcPr>
          <w:p w14:paraId="058C7342"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782E5109" w14:textId="2BD7DAB7" w:rsidR="000E4592" w:rsidRPr="00B367C3" w:rsidRDefault="000E4592" w:rsidP="000E4592">
            <w:pPr>
              <w:pStyle w:val="mps3-data"/>
              <w:rPr>
                <w:b/>
                <w:bCs/>
              </w:rPr>
            </w:pPr>
            <w:r w:rsidRPr="00B367C3">
              <w:rPr>
                <w:szCs w:val="16"/>
                <w:lang w:val="en-US"/>
              </w:rPr>
              <w:t>Cystic fibrosis</w:t>
            </w:r>
            <w:r w:rsidRPr="00B367C3">
              <w:rPr>
                <w:szCs w:val="16"/>
                <w:lang w:val="en-US"/>
              </w:rPr>
              <w:br/>
              <w:t>Continuing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 AND</w:t>
            </w:r>
            <w:r w:rsidRPr="00B367C3">
              <w:rPr>
                <w:szCs w:val="16"/>
                <w:lang w:val="en-US"/>
              </w:rPr>
              <w:br/>
              <w:t>The treatment must be given concomitantly with standard therapy for this condition.</w:t>
            </w:r>
            <w:r w:rsidRPr="00B367C3">
              <w:rPr>
                <w:szCs w:val="16"/>
                <w:lang w:val="en-US"/>
              </w:rPr>
              <w:br/>
              <w:t>Patient must be 2 years of age or older.</w:t>
            </w:r>
            <w:r w:rsidRPr="00B367C3">
              <w:rPr>
                <w:szCs w:val="16"/>
                <w:lang w:val="en-US"/>
              </w:rPr>
              <w:br/>
              <w:t>Lumacaftor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Continuing Authority Application Supporting Information Form; and</w:t>
            </w:r>
            <w:r w:rsidRPr="00B367C3">
              <w:rPr>
                <w:szCs w:val="16"/>
                <w:lang w:val="en-US"/>
              </w:rPr>
              <w:br/>
              <w:t>(3)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23E7D0F7" w14:textId="4FBF4F04" w:rsidR="000E4592" w:rsidRPr="00B367C3" w:rsidRDefault="000E4592" w:rsidP="000E4592">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t>Compliance with Written Authority Required procedures</w:t>
            </w:r>
          </w:p>
        </w:tc>
      </w:tr>
      <w:tr w:rsidR="000E4592" w:rsidRPr="00B367C3" w14:paraId="04036338" w14:textId="77777777" w:rsidTr="00852E90">
        <w:tc>
          <w:tcPr>
            <w:tcW w:w="1701" w:type="dxa"/>
            <w:tcBorders>
              <w:top w:val="single" w:sz="4" w:space="0" w:color="auto"/>
              <w:left w:val="single" w:sz="4" w:space="0" w:color="auto"/>
              <w:bottom w:val="single" w:sz="4" w:space="0" w:color="auto"/>
              <w:right w:val="single" w:sz="4" w:space="0" w:color="auto"/>
            </w:tcBorders>
          </w:tcPr>
          <w:p w14:paraId="65813A6B" w14:textId="77777777" w:rsidR="000E4592" w:rsidRPr="00B367C3" w:rsidRDefault="000E4592" w:rsidP="000E4592">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29AB14C8" w14:textId="7947386C" w:rsidR="000E4592" w:rsidRPr="00B367C3" w:rsidRDefault="000E4592" w:rsidP="000E4592">
            <w:pPr>
              <w:pStyle w:val="Tabletext"/>
              <w:widowControl w:val="0"/>
              <w:spacing w:after="60" w:line="240" w:lineRule="auto"/>
              <w:rPr>
                <w:rFonts w:ascii="Arial" w:hAnsi="Arial" w:cs="Arial"/>
                <w:b/>
                <w:bCs/>
                <w:sz w:val="16"/>
                <w:szCs w:val="16"/>
                <w:lang w:eastAsia="en-US"/>
              </w:rPr>
            </w:pPr>
            <w:r w:rsidRPr="00B367C3">
              <w:rPr>
                <w:rFonts w:ascii="Arial" w:eastAsia="SimSun" w:hAnsi="Arial" w:cs="Arial"/>
                <w:sz w:val="16"/>
                <w:szCs w:val="16"/>
                <w:lang w:eastAsia="zh-CN"/>
              </w:rPr>
              <w:t>C12612</w:t>
            </w:r>
          </w:p>
        </w:tc>
        <w:tc>
          <w:tcPr>
            <w:tcW w:w="850" w:type="dxa"/>
            <w:tcBorders>
              <w:top w:val="single" w:sz="4" w:space="0" w:color="auto"/>
              <w:left w:val="single" w:sz="4" w:space="0" w:color="auto"/>
              <w:bottom w:val="single" w:sz="4" w:space="0" w:color="auto"/>
              <w:right w:val="single" w:sz="4" w:space="0" w:color="auto"/>
            </w:tcBorders>
          </w:tcPr>
          <w:p w14:paraId="23490471"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433C16FA" w14:textId="4F2EA5AA" w:rsidR="000E4592" w:rsidRPr="00B367C3" w:rsidRDefault="000E4592" w:rsidP="000E4592">
            <w:pPr>
              <w:pStyle w:val="mps3-data"/>
              <w:rPr>
                <w:b/>
                <w:bCs/>
              </w:rPr>
            </w:pPr>
            <w:r w:rsidRPr="00B367C3">
              <w:rPr>
                <w:szCs w:val="16"/>
                <w:lang w:val="en-US"/>
              </w:rPr>
              <w:t>Cystic fibrosis</w:t>
            </w:r>
            <w:r w:rsidRPr="00B367C3">
              <w:rPr>
                <w:szCs w:val="16"/>
                <w:lang w:val="en-US"/>
              </w:rPr>
              <w:br/>
              <w:t>Continuing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AND</w:t>
            </w:r>
            <w:r w:rsidRPr="00B367C3">
              <w:rPr>
                <w:szCs w:val="16"/>
                <w:lang w:val="en-US"/>
              </w:rPr>
              <w:br/>
              <w:t>The treatment must be given concomitantly with standard therapy for this condition;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w:t>
            </w:r>
            <w:r w:rsidRPr="00B367C3">
              <w:rPr>
                <w:szCs w:val="16"/>
                <w:lang w:val="en-US"/>
              </w:rPr>
              <w:br/>
              <w:t>Patient must be 12 years of age or older.</w:t>
            </w:r>
            <w:r w:rsidRPr="00B367C3">
              <w:rPr>
                <w:szCs w:val="16"/>
                <w:lang w:val="en-US"/>
              </w:rPr>
              <w:br/>
              <w:t>Lumacaftor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r>
            <w:r w:rsidRPr="00B367C3">
              <w:rPr>
                <w:szCs w:val="16"/>
                <w:lang w:val="en-US"/>
              </w:rPr>
              <w:lastRenderedPageBreak/>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Continuing Authority Application Supporting Information Form; and</w:t>
            </w:r>
            <w:r w:rsidRPr="00B367C3">
              <w:rPr>
                <w:szCs w:val="16"/>
                <w:lang w:val="en-US"/>
              </w:rPr>
              <w:br/>
              <w:t>(3)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734A49F0" w14:textId="2EDCE6D5" w:rsidR="000E4592" w:rsidRPr="00B367C3" w:rsidRDefault="000E4592" w:rsidP="000E4592">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Written Authority Required procedures</w:t>
            </w:r>
          </w:p>
        </w:tc>
      </w:tr>
      <w:tr w:rsidR="000E4592" w:rsidRPr="00B367C3" w14:paraId="2C583DFB" w14:textId="77777777" w:rsidTr="00852E90">
        <w:tc>
          <w:tcPr>
            <w:tcW w:w="1701" w:type="dxa"/>
            <w:tcBorders>
              <w:top w:val="single" w:sz="4" w:space="0" w:color="auto"/>
              <w:left w:val="single" w:sz="4" w:space="0" w:color="auto"/>
              <w:bottom w:val="single" w:sz="4" w:space="0" w:color="auto"/>
              <w:right w:val="single" w:sz="4" w:space="0" w:color="auto"/>
            </w:tcBorders>
          </w:tcPr>
          <w:p w14:paraId="5BD17D11" w14:textId="77777777" w:rsidR="000E4592" w:rsidRPr="00B367C3" w:rsidRDefault="000E4592" w:rsidP="000E4592">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0EB7CA26" w14:textId="7DB5F800" w:rsidR="000E4592" w:rsidRPr="00B367C3" w:rsidRDefault="000E4592" w:rsidP="000E4592">
            <w:pPr>
              <w:pStyle w:val="Tabletext"/>
              <w:widowControl w:val="0"/>
              <w:spacing w:after="60" w:line="240" w:lineRule="auto"/>
              <w:rPr>
                <w:rFonts w:ascii="Arial" w:eastAsia="SimSun" w:hAnsi="Arial" w:cs="Arial"/>
                <w:sz w:val="16"/>
                <w:szCs w:val="16"/>
                <w:lang w:eastAsia="zh-CN"/>
              </w:rPr>
            </w:pPr>
            <w:r w:rsidRPr="00B367C3">
              <w:rPr>
                <w:rFonts w:ascii="Arial" w:eastAsia="Arial" w:hAnsi="Arial" w:cs="Arial"/>
                <w:sz w:val="16"/>
                <w:szCs w:val="10"/>
              </w:rPr>
              <w:t>C12621</w:t>
            </w:r>
          </w:p>
        </w:tc>
        <w:tc>
          <w:tcPr>
            <w:tcW w:w="850" w:type="dxa"/>
            <w:tcBorders>
              <w:top w:val="single" w:sz="4" w:space="0" w:color="auto"/>
              <w:left w:val="single" w:sz="4" w:space="0" w:color="auto"/>
              <w:bottom w:val="single" w:sz="4" w:space="0" w:color="auto"/>
              <w:right w:val="single" w:sz="4" w:space="0" w:color="auto"/>
            </w:tcBorders>
          </w:tcPr>
          <w:p w14:paraId="3BD2C688"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20172820" w14:textId="3B1E5621" w:rsidR="000E4592" w:rsidRPr="00B367C3" w:rsidRDefault="000E4592" w:rsidP="000E4592">
            <w:pPr>
              <w:pStyle w:val="mps3-data"/>
              <w:rPr>
                <w:szCs w:val="16"/>
                <w:lang w:val="en-US"/>
              </w:rPr>
            </w:pPr>
            <w:r w:rsidRPr="00B367C3">
              <w:rPr>
                <w:szCs w:val="16"/>
                <w:lang w:val="en-US"/>
              </w:rPr>
              <w:t>Cystic fibrosis</w:t>
            </w:r>
            <w:r w:rsidRPr="00B367C3">
              <w:rPr>
                <w:szCs w:val="16"/>
                <w:lang w:val="en-US"/>
              </w:rPr>
              <w:br/>
              <w:t>Initial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be homozygous for the F508del mutation in the cystic fibrosis transmembrane conductance regulator (CFTR) gene; AND</w:t>
            </w:r>
            <w:r w:rsidRPr="00B367C3">
              <w:rPr>
                <w:szCs w:val="16"/>
                <w:lang w:val="en-US"/>
              </w:rPr>
              <w:br/>
              <w:t>The treatment must be given concomitantly with standard therapy for this condition;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w:t>
            </w:r>
            <w:r w:rsidRPr="00B367C3">
              <w:rPr>
                <w:szCs w:val="16"/>
                <w:lang w:val="en-US"/>
              </w:rPr>
              <w:br/>
              <w:t>Patient must be 2 years of age or older.</w:t>
            </w:r>
            <w:r w:rsidRPr="00B367C3">
              <w:rPr>
                <w:szCs w:val="16"/>
                <w:lang w:val="en-US"/>
              </w:rPr>
              <w:br/>
              <w:t>Lumacaftor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Authority Application Supporting Information Form; and</w:t>
            </w:r>
            <w:r w:rsidRPr="00B367C3">
              <w:rPr>
                <w:szCs w:val="16"/>
                <w:lang w:val="en-US"/>
              </w:rPr>
              <w:br/>
              <w:t>(3) details of the pathology report substantiating the patient being homozygous for the F508del mutation on the CFTR gene - quote each of the: (</w:t>
            </w:r>
            <w:proofErr w:type="spellStart"/>
            <w:r w:rsidRPr="00B367C3">
              <w:rPr>
                <w:szCs w:val="16"/>
                <w:lang w:val="en-US"/>
              </w:rPr>
              <w:t>i</w:t>
            </w:r>
            <w:proofErr w:type="spellEnd"/>
            <w:r w:rsidRPr="00B367C3">
              <w:rPr>
                <w:szCs w:val="16"/>
                <w:lang w:val="en-US"/>
              </w:rPr>
              <w:t>) name of the pathology report provider, (ii) date of pathology report, (iii) unique identifying number/code that links the pathology result to the individual patient; and</w:t>
            </w:r>
            <w:r w:rsidRPr="00B367C3">
              <w:rPr>
                <w:szCs w:val="16"/>
                <w:lang w:val="en-US"/>
              </w:rPr>
              <w:br/>
              <w:t>(4)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336B0980" w14:textId="31BDC0BA" w:rsidR="000E4592" w:rsidRPr="00B367C3" w:rsidRDefault="000E4592" w:rsidP="000E4592">
            <w:pPr>
              <w:pStyle w:val="Tabletext"/>
              <w:widowControl w:val="0"/>
              <w:spacing w:after="60" w:line="240" w:lineRule="auto"/>
              <w:rPr>
                <w:rFonts w:ascii="Arial" w:hAnsi="Arial" w:cs="Arial"/>
                <w:sz w:val="16"/>
                <w:szCs w:val="16"/>
                <w:lang w:val="en-US"/>
              </w:rPr>
            </w:pPr>
            <w:r w:rsidRPr="00B367C3">
              <w:rPr>
                <w:rFonts w:ascii="Arial" w:hAnsi="Arial" w:cs="Arial"/>
                <w:sz w:val="16"/>
                <w:szCs w:val="16"/>
                <w:lang w:val="en-US"/>
              </w:rPr>
              <w:t>Compliance with Written Authority Required procedures</w:t>
            </w:r>
          </w:p>
        </w:tc>
      </w:tr>
      <w:tr w:rsidR="000E4592" w:rsidRPr="00B367C3" w14:paraId="55E72C53" w14:textId="77777777" w:rsidTr="00852E90">
        <w:tc>
          <w:tcPr>
            <w:tcW w:w="1701" w:type="dxa"/>
            <w:tcBorders>
              <w:top w:val="single" w:sz="4" w:space="0" w:color="auto"/>
              <w:left w:val="single" w:sz="4" w:space="0" w:color="auto"/>
              <w:bottom w:val="single" w:sz="4" w:space="0" w:color="auto"/>
              <w:right w:val="single" w:sz="4" w:space="0" w:color="auto"/>
            </w:tcBorders>
          </w:tcPr>
          <w:p w14:paraId="2024CFF9" w14:textId="77777777" w:rsidR="000E4592" w:rsidRPr="00B367C3" w:rsidRDefault="000E4592" w:rsidP="000E4592">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3F4B3596" w14:textId="57977609" w:rsidR="000E4592" w:rsidRPr="00B367C3" w:rsidRDefault="000E4592" w:rsidP="000E4592">
            <w:pPr>
              <w:pStyle w:val="Tabletext"/>
              <w:widowControl w:val="0"/>
              <w:spacing w:after="60" w:line="240" w:lineRule="auto"/>
              <w:rPr>
                <w:rFonts w:ascii="Arial" w:eastAsia="SimSun" w:hAnsi="Arial" w:cs="Arial"/>
                <w:sz w:val="16"/>
                <w:szCs w:val="16"/>
                <w:lang w:eastAsia="zh-CN"/>
              </w:rPr>
            </w:pPr>
            <w:r w:rsidRPr="00B367C3">
              <w:rPr>
                <w:rFonts w:ascii="Arial" w:eastAsia="SimSun" w:hAnsi="Arial" w:cs="Arial"/>
                <w:sz w:val="16"/>
                <w:szCs w:val="16"/>
                <w:lang w:eastAsia="zh-CN"/>
              </w:rPr>
              <w:t>C12623</w:t>
            </w:r>
          </w:p>
        </w:tc>
        <w:tc>
          <w:tcPr>
            <w:tcW w:w="850" w:type="dxa"/>
            <w:tcBorders>
              <w:top w:val="single" w:sz="4" w:space="0" w:color="auto"/>
              <w:left w:val="single" w:sz="4" w:space="0" w:color="auto"/>
              <w:bottom w:val="single" w:sz="4" w:space="0" w:color="auto"/>
              <w:right w:val="single" w:sz="4" w:space="0" w:color="auto"/>
            </w:tcBorders>
          </w:tcPr>
          <w:p w14:paraId="435382D3"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75CEAF7E" w14:textId="34E0E947" w:rsidR="000E4592" w:rsidRPr="00B367C3" w:rsidRDefault="000E4592" w:rsidP="000E4592">
            <w:pPr>
              <w:pStyle w:val="mps3-data"/>
              <w:rPr>
                <w:szCs w:val="16"/>
                <w:lang w:val="en-US"/>
              </w:rPr>
            </w:pPr>
            <w:r w:rsidRPr="00B367C3">
              <w:rPr>
                <w:szCs w:val="16"/>
                <w:lang w:val="en-US"/>
              </w:rPr>
              <w:t>Cystic fibrosis</w:t>
            </w:r>
            <w:r w:rsidRPr="00B367C3">
              <w:rPr>
                <w:szCs w:val="16"/>
                <w:lang w:val="en-US"/>
              </w:rPr>
              <w:br/>
              <w:t>Initial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be homozygous for the F508del mutation in the cystic fibrosis transmembrane conductance regulator (CFTR) gene; AND</w:t>
            </w:r>
            <w:r w:rsidRPr="00B367C3">
              <w:rPr>
                <w:szCs w:val="16"/>
                <w:lang w:val="en-US"/>
              </w:rPr>
              <w:br/>
              <w:t>The treatment must be given concomitantly with standard therapy for this condition; AND</w:t>
            </w:r>
            <w:r w:rsidRPr="00B367C3">
              <w:rPr>
                <w:szCs w:val="16"/>
                <w:lang w:val="en-US"/>
              </w:rPr>
              <w:br/>
              <w:t>Patient must have either chronic sinopulmonary disease or gastrointestinal and nutritional abnormalities; AND</w:t>
            </w:r>
            <w:r w:rsidRPr="00B367C3">
              <w:rPr>
                <w:szCs w:val="16"/>
                <w:lang w:val="en-US"/>
              </w:rPr>
              <w:br/>
            </w:r>
            <w:r w:rsidRPr="00B367C3">
              <w:rPr>
                <w:szCs w:val="16"/>
                <w:lang w:val="en-US"/>
              </w:rPr>
              <w:lastRenderedPageBreak/>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w:t>
            </w:r>
            <w:r w:rsidRPr="00B367C3">
              <w:rPr>
                <w:szCs w:val="16"/>
                <w:lang w:val="en-US"/>
              </w:rPr>
              <w:br/>
              <w:t>Patient must be 12 years of age or older.</w:t>
            </w:r>
            <w:r w:rsidRPr="00B367C3">
              <w:rPr>
                <w:szCs w:val="16"/>
                <w:lang w:val="en-US"/>
              </w:rPr>
              <w:br/>
              <w:t>Lumacaftor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Authority Application Supporting Information Form; and</w:t>
            </w:r>
            <w:r w:rsidRPr="00B367C3">
              <w:rPr>
                <w:szCs w:val="16"/>
                <w:lang w:val="en-US"/>
              </w:rPr>
              <w:br/>
              <w:t>(3) details of the pathology report substantiating the patient being homozygous for the F508del mutation on the CFTR gene - quote each of the: (</w:t>
            </w:r>
            <w:proofErr w:type="spellStart"/>
            <w:r w:rsidRPr="00B367C3">
              <w:rPr>
                <w:szCs w:val="16"/>
                <w:lang w:val="en-US"/>
              </w:rPr>
              <w:t>i</w:t>
            </w:r>
            <w:proofErr w:type="spellEnd"/>
            <w:r w:rsidRPr="00B367C3">
              <w:rPr>
                <w:szCs w:val="16"/>
                <w:lang w:val="en-US"/>
              </w:rPr>
              <w:t>) name of the pathology report provider, (ii) date of pathology report, (iii) unique identifying number/code that links the pathology result to the individual patient; and</w:t>
            </w:r>
            <w:r w:rsidRPr="00B367C3">
              <w:rPr>
                <w:szCs w:val="16"/>
                <w:lang w:val="en-US"/>
              </w:rPr>
              <w:br/>
              <w:t>(4)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152F629F" w14:textId="0F801200" w:rsidR="000E4592" w:rsidRPr="00B367C3" w:rsidRDefault="000E4592" w:rsidP="000E4592">
            <w:pPr>
              <w:pStyle w:val="Tabletext"/>
              <w:widowControl w:val="0"/>
              <w:spacing w:after="60" w:line="240" w:lineRule="auto"/>
              <w:rPr>
                <w:rFonts w:ascii="Arial" w:hAnsi="Arial" w:cs="Arial"/>
                <w:sz w:val="16"/>
                <w:szCs w:val="16"/>
                <w:lang w:val="en-US"/>
              </w:rPr>
            </w:pPr>
            <w:r w:rsidRPr="00B367C3">
              <w:rPr>
                <w:rFonts w:ascii="Arial" w:hAnsi="Arial" w:cs="Arial"/>
                <w:sz w:val="16"/>
                <w:szCs w:val="16"/>
                <w:lang w:val="en-US"/>
              </w:rPr>
              <w:lastRenderedPageBreak/>
              <w:t>Compliance with Written Authority Required procedures</w:t>
            </w:r>
          </w:p>
        </w:tc>
      </w:tr>
      <w:tr w:rsidR="000E4592" w:rsidRPr="00B367C3" w14:paraId="3D3DB34A" w14:textId="77777777" w:rsidTr="00852E90">
        <w:tc>
          <w:tcPr>
            <w:tcW w:w="1701" w:type="dxa"/>
            <w:tcBorders>
              <w:top w:val="single" w:sz="4" w:space="0" w:color="auto"/>
              <w:left w:val="single" w:sz="4" w:space="0" w:color="auto"/>
              <w:bottom w:val="single" w:sz="4" w:space="0" w:color="auto"/>
              <w:right w:val="single" w:sz="4" w:space="0" w:color="auto"/>
            </w:tcBorders>
          </w:tcPr>
          <w:p w14:paraId="6316EE0F" w14:textId="77777777" w:rsidR="000E4592" w:rsidRPr="00B367C3" w:rsidRDefault="000E4592" w:rsidP="000E4592">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01B7B308" w14:textId="3F3F4246" w:rsidR="000E4592" w:rsidRPr="00B367C3" w:rsidRDefault="000E4592" w:rsidP="000E4592">
            <w:pPr>
              <w:pStyle w:val="Tabletext"/>
              <w:widowControl w:val="0"/>
              <w:spacing w:after="60" w:line="240" w:lineRule="auto"/>
              <w:rPr>
                <w:rFonts w:ascii="Arial" w:eastAsia="SimSun" w:hAnsi="Arial" w:cs="Arial"/>
                <w:sz w:val="16"/>
                <w:szCs w:val="16"/>
                <w:lang w:eastAsia="zh-CN"/>
              </w:rPr>
            </w:pPr>
            <w:r w:rsidRPr="00B367C3">
              <w:rPr>
                <w:rFonts w:ascii="Arial" w:eastAsia="SimSun" w:hAnsi="Arial" w:cs="Arial"/>
                <w:sz w:val="16"/>
                <w:szCs w:val="16"/>
                <w:lang w:eastAsia="zh-CN"/>
              </w:rPr>
              <w:t>C12627</w:t>
            </w:r>
          </w:p>
        </w:tc>
        <w:tc>
          <w:tcPr>
            <w:tcW w:w="850" w:type="dxa"/>
            <w:tcBorders>
              <w:top w:val="single" w:sz="4" w:space="0" w:color="auto"/>
              <w:left w:val="single" w:sz="4" w:space="0" w:color="auto"/>
              <w:bottom w:val="single" w:sz="4" w:space="0" w:color="auto"/>
              <w:right w:val="single" w:sz="4" w:space="0" w:color="auto"/>
            </w:tcBorders>
          </w:tcPr>
          <w:p w14:paraId="7F5BFDDD"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0726FDD4" w14:textId="2E75AD60" w:rsidR="000E4592" w:rsidRPr="00B367C3" w:rsidRDefault="000E4592" w:rsidP="000E4592">
            <w:pPr>
              <w:pStyle w:val="mps3-data"/>
              <w:rPr>
                <w:szCs w:val="16"/>
                <w:lang w:val="en-US"/>
              </w:rPr>
            </w:pPr>
            <w:r w:rsidRPr="00B367C3">
              <w:rPr>
                <w:szCs w:val="16"/>
                <w:lang w:val="en-US"/>
              </w:rPr>
              <w:t>Cystic fibrosis</w:t>
            </w:r>
            <w:r w:rsidRPr="00B367C3">
              <w:rPr>
                <w:szCs w:val="16"/>
                <w:lang w:val="en-US"/>
              </w:rPr>
              <w:br/>
              <w:t>Initial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be homozygous for the F508del mutation in the cystic fibrosis transmembrane conductance regulator (CFTR) gene; AND</w:t>
            </w:r>
            <w:r w:rsidRPr="00B367C3">
              <w:rPr>
                <w:szCs w:val="16"/>
                <w:lang w:val="en-US"/>
              </w:rPr>
              <w:br/>
              <w:t>The treatment must be given concomitantly with standard therapy for this condition; AND</w:t>
            </w:r>
            <w:r w:rsidRPr="00B367C3">
              <w:rPr>
                <w:szCs w:val="16"/>
                <w:lang w:val="en-US"/>
              </w:rPr>
              <w:br/>
              <w:t>Patient must have either chronic sinopulmonary disease or gastrointestinal and nutritional abnormalities;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w:t>
            </w:r>
            <w:r w:rsidRPr="00B367C3">
              <w:rPr>
                <w:szCs w:val="16"/>
                <w:lang w:val="en-US"/>
              </w:rPr>
              <w:br/>
              <w:t>Patient must be aged between 6 and 11 years inclusive.</w:t>
            </w:r>
            <w:r w:rsidRPr="00B367C3">
              <w:rPr>
                <w:szCs w:val="16"/>
                <w:lang w:val="en-US"/>
              </w:rPr>
              <w:br/>
              <w:t>Lumacaftor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Authority Application Supporting Information Form; and</w:t>
            </w:r>
            <w:r w:rsidRPr="00B367C3">
              <w:rPr>
                <w:szCs w:val="16"/>
                <w:lang w:val="en-US"/>
              </w:rPr>
              <w:br/>
              <w:t>(3) details of the pathology report substantiating the patient being homozygous for the F508del mutation on the CFTR gene - quote each of the: (</w:t>
            </w:r>
            <w:proofErr w:type="spellStart"/>
            <w:r w:rsidRPr="00B367C3">
              <w:rPr>
                <w:szCs w:val="16"/>
                <w:lang w:val="en-US"/>
              </w:rPr>
              <w:t>i</w:t>
            </w:r>
            <w:proofErr w:type="spellEnd"/>
            <w:r w:rsidRPr="00B367C3">
              <w:rPr>
                <w:szCs w:val="16"/>
                <w:lang w:val="en-US"/>
              </w:rPr>
              <w:t>) name of the pathology report provider, (ii) date of pathology report, (iii) unique identifying number/code that links the pathology result to the individual patient; and</w:t>
            </w:r>
            <w:r w:rsidRPr="00B367C3">
              <w:rPr>
                <w:szCs w:val="16"/>
                <w:lang w:val="en-US"/>
              </w:rPr>
              <w:br/>
              <w:t>(4)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7DE45FD7" w14:textId="2A2CE65F" w:rsidR="000E4592" w:rsidRPr="00B367C3" w:rsidRDefault="000E4592" w:rsidP="000E4592">
            <w:pPr>
              <w:pStyle w:val="Tabletext"/>
              <w:widowControl w:val="0"/>
              <w:spacing w:after="60" w:line="240" w:lineRule="auto"/>
              <w:rPr>
                <w:rFonts w:ascii="Arial" w:hAnsi="Arial" w:cs="Arial"/>
                <w:sz w:val="16"/>
                <w:szCs w:val="16"/>
                <w:lang w:val="en-US"/>
              </w:rPr>
            </w:pPr>
            <w:r w:rsidRPr="00B367C3">
              <w:rPr>
                <w:rFonts w:ascii="Arial" w:hAnsi="Arial" w:cs="Arial"/>
                <w:sz w:val="16"/>
                <w:szCs w:val="16"/>
                <w:lang w:val="en-US"/>
              </w:rPr>
              <w:t>Compliance with Written Authority Required procedures</w:t>
            </w:r>
          </w:p>
        </w:tc>
      </w:tr>
      <w:tr w:rsidR="000E4592" w:rsidRPr="00B367C3" w14:paraId="4B192FE2" w14:textId="77777777" w:rsidTr="00852E90">
        <w:tc>
          <w:tcPr>
            <w:tcW w:w="1701" w:type="dxa"/>
            <w:tcBorders>
              <w:top w:val="single" w:sz="4" w:space="0" w:color="auto"/>
              <w:left w:val="single" w:sz="4" w:space="0" w:color="auto"/>
              <w:bottom w:val="single" w:sz="4" w:space="0" w:color="auto"/>
              <w:right w:val="single" w:sz="4" w:space="0" w:color="auto"/>
            </w:tcBorders>
          </w:tcPr>
          <w:p w14:paraId="657916ED" w14:textId="77777777" w:rsidR="000E4592" w:rsidRPr="00B367C3" w:rsidRDefault="000E4592" w:rsidP="000E4592">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71716EE4" w14:textId="0E4568CA" w:rsidR="000E4592" w:rsidRPr="00B367C3" w:rsidRDefault="000E4592" w:rsidP="000E4592">
            <w:pPr>
              <w:pStyle w:val="Tabletext"/>
              <w:widowControl w:val="0"/>
              <w:spacing w:after="60" w:line="240" w:lineRule="auto"/>
              <w:rPr>
                <w:rFonts w:ascii="Arial" w:eastAsia="SimSun" w:hAnsi="Arial" w:cs="Arial"/>
                <w:sz w:val="16"/>
                <w:szCs w:val="16"/>
                <w:lang w:eastAsia="zh-CN"/>
              </w:rPr>
            </w:pPr>
            <w:r w:rsidRPr="00B367C3">
              <w:rPr>
                <w:rFonts w:ascii="Arial" w:eastAsia="SimSun" w:hAnsi="Arial" w:cs="Arial"/>
                <w:sz w:val="16"/>
                <w:szCs w:val="16"/>
                <w:lang w:eastAsia="zh-CN"/>
              </w:rPr>
              <w:t>C12633</w:t>
            </w:r>
          </w:p>
        </w:tc>
        <w:tc>
          <w:tcPr>
            <w:tcW w:w="850" w:type="dxa"/>
            <w:tcBorders>
              <w:top w:val="single" w:sz="4" w:space="0" w:color="auto"/>
              <w:left w:val="single" w:sz="4" w:space="0" w:color="auto"/>
              <w:bottom w:val="single" w:sz="4" w:space="0" w:color="auto"/>
              <w:right w:val="single" w:sz="4" w:space="0" w:color="auto"/>
            </w:tcBorders>
          </w:tcPr>
          <w:p w14:paraId="27B81724" w14:textId="77777777" w:rsidR="000E4592" w:rsidRPr="00B367C3" w:rsidRDefault="000E4592" w:rsidP="000E4592">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5C5C92B9" w14:textId="752986F2" w:rsidR="000E4592" w:rsidRPr="00B367C3" w:rsidRDefault="000E4592" w:rsidP="000E4592">
            <w:pPr>
              <w:pStyle w:val="mps3-data"/>
              <w:rPr>
                <w:szCs w:val="16"/>
                <w:lang w:val="en-US"/>
              </w:rPr>
            </w:pPr>
            <w:r w:rsidRPr="00B367C3">
              <w:rPr>
                <w:szCs w:val="16"/>
                <w:lang w:val="en-US"/>
              </w:rPr>
              <w:t>Cystic fibrosis</w:t>
            </w:r>
            <w:r w:rsidRPr="00B367C3">
              <w:rPr>
                <w:szCs w:val="16"/>
                <w:lang w:val="en-US"/>
              </w:rPr>
              <w:br/>
              <w:t>Continuing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 AND</w:t>
            </w:r>
            <w:r w:rsidRPr="00B367C3">
              <w:rPr>
                <w:szCs w:val="16"/>
                <w:lang w:val="en-US"/>
              </w:rPr>
              <w:br/>
              <w:t>The treatment must be given concomitantly with standard therapy for this condition.</w:t>
            </w:r>
            <w:r w:rsidRPr="00B367C3">
              <w:rPr>
                <w:szCs w:val="16"/>
                <w:lang w:val="en-US"/>
              </w:rPr>
              <w:br/>
              <w:t>Patient must be aged between 6 and 11 years inclusive.</w:t>
            </w:r>
            <w:r w:rsidRPr="00B367C3">
              <w:rPr>
                <w:szCs w:val="16"/>
                <w:lang w:val="en-US"/>
              </w:rPr>
              <w:br/>
              <w:t>Lumacaftor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Continuing Authority Application Supporting Information Form; and</w:t>
            </w:r>
            <w:r w:rsidRPr="00B367C3">
              <w:rPr>
                <w:szCs w:val="16"/>
                <w:lang w:val="en-US"/>
              </w:rPr>
              <w:br/>
              <w:t>(3)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6675AA75" w14:textId="13106DE6" w:rsidR="000E4592" w:rsidRPr="00B367C3" w:rsidRDefault="000E4592" w:rsidP="000E4592">
            <w:pPr>
              <w:pStyle w:val="Tabletext"/>
              <w:widowControl w:val="0"/>
              <w:spacing w:after="60" w:line="240" w:lineRule="auto"/>
              <w:rPr>
                <w:rFonts w:ascii="Arial" w:hAnsi="Arial" w:cs="Arial"/>
                <w:sz w:val="16"/>
                <w:szCs w:val="16"/>
                <w:lang w:val="en-US"/>
              </w:rPr>
            </w:pPr>
            <w:r w:rsidRPr="00B367C3">
              <w:rPr>
                <w:rFonts w:ascii="Arial" w:hAnsi="Arial" w:cs="Arial"/>
                <w:sz w:val="16"/>
                <w:szCs w:val="16"/>
                <w:lang w:val="en-US"/>
              </w:rPr>
              <w:t>Compliance with Written Authority Required procedures</w:t>
            </w:r>
          </w:p>
        </w:tc>
      </w:tr>
    </w:tbl>
    <w:p w14:paraId="396847E2" w14:textId="402090E2" w:rsidR="00853FAE" w:rsidRPr="00B367C3" w:rsidRDefault="00853FAE" w:rsidP="00853FAE">
      <w:pPr>
        <w:pStyle w:val="Amendment1"/>
        <w:numPr>
          <w:ilvl w:val="0"/>
          <w:numId w:val="31"/>
        </w:numPr>
        <w:ind w:left="567" w:hanging="567"/>
        <w:rPr>
          <w:bCs w:val="0"/>
          <w:iCs/>
        </w:rPr>
      </w:pPr>
      <w:r w:rsidRPr="00B367C3">
        <w:t>Schedule</w:t>
      </w:r>
      <w:r w:rsidRPr="00B367C3">
        <w:rPr>
          <w:bCs w:val="0"/>
          <w:iCs/>
        </w:rPr>
        <w:t xml:space="preserve"> 3, entry for </w:t>
      </w:r>
      <w:proofErr w:type="spellStart"/>
      <w:r w:rsidRPr="00B367C3">
        <w:rPr>
          <w:rFonts w:eastAsia="SimSun"/>
          <w:lang w:eastAsia="zh-CN"/>
        </w:rPr>
        <w:t>Ravulizumab</w:t>
      </w:r>
      <w:proofErr w:type="spellEnd"/>
    </w:p>
    <w:p w14:paraId="709A86C2" w14:textId="0685AD04" w:rsidR="00853FAE" w:rsidRPr="00B367C3" w:rsidRDefault="00853FAE" w:rsidP="00853FAE">
      <w:pPr>
        <w:pStyle w:val="Amendment1"/>
        <w:numPr>
          <w:ilvl w:val="0"/>
          <w:numId w:val="47"/>
        </w:numPr>
        <w:spacing w:before="60" w:after="60" w:line="260" w:lineRule="exact"/>
        <w:ind w:left="1134" w:hanging="567"/>
        <w:rPr>
          <w:rFonts w:ascii="Times New Roman" w:hAnsi="Times New Roman" w:cs="Times New Roman"/>
          <w:b w:val="0"/>
          <w:bCs w:val="0"/>
          <w:i/>
          <w:iCs/>
        </w:rPr>
      </w:pPr>
      <w:r w:rsidRPr="00B367C3">
        <w:rPr>
          <w:rFonts w:ascii="Times New Roman" w:hAnsi="Times New Roman" w:cs="Times New Roman"/>
          <w:b w:val="0"/>
          <w:bCs w:val="0"/>
          <w:i/>
          <w:iCs/>
        </w:rPr>
        <w:t>omit: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853FAE" w:rsidRPr="00B367C3" w14:paraId="6CF74A44" w14:textId="77777777" w:rsidTr="00852E90">
        <w:tc>
          <w:tcPr>
            <w:tcW w:w="1701" w:type="dxa"/>
            <w:tcBorders>
              <w:top w:val="single" w:sz="4" w:space="0" w:color="auto"/>
              <w:left w:val="single" w:sz="4" w:space="0" w:color="auto"/>
              <w:bottom w:val="single" w:sz="4" w:space="0" w:color="auto"/>
              <w:right w:val="single" w:sz="4" w:space="0" w:color="auto"/>
            </w:tcBorders>
          </w:tcPr>
          <w:p w14:paraId="1C12898D" w14:textId="40F83BE0"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0E33A876" w14:textId="6BB882FA"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6"/>
              </w:rPr>
              <w:t>C12509</w:t>
            </w:r>
          </w:p>
        </w:tc>
        <w:tc>
          <w:tcPr>
            <w:tcW w:w="850" w:type="dxa"/>
            <w:tcBorders>
              <w:top w:val="single" w:sz="4" w:space="0" w:color="auto"/>
              <w:left w:val="single" w:sz="4" w:space="0" w:color="auto"/>
              <w:bottom w:val="single" w:sz="4" w:space="0" w:color="auto"/>
              <w:right w:val="single" w:sz="4" w:space="0" w:color="auto"/>
            </w:tcBorders>
          </w:tcPr>
          <w:p w14:paraId="6ED28038" w14:textId="5B1F1125" w:rsidR="00853FAE" w:rsidRPr="00B367C3" w:rsidRDefault="008A058C" w:rsidP="00853FAE">
            <w:pPr>
              <w:widowControl w:val="0"/>
              <w:spacing w:before="60" w:after="60" w:line="240" w:lineRule="auto"/>
              <w:rPr>
                <w:rFonts w:ascii="Arial" w:eastAsia="Times New Roman" w:hAnsi="Arial" w:cs="Arial"/>
                <w:sz w:val="16"/>
                <w:szCs w:val="16"/>
                <w:lang w:eastAsia="en-AU"/>
              </w:rPr>
            </w:pPr>
            <w:r w:rsidRPr="00B367C3">
              <w:rPr>
                <w:rFonts w:ascii="Arial" w:eastAsia="Times New Roman" w:hAnsi="Arial" w:cs="Arial"/>
                <w:sz w:val="16"/>
                <w:szCs w:val="16"/>
                <w:lang w:eastAsia="en-AU"/>
              </w:rPr>
              <w:t>P12509</w:t>
            </w:r>
          </w:p>
        </w:tc>
        <w:tc>
          <w:tcPr>
            <w:tcW w:w="7936" w:type="dxa"/>
            <w:tcBorders>
              <w:top w:val="single" w:sz="4" w:space="0" w:color="auto"/>
              <w:left w:val="single" w:sz="4" w:space="0" w:color="auto"/>
              <w:bottom w:val="single" w:sz="4" w:space="0" w:color="auto"/>
              <w:right w:val="single" w:sz="4" w:space="0" w:color="auto"/>
            </w:tcBorders>
          </w:tcPr>
          <w:p w14:paraId="1C8DDDE1" w14:textId="45CAAB46" w:rsidR="00853FAE" w:rsidRPr="00B367C3" w:rsidRDefault="00853FAE" w:rsidP="00853FAE">
            <w:pPr>
              <w:pStyle w:val="mps3-data"/>
              <w:rPr>
                <w:b/>
                <w:bCs/>
              </w:rPr>
            </w:pPr>
            <w:r w:rsidRPr="00B367C3">
              <w:rPr>
                <w:rFonts w:eastAsiaTheme="minorHAnsi"/>
                <w:szCs w:val="16"/>
                <w:lang w:eastAsia="en-US"/>
              </w:rPr>
              <w:t>Paroxysmal nocturnal haemoglobinuria (PNH)</w:t>
            </w:r>
            <w:r w:rsidRPr="00B367C3">
              <w:rPr>
                <w:rFonts w:eastAsiaTheme="minorHAnsi"/>
                <w:szCs w:val="16"/>
                <w:lang w:eastAsia="en-US"/>
              </w:rPr>
              <w:br/>
              <w:t>First Continuing Treatment</w:t>
            </w:r>
            <w:r w:rsidRPr="00B367C3">
              <w:rPr>
                <w:rFonts w:eastAsiaTheme="minorHAnsi"/>
                <w:szCs w:val="16"/>
                <w:lang w:eastAsia="en-US"/>
              </w:rPr>
              <w:br/>
              <w:t>Patient must have received PBS-subsidised treatment with this drug for this condition under an 'Initial', 'Balance of Supply', or 'Grandfather' treatment criteria; AND</w:t>
            </w:r>
            <w:r w:rsidRPr="00B367C3">
              <w:rPr>
                <w:rFonts w:eastAsiaTheme="minorHAnsi"/>
                <w:szCs w:val="16"/>
                <w:lang w:eastAsia="en-US"/>
              </w:rPr>
              <w:br/>
              <w:t>The treatment must not be in combination with eculizumab.</w:t>
            </w:r>
            <w:r w:rsidRPr="00B367C3">
              <w:rPr>
                <w:rFonts w:eastAsiaTheme="minorHAnsi"/>
                <w:szCs w:val="16"/>
                <w:lang w:eastAsia="en-US"/>
              </w:rPr>
              <w:br/>
              <w:t>Must be treated by a haematologist; OR</w:t>
            </w:r>
            <w:r w:rsidRPr="00B367C3">
              <w:rPr>
                <w:rFonts w:eastAsiaTheme="minorHAnsi"/>
                <w:szCs w:val="16"/>
                <w:lang w:eastAsia="en-US"/>
              </w:rPr>
              <w:br/>
              <w:t>Must be treated by a non-specialist medical physician who has consulted a haematologist on the patient's drug treatment details.</w:t>
            </w:r>
            <w:r w:rsidRPr="00B367C3">
              <w:rPr>
                <w:rFonts w:eastAsiaTheme="minorHAnsi"/>
                <w:szCs w:val="16"/>
                <w:lang w:eastAsia="en-US"/>
              </w:rPr>
              <w:br/>
              <w:t>Patient must be aged 18 years or over.</w:t>
            </w:r>
            <w:r w:rsidRPr="00B367C3">
              <w:rPr>
                <w:rFonts w:eastAsiaTheme="minorHAnsi"/>
                <w:szCs w:val="16"/>
                <w:lang w:eastAsia="en-US"/>
              </w:rPr>
              <w:br/>
              <w:t>At the time of the authority application, medical practitioners should request the appropriate number of vials for a maintenance dose based on the patient's weight, as per the Product Information. A maximum of 2 repeats may be requested.</w:t>
            </w:r>
            <w:r w:rsidRPr="00B367C3">
              <w:rPr>
                <w:rFonts w:eastAsiaTheme="minorHAnsi"/>
                <w:szCs w:val="16"/>
                <w:lang w:eastAsia="en-US"/>
              </w:rPr>
              <w:br/>
              <w:t>At the time of the authority application, details (result and date of result) of the following monitoring requirements must be provided:</w:t>
            </w:r>
            <w:r w:rsidRPr="00B367C3">
              <w:rPr>
                <w:rFonts w:eastAsiaTheme="minorHAnsi"/>
                <w:szCs w:val="16"/>
                <w:lang w:eastAsia="en-US"/>
              </w:rPr>
              <w:br/>
              <w:t>(</w:t>
            </w:r>
            <w:proofErr w:type="spellStart"/>
            <w:r w:rsidRPr="00B367C3">
              <w:rPr>
                <w:rFonts w:eastAsiaTheme="minorHAnsi"/>
                <w:szCs w:val="16"/>
                <w:lang w:eastAsia="en-US"/>
              </w:rPr>
              <w:t>i</w:t>
            </w:r>
            <w:proofErr w:type="spellEnd"/>
            <w:r w:rsidRPr="00B367C3">
              <w:rPr>
                <w:rFonts w:eastAsiaTheme="minorHAnsi"/>
                <w:szCs w:val="16"/>
                <w:lang w:eastAsia="en-US"/>
              </w:rPr>
              <w:t>) Haemoglobin (g/L)</w:t>
            </w:r>
            <w:r w:rsidRPr="00B367C3">
              <w:rPr>
                <w:rFonts w:eastAsiaTheme="minorHAnsi"/>
                <w:szCs w:val="16"/>
                <w:lang w:eastAsia="en-US"/>
              </w:rPr>
              <w:br/>
              <w:t>(ii) Platelets (x109/L)</w:t>
            </w:r>
            <w:r w:rsidRPr="00B367C3">
              <w:rPr>
                <w:rFonts w:eastAsiaTheme="minorHAnsi"/>
                <w:szCs w:val="16"/>
                <w:lang w:eastAsia="en-US"/>
              </w:rPr>
              <w:br/>
              <w:t>(iii) White Cell Count (x109/L)</w:t>
            </w:r>
            <w:r w:rsidRPr="00B367C3">
              <w:rPr>
                <w:rFonts w:eastAsiaTheme="minorHAnsi"/>
                <w:szCs w:val="16"/>
                <w:lang w:eastAsia="en-US"/>
              </w:rPr>
              <w:br/>
            </w:r>
            <w:r w:rsidRPr="00B367C3">
              <w:rPr>
                <w:rFonts w:eastAsiaTheme="minorHAnsi"/>
                <w:szCs w:val="16"/>
                <w:lang w:eastAsia="en-US"/>
              </w:rPr>
              <w:lastRenderedPageBreak/>
              <w:t>(iv) Reticulocytes (x109/L)</w:t>
            </w:r>
            <w:r w:rsidRPr="00B367C3">
              <w:rPr>
                <w:rFonts w:eastAsiaTheme="minorHAnsi"/>
                <w:szCs w:val="16"/>
                <w:lang w:eastAsia="en-US"/>
              </w:rPr>
              <w:br/>
              <w:t>(v) Neutrophils (x109/L)</w:t>
            </w:r>
            <w:r w:rsidRPr="00B367C3">
              <w:rPr>
                <w:rFonts w:eastAsiaTheme="minorHAnsi"/>
                <w:szCs w:val="16"/>
                <w:lang w:eastAsia="en-US"/>
              </w:rPr>
              <w:br/>
              <w:t>(vi) Granulocyte clone size (%)</w:t>
            </w:r>
            <w:r w:rsidRPr="00B367C3">
              <w:rPr>
                <w:rFonts w:eastAsiaTheme="minorHAnsi"/>
                <w:szCs w:val="16"/>
                <w:lang w:eastAsia="en-US"/>
              </w:rPr>
              <w:br/>
              <w:t>(vii) Lactate Dehydrogenase (LDH) and the upper limit of normal (ULN) for the reporting laboratory</w:t>
            </w:r>
            <w:r w:rsidRPr="00B367C3">
              <w:rPr>
                <w:rFonts w:eastAsiaTheme="minorHAnsi"/>
                <w:szCs w:val="16"/>
                <w:lang w:eastAsia="en-US"/>
              </w:rPr>
              <w:br/>
            </w:r>
            <w:r w:rsidRPr="00B367C3">
              <w:rPr>
                <w:szCs w:val="16"/>
              </w:rPr>
              <w:t>(viii) Multiple of LDH , ULN</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0985CC32" w14:textId="3C0C7DC6"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rPr>
              <w:lastRenderedPageBreak/>
              <w:t>Compliance with Written Authority Required procedures</w:t>
            </w:r>
          </w:p>
        </w:tc>
      </w:tr>
    </w:tbl>
    <w:p w14:paraId="4B1A37CB" w14:textId="12B74C81" w:rsidR="00853FAE" w:rsidRPr="00B367C3" w:rsidRDefault="00853FAE" w:rsidP="00853FAE">
      <w:pPr>
        <w:pStyle w:val="Amendment1"/>
        <w:numPr>
          <w:ilvl w:val="0"/>
          <w:numId w:val="47"/>
        </w:numPr>
        <w:spacing w:before="60" w:after="60" w:line="260" w:lineRule="exact"/>
        <w:ind w:left="1134" w:hanging="567"/>
        <w:rPr>
          <w:b w:val="0"/>
          <w:bCs w:val="0"/>
        </w:rPr>
      </w:pPr>
      <w:r w:rsidRPr="00B367C3">
        <w:rPr>
          <w:rFonts w:ascii="Times New Roman" w:hAnsi="Times New Roman" w:cs="Times New Roman"/>
          <w:b w:val="0"/>
          <w:bCs w:val="0"/>
          <w:i/>
          <w:iCs/>
        </w:rPr>
        <w:t>omit: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853FAE" w:rsidRPr="00B367C3" w14:paraId="67344709" w14:textId="77777777" w:rsidTr="00852E90">
        <w:tc>
          <w:tcPr>
            <w:tcW w:w="1701" w:type="dxa"/>
            <w:tcBorders>
              <w:top w:val="single" w:sz="4" w:space="0" w:color="auto"/>
              <w:left w:val="single" w:sz="4" w:space="0" w:color="auto"/>
              <w:bottom w:val="single" w:sz="4" w:space="0" w:color="auto"/>
              <w:right w:val="single" w:sz="4" w:space="0" w:color="auto"/>
            </w:tcBorders>
          </w:tcPr>
          <w:p w14:paraId="728188C2" w14:textId="77777777"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6E687847" w14:textId="6195D256"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6"/>
              </w:rPr>
              <w:t>C12575</w:t>
            </w:r>
          </w:p>
        </w:tc>
        <w:tc>
          <w:tcPr>
            <w:tcW w:w="850" w:type="dxa"/>
            <w:tcBorders>
              <w:top w:val="single" w:sz="4" w:space="0" w:color="auto"/>
              <w:left w:val="single" w:sz="4" w:space="0" w:color="auto"/>
              <w:bottom w:val="single" w:sz="4" w:space="0" w:color="auto"/>
              <w:right w:val="single" w:sz="4" w:space="0" w:color="auto"/>
            </w:tcBorders>
          </w:tcPr>
          <w:p w14:paraId="38DB3B19" w14:textId="239CEA72" w:rsidR="00853FAE" w:rsidRPr="00B367C3" w:rsidRDefault="008A058C" w:rsidP="00853FAE">
            <w:pPr>
              <w:widowControl w:val="0"/>
              <w:spacing w:before="60" w:after="60" w:line="240" w:lineRule="auto"/>
              <w:rPr>
                <w:rFonts w:ascii="Arial" w:eastAsia="Times New Roman" w:hAnsi="Arial" w:cs="Arial"/>
                <w:sz w:val="16"/>
                <w:szCs w:val="16"/>
                <w:lang w:eastAsia="en-AU"/>
              </w:rPr>
            </w:pPr>
            <w:r w:rsidRPr="00B367C3">
              <w:rPr>
                <w:rFonts w:ascii="Arial" w:eastAsia="Times New Roman" w:hAnsi="Arial" w:cs="Arial"/>
                <w:sz w:val="16"/>
                <w:szCs w:val="16"/>
                <w:lang w:eastAsia="en-AU"/>
              </w:rPr>
              <w:t>P12575</w:t>
            </w:r>
          </w:p>
        </w:tc>
        <w:tc>
          <w:tcPr>
            <w:tcW w:w="7936" w:type="dxa"/>
            <w:tcBorders>
              <w:top w:val="single" w:sz="4" w:space="0" w:color="auto"/>
              <w:left w:val="single" w:sz="4" w:space="0" w:color="auto"/>
              <w:bottom w:val="single" w:sz="4" w:space="0" w:color="auto"/>
              <w:right w:val="single" w:sz="4" w:space="0" w:color="auto"/>
            </w:tcBorders>
          </w:tcPr>
          <w:p w14:paraId="4D76F8EF" w14:textId="2C02F2F3" w:rsidR="00853FAE" w:rsidRPr="00B367C3" w:rsidRDefault="00853FAE" w:rsidP="00853FAE">
            <w:pPr>
              <w:pStyle w:val="mps3-data"/>
              <w:rPr>
                <w:b/>
                <w:bCs/>
              </w:rPr>
            </w:pPr>
            <w:r w:rsidRPr="00B367C3">
              <w:rPr>
                <w:rFonts w:eastAsiaTheme="minorHAnsi"/>
                <w:szCs w:val="16"/>
                <w:lang w:eastAsia="en-US"/>
              </w:rPr>
              <w:t>Paroxysmal nocturnal haemoglobinuria (PNH)</w:t>
            </w:r>
            <w:r w:rsidRPr="00B367C3">
              <w:rPr>
                <w:rFonts w:eastAsiaTheme="minorHAnsi"/>
                <w:szCs w:val="16"/>
                <w:lang w:eastAsia="en-US"/>
              </w:rPr>
              <w:br/>
              <w:t>Subsequent Continuing Treatment</w:t>
            </w:r>
            <w:r w:rsidRPr="00B367C3">
              <w:rPr>
                <w:rFonts w:eastAsiaTheme="minorHAnsi"/>
                <w:szCs w:val="16"/>
                <w:lang w:eastAsia="en-US"/>
              </w:rPr>
              <w:br/>
              <w:t>Patient must have previously received PBS-subsidised treatment with this drug for this condition under the 'First Continuing Treatment' or 'Switch' criteria; AND</w:t>
            </w:r>
            <w:r w:rsidRPr="00B367C3">
              <w:rPr>
                <w:rFonts w:eastAsiaTheme="minorHAnsi"/>
                <w:szCs w:val="16"/>
                <w:lang w:eastAsia="en-US"/>
              </w:rPr>
              <w:br/>
              <w:t>Patient must have demonstrated clinical improvement or stabilisation of condition; AND</w:t>
            </w:r>
            <w:r w:rsidRPr="00B367C3">
              <w:rPr>
                <w:rFonts w:eastAsiaTheme="minorHAnsi"/>
                <w:szCs w:val="16"/>
                <w:lang w:eastAsia="en-US"/>
              </w:rPr>
              <w:br/>
              <w:t>The treatment must not be in combination with eculizumab.</w:t>
            </w:r>
            <w:r w:rsidRPr="00B367C3">
              <w:rPr>
                <w:rFonts w:eastAsiaTheme="minorHAnsi"/>
                <w:szCs w:val="16"/>
                <w:lang w:eastAsia="en-US"/>
              </w:rPr>
              <w:br/>
              <w:t>Must be treated by a haematologist; OR</w:t>
            </w:r>
            <w:r w:rsidRPr="00B367C3">
              <w:rPr>
                <w:rFonts w:eastAsiaTheme="minorHAnsi"/>
                <w:szCs w:val="16"/>
                <w:lang w:eastAsia="en-US"/>
              </w:rPr>
              <w:br/>
              <w:t>Must be treated by a non-specialist medical physician who has consulted a haematologist on the patient's drug treatment details.</w:t>
            </w:r>
            <w:r w:rsidRPr="00B367C3">
              <w:rPr>
                <w:rFonts w:eastAsiaTheme="minorHAnsi"/>
                <w:szCs w:val="16"/>
                <w:lang w:eastAsia="en-US"/>
              </w:rPr>
              <w:br/>
              <w:t>Patient must be aged 18 years or over.</w:t>
            </w:r>
            <w:r w:rsidRPr="00B367C3">
              <w:rPr>
                <w:rFonts w:eastAsiaTheme="minorHAnsi"/>
                <w:szCs w:val="16"/>
                <w:lang w:eastAsia="en-US"/>
              </w:rPr>
              <w:br/>
            </w:r>
            <w:r w:rsidRPr="00B367C3">
              <w:rPr>
                <w:szCs w:val="16"/>
              </w:rPr>
              <w:t>At the time of the authority application, medical practitioners should request the appropriate number of vials for a maintenance dose based on the patient's weight, as per the Product Information. A maximum of 2 repeats may be requested.</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6838D445" w14:textId="1094B05E"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rPr>
              <w:t>Compliance with Written Authority Required procedures</w:t>
            </w:r>
          </w:p>
        </w:tc>
      </w:tr>
    </w:tbl>
    <w:p w14:paraId="2A7BC925" w14:textId="77777777" w:rsidR="00853FAE" w:rsidRPr="00B367C3" w:rsidRDefault="00853FAE" w:rsidP="00853FAE">
      <w:pPr>
        <w:pStyle w:val="Amendment1"/>
        <w:numPr>
          <w:ilvl w:val="0"/>
          <w:numId w:val="47"/>
        </w:numPr>
        <w:spacing w:before="60" w:after="60" w:line="260" w:lineRule="exact"/>
        <w:ind w:left="1134" w:hanging="567"/>
        <w:rPr>
          <w:rFonts w:ascii="Times New Roman" w:hAnsi="Times New Roman" w:cs="Times New Roman"/>
          <w:b w:val="0"/>
          <w:bCs w:val="0"/>
          <w:i/>
          <w:iCs/>
        </w:rPr>
      </w:pPr>
      <w:r w:rsidRPr="00B367C3">
        <w:rPr>
          <w:rFonts w:ascii="Times New Roman" w:hAnsi="Times New Roman" w:cs="Times New Roman"/>
          <w:b w:val="0"/>
          <w:bCs w:val="0"/>
          <w:i/>
          <w:iCs/>
        </w:rPr>
        <w:t>insert in numerical order after existing text: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853FAE" w:rsidRPr="00B367C3" w14:paraId="365D30FB" w14:textId="77777777" w:rsidTr="00852E90">
        <w:tc>
          <w:tcPr>
            <w:tcW w:w="1701" w:type="dxa"/>
            <w:tcBorders>
              <w:top w:val="single" w:sz="4" w:space="0" w:color="auto"/>
              <w:left w:val="single" w:sz="4" w:space="0" w:color="auto"/>
              <w:bottom w:val="single" w:sz="4" w:space="0" w:color="auto"/>
              <w:right w:val="single" w:sz="4" w:space="0" w:color="auto"/>
            </w:tcBorders>
          </w:tcPr>
          <w:p w14:paraId="2A1D1336" w14:textId="77777777"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3876CB32" w14:textId="70FF95B7"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eastAsia="SimSun" w:hAnsi="Arial" w:cs="Arial"/>
                <w:sz w:val="16"/>
                <w:szCs w:val="16"/>
                <w:lang w:eastAsia="zh-CN"/>
              </w:rPr>
              <w:t>C12593</w:t>
            </w:r>
          </w:p>
        </w:tc>
        <w:tc>
          <w:tcPr>
            <w:tcW w:w="850" w:type="dxa"/>
            <w:tcBorders>
              <w:top w:val="single" w:sz="4" w:space="0" w:color="auto"/>
              <w:left w:val="single" w:sz="4" w:space="0" w:color="auto"/>
              <w:bottom w:val="single" w:sz="4" w:space="0" w:color="auto"/>
              <w:right w:val="single" w:sz="4" w:space="0" w:color="auto"/>
            </w:tcBorders>
          </w:tcPr>
          <w:p w14:paraId="405E0911"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728EAB16" w14:textId="52762F86" w:rsidR="00853FAE" w:rsidRPr="00B367C3" w:rsidRDefault="00853FAE" w:rsidP="00853FAE">
            <w:pPr>
              <w:pStyle w:val="mps3-data"/>
              <w:rPr>
                <w:b/>
                <w:bCs/>
              </w:rPr>
            </w:pPr>
            <w:r w:rsidRPr="00B367C3">
              <w:rPr>
                <w:szCs w:val="16"/>
                <w:lang w:val="en-US"/>
              </w:rPr>
              <w:t xml:space="preserve">Paroxysmal nocturnal </w:t>
            </w:r>
            <w:proofErr w:type="spellStart"/>
            <w:r w:rsidRPr="00B367C3">
              <w:rPr>
                <w:szCs w:val="16"/>
                <w:lang w:val="en-US"/>
              </w:rPr>
              <w:t>haemoglobinuria</w:t>
            </w:r>
            <w:proofErr w:type="spellEnd"/>
            <w:r w:rsidRPr="00B367C3">
              <w:rPr>
                <w:szCs w:val="16"/>
                <w:lang w:val="en-US"/>
              </w:rPr>
              <w:t xml:space="preserve"> (PNH)</w:t>
            </w:r>
            <w:r w:rsidRPr="00B367C3">
              <w:rPr>
                <w:szCs w:val="16"/>
                <w:lang w:val="en-US"/>
              </w:rPr>
              <w:br/>
              <w:t>First Continuing Treatment</w:t>
            </w:r>
            <w:r w:rsidRPr="00B367C3">
              <w:rPr>
                <w:szCs w:val="16"/>
                <w:lang w:val="en-US"/>
              </w:rPr>
              <w:br/>
              <w:t>Patient must have received PBS-</w:t>
            </w:r>
            <w:proofErr w:type="spellStart"/>
            <w:r w:rsidRPr="00B367C3">
              <w:rPr>
                <w:szCs w:val="16"/>
                <w:lang w:val="en-US"/>
              </w:rPr>
              <w:t>subsidised</w:t>
            </w:r>
            <w:proofErr w:type="spellEnd"/>
            <w:r w:rsidRPr="00B367C3">
              <w:rPr>
                <w:szCs w:val="16"/>
                <w:lang w:val="en-US"/>
              </w:rPr>
              <w:t xml:space="preserve"> treatment with this drug for this condition under an 'Initial' or 'Grandfather' treatment criteria; AND</w:t>
            </w:r>
            <w:r w:rsidRPr="00B367C3">
              <w:rPr>
                <w:szCs w:val="16"/>
                <w:lang w:val="en-US"/>
              </w:rPr>
              <w:br/>
              <w:t>The treatment must not be in combination with eculizumab.</w:t>
            </w:r>
            <w:r w:rsidRPr="00B367C3">
              <w:rPr>
                <w:szCs w:val="16"/>
                <w:lang w:val="en-US"/>
              </w:rPr>
              <w:br/>
              <w:t xml:space="preserve">Must be treated by a </w:t>
            </w:r>
            <w:proofErr w:type="spellStart"/>
            <w:r w:rsidRPr="00B367C3">
              <w:rPr>
                <w:szCs w:val="16"/>
                <w:lang w:val="en-US"/>
              </w:rPr>
              <w:t>haematologist</w:t>
            </w:r>
            <w:proofErr w:type="spellEnd"/>
            <w:r w:rsidRPr="00B367C3">
              <w:rPr>
                <w:szCs w:val="16"/>
                <w:lang w:val="en-US"/>
              </w:rPr>
              <w:t>; OR</w:t>
            </w:r>
            <w:r w:rsidRPr="00B367C3">
              <w:rPr>
                <w:szCs w:val="16"/>
                <w:lang w:val="en-US"/>
              </w:rPr>
              <w:br/>
              <w:t xml:space="preserve">Must be treated by a non-specialist medical physician who has consulted a </w:t>
            </w:r>
            <w:proofErr w:type="spellStart"/>
            <w:r w:rsidRPr="00B367C3">
              <w:rPr>
                <w:szCs w:val="16"/>
                <w:lang w:val="en-US"/>
              </w:rPr>
              <w:t>haematologist</w:t>
            </w:r>
            <w:proofErr w:type="spellEnd"/>
            <w:r w:rsidRPr="00B367C3">
              <w:rPr>
                <w:szCs w:val="16"/>
                <w:lang w:val="en-US"/>
              </w:rPr>
              <w:t xml:space="preserve"> on the patient's drug treatment details.</w:t>
            </w:r>
            <w:r w:rsidRPr="00B367C3">
              <w:rPr>
                <w:szCs w:val="16"/>
                <w:lang w:val="en-US"/>
              </w:rPr>
              <w:br/>
              <w:t>Patient must be aged 18 years or over.</w:t>
            </w:r>
            <w:r w:rsidRPr="00B367C3">
              <w:rPr>
                <w:szCs w:val="16"/>
                <w:lang w:val="en-US"/>
              </w:rPr>
              <w:br/>
              <w:t>At the time of the authority application, medical practitioners should request the appropriate number of vials for a maintenance dose based on the patient's weight, as per the Product Information. A maximum of 2 repeats may be requested.</w:t>
            </w:r>
            <w:r w:rsidRPr="00B367C3">
              <w:rPr>
                <w:szCs w:val="16"/>
                <w:lang w:val="en-US"/>
              </w:rPr>
              <w:br/>
              <w:t>At the time of the authority application, details (result and date of result) of the following monitoring requirements must be provided:</w:t>
            </w:r>
            <w:r w:rsidRPr="00B367C3">
              <w:rPr>
                <w:szCs w:val="16"/>
                <w:lang w:val="en-US"/>
              </w:rPr>
              <w:br/>
              <w:t>(</w:t>
            </w:r>
            <w:proofErr w:type="spellStart"/>
            <w:r w:rsidRPr="00B367C3">
              <w:rPr>
                <w:szCs w:val="16"/>
                <w:lang w:val="en-US"/>
              </w:rPr>
              <w:t>i</w:t>
            </w:r>
            <w:proofErr w:type="spellEnd"/>
            <w:r w:rsidRPr="00B367C3">
              <w:rPr>
                <w:szCs w:val="16"/>
                <w:lang w:val="en-US"/>
              </w:rPr>
              <w:t xml:space="preserve">) </w:t>
            </w:r>
            <w:proofErr w:type="spellStart"/>
            <w:r w:rsidRPr="00B367C3">
              <w:rPr>
                <w:szCs w:val="16"/>
                <w:lang w:val="en-US"/>
              </w:rPr>
              <w:t>Haemoglobin</w:t>
            </w:r>
            <w:proofErr w:type="spellEnd"/>
            <w:r w:rsidRPr="00B367C3">
              <w:rPr>
                <w:szCs w:val="16"/>
                <w:lang w:val="en-US"/>
              </w:rPr>
              <w:t xml:space="preserve"> (g/L)</w:t>
            </w:r>
            <w:r w:rsidRPr="00B367C3">
              <w:rPr>
                <w:szCs w:val="16"/>
                <w:lang w:val="en-US"/>
              </w:rPr>
              <w:br/>
              <w:t>(ii) Platelets (x10</w:t>
            </w:r>
            <w:r w:rsidRPr="00B367C3">
              <w:rPr>
                <w:szCs w:val="16"/>
                <w:vertAlign w:val="superscript"/>
                <w:lang w:val="en-US"/>
              </w:rPr>
              <w:t>9</w:t>
            </w:r>
            <w:r w:rsidRPr="00B367C3">
              <w:rPr>
                <w:szCs w:val="16"/>
                <w:lang w:val="en-US"/>
              </w:rPr>
              <w:t>/L)</w:t>
            </w:r>
            <w:r w:rsidRPr="00B367C3">
              <w:rPr>
                <w:szCs w:val="16"/>
                <w:lang w:val="en-US"/>
              </w:rPr>
              <w:br/>
              <w:t>(iii) White Cell Count (x10</w:t>
            </w:r>
            <w:r w:rsidRPr="00B367C3">
              <w:rPr>
                <w:szCs w:val="16"/>
                <w:vertAlign w:val="superscript"/>
                <w:lang w:val="en-US"/>
              </w:rPr>
              <w:t>9</w:t>
            </w:r>
            <w:r w:rsidRPr="00B367C3">
              <w:rPr>
                <w:szCs w:val="16"/>
                <w:lang w:val="en-US"/>
              </w:rPr>
              <w:t>/L)</w:t>
            </w:r>
            <w:r w:rsidRPr="00B367C3">
              <w:rPr>
                <w:szCs w:val="16"/>
                <w:lang w:val="en-US"/>
              </w:rPr>
              <w:br/>
              <w:t>(iv) Reticulocytes (x10</w:t>
            </w:r>
            <w:r w:rsidRPr="00B367C3">
              <w:rPr>
                <w:szCs w:val="16"/>
                <w:vertAlign w:val="superscript"/>
                <w:lang w:val="en-US"/>
              </w:rPr>
              <w:t>9</w:t>
            </w:r>
            <w:r w:rsidRPr="00B367C3">
              <w:rPr>
                <w:szCs w:val="16"/>
                <w:lang w:val="en-US"/>
              </w:rPr>
              <w:t>/L)</w:t>
            </w:r>
            <w:r w:rsidRPr="00B367C3">
              <w:rPr>
                <w:szCs w:val="16"/>
                <w:lang w:val="en-US"/>
              </w:rPr>
              <w:br/>
              <w:t>(v) Neutrophils (x10</w:t>
            </w:r>
            <w:r w:rsidRPr="00B367C3">
              <w:rPr>
                <w:szCs w:val="16"/>
                <w:vertAlign w:val="superscript"/>
                <w:lang w:val="en-US"/>
              </w:rPr>
              <w:t>9</w:t>
            </w:r>
            <w:r w:rsidRPr="00B367C3">
              <w:rPr>
                <w:szCs w:val="16"/>
                <w:lang w:val="en-US"/>
              </w:rPr>
              <w:t>/L)</w:t>
            </w:r>
            <w:r w:rsidRPr="00B367C3">
              <w:rPr>
                <w:szCs w:val="16"/>
                <w:lang w:val="en-US"/>
              </w:rPr>
              <w:br/>
              <w:t>(vi) Granulocyte clone size (%)</w:t>
            </w:r>
            <w:r w:rsidRPr="00B367C3">
              <w:rPr>
                <w:szCs w:val="16"/>
                <w:lang w:val="en-US"/>
              </w:rPr>
              <w:br/>
            </w:r>
            <w:r w:rsidRPr="00B367C3">
              <w:rPr>
                <w:szCs w:val="16"/>
                <w:lang w:val="en-US"/>
              </w:rPr>
              <w:lastRenderedPageBreak/>
              <w:t>(vii) Lactate Dehydrogenase (LDH) and the upper limit of normal (ULN) for the reporting laboratory</w:t>
            </w:r>
            <w:r w:rsidRPr="00B367C3">
              <w:rPr>
                <w:szCs w:val="16"/>
                <w:lang w:val="en-US"/>
              </w:rPr>
              <w:br/>
              <w:t>(viii) Multiple of LDH , ULN</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664669FE" w14:textId="3BBED5C4"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Written Authority Required procedures</w:t>
            </w:r>
          </w:p>
        </w:tc>
      </w:tr>
      <w:tr w:rsidR="00853FAE" w:rsidRPr="00B367C3" w14:paraId="293123AD" w14:textId="77777777" w:rsidTr="00852E90">
        <w:tc>
          <w:tcPr>
            <w:tcW w:w="1701" w:type="dxa"/>
            <w:tcBorders>
              <w:top w:val="single" w:sz="4" w:space="0" w:color="auto"/>
              <w:left w:val="single" w:sz="4" w:space="0" w:color="auto"/>
              <w:bottom w:val="single" w:sz="4" w:space="0" w:color="auto"/>
              <w:right w:val="single" w:sz="4" w:space="0" w:color="auto"/>
            </w:tcBorders>
          </w:tcPr>
          <w:p w14:paraId="79065656" w14:textId="77777777"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032B1E87" w14:textId="231BA5F6"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eastAsia="SimSun" w:hAnsi="Arial" w:cs="Arial"/>
                <w:sz w:val="16"/>
                <w:szCs w:val="16"/>
                <w:lang w:eastAsia="zh-CN"/>
              </w:rPr>
              <w:t>C12605</w:t>
            </w:r>
          </w:p>
        </w:tc>
        <w:tc>
          <w:tcPr>
            <w:tcW w:w="850" w:type="dxa"/>
            <w:tcBorders>
              <w:top w:val="single" w:sz="4" w:space="0" w:color="auto"/>
              <w:left w:val="single" w:sz="4" w:space="0" w:color="auto"/>
              <w:bottom w:val="single" w:sz="4" w:space="0" w:color="auto"/>
              <w:right w:val="single" w:sz="4" w:space="0" w:color="auto"/>
            </w:tcBorders>
          </w:tcPr>
          <w:p w14:paraId="283EC922"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0BB6D7A7" w14:textId="6784CC89" w:rsidR="00853FAE" w:rsidRPr="00B367C3" w:rsidRDefault="00853FAE" w:rsidP="00853FAE">
            <w:pPr>
              <w:pStyle w:val="mps3-data"/>
              <w:rPr>
                <w:b/>
                <w:bCs/>
              </w:rPr>
            </w:pPr>
            <w:r w:rsidRPr="00B367C3">
              <w:rPr>
                <w:szCs w:val="16"/>
                <w:lang w:val="en-US"/>
              </w:rPr>
              <w:t xml:space="preserve">Paroxysmal nocturnal </w:t>
            </w:r>
            <w:proofErr w:type="spellStart"/>
            <w:r w:rsidRPr="00B367C3">
              <w:rPr>
                <w:szCs w:val="16"/>
                <w:lang w:val="en-US"/>
              </w:rPr>
              <w:t>haemoglobinuria</w:t>
            </w:r>
            <w:proofErr w:type="spellEnd"/>
            <w:r w:rsidRPr="00B367C3">
              <w:rPr>
                <w:szCs w:val="16"/>
                <w:lang w:val="en-US"/>
              </w:rPr>
              <w:t xml:space="preserve"> (PNH)</w:t>
            </w:r>
            <w:r w:rsidRPr="00B367C3">
              <w:rPr>
                <w:szCs w:val="16"/>
                <w:lang w:val="en-US"/>
              </w:rPr>
              <w:br/>
              <w:t>Subsequent Continuing Treatment</w:t>
            </w:r>
            <w:r w:rsidRPr="00B367C3">
              <w:rPr>
                <w:szCs w:val="16"/>
                <w:lang w:val="en-US"/>
              </w:rPr>
              <w:b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under the 'First Continuing Treatment' or 'Return' criteria; AND</w:t>
            </w:r>
            <w:r w:rsidRPr="00B367C3">
              <w:rPr>
                <w:szCs w:val="16"/>
                <w:lang w:val="en-US"/>
              </w:rPr>
              <w:br/>
              <w:t xml:space="preserve">Patient must have demonstrated clinical improvement or </w:t>
            </w:r>
            <w:proofErr w:type="spellStart"/>
            <w:r w:rsidRPr="00B367C3">
              <w:rPr>
                <w:szCs w:val="16"/>
                <w:lang w:val="en-US"/>
              </w:rPr>
              <w:t>stabilisation</w:t>
            </w:r>
            <w:proofErr w:type="spellEnd"/>
            <w:r w:rsidRPr="00B367C3">
              <w:rPr>
                <w:szCs w:val="16"/>
                <w:lang w:val="en-US"/>
              </w:rPr>
              <w:t xml:space="preserve"> of condition; AND</w:t>
            </w:r>
            <w:r w:rsidRPr="00B367C3">
              <w:rPr>
                <w:szCs w:val="16"/>
                <w:lang w:val="en-US"/>
              </w:rPr>
              <w:br/>
              <w:t>The treatment must not be in combination with eculizumab.</w:t>
            </w:r>
            <w:r w:rsidRPr="00B367C3">
              <w:rPr>
                <w:szCs w:val="16"/>
                <w:lang w:val="en-US"/>
              </w:rPr>
              <w:br/>
              <w:t xml:space="preserve">Must be treated by a </w:t>
            </w:r>
            <w:proofErr w:type="spellStart"/>
            <w:r w:rsidRPr="00B367C3">
              <w:rPr>
                <w:szCs w:val="16"/>
                <w:lang w:val="en-US"/>
              </w:rPr>
              <w:t>haematologist</w:t>
            </w:r>
            <w:proofErr w:type="spellEnd"/>
            <w:r w:rsidRPr="00B367C3">
              <w:rPr>
                <w:szCs w:val="16"/>
                <w:lang w:val="en-US"/>
              </w:rPr>
              <w:t>; OR</w:t>
            </w:r>
            <w:r w:rsidRPr="00B367C3">
              <w:rPr>
                <w:szCs w:val="16"/>
                <w:lang w:val="en-US"/>
              </w:rPr>
              <w:br/>
              <w:t xml:space="preserve">Must be treated by a non-specialist medical physician who has consulted a </w:t>
            </w:r>
            <w:proofErr w:type="spellStart"/>
            <w:r w:rsidRPr="00B367C3">
              <w:rPr>
                <w:szCs w:val="16"/>
                <w:lang w:val="en-US"/>
              </w:rPr>
              <w:t>haematologist</w:t>
            </w:r>
            <w:proofErr w:type="spellEnd"/>
            <w:r w:rsidRPr="00B367C3">
              <w:rPr>
                <w:szCs w:val="16"/>
                <w:lang w:val="en-US"/>
              </w:rPr>
              <w:t xml:space="preserve"> on the patient's drug treatment details.</w:t>
            </w:r>
            <w:r w:rsidRPr="00B367C3">
              <w:rPr>
                <w:szCs w:val="16"/>
                <w:lang w:val="en-US"/>
              </w:rPr>
              <w:br/>
              <w:t>Patient must be aged 18 years or over.</w:t>
            </w:r>
            <w:r w:rsidRPr="00B367C3">
              <w:rPr>
                <w:szCs w:val="16"/>
                <w:lang w:val="en-US"/>
              </w:rPr>
              <w:br/>
              <w:t>At the time of the authority application, medical practitioners should request the appropriate number of vials for a maintenance dose based on the patient's weight, as per the Product Information. A maximum of 2 repeats may be requested.</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007BD1ED" w14:textId="6CA1258E"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t>Compliance with Written Authority Required procedures</w:t>
            </w:r>
          </w:p>
        </w:tc>
      </w:tr>
    </w:tbl>
    <w:p w14:paraId="31A9F85F" w14:textId="46179BA1" w:rsidR="00853FAE" w:rsidRPr="00B367C3" w:rsidRDefault="00853FAE" w:rsidP="00853FAE">
      <w:pPr>
        <w:pStyle w:val="Amendment1"/>
        <w:numPr>
          <w:ilvl w:val="0"/>
          <w:numId w:val="31"/>
        </w:numPr>
        <w:ind w:left="567" w:hanging="567"/>
        <w:rPr>
          <w:bCs w:val="0"/>
          <w:iCs/>
        </w:rPr>
      </w:pPr>
      <w:r w:rsidRPr="00B367C3">
        <w:t>Schedule</w:t>
      </w:r>
      <w:r w:rsidRPr="00B367C3">
        <w:rPr>
          <w:bCs w:val="0"/>
          <w:iCs/>
        </w:rPr>
        <w:t xml:space="preserve"> 3, after entry for </w:t>
      </w:r>
      <w:r w:rsidRPr="00B367C3">
        <w:rPr>
          <w:rFonts w:eastAsia="SimSun"/>
          <w:lang w:eastAsia="zh-CN"/>
        </w:rPr>
        <w:t>Sildenafil</w:t>
      </w:r>
    </w:p>
    <w:p w14:paraId="60AA1360" w14:textId="076F8FCA" w:rsidR="00853FAE" w:rsidRPr="00B367C3" w:rsidRDefault="00853FAE" w:rsidP="00853FAE">
      <w:pPr>
        <w:pStyle w:val="Amendment1"/>
        <w:tabs>
          <w:tab w:val="clear" w:pos="794"/>
        </w:tabs>
        <w:spacing w:before="60" w:after="60" w:line="260" w:lineRule="exact"/>
        <w:ind w:hanging="227"/>
        <w:rPr>
          <w:rFonts w:ascii="Times New Roman" w:hAnsi="Times New Roman" w:cs="Times New Roman"/>
          <w:b w:val="0"/>
          <w:bCs w:val="0"/>
          <w:i/>
          <w:iCs/>
        </w:rPr>
      </w:pPr>
      <w:r w:rsidRPr="00B367C3">
        <w:rPr>
          <w:rFonts w:ascii="Times New Roman" w:hAnsi="Times New Roman" w:cs="Times New Roman"/>
          <w:b w:val="0"/>
          <w:bCs w:val="0"/>
          <w:i/>
          <w:iCs/>
        </w:rPr>
        <w:t>insert:</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853FAE" w:rsidRPr="00B367C3" w14:paraId="70077F15" w14:textId="77777777" w:rsidTr="00852E90">
        <w:tc>
          <w:tcPr>
            <w:tcW w:w="1701" w:type="dxa"/>
            <w:tcBorders>
              <w:top w:val="single" w:sz="4" w:space="0" w:color="auto"/>
              <w:left w:val="single" w:sz="4" w:space="0" w:color="auto"/>
              <w:bottom w:val="single" w:sz="4" w:space="0" w:color="auto"/>
              <w:right w:val="single" w:sz="4" w:space="0" w:color="auto"/>
            </w:tcBorders>
          </w:tcPr>
          <w:p w14:paraId="5E7028F3" w14:textId="1AFC610D" w:rsidR="00853FAE" w:rsidRPr="00B367C3" w:rsidRDefault="00853FAE" w:rsidP="00853FAE">
            <w:pPr>
              <w:pStyle w:val="Tabletext"/>
              <w:widowControl w:val="0"/>
              <w:spacing w:after="60" w:line="240" w:lineRule="auto"/>
              <w:rPr>
                <w:rFonts w:ascii="Arial" w:hAnsi="Arial" w:cs="Arial"/>
                <w:b/>
                <w:bCs/>
                <w:sz w:val="16"/>
                <w:szCs w:val="16"/>
                <w:lang w:eastAsia="en-US"/>
              </w:rPr>
            </w:pPr>
            <w:proofErr w:type="spellStart"/>
            <w:r w:rsidRPr="00B367C3">
              <w:rPr>
                <w:rFonts w:ascii="Arial" w:hAnsi="Arial" w:cs="Arial"/>
                <w:sz w:val="16"/>
                <w:szCs w:val="16"/>
                <w:lang w:val="en-US"/>
              </w:rPr>
              <w:t>Siltuximab</w:t>
            </w:r>
            <w:proofErr w:type="spellEnd"/>
          </w:p>
        </w:tc>
        <w:tc>
          <w:tcPr>
            <w:tcW w:w="850" w:type="dxa"/>
            <w:tcBorders>
              <w:top w:val="single" w:sz="4" w:space="0" w:color="auto"/>
              <w:left w:val="single" w:sz="4" w:space="0" w:color="auto"/>
              <w:bottom w:val="single" w:sz="4" w:space="0" w:color="auto"/>
              <w:right w:val="single" w:sz="4" w:space="0" w:color="auto"/>
            </w:tcBorders>
          </w:tcPr>
          <w:p w14:paraId="0FDFCBE5" w14:textId="5F23F375"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6"/>
                <w:lang w:val="en-US"/>
              </w:rPr>
              <w:t>C12585</w:t>
            </w:r>
          </w:p>
        </w:tc>
        <w:tc>
          <w:tcPr>
            <w:tcW w:w="850" w:type="dxa"/>
            <w:tcBorders>
              <w:top w:val="single" w:sz="4" w:space="0" w:color="auto"/>
              <w:left w:val="single" w:sz="4" w:space="0" w:color="auto"/>
              <w:bottom w:val="single" w:sz="4" w:space="0" w:color="auto"/>
              <w:right w:val="single" w:sz="4" w:space="0" w:color="auto"/>
            </w:tcBorders>
          </w:tcPr>
          <w:p w14:paraId="179DCCF6"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1BCCB8C2" w14:textId="60895764" w:rsidR="00853FAE" w:rsidRPr="00B367C3" w:rsidRDefault="00853FAE" w:rsidP="00853FAE">
            <w:pPr>
              <w:pStyle w:val="mps3-data"/>
              <w:rPr>
                <w:b/>
                <w:bCs/>
              </w:rPr>
            </w:pPr>
            <w:r w:rsidRPr="00B367C3">
              <w:rPr>
                <w:szCs w:val="16"/>
                <w:lang w:val="en-US"/>
              </w:rPr>
              <w:t>Idiopathic multicentric Castleman disease (</w:t>
            </w:r>
            <w:proofErr w:type="spellStart"/>
            <w:r w:rsidRPr="00B367C3">
              <w:rPr>
                <w:szCs w:val="16"/>
                <w:lang w:val="en-US"/>
              </w:rPr>
              <w:t>iMCD</w:t>
            </w:r>
            <w:proofErr w:type="spellEnd"/>
            <w:r w:rsidRPr="00B367C3">
              <w:rPr>
                <w:szCs w:val="16"/>
                <w:lang w:val="en-US"/>
              </w:rPr>
              <w:t>)</w:t>
            </w:r>
            <w:r w:rsidRPr="00B367C3">
              <w:rPr>
                <w:szCs w:val="16"/>
                <w:lang w:val="en-US"/>
              </w:rPr>
              <w:br/>
              <w:t>Initial treatment</w:t>
            </w:r>
            <w:r w:rsidRPr="00B367C3">
              <w:rPr>
                <w:szCs w:val="16"/>
                <w:lang w:val="en-US"/>
              </w:rPr>
              <w:br/>
              <w:t xml:space="preserve">Patient must have a diagnosis of </w:t>
            </w:r>
            <w:proofErr w:type="spellStart"/>
            <w:r w:rsidRPr="00B367C3">
              <w:rPr>
                <w:szCs w:val="16"/>
                <w:lang w:val="en-US"/>
              </w:rPr>
              <w:t>iMCD</w:t>
            </w:r>
            <w:proofErr w:type="spellEnd"/>
            <w:r w:rsidRPr="00B367C3">
              <w:rPr>
                <w:szCs w:val="16"/>
                <w:lang w:val="en-US"/>
              </w:rPr>
              <w:t xml:space="preserve"> consistent with the latest international, evidence-based consensus diagnostic criteria for this condition with the relevant diagnostic findings documented in the patient's medical records; AND</w:t>
            </w:r>
            <w:r w:rsidRPr="00B367C3">
              <w:rPr>
                <w:szCs w:val="16"/>
                <w:lang w:val="en-US"/>
              </w:rPr>
              <w:br/>
              <w:t xml:space="preserve">The condition must not be, to the prescriber's best knowledge, any of the following diseases that can mimic </w:t>
            </w:r>
            <w:proofErr w:type="spellStart"/>
            <w:r w:rsidRPr="00B367C3">
              <w:rPr>
                <w:szCs w:val="16"/>
                <w:lang w:val="en-US"/>
              </w:rPr>
              <w:t>iMCD</w:t>
            </w:r>
            <w:proofErr w:type="spellEnd"/>
            <w:r w:rsidRPr="00B367C3">
              <w:rPr>
                <w:szCs w:val="16"/>
                <w:lang w:val="en-US"/>
              </w:rPr>
              <w:t>: (</w:t>
            </w:r>
            <w:proofErr w:type="spellStart"/>
            <w:r w:rsidRPr="00B367C3">
              <w:rPr>
                <w:szCs w:val="16"/>
                <w:lang w:val="en-US"/>
              </w:rPr>
              <w:t>i</w:t>
            </w:r>
            <w:proofErr w:type="spellEnd"/>
            <w:r w:rsidRPr="00B367C3">
              <w:rPr>
                <w:szCs w:val="16"/>
                <w:lang w:val="en-US"/>
              </w:rPr>
              <w:t>) human herpes virus-8 infection, (ii) an Epstein-Barr virus-lymphoproliferative disorder, (iii) an acute/uncontrolled infection (e.g. cytomegalovirus, toxoplasmosis, human immunodeficiency virus, tuberculosis) leading to inflammation with adenopathy, (iv) an autoimmune/autoinflammatory disease, (v) a malignant/lymphoproliferative disorder.</w:t>
            </w:r>
            <w:r w:rsidRPr="00B367C3">
              <w:rPr>
                <w:szCs w:val="16"/>
                <w:lang w:val="en-US"/>
              </w:rPr>
              <w:br/>
              <w:t xml:space="preserve">Must be treated by a </w:t>
            </w:r>
            <w:proofErr w:type="spellStart"/>
            <w:r w:rsidRPr="00B367C3">
              <w:rPr>
                <w:szCs w:val="16"/>
                <w:lang w:val="en-US"/>
              </w:rPr>
              <w:t>haematologist</w:t>
            </w:r>
            <w:proofErr w:type="spellEnd"/>
            <w:r w:rsidRPr="00B367C3">
              <w:rPr>
                <w:szCs w:val="16"/>
                <w:lang w:val="en-US"/>
              </w:rPr>
              <w:t>; OR</w:t>
            </w:r>
            <w:r w:rsidRPr="00B367C3">
              <w:rPr>
                <w:szCs w:val="16"/>
                <w:lang w:val="en-US"/>
              </w:rPr>
              <w:br/>
              <w:t xml:space="preserve">Must be treated by a medical physician working under the supervision of a </w:t>
            </w:r>
            <w:proofErr w:type="spellStart"/>
            <w:r w:rsidRPr="00B367C3">
              <w:rPr>
                <w:szCs w:val="16"/>
                <w:lang w:val="en-US"/>
              </w:rPr>
              <w:t>haematologist</w:t>
            </w:r>
            <w:proofErr w:type="spellEnd"/>
            <w:r w:rsidRPr="00B367C3">
              <w:rPr>
                <w:szCs w:val="16"/>
                <w:lang w:val="en-US"/>
              </w:rPr>
              <w:t>; AND</w:t>
            </w:r>
            <w:r w:rsidRPr="00B367C3">
              <w:rPr>
                <w:szCs w:val="16"/>
                <w:lang w:val="en-US"/>
              </w:rPr>
              <w:br/>
              <w:t>Patient must be undergoing treatment through this treatment phase once only in a lifetime, where the full number of repeats are prescribed; OR</w:t>
            </w:r>
            <w:r w:rsidRPr="00B367C3">
              <w:rPr>
                <w:szCs w:val="16"/>
                <w:lang w:val="en-US"/>
              </w:rPr>
              <w:br/>
              <w:t>Patient must be undergoing treatment through this treatment phase for up to the first 5 doses in a lifetime, where the full number of repeats was not prescribed with the first prescription.</w:t>
            </w:r>
            <w:r w:rsidRPr="00B367C3">
              <w:rPr>
                <w:szCs w:val="16"/>
                <w:lang w:val="en-US"/>
              </w:rPr>
              <w:br/>
              <w:t>Prescribe the most efficient combination of vials/strengths based on the patient's body weight to keep any amount of unused drug to a minimum.</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17D8B795" w14:textId="67A34A43"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t>Compliance with Authority Required procedures</w:t>
            </w:r>
          </w:p>
        </w:tc>
      </w:tr>
      <w:tr w:rsidR="00853FAE" w:rsidRPr="00B367C3" w14:paraId="48946304" w14:textId="77777777" w:rsidTr="008D03F2">
        <w:tc>
          <w:tcPr>
            <w:tcW w:w="1701" w:type="dxa"/>
            <w:tcBorders>
              <w:top w:val="single" w:sz="4" w:space="0" w:color="auto"/>
              <w:left w:val="single" w:sz="4" w:space="0" w:color="auto"/>
              <w:bottom w:val="single" w:sz="4" w:space="0" w:color="auto"/>
              <w:right w:val="single" w:sz="4" w:space="0" w:color="auto"/>
            </w:tcBorders>
            <w:vAlign w:val="center"/>
          </w:tcPr>
          <w:p w14:paraId="5F274BC3" w14:textId="77777777"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01925F18" w14:textId="7E64C966"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hAnsi="Arial" w:cs="Arial"/>
                <w:sz w:val="16"/>
                <w:szCs w:val="16"/>
                <w:lang w:val="en-US"/>
              </w:rPr>
              <w:t>C12594</w:t>
            </w:r>
          </w:p>
        </w:tc>
        <w:tc>
          <w:tcPr>
            <w:tcW w:w="850" w:type="dxa"/>
            <w:tcBorders>
              <w:top w:val="single" w:sz="4" w:space="0" w:color="auto"/>
              <w:left w:val="single" w:sz="4" w:space="0" w:color="auto"/>
              <w:bottom w:val="single" w:sz="4" w:space="0" w:color="auto"/>
              <w:right w:val="single" w:sz="4" w:space="0" w:color="auto"/>
            </w:tcBorders>
          </w:tcPr>
          <w:p w14:paraId="6756DABB"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0A122EED" w14:textId="636AF9B8" w:rsidR="00853FAE" w:rsidRPr="00B367C3" w:rsidRDefault="00853FAE" w:rsidP="00853FAE">
            <w:pPr>
              <w:pStyle w:val="mps3-data"/>
              <w:rPr>
                <w:b/>
                <w:bCs/>
              </w:rPr>
            </w:pPr>
            <w:r w:rsidRPr="00B367C3">
              <w:rPr>
                <w:szCs w:val="16"/>
                <w:lang w:val="en-US"/>
              </w:rPr>
              <w:t>Idiopathic multicentric Castleman disease (</w:t>
            </w:r>
            <w:proofErr w:type="spellStart"/>
            <w:r w:rsidRPr="00B367C3">
              <w:rPr>
                <w:szCs w:val="16"/>
                <w:lang w:val="en-US"/>
              </w:rPr>
              <w:t>iMCD</w:t>
            </w:r>
            <w:proofErr w:type="spellEnd"/>
            <w:r w:rsidRPr="00B367C3">
              <w:rPr>
                <w:szCs w:val="16"/>
                <w:lang w:val="en-US"/>
              </w:rPr>
              <w:t>)</w:t>
            </w:r>
            <w:r w:rsidRPr="00B367C3">
              <w:rPr>
                <w:szCs w:val="16"/>
                <w:lang w:val="en-US"/>
              </w:rPr>
              <w:br/>
              <w:t>Continuing treatment</w:t>
            </w:r>
            <w:r w:rsidRPr="00B367C3">
              <w:rPr>
                <w:szCs w:val="16"/>
                <w:lang w:val="en-US"/>
              </w:rPr>
              <w:b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AND</w:t>
            </w:r>
            <w:r w:rsidRPr="00B367C3">
              <w:rPr>
                <w:szCs w:val="16"/>
                <w:lang w:val="en-US"/>
              </w:rPr>
              <w:br/>
              <w:t>Patient must not have developed disease progression while receiving treatment with this drug for this condition.</w:t>
            </w:r>
            <w:r w:rsidRPr="00B367C3">
              <w:rPr>
                <w:szCs w:val="16"/>
                <w:lang w:val="en-US"/>
              </w:rPr>
              <w:br/>
            </w:r>
            <w:r w:rsidRPr="00B367C3">
              <w:rPr>
                <w:szCs w:val="16"/>
                <w:lang w:val="en-US"/>
              </w:rPr>
              <w:lastRenderedPageBreak/>
              <w:t xml:space="preserve">Must be treated by a </w:t>
            </w:r>
            <w:proofErr w:type="spellStart"/>
            <w:r w:rsidRPr="00B367C3">
              <w:rPr>
                <w:szCs w:val="16"/>
                <w:lang w:val="en-US"/>
              </w:rPr>
              <w:t>haematologist</w:t>
            </w:r>
            <w:proofErr w:type="spellEnd"/>
            <w:r w:rsidRPr="00B367C3">
              <w:rPr>
                <w:szCs w:val="16"/>
                <w:lang w:val="en-US"/>
              </w:rPr>
              <w:t>; OR</w:t>
            </w:r>
            <w:r w:rsidRPr="00B367C3">
              <w:rPr>
                <w:szCs w:val="16"/>
                <w:lang w:val="en-US"/>
              </w:rPr>
              <w:br/>
              <w:t xml:space="preserve">Must be treated by a medical physician working under the supervision of a </w:t>
            </w:r>
            <w:proofErr w:type="spellStart"/>
            <w:r w:rsidRPr="00B367C3">
              <w:rPr>
                <w:szCs w:val="16"/>
                <w:lang w:val="en-US"/>
              </w:rPr>
              <w:t>haematologist</w:t>
            </w:r>
            <w:proofErr w:type="spellEnd"/>
            <w:r w:rsidRPr="00B367C3">
              <w:rPr>
                <w:szCs w:val="16"/>
                <w:lang w:val="en-US"/>
              </w:rPr>
              <w:t>.</w:t>
            </w:r>
            <w:r w:rsidRPr="00B367C3">
              <w:rPr>
                <w:szCs w:val="16"/>
                <w:lang w:val="en-US"/>
              </w:rPr>
              <w:br/>
              <w:t>Prescribe the most efficient combination of vials/strengths based on the patient's body weight to keep any amount of unused drug to a minimum.</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769EE3C1" w14:textId="45B5D3B9"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Authority Required procedures</w:t>
            </w:r>
          </w:p>
        </w:tc>
      </w:tr>
    </w:tbl>
    <w:p w14:paraId="59954A3E" w14:textId="56A59AB6" w:rsidR="00853FAE" w:rsidRPr="00B367C3" w:rsidRDefault="00853FAE" w:rsidP="00853FAE">
      <w:pPr>
        <w:pStyle w:val="Amendment1"/>
        <w:numPr>
          <w:ilvl w:val="0"/>
          <w:numId w:val="31"/>
        </w:numPr>
        <w:ind w:left="567" w:hanging="567"/>
        <w:rPr>
          <w:bCs w:val="0"/>
          <w:iCs/>
        </w:rPr>
      </w:pPr>
      <w:r w:rsidRPr="00B367C3">
        <w:t>Schedule</w:t>
      </w:r>
      <w:r w:rsidRPr="00B367C3">
        <w:rPr>
          <w:bCs w:val="0"/>
          <w:iCs/>
        </w:rPr>
        <w:t xml:space="preserve"> 3, entry for </w:t>
      </w:r>
      <w:proofErr w:type="spellStart"/>
      <w:r w:rsidRPr="00B367C3">
        <w:rPr>
          <w:rFonts w:eastAsia="SimSun"/>
          <w:lang w:eastAsia="zh-CN"/>
        </w:rPr>
        <w:t>Tezacaftor</w:t>
      </w:r>
      <w:proofErr w:type="spellEnd"/>
      <w:r w:rsidRPr="00B367C3">
        <w:rPr>
          <w:rFonts w:eastAsia="SimSun"/>
          <w:lang w:eastAsia="zh-CN"/>
        </w:rPr>
        <w:t xml:space="preserve"> with ivacaftor and ivacaftor</w:t>
      </w:r>
    </w:p>
    <w:p w14:paraId="4F4E0490" w14:textId="1F3358FE" w:rsidR="00853FAE" w:rsidRPr="00B367C3" w:rsidRDefault="00853FAE" w:rsidP="00853FAE">
      <w:pPr>
        <w:pStyle w:val="Amendment1"/>
        <w:tabs>
          <w:tab w:val="clear" w:pos="794"/>
        </w:tabs>
        <w:spacing w:before="60" w:after="60" w:line="260" w:lineRule="exact"/>
        <w:ind w:hanging="227"/>
        <w:rPr>
          <w:rFonts w:ascii="Times New Roman" w:hAnsi="Times New Roman" w:cs="Times New Roman"/>
          <w:b w:val="0"/>
          <w:bCs w:val="0"/>
          <w:i/>
          <w:iCs/>
        </w:rPr>
      </w:pPr>
      <w:r w:rsidRPr="00B367C3">
        <w:rPr>
          <w:rFonts w:ascii="Times New Roman" w:hAnsi="Times New Roman" w:cs="Times New Roman"/>
          <w:b w:val="0"/>
          <w:bCs w:val="0"/>
          <w:i/>
          <w:iCs/>
        </w:rPr>
        <w:t>substitute:</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701"/>
        <w:gridCol w:w="850"/>
        <w:gridCol w:w="850"/>
        <w:gridCol w:w="7936"/>
        <w:gridCol w:w="2268"/>
      </w:tblGrid>
      <w:tr w:rsidR="00853FAE" w:rsidRPr="00B367C3" w14:paraId="7018F9AB" w14:textId="77777777" w:rsidTr="00852E90">
        <w:tc>
          <w:tcPr>
            <w:tcW w:w="1701" w:type="dxa"/>
            <w:tcBorders>
              <w:top w:val="single" w:sz="4" w:space="0" w:color="auto"/>
              <w:left w:val="single" w:sz="4" w:space="0" w:color="auto"/>
              <w:bottom w:val="single" w:sz="4" w:space="0" w:color="auto"/>
              <w:right w:val="single" w:sz="4" w:space="0" w:color="auto"/>
            </w:tcBorders>
          </w:tcPr>
          <w:p w14:paraId="7CE13CB6" w14:textId="600E1DAE" w:rsidR="00853FAE" w:rsidRPr="00B367C3" w:rsidRDefault="00853FAE" w:rsidP="00853FAE">
            <w:pPr>
              <w:pStyle w:val="Tabletext"/>
              <w:widowControl w:val="0"/>
              <w:spacing w:after="60" w:line="240" w:lineRule="auto"/>
              <w:rPr>
                <w:rFonts w:ascii="Arial" w:hAnsi="Arial" w:cs="Arial"/>
                <w:b/>
                <w:bCs/>
                <w:sz w:val="16"/>
                <w:szCs w:val="16"/>
                <w:lang w:eastAsia="en-US"/>
              </w:rPr>
            </w:pPr>
            <w:bookmarkStart w:id="23" w:name="_Hlk98503133"/>
            <w:proofErr w:type="spellStart"/>
            <w:r w:rsidRPr="00B367C3">
              <w:rPr>
                <w:rFonts w:ascii="Arial" w:eastAsia="SimSun" w:hAnsi="Arial" w:cs="Arial"/>
                <w:sz w:val="16"/>
                <w:szCs w:val="16"/>
                <w:lang w:eastAsia="zh-CN"/>
              </w:rPr>
              <w:t>Tezacaftor</w:t>
            </w:r>
            <w:proofErr w:type="spellEnd"/>
            <w:r w:rsidRPr="00B367C3">
              <w:rPr>
                <w:rFonts w:ascii="Arial" w:eastAsia="SimSun" w:hAnsi="Arial" w:cs="Arial"/>
                <w:sz w:val="16"/>
                <w:szCs w:val="16"/>
                <w:lang w:eastAsia="zh-CN"/>
              </w:rPr>
              <w:t xml:space="preserve"> with ivacaftor and ivacaftor</w:t>
            </w:r>
            <w:bookmarkEnd w:id="23"/>
          </w:p>
        </w:tc>
        <w:tc>
          <w:tcPr>
            <w:tcW w:w="850" w:type="dxa"/>
            <w:tcBorders>
              <w:top w:val="single" w:sz="4" w:space="0" w:color="auto"/>
              <w:left w:val="single" w:sz="4" w:space="0" w:color="auto"/>
              <w:bottom w:val="single" w:sz="4" w:space="0" w:color="auto"/>
              <w:right w:val="single" w:sz="4" w:space="0" w:color="auto"/>
            </w:tcBorders>
          </w:tcPr>
          <w:p w14:paraId="67E31F6F" w14:textId="02BC4FAA"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 xml:space="preserve">C12609 </w:t>
            </w:r>
          </w:p>
        </w:tc>
        <w:tc>
          <w:tcPr>
            <w:tcW w:w="850" w:type="dxa"/>
            <w:tcBorders>
              <w:top w:val="single" w:sz="4" w:space="0" w:color="auto"/>
              <w:left w:val="single" w:sz="4" w:space="0" w:color="auto"/>
              <w:bottom w:val="single" w:sz="4" w:space="0" w:color="auto"/>
              <w:right w:val="single" w:sz="4" w:space="0" w:color="auto"/>
            </w:tcBorders>
          </w:tcPr>
          <w:p w14:paraId="0F39C5E9"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366A344B" w14:textId="7469584D" w:rsidR="00853FAE" w:rsidRPr="00B367C3" w:rsidRDefault="00853FAE" w:rsidP="00853FAE">
            <w:pPr>
              <w:pStyle w:val="mps3-data"/>
              <w:rPr>
                <w:b/>
                <w:bCs/>
              </w:rPr>
            </w:pPr>
            <w:r w:rsidRPr="00B367C3">
              <w:rPr>
                <w:szCs w:val="16"/>
                <w:lang w:val="en-US"/>
              </w:rPr>
              <w:t>Cystic fibrosis - one residual function (RF) mutation</w:t>
            </w:r>
            <w:r w:rsidRPr="00B367C3">
              <w:rPr>
                <w:szCs w:val="16"/>
                <w:lang w:val="en-US"/>
              </w:rPr>
              <w:br/>
              <w:t>Continuing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 AND</w:t>
            </w:r>
            <w:r w:rsidRPr="00B367C3">
              <w:rPr>
                <w:szCs w:val="16"/>
                <w:lang w:val="en-US"/>
              </w:rPr>
              <w:br/>
              <w:t>The treatment must be given concomitantly with standard therapy for this condition.</w:t>
            </w:r>
            <w:r w:rsidRPr="00B367C3">
              <w:rPr>
                <w:szCs w:val="16"/>
                <w:lang w:val="en-US"/>
              </w:rPr>
              <w:br/>
              <w:t>Patient must be 12 years of age or older.</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and ivacaftor 150 mg tablets on alternate days if the patient is concomitantly receiving one of the following moderate CYP3A4 drugs inhibitors: amprenavir, </w:t>
            </w:r>
            <w:proofErr w:type="spellStart"/>
            <w:r w:rsidRPr="00B367C3">
              <w:rPr>
                <w:szCs w:val="16"/>
                <w:lang w:val="en-US"/>
              </w:rPr>
              <w:t>aprepitant</w:t>
            </w:r>
            <w:proofErr w:type="spellEnd"/>
            <w:r w:rsidRPr="00B367C3">
              <w:rPr>
                <w:szCs w:val="16"/>
                <w:lang w:val="en-US"/>
              </w:rPr>
              <w:t xml:space="preserve">, atazanavir, darunavir/ritonavir, diltiazem, erythromycin, fluconazole, </w:t>
            </w:r>
            <w:proofErr w:type="spellStart"/>
            <w:r w:rsidRPr="00B367C3">
              <w:rPr>
                <w:szCs w:val="16"/>
                <w:lang w:val="en-US"/>
              </w:rPr>
              <w:t>fosamprenavir</w:t>
            </w:r>
            <w:proofErr w:type="spellEnd"/>
            <w:r w:rsidRPr="00B367C3">
              <w:rPr>
                <w:szCs w:val="16"/>
                <w:lang w:val="en-US"/>
              </w:rPr>
              <w:t>, imatinib, verapamil.</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w:t>
            </w:r>
            <w:proofErr w:type="spellStart"/>
            <w:r w:rsidRPr="00B367C3">
              <w:rPr>
                <w:szCs w:val="16"/>
                <w:lang w:val="en-US"/>
              </w:rPr>
              <w:t>posaconazole</w:t>
            </w:r>
            <w:proofErr w:type="spellEnd"/>
            <w:r w:rsidRPr="00B367C3">
              <w:rPr>
                <w:szCs w:val="16"/>
                <w:lang w:val="en-US"/>
              </w:rPr>
              <w:t>, ritonavir, saquinavir, telaprevir, telithromycin, voriconazole.</w:t>
            </w:r>
            <w:r w:rsidRPr="00B367C3">
              <w:rPr>
                <w:szCs w:val="16"/>
                <w:lang w:val="en-US"/>
              </w:rPr>
              <w:br/>
            </w:r>
            <w:proofErr w:type="spellStart"/>
            <w:r w:rsidRPr="00B367C3">
              <w:rPr>
                <w:szCs w:val="16"/>
                <w:lang w:val="en-US"/>
              </w:rPr>
              <w:t>Tezacaftor</w:t>
            </w:r>
            <w:proofErr w:type="spellEnd"/>
            <w:r w:rsidRPr="00B367C3">
              <w:rPr>
                <w:szCs w:val="16"/>
                <w:lang w:val="en-US"/>
              </w:rPr>
              <w:t xml:space="preserve">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Continuing Authority Application Supporting Information Form; and</w:t>
            </w:r>
            <w:r w:rsidRPr="00B367C3">
              <w:rPr>
                <w:szCs w:val="16"/>
                <w:lang w:val="en-US"/>
              </w:rPr>
              <w:br/>
              <w:t>(3)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2364E103" w14:textId="56555488"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t>Compliance with Written Authority Required procedures</w:t>
            </w:r>
          </w:p>
        </w:tc>
      </w:tr>
      <w:tr w:rsidR="00853FAE" w:rsidRPr="00B367C3" w14:paraId="2CE4C878" w14:textId="77777777" w:rsidTr="00853FAE">
        <w:tc>
          <w:tcPr>
            <w:tcW w:w="1701" w:type="dxa"/>
            <w:tcBorders>
              <w:top w:val="single" w:sz="4" w:space="0" w:color="auto"/>
              <w:left w:val="single" w:sz="4" w:space="0" w:color="auto"/>
              <w:bottom w:val="single" w:sz="4" w:space="0" w:color="auto"/>
              <w:right w:val="single" w:sz="4" w:space="0" w:color="auto"/>
            </w:tcBorders>
          </w:tcPr>
          <w:p w14:paraId="5992F207" w14:textId="77777777"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755BCD4F" w14:textId="2298D234"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C12614</w:t>
            </w:r>
          </w:p>
        </w:tc>
        <w:tc>
          <w:tcPr>
            <w:tcW w:w="850" w:type="dxa"/>
            <w:tcBorders>
              <w:top w:val="single" w:sz="4" w:space="0" w:color="auto"/>
              <w:left w:val="single" w:sz="4" w:space="0" w:color="auto"/>
              <w:bottom w:val="single" w:sz="4" w:space="0" w:color="auto"/>
              <w:right w:val="single" w:sz="4" w:space="0" w:color="auto"/>
            </w:tcBorders>
          </w:tcPr>
          <w:p w14:paraId="5DE03693"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7D9A8E60" w14:textId="5AEF3FB8" w:rsidR="00853FAE" w:rsidRPr="00B367C3" w:rsidRDefault="00853FAE" w:rsidP="00853FAE">
            <w:pPr>
              <w:pStyle w:val="mps3-data"/>
              <w:rPr>
                <w:b/>
                <w:bCs/>
              </w:rPr>
            </w:pPr>
            <w:r w:rsidRPr="00B367C3">
              <w:rPr>
                <w:szCs w:val="16"/>
                <w:lang w:val="en-US"/>
              </w:rPr>
              <w:t>Cystic fibrosis - homozygous for the F508del mutation</w:t>
            </w:r>
            <w:r w:rsidRPr="00B367C3">
              <w:rPr>
                <w:szCs w:val="16"/>
                <w:lang w:val="en-US"/>
              </w:rPr>
              <w:br/>
              <w:t>Continuing treatment</w:t>
            </w:r>
            <w:r w:rsidRPr="00B367C3">
              <w:rPr>
                <w:szCs w:val="16"/>
                <w:lang w:val="en-US"/>
              </w:rPr>
              <w:br/>
              <w:t xml:space="preserve">Must be treated by a specialist respiratory physician with expertise in cystic fibrosis or in consultation with a specialist respiratory physician with expertise in cystic fibrosis if attendance is not possible due to geographic </w:t>
            </w:r>
            <w:r w:rsidRPr="00B367C3">
              <w:rPr>
                <w:szCs w:val="16"/>
                <w:lang w:val="en-US"/>
              </w:rPr>
              <w:lastRenderedPageBreak/>
              <w:t>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have previously received PBS-</w:t>
            </w:r>
            <w:proofErr w:type="spellStart"/>
            <w:r w:rsidRPr="00B367C3">
              <w:rPr>
                <w:szCs w:val="16"/>
                <w:lang w:val="en-US"/>
              </w:rPr>
              <w:t>subsidised</w:t>
            </w:r>
            <w:proofErr w:type="spellEnd"/>
            <w:r w:rsidRPr="00B367C3">
              <w:rPr>
                <w:szCs w:val="16"/>
                <w:lang w:val="en-US"/>
              </w:rPr>
              <w:t xml:space="preserve"> treatment with this drug for this condition;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 AND</w:t>
            </w:r>
            <w:r w:rsidRPr="00B367C3">
              <w:rPr>
                <w:szCs w:val="16"/>
                <w:lang w:val="en-US"/>
              </w:rPr>
              <w:br/>
              <w:t>The treatment must be given concomitantly with standard therapy for this condition.</w:t>
            </w:r>
            <w:r w:rsidRPr="00B367C3">
              <w:rPr>
                <w:szCs w:val="16"/>
                <w:lang w:val="en-US"/>
              </w:rPr>
              <w:br/>
              <w:t>Patient must be 12 years of age or older.</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and ivacaftor 150 mg tablets on alternate days if the patient is concomitantly receiving one of the following moderate CYP3A4 drugs inhibitors: amprenavir, </w:t>
            </w:r>
            <w:proofErr w:type="spellStart"/>
            <w:r w:rsidRPr="00B367C3">
              <w:rPr>
                <w:szCs w:val="16"/>
                <w:lang w:val="en-US"/>
              </w:rPr>
              <w:t>aprepitant</w:t>
            </w:r>
            <w:proofErr w:type="spellEnd"/>
            <w:r w:rsidRPr="00B367C3">
              <w:rPr>
                <w:szCs w:val="16"/>
                <w:lang w:val="en-US"/>
              </w:rPr>
              <w:t xml:space="preserve">, atazanavir, darunavir/ritonavir, diltiazem, erythromycin, fluconazole, </w:t>
            </w:r>
            <w:proofErr w:type="spellStart"/>
            <w:r w:rsidRPr="00B367C3">
              <w:rPr>
                <w:szCs w:val="16"/>
                <w:lang w:val="en-US"/>
              </w:rPr>
              <w:t>fosamprenavir</w:t>
            </w:r>
            <w:proofErr w:type="spellEnd"/>
            <w:r w:rsidRPr="00B367C3">
              <w:rPr>
                <w:szCs w:val="16"/>
                <w:lang w:val="en-US"/>
              </w:rPr>
              <w:t>, imatinib, verapamil.</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w:t>
            </w:r>
            <w:proofErr w:type="spellStart"/>
            <w:r w:rsidRPr="00B367C3">
              <w:rPr>
                <w:szCs w:val="16"/>
                <w:lang w:val="en-US"/>
              </w:rPr>
              <w:t>posaconazole</w:t>
            </w:r>
            <w:proofErr w:type="spellEnd"/>
            <w:r w:rsidRPr="00B367C3">
              <w:rPr>
                <w:szCs w:val="16"/>
                <w:lang w:val="en-US"/>
              </w:rPr>
              <w:t>, ritonavir, saquinavir, telaprevir, telithromycin, voriconazole.</w:t>
            </w:r>
            <w:r w:rsidRPr="00B367C3">
              <w:rPr>
                <w:szCs w:val="16"/>
                <w:lang w:val="en-US"/>
              </w:rPr>
              <w:br/>
            </w:r>
            <w:proofErr w:type="spellStart"/>
            <w:r w:rsidRPr="00B367C3">
              <w:rPr>
                <w:szCs w:val="16"/>
                <w:lang w:val="en-US"/>
              </w:rPr>
              <w:t>Tezacaftor</w:t>
            </w:r>
            <w:proofErr w:type="spellEnd"/>
            <w:r w:rsidRPr="00B367C3">
              <w:rPr>
                <w:szCs w:val="16"/>
                <w:lang w:val="en-US"/>
              </w:rPr>
              <w:t xml:space="preserve">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Continuing Authority Application Supporting Information Form; and</w:t>
            </w:r>
            <w:r w:rsidRPr="00B367C3">
              <w:rPr>
                <w:szCs w:val="16"/>
                <w:lang w:val="en-US"/>
              </w:rPr>
              <w:br/>
              <w:t>(3)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2D54E513" w14:textId="5B7FAF31"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Written Authority Required procedures</w:t>
            </w:r>
          </w:p>
        </w:tc>
      </w:tr>
      <w:tr w:rsidR="00853FAE" w:rsidRPr="00B367C3" w14:paraId="2AF0AAEC" w14:textId="77777777" w:rsidTr="00853FAE">
        <w:tc>
          <w:tcPr>
            <w:tcW w:w="1701" w:type="dxa"/>
            <w:tcBorders>
              <w:top w:val="single" w:sz="4" w:space="0" w:color="auto"/>
              <w:left w:val="single" w:sz="4" w:space="0" w:color="auto"/>
              <w:bottom w:val="single" w:sz="4" w:space="0" w:color="auto"/>
              <w:right w:val="single" w:sz="4" w:space="0" w:color="auto"/>
            </w:tcBorders>
          </w:tcPr>
          <w:p w14:paraId="12EB1635" w14:textId="77777777"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5FBF98B0" w14:textId="4C70CC95"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C12630</w:t>
            </w:r>
          </w:p>
        </w:tc>
        <w:tc>
          <w:tcPr>
            <w:tcW w:w="850" w:type="dxa"/>
            <w:tcBorders>
              <w:top w:val="single" w:sz="4" w:space="0" w:color="auto"/>
              <w:left w:val="single" w:sz="4" w:space="0" w:color="auto"/>
              <w:bottom w:val="single" w:sz="4" w:space="0" w:color="auto"/>
              <w:right w:val="single" w:sz="4" w:space="0" w:color="auto"/>
            </w:tcBorders>
          </w:tcPr>
          <w:p w14:paraId="545182EF"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5618F359" w14:textId="7EC30225" w:rsidR="00853FAE" w:rsidRPr="00B367C3" w:rsidRDefault="00853FAE" w:rsidP="00853FAE">
            <w:pPr>
              <w:pStyle w:val="mps3-data"/>
              <w:rPr>
                <w:b/>
                <w:bCs/>
              </w:rPr>
            </w:pPr>
            <w:r w:rsidRPr="00B367C3">
              <w:rPr>
                <w:szCs w:val="16"/>
                <w:lang w:val="en-US"/>
              </w:rPr>
              <w:t>Cystic fibrosis - one residual function (RF) mutation</w:t>
            </w:r>
            <w:r w:rsidRPr="00B367C3">
              <w:rPr>
                <w:szCs w:val="16"/>
                <w:lang w:val="en-US"/>
              </w:rPr>
              <w:br/>
              <w:t>Initial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 xml:space="preserve">Patient must have at least one residual function (RF) mutation in the cystic fibrosis transmembrane conductance regulator (CFTR) gene that is responsive to </w:t>
            </w:r>
            <w:proofErr w:type="spellStart"/>
            <w:r w:rsidRPr="00B367C3">
              <w:rPr>
                <w:szCs w:val="16"/>
                <w:lang w:val="en-US"/>
              </w:rPr>
              <w:t>tezacaftor</w:t>
            </w:r>
            <w:proofErr w:type="spellEnd"/>
            <w:r w:rsidRPr="00B367C3">
              <w:rPr>
                <w:szCs w:val="16"/>
                <w:lang w:val="en-US"/>
              </w:rPr>
              <w:t xml:space="preserve"> with ivacaftor;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 AND</w:t>
            </w:r>
            <w:r w:rsidRPr="00B367C3">
              <w:rPr>
                <w:szCs w:val="16"/>
                <w:lang w:val="en-US"/>
              </w:rPr>
              <w:br/>
              <w:t>The treatment must be given concomitantly with standard therapy for this condition; AND</w:t>
            </w:r>
            <w:r w:rsidRPr="00B367C3">
              <w:rPr>
                <w:szCs w:val="16"/>
                <w:lang w:val="en-US"/>
              </w:rPr>
              <w:br/>
              <w:t>Patient must have either chronic sinopulmonary disease or gastrointestinal and nutritional abnormalities.</w:t>
            </w:r>
            <w:r w:rsidRPr="00B367C3">
              <w:rPr>
                <w:szCs w:val="16"/>
                <w:lang w:val="en-US"/>
              </w:rPr>
              <w:br/>
              <w:t>Patient must be 12 years of age or older.</w:t>
            </w:r>
            <w:r w:rsidRPr="00B367C3">
              <w:rPr>
                <w:szCs w:val="16"/>
                <w:lang w:val="en-US"/>
              </w:rPr>
              <w:br/>
              <w:t xml:space="preserve">For the purposes of this restriction, the list of mutations considered to be responsive to </w:t>
            </w:r>
            <w:proofErr w:type="spellStart"/>
            <w:r w:rsidRPr="00B367C3">
              <w:rPr>
                <w:szCs w:val="16"/>
                <w:lang w:val="en-US"/>
              </w:rPr>
              <w:t>tezacaftor</w:t>
            </w:r>
            <w:proofErr w:type="spellEnd"/>
            <w:r w:rsidRPr="00B367C3">
              <w:rPr>
                <w:szCs w:val="16"/>
                <w:lang w:val="en-US"/>
              </w:rPr>
              <w:t xml:space="preserve"> with ivacaftor is defined in the TGA approved product information.</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and ivacaftor 150 mg tablets on </w:t>
            </w:r>
            <w:r w:rsidRPr="00B367C3">
              <w:rPr>
                <w:szCs w:val="16"/>
                <w:lang w:val="en-US"/>
              </w:rPr>
              <w:lastRenderedPageBreak/>
              <w:t xml:space="preserve">alternate days if the patient is concomitantly receiving one of the following moderate CYP3A4 drugs inhibitors: amprenavir, </w:t>
            </w:r>
            <w:proofErr w:type="spellStart"/>
            <w:r w:rsidRPr="00B367C3">
              <w:rPr>
                <w:szCs w:val="16"/>
                <w:lang w:val="en-US"/>
              </w:rPr>
              <w:t>aprepitant</w:t>
            </w:r>
            <w:proofErr w:type="spellEnd"/>
            <w:r w:rsidRPr="00B367C3">
              <w:rPr>
                <w:szCs w:val="16"/>
                <w:lang w:val="en-US"/>
              </w:rPr>
              <w:t xml:space="preserve">, atazanavir, darunavir/ritonavir, diltiazem, erythromycin, fluconazole, </w:t>
            </w:r>
            <w:proofErr w:type="spellStart"/>
            <w:r w:rsidRPr="00B367C3">
              <w:rPr>
                <w:szCs w:val="16"/>
                <w:lang w:val="en-US"/>
              </w:rPr>
              <w:t>fosamprenavir</w:t>
            </w:r>
            <w:proofErr w:type="spellEnd"/>
            <w:r w:rsidRPr="00B367C3">
              <w:rPr>
                <w:szCs w:val="16"/>
                <w:lang w:val="en-US"/>
              </w:rPr>
              <w:t>, imatinib, verapamil.</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w:t>
            </w:r>
            <w:proofErr w:type="spellStart"/>
            <w:r w:rsidRPr="00B367C3">
              <w:rPr>
                <w:szCs w:val="16"/>
                <w:lang w:val="en-US"/>
              </w:rPr>
              <w:t>posaconazole</w:t>
            </w:r>
            <w:proofErr w:type="spellEnd"/>
            <w:r w:rsidRPr="00B367C3">
              <w:rPr>
                <w:szCs w:val="16"/>
                <w:lang w:val="en-US"/>
              </w:rPr>
              <w:t>, ritonavir, saquinavir, telaprevir, telithromycin, voriconazole.</w:t>
            </w:r>
            <w:r w:rsidRPr="00B367C3">
              <w:rPr>
                <w:szCs w:val="16"/>
                <w:lang w:val="en-US"/>
              </w:rPr>
              <w:br/>
            </w:r>
            <w:proofErr w:type="spellStart"/>
            <w:r w:rsidRPr="00B367C3">
              <w:rPr>
                <w:szCs w:val="16"/>
                <w:lang w:val="en-US"/>
              </w:rPr>
              <w:t>Tezacaftor</w:t>
            </w:r>
            <w:proofErr w:type="spellEnd"/>
            <w:r w:rsidRPr="00B367C3">
              <w:rPr>
                <w:szCs w:val="16"/>
                <w:lang w:val="en-US"/>
              </w:rPr>
              <w:t xml:space="preserve">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Authority Application Supporting Information Form; and</w:t>
            </w:r>
            <w:r w:rsidRPr="00B367C3">
              <w:rPr>
                <w:szCs w:val="16"/>
                <w:lang w:val="en-US"/>
              </w:rPr>
              <w:br/>
              <w:t>(3) details of the pathology report substantiating the patient having at least one RF mutation on the CFTR gene - quote each of the: (</w:t>
            </w:r>
            <w:proofErr w:type="spellStart"/>
            <w:r w:rsidRPr="00B367C3">
              <w:rPr>
                <w:szCs w:val="16"/>
                <w:lang w:val="en-US"/>
              </w:rPr>
              <w:t>i</w:t>
            </w:r>
            <w:proofErr w:type="spellEnd"/>
            <w:r w:rsidRPr="00B367C3">
              <w:rPr>
                <w:szCs w:val="16"/>
                <w:lang w:val="en-US"/>
              </w:rPr>
              <w:t>) name of the pathology report provider, (ii) date of pathology report, (iii) unique identifying number/code that links the pathology result to the individual patient ; and</w:t>
            </w:r>
            <w:r w:rsidRPr="00B367C3">
              <w:rPr>
                <w:szCs w:val="16"/>
                <w:lang w:val="en-US"/>
              </w:rPr>
              <w:br/>
              <w:t>(4)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163C8616" w14:textId="5B209152" w:rsidR="00853FAE" w:rsidRPr="00B367C3"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Written Authority Required procedures</w:t>
            </w:r>
          </w:p>
        </w:tc>
      </w:tr>
      <w:tr w:rsidR="00853FAE" w:rsidRPr="000E4592" w14:paraId="36ABE6B5" w14:textId="77777777" w:rsidTr="00853FAE">
        <w:tc>
          <w:tcPr>
            <w:tcW w:w="1701" w:type="dxa"/>
            <w:tcBorders>
              <w:top w:val="single" w:sz="4" w:space="0" w:color="auto"/>
              <w:left w:val="single" w:sz="4" w:space="0" w:color="auto"/>
              <w:bottom w:val="single" w:sz="4" w:space="0" w:color="auto"/>
              <w:right w:val="single" w:sz="4" w:space="0" w:color="auto"/>
            </w:tcBorders>
          </w:tcPr>
          <w:p w14:paraId="542843EA" w14:textId="77777777" w:rsidR="00853FAE" w:rsidRPr="00B367C3" w:rsidRDefault="00853FAE" w:rsidP="00853FAE">
            <w:pPr>
              <w:pStyle w:val="Tabletext"/>
              <w:widowControl w:val="0"/>
              <w:spacing w:after="60" w:line="240" w:lineRule="auto"/>
              <w:rPr>
                <w:rFonts w:ascii="Arial" w:hAnsi="Arial" w:cs="Arial"/>
                <w:b/>
                <w:bCs/>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14:paraId="27C2503C" w14:textId="0B73CC70" w:rsidR="00853FAE" w:rsidRPr="00B367C3" w:rsidRDefault="00853FAE" w:rsidP="00853FAE">
            <w:pPr>
              <w:pStyle w:val="Tabletext"/>
              <w:widowControl w:val="0"/>
              <w:spacing w:after="60" w:line="240" w:lineRule="auto"/>
              <w:rPr>
                <w:rFonts w:ascii="Arial" w:hAnsi="Arial" w:cs="Arial"/>
                <w:b/>
                <w:bCs/>
                <w:sz w:val="16"/>
                <w:szCs w:val="16"/>
                <w:lang w:eastAsia="en-US"/>
              </w:rPr>
            </w:pPr>
            <w:r w:rsidRPr="00B367C3">
              <w:rPr>
                <w:rFonts w:ascii="Arial" w:eastAsia="Arial" w:hAnsi="Arial" w:cs="Arial"/>
                <w:sz w:val="16"/>
                <w:szCs w:val="10"/>
              </w:rPr>
              <w:t>C12635</w:t>
            </w:r>
          </w:p>
        </w:tc>
        <w:tc>
          <w:tcPr>
            <w:tcW w:w="850" w:type="dxa"/>
            <w:tcBorders>
              <w:top w:val="single" w:sz="4" w:space="0" w:color="auto"/>
              <w:left w:val="single" w:sz="4" w:space="0" w:color="auto"/>
              <w:bottom w:val="single" w:sz="4" w:space="0" w:color="auto"/>
              <w:right w:val="single" w:sz="4" w:space="0" w:color="auto"/>
            </w:tcBorders>
          </w:tcPr>
          <w:p w14:paraId="648CDAAC" w14:textId="77777777" w:rsidR="00853FAE" w:rsidRPr="00B367C3" w:rsidRDefault="00853FAE" w:rsidP="00853FAE">
            <w:pPr>
              <w:widowControl w:val="0"/>
              <w:spacing w:before="60" w:after="60" w:line="240" w:lineRule="auto"/>
              <w:rPr>
                <w:rFonts w:ascii="Arial" w:eastAsia="Times New Roman" w:hAnsi="Arial" w:cs="Arial"/>
                <w:b/>
                <w:bCs/>
                <w:sz w:val="16"/>
                <w:szCs w:val="16"/>
                <w:lang w:eastAsia="en-AU"/>
              </w:rPr>
            </w:pPr>
          </w:p>
        </w:tc>
        <w:tc>
          <w:tcPr>
            <w:tcW w:w="7936" w:type="dxa"/>
            <w:tcBorders>
              <w:top w:val="single" w:sz="4" w:space="0" w:color="auto"/>
              <w:left w:val="single" w:sz="4" w:space="0" w:color="auto"/>
              <w:bottom w:val="single" w:sz="4" w:space="0" w:color="auto"/>
              <w:right w:val="single" w:sz="4" w:space="0" w:color="auto"/>
            </w:tcBorders>
          </w:tcPr>
          <w:p w14:paraId="0AADE043" w14:textId="46B5C221" w:rsidR="00853FAE" w:rsidRPr="00B367C3" w:rsidRDefault="00853FAE" w:rsidP="00853FAE">
            <w:pPr>
              <w:pStyle w:val="mps3-data"/>
              <w:rPr>
                <w:b/>
                <w:bCs/>
              </w:rPr>
            </w:pPr>
            <w:r w:rsidRPr="00B367C3">
              <w:rPr>
                <w:szCs w:val="16"/>
                <w:lang w:val="en-US"/>
              </w:rPr>
              <w:t>Cystic fibrosis - homozygous for the F508del mutation</w:t>
            </w:r>
            <w:r w:rsidRPr="00B367C3">
              <w:rPr>
                <w:szCs w:val="16"/>
                <w:lang w:val="en-US"/>
              </w:rPr>
              <w:br/>
              <w:t>Initial treatment</w:t>
            </w:r>
            <w:r w:rsidRPr="00B367C3">
              <w:rPr>
                <w:szCs w:val="16"/>
                <w:lang w:val="en-US"/>
              </w:rPr>
              <w:br/>
              <w:t>Must be treated by a specialist respiratory physician with expertise in cystic fibrosis or in consultation with a specialist respiratory physician with expertise in cystic fibrosis if attendance is not possible due to geographic isolation; AND</w:t>
            </w:r>
            <w:r w:rsidRPr="00B367C3">
              <w:rPr>
                <w:szCs w:val="16"/>
                <w:lang w:val="en-US"/>
              </w:rPr>
              <w:br/>
              <w:t xml:space="preserve">Must be treated in a </w:t>
            </w:r>
            <w:proofErr w:type="spellStart"/>
            <w:r w:rsidRPr="00B367C3">
              <w:rPr>
                <w:szCs w:val="16"/>
                <w:lang w:val="en-US"/>
              </w:rPr>
              <w:t>centre</w:t>
            </w:r>
            <w:proofErr w:type="spellEnd"/>
            <w:r w:rsidRPr="00B367C3">
              <w:rPr>
                <w:szCs w:val="16"/>
                <w:lang w:val="en-US"/>
              </w:rPr>
              <w:t xml:space="preserve"> with expertise in cystic fibrosis or in consultation with a </w:t>
            </w:r>
            <w:proofErr w:type="spellStart"/>
            <w:r w:rsidRPr="00B367C3">
              <w:rPr>
                <w:szCs w:val="16"/>
                <w:lang w:val="en-US"/>
              </w:rPr>
              <w:t>centre</w:t>
            </w:r>
            <w:proofErr w:type="spellEnd"/>
            <w:r w:rsidRPr="00B367C3">
              <w:rPr>
                <w:szCs w:val="16"/>
                <w:lang w:val="en-US"/>
              </w:rPr>
              <w:t xml:space="preserve"> with expertise in cystic fibrosis if attendance is not possible due to geographic isolation.</w:t>
            </w:r>
            <w:r w:rsidRPr="00B367C3">
              <w:rPr>
                <w:szCs w:val="16"/>
                <w:lang w:val="en-US"/>
              </w:rPr>
              <w:br/>
              <w:t>Patient must be homozygous for the F508del mutation in the cystic fibrosis transmembrane conductance regulator (CFTR) gene; AND</w:t>
            </w:r>
            <w:r w:rsidRPr="00B367C3">
              <w:rPr>
                <w:szCs w:val="16"/>
                <w:lang w:val="en-US"/>
              </w:rPr>
              <w:br/>
              <w:t>The treatment must be the sole PBS-</w:t>
            </w:r>
            <w:proofErr w:type="spellStart"/>
            <w:r w:rsidRPr="00B367C3">
              <w:rPr>
                <w:szCs w:val="16"/>
                <w:lang w:val="en-US"/>
              </w:rPr>
              <w:t>subsidised</w:t>
            </w:r>
            <w:proofErr w:type="spellEnd"/>
            <w:r w:rsidRPr="00B367C3">
              <w:rPr>
                <w:szCs w:val="16"/>
                <w:lang w:val="en-US"/>
              </w:rPr>
              <w:t xml:space="preserve"> cystic fibrosis transmembrane conductance regulator (CFTR) modulator therapy for this condition; AND</w:t>
            </w:r>
            <w:r w:rsidRPr="00B367C3">
              <w:rPr>
                <w:szCs w:val="16"/>
                <w:lang w:val="en-US"/>
              </w:rPr>
              <w:br/>
              <w:t>The treatment must be given concomitantly with standard therapy for this condition; AND</w:t>
            </w:r>
            <w:r w:rsidRPr="00B367C3">
              <w:rPr>
                <w:szCs w:val="16"/>
                <w:lang w:val="en-US"/>
              </w:rPr>
              <w:br/>
              <w:t>Patient must have either chronic sinopulmonary disease or gastrointestinal and nutritional abnormalities.</w:t>
            </w:r>
            <w:r w:rsidRPr="00B367C3">
              <w:rPr>
                <w:szCs w:val="16"/>
                <w:lang w:val="en-US"/>
              </w:rPr>
              <w:br/>
              <w:t>Patient must be 12 years of age or older.</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and ivacaftor 150 mg tablets on alternate days if the patient is concomitantly receiving one of the following moderate CYP3A4 drugs inhibitors: amprenavir, </w:t>
            </w:r>
            <w:proofErr w:type="spellStart"/>
            <w:r w:rsidRPr="00B367C3">
              <w:rPr>
                <w:szCs w:val="16"/>
                <w:lang w:val="en-US"/>
              </w:rPr>
              <w:t>aprepitant</w:t>
            </w:r>
            <w:proofErr w:type="spellEnd"/>
            <w:r w:rsidRPr="00B367C3">
              <w:rPr>
                <w:szCs w:val="16"/>
                <w:lang w:val="en-US"/>
              </w:rPr>
              <w:t xml:space="preserve">, atazanavir, darunavir/ritonavir, diltiazem, erythromycin, fluconazole, </w:t>
            </w:r>
            <w:proofErr w:type="spellStart"/>
            <w:r w:rsidRPr="00B367C3">
              <w:rPr>
                <w:szCs w:val="16"/>
                <w:lang w:val="en-US"/>
              </w:rPr>
              <w:t>fosamprenavir</w:t>
            </w:r>
            <w:proofErr w:type="spellEnd"/>
            <w:r w:rsidRPr="00B367C3">
              <w:rPr>
                <w:szCs w:val="16"/>
                <w:lang w:val="en-US"/>
              </w:rPr>
              <w:t>, imatinib, verapamil.</w:t>
            </w:r>
            <w:r w:rsidRPr="00B367C3">
              <w:rPr>
                <w:szCs w:val="16"/>
                <w:lang w:val="en-US"/>
              </w:rPr>
              <w:br/>
              <w:t xml:space="preserve">Dosage of </w:t>
            </w:r>
            <w:proofErr w:type="spellStart"/>
            <w:r w:rsidRPr="00B367C3">
              <w:rPr>
                <w:szCs w:val="16"/>
                <w:lang w:val="en-US"/>
              </w:rPr>
              <w:t>tezacaftor</w:t>
            </w:r>
            <w:proofErr w:type="spellEnd"/>
            <w:r w:rsidRPr="00B367C3">
              <w:rPr>
                <w:szCs w:val="16"/>
                <w:lang w:val="en-US"/>
              </w:rPr>
              <w:t xml:space="preserve"> with ivacaftor is </w:t>
            </w:r>
            <w:proofErr w:type="spellStart"/>
            <w:r w:rsidRPr="00B367C3">
              <w:rPr>
                <w:szCs w:val="16"/>
                <w:lang w:val="en-US"/>
              </w:rPr>
              <w:t>tezacaftor</w:t>
            </w:r>
            <w:proofErr w:type="spellEnd"/>
            <w:r w:rsidRPr="00B367C3">
              <w:rPr>
                <w:szCs w:val="16"/>
                <w:lang w:val="en-US"/>
              </w:rPr>
              <w:t xml:space="preserve">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w:t>
            </w:r>
            <w:proofErr w:type="spellStart"/>
            <w:r w:rsidRPr="00B367C3">
              <w:rPr>
                <w:szCs w:val="16"/>
                <w:lang w:val="en-US"/>
              </w:rPr>
              <w:t>posaconazole</w:t>
            </w:r>
            <w:proofErr w:type="spellEnd"/>
            <w:r w:rsidRPr="00B367C3">
              <w:rPr>
                <w:szCs w:val="16"/>
                <w:lang w:val="en-US"/>
              </w:rPr>
              <w:t>, ritonavir, saquinavir, telaprevir, telithromycin, voriconazole.</w:t>
            </w:r>
            <w:r w:rsidRPr="00B367C3">
              <w:rPr>
                <w:szCs w:val="16"/>
                <w:lang w:val="en-US"/>
              </w:rPr>
              <w:br/>
            </w:r>
            <w:proofErr w:type="spellStart"/>
            <w:r w:rsidRPr="00B367C3">
              <w:rPr>
                <w:szCs w:val="16"/>
                <w:lang w:val="en-US"/>
              </w:rPr>
              <w:t>Tezacaftor</w:t>
            </w:r>
            <w:proofErr w:type="spellEnd"/>
            <w:r w:rsidRPr="00B367C3">
              <w:rPr>
                <w:szCs w:val="16"/>
                <w:lang w:val="en-US"/>
              </w:rPr>
              <w:t xml:space="preserve"> with ivacaftor is not PBS-</w:t>
            </w:r>
            <w:proofErr w:type="spellStart"/>
            <w:r w:rsidRPr="00B367C3">
              <w:rPr>
                <w:szCs w:val="16"/>
                <w:lang w:val="en-US"/>
              </w:rPr>
              <w:t>subsidised</w:t>
            </w:r>
            <w:proofErr w:type="spellEnd"/>
            <w:r w:rsidRPr="00B367C3">
              <w:rPr>
                <w:szCs w:val="16"/>
                <w:lang w:val="en-US"/>
              </w:rPr>
              <w:t xml:space="preserve"> for this condition in a patient who is currently receiving one of </w:t>
            </w:r>
            <w:r w:rsidRPr="00B367C3">
              <w:rPr>
                <w:szCs w:val="16"/>
                <w:lang w:val="en-US"/>
              </w:rPr>
              <w:lastRenderedPageBreak/>
              <w:t>the following CYP3A4 inducers:</w:t>
            </w:r>
            <w:r w:rsidRPr="00B367C3">
              <w:rPr>
                <w:szCs w:val="16"/>
                <w:lang w:val="en-US"/>
              </w:rPr>
              <w:br/>
              <w:t xml:space="preserve">Strong CYP3A4 inducers: </w:t>
            </w:r>
            <w:proofErr w:type="spellStart"/>
            <w:r w:rsidRPr="00B367C3">
              <w:rPr>
                <w:szCs w:val="16"/>
                <w:lang w:val="en-US"/>
              </w:rPr>
              <w:t>avasimibe</w:t>
            </w:r>
            <w:proofErr w:type="spellEnd"/>
            <w:r w:rsidRPr="00B367C3">
              <w:rPr>
                <w:szCs w:val="16"/>
                <w:lang w:val="en-US"/>
              </w:rPr>
              <w:t>, carbamazepine, phenobarbital, phenytoin, rifabutin, rifampicin, St. John's wort;</w:t>
            </w:r>
            <w:r w:rsidRPr="00B367C3">
              <w:rPr>
                <w:szCs w:val="16"/>
                <w:lang w:val="en-US"/>
              </w:rPr>
              <w:br/>
              <w:t xml:space="preserve">Moderate CYP3A4 inducers: </w:t>
            </w:r>
            <w:proofErr w:type="spellStart"/>
            <w:r w:rsidRPr="00B367C3">
              <w:rPr>
                <w:szCs w:val="16"/>
                <w:lang w:val="en-US"/>
              </w:rPr>
              <w:t>bosentan</w:t>
            </w:r>
            <w:proofErr w:type="spellEnd"/>
            <w:r w:rsidRPr="00B367C3">
              <w:rPr>
                <w:szCs w:val="16"/>
                <w:lang w:val="en-US"/>
              </w:rPr>
              <w:t>, efavirenz, etravirine, modafinil, nafcillin;</w:t>
            </w:r>
            <w:r w:rsidRPr="00B367C3">
              <w:rPr>
                <w:szCs w:val="16"/>
                <w:lang w:val="en-US"/>
              </w:rPr>
              <w:br/>
              <w:t>Weak CYP3A4 inducers: armodafinil, echinacea, pioglitazone, rufinamide.</w:t>
            </w:r>
            <w:r w:rsidRPr="00B367C3">
              <w:rPr>
                <w:szCs w:val="16"/>
                <w:lang w:val="en-US"/>
              </w:rPr>
              <w:br/>
              <w:t>The authority application must be in writing and must include:</w:t>
            </w:r>
            <w:r w:rsidRPr="00B367C3">
              <w:rPr>
                <w:szCs w:val="16"/>
                <w:lang w:val="en-US"/>
              </w:rPr>
              <w:br/>
              <w:t>(1) a completed authority prescription; and</w:t>
            </w:r>
            <w:r w:rsidRPr="00B367C3">
              <w:rPr>
                <w:szCs w:val="16"/>
                <w:lang w:val="en-US"/>
              </w:rPr>
              <w:br/>
              <w:t>(2) a completed Cystic Fibrosis Authority Application Supporting Information Form; and</w:t>
            </w:r>
            <w:r w:rsidRPr="00B367C3">
              <w:rPr>
                <w:szCs w:val="16"/>
                <w:lang w:val="en-US"/>
              </w:rPr>
              <w:br/>
              <w:t>(3) details of the pathology report substantiating the patient being homozygous for the F508del mutation on the CFTR gene - quote each of the: (</w:t>
            </w:r>
            <w:proofErr w:type="spellStart"/>
            <w:r w:rsidRPr="00B367C3">
              <w:rPr>
                <w:szCs w:val="16"/>
                <w:lang w:val="en-US"/>
              </w:rPr>
              <w:t>i</w:t>
            </w:r>
            <w:proofErr w:type="spellEnd"/>
            <w:r w:rsidRPr="00B367C3">
              <w:rPr>
                <w:szCs w:val="16"/>
                <w:lang w:val="en-US"/>
              </w:rPr>
              <w:t>) name of the pathology report provider, (ii) date of pathology report, (iii) unique identifying number/code that links the pathology result to the individual patient; and</w:t>
            </w:r>
            <w:r w:rsidRPr="00B367C3">
              <w:rPr>
                <w:szCs w:val="16"/>
                <w:lang w:val="en-US"/>
              </w:rPr>
              <w:br/>
              <w:t>(4) current CYP3A4 inhibitors, CYP3A4 inducers and IV antibiotics.</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14:paraId="4B8133C5" w14:textId="6686C121" w:rsidR="00853FAE" w:rsidRPr="00853FAE" w:rsidRDefault="00853FAE" w:rsidP="00853FAE">
            <w:pPr>
              <w:pStyle w:val="Tabletext"/>
              <w:widowControl w:val="0"/>
              <w:spacing w:after="60" w:line="240" w:lineRule="auto"/>
              <w:rPr>
                <w:rFonts w:ascii="Arial" w:eastAsia="Arial" w:hAnsi="Arial" w:cs="Arial"/>
                <w:b/>
                <w:bCs/>
                <w:sz w:val="16"/>
                <w:szCs w:val="22"/>
                <w:lang w:eastAsia="zh-CN"/>
              </w:rPr>
            </w:pPr>
            <w:r w:rsidRPr="00B367C3">
              <w:rPr>
                <w:rFonts w:ascii="Arial" w:hAnsi="Arial" w:cs="Arial"/>
                <w:sz w:val="16"/>
                <w:szCs w:val="16"/>
                <w:lang w:val="en-US"/>
              </w:rPr>
              <w:lastRenderedPageBreak/>
              <w:t>Compliance with Written Authority Required procedures</w:t>
            </w:r>
          </w:p>
        </w:tc>
      </w:tr>
    </w:tbl>
    <w:p w14:paraId="5869E0B5" w14:textId="77777777" w:rsidR="00853FAE" w:rsidRPr="00853FAE" w:rsidRDefault="00853FAE" w:rsidP="00853FAE">
      <w:pPr>
        <w:spacing w:before="120" w:after="60"/>
        <w:rPr>
          <w:b/>
          <w:bCs/>
        </w:rPr>
      </w:pPr>
    </w:p>
    <w:sectPr w:rsidR="00853FAE" w:rsidRPr="00853FAE"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29CF0" w14:textId="77777777" w:rsidR="00416A8C" w:rsidRDefault="00416A8C" w:rsidP="0048364F">
      <w:pPr>
        <w:spacing w:line="240" w:lineRule="auto"/>
      </w:pPr>
      <w:r>
        <w:separator/>
      </w:r>
    </w:p>
  </w:endnote>
  <w:endnote w:type="continuationSeparator" w:id="0">
    <w:p w14:paraId="409F166B" w14:textId="77777777" w:rsidR="00416A8C" w:rsidRDefault="00416A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6FE6" w14:textId="77777777" w:rsidR="00416A8C" w:rsidRPr="00E33C1C" w:rsidRDefault="00416A8C" w:rsidP="00EF607D">
    <w:pPr>
      <w:pBdr>
        <w:top w:val="single" w:sz="6" w:space="1" w:color="auto"/>
      </w:pBdr>
      <w:spacing w:before="120" w:line="0" w:lineRule="atLeast"/>
      <w:rPr>
        <w:sz w:val="16"/>
        <w:szCs w:val="16"/>
      </w:rPr>
    </w:pPr>
  </w:p>
  <w:p w14:paraId="07509E07" w14:textId="0F25F20D" w:rsidR="00416A8C" w:rsidRDefault="00416A8C"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416A8C" w:rsidRDefault="00416A8C" w:rsidP="00EF607D">
    <w:pPr>
      <w:rPr>
        <w:i/>
        <w:noProof/>
        <w:sz w:val="18"/>
      </w:rPr>
    </w:pPr>
  </w:p>
  <w:p w14:paraId="207E0878" w14:textId="77777777" w:rsidR="00416A8C" w:rsidRPr="00EF607D" w:rsidRDefault="00416A8C"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9F39" w14:textId="0F6AC659" w:rsidR="00416A8C" w:rsidRDefault="00416A8C" w:rsidP="00E32692">
    <w:pPr>
      <w:rPr>
        <w:i/>
        <w:sz w:val="18"/>
      </w:rPr>
    </w:pPr>
  </w:p>
  <w:p w14:paraId="0E47EFB8" w14:textId="77777777" w:rsidR="00416A8C" w:rsidRPr="008253D2" w:rsidRDefault="00416A8C"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7469" w14:textId="77777777" w:rsidR="00416A8C" w:rsidRDefault="00416A8C"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16A8C" w14:paraId="3765E653" w14:textId="77777777" w:rsidTr="00A60204">
      <w:tc>
        <w:tcPr>
          <w:tcW w:w="5000" w:type="pct"/>
        </w:tcPr>
        <w:p w14:paraId="7199E151" w14:textId="77777777" w:rsidR="00416A8C" w:rsidRDefault="00416A8C" w:rsidP="00A60204">
          <w:pPr>
            <w:rPr>
              <w:sz w:val="18"/>
            </w:rPr>
          </w:pPr>
        </w:p>
      </w:tc>
    </w:tr>
  </w:tbl>
  <w:p w14:paraId="5B41C868" w14:textId="77777777" w:rsidR="00416A8C" w:rsidRPr="00486382" w:rsidRDefault="00416A8C"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E1B4C" w14:textId="77777777" w:rsidR="00416A8C" w:rsidRPr="00E33C1C" w:rsidRDefault="00416A8C" w:rsidP="00E32692">
    <w:pPr>
      <w:pBdr>
        <w:top w:val="single" w:sz="6" w:space="1" w:color="auto"/>
      </w:pBdr>
      <w:spacing w:before="120" w:line="0" w:lineRule="atLeast"/>
      <w:rPr>
        <w:sz w:val="16"/>
        <w:szCs w:val="16"/>
      </w:rPr>
    </w:pPr>
  </w:p>
  <w:p w14:paraId="5129D8E6" w14:textId="559E6158" w:rsidR="00416A8C" w:rsidRPr="00956076" w:rsidRDefault="00416A8C" w:rsidP="00E32692">
    <w:pPr>
      <w:rPr>
        <w:i/>
        <w:noProof/>
        <w:sz w:val="16"/>
        <w:szCs w:val="16"/>
      </w:rPr>
    </w:pPr>
    <w:r w:rsidRPr="00956076">
      <w:rPr>
        <w:i/>
        <w:sz w:val="16"/>
        <w:szCs w:val="16"/>
      </w:rPr>
      <w:t>National Health (Highly Specialised Drugs Program) Special Arrangement Amendment (</w:t>
    </w:r>
    <w:r w:rsidRPr="008A058C">
      <w:rPr>
        <w:i/>
        <w:sz w:val="16"/>
        <w:szCs w:val="16"/>
      </w:rPr>
      <w:t>April</w:t>
    </w:r>
    <w:r>
      <w:rPr>
        <w:i/>
        <w:sz w:val="16"/>
        <w:szCs w:val="16"/>
      </w:rPr>
      <w:t xml:space="preserve"> </w:t>
    </w:r>
    <w:r w:rsidRPr="00956076">
      <w:rPr>
        <w:i/>
        <w:sz w:val="16"/>
        <w:szCs w:val="16"/>
      </w:rPr>
      <w:t>Update) Instrument 202</w:t>
    </w:r>
    <w:r>
      <w:rPr>
        <w:i/>
        <w:sz w:val="16"/>
        <w:szCs w:val="16"/>
      </w:rPr>
      <w:t>2</w:t>
    </w:r>
    <w:r w:rsidRPr="00956076">
      <w:rPr>
        <w:i/>
        <w:sz w:val="16"/>
        <w:szCs w:val="16"/>
      </w:rPr>
      <w:ptab w:relativeTo="margin" w:alignment="right" w:leader="none"/>
    </w:r>
    <w:proofErr w:type="spellStart"/>
    <w:r w:rsidRPr="00956076">
      <w:rPr>
        <w:i/>
        <w:sz w:val="16"/>
        <w:szCs w:val="16"/>
      </w:rPr>
      <w:t>i</w:t>
    </w:r>
    <w:proofErr w:type="spellEnd"/>
  </w:p>
  <w:p w14:paraId="4D72C26D" w14:textId="77777777" w:rsidR="00416A8C" w:rsidRDefault="00416A8C" w:rsidP="00E32692">
    <w:pPr>
      <w:rPr>
        <w:i/>
        <w:noProof/>
        <w:sz w:val="18"/>
      </w:rPr>
    </w:pPr>
  </w:p>
  <w:p w14:paraId="4699A564" w14:textId="77777777" w:rsidR="00416A8C" w:rsidRPr="008253D2" w:rsidRDefault="00416A8C"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183F" w14:textId="40D5FF3A" w:rsidR="00416A8C" w:rsidRDefault="00416A8C" w:rsidP="00A136F5">
    <w:pPr>
      <w:pBdr>
        <w:top w:val="single" w:sz="6" w:space="1" w:color="auto"/>
      </w:pBdr>
      <w:spacing w:line="0" w:lineRule="atLeast"/>
      <w:rPr>
        <w:sz w:val="16"/>
        <w:szCs w:val="16"/>
      </w:rPr>
    </w:pPr>
  </w:p>
  <w:p w14:paraId="3012D85E" w14:textId="01B0EA40" w:rsidR="00416A8C" w:rsidRPr="00E33C1C" w:rsidRDefault="00416A8C"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416A8C" w:rsidRDefault="00416A8C" w:rsidP="00A136F5">
    <w:pPr>
      <w:rPr>
        <w:i/>
        <w:sz w:val="18"/>
      </w:rPr>
    </w:pPr>
  </w:p>
  <w:p w14:paraId="30739223" w14:textId="77777777" w:rsidR="00416A8C" w:rsidRPr="00EF607D" w:rsidRDefault="00416A8C"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441C" w14:textId="77777777" w:rsidR="00416A8C" w:rsidRPr="00E33C1C" w:rsidRDefault="00416A8C" w:rsidP="00E32692">
    <w:pPr>
      <w:pBdr>
        <w:top w:val="single" w:sz="6" w:space="1" w:color="auto"/>
      </w:pBdr>
      <w:spacing w:before="120" w:line="0" w:lineRule="atLeast"/>
      <w:rPr>
        <w:sz w:val="16"/>
        <w:szCs w:val="16"/>
      </w:rPr>
    </w:pPr>
  </w:p>
  <w:p w14:paraId="3ABFDA16" w14:textId="2D132EDE" w:rsidR="00416A8C" w:rsidRPr="00B323CC" w:rsidRDefault="00416A8C" w:rsidP="00E32692">
    <w:pPr>
      <w:rPr>
        <w:i/>
        <w:noProof/>
        <w:sz w:val="16"/>
        <w:szCs w:val="16"/>
      </w:rPr>
    </w:pPr>
    <w:r w:rsidRPr="00B323CC">
      <w:rPr>
        <w:i/>
        <w:sz w:val="16"/>
        <w:szCs w:val="16"/>
      </w:rPr>
      <w:ptab w:relativeTo="margin" w:alignment="center" w:leader="none"/>
    </w:r>
    <w:r w:rsidRPr="00B323CC">
      <w:rPr>
        <w:i/>
        <w:sz w:val="16"/>
        <w:szCs w:val="16"/>
      </w:rPr>
      <w:t>National Health (</w:t>
    </w:r>
    <w:r>
      <w:rPr>
        <w:i/>
        <w:sz w:val="16"/>
        <w:szCs w:val="16"/>
      </w:rPr>
      <w:t>Highly Specialised Drugs Program)</w:t>
    </w:r>
    <w:r w:rsidRPr="00B323CC">
      <w:rPr>
        <w:i/>
        <w:sz w:val="16"/>
        <w:szCs w:val="16"/>
      </w:rPr>
      <w:t xml:space="preserve"> Special Arrangement </w:t>
    </w:r>
    <w:r w:rsidRPr="008A058C">
      <w:rPr>
        <w:i/>
        <w:sz w:val="16"/>
        <w:szCs w:val="16"/>
      </w:rPr>
      <w:t>Amendment (April</w:t>
    </w:r>
    <w:r>
      <w:rPr>
        <w:i/>
        <w:sz w:val="16"/>
        <w:szCs w:val="16"/>
      </w:rPr>
      <w:t xml:space="preserve"> Update)</w:t>
    </w:r>
    <w:r w:rsidRPr="00B323CC">
      <w:rPr>
        <w:i/>
        <w:sz w:val="16"/>
        <w:szCs w:val="16"/>
      </w:rPr>
      <w:t xml:space="preserve"> Instrument 202</w:t>
    </w:r>
    <w:r>
      <w:rPr>
        <w:i/>
        <w:sz w:val="16"/>
        <w:szCs w:val="16"/>
      </w:rPr>
      <w:t>2</w:t>
    </w:r>
    <w:r w:rsidRPr="00B323CC">
      <w:rPr>
        <w:i/>
        <w:sz w:val="16"/>
        <w:szCs w:val="16"/>
      </w:rPr>
      <w:t xml:space="preserve"> </w:t>
    </w:r>
    <w:r w:rsidRPr="00B323CC">
      <w:rPr>
        <w:i/>
        <w:sz w:val="16"/>
        <w:szCs w:val="16"/>
      </w:rPr>
      <w:ptab w:relativeTo="margin" w:alignment="right" w:leader="none"/>
    </w:r>
    <w:r w:rsidRPr="00B323CC">
      <w:rPr>
        <w:i/>
        <w:sz w:val="16"/>
        <w:szCs w:val="16"/>
      </w:rPr>
      <w:fldChar w:fldCharType="begin"/>
    </w:r>
    <w:r w:rsidRPr="00B323CC">
      <w:rPr>
        <w:i/>
        <w:sz w:val="16"/>
        <w:szCs w:val="16"/>
      </w:rPr>
      <w:instrText xml:space="preserve"> PAGE   \* MERGEFORMAT </w:instrText>
    </w:r>
    <w:r w:rsidRPr="00B323CC">
      <w:rPr>
        <w:i/>
        <w:sz w:val="16"/>
        <w:szCs w:val="16"/>
      </w:rPr>
      <w:fldChar w:fldCharType="separate"/>
    </w:r>
    <w:r w:rsidRPr="00B323CC">
      <w:rPr>
        <w:i/>
        <w:sz w:val="16"/>
        <w:szCs w:val="16"/>
      </w:rPr>
      <w:t>1</w:t>
    </w:r>
    <w:r w:rsidRPr="00B323CC">
      <w:rPr>
        <w:i/>
        <w:noProof/>
        <w:sz w:val="16"/>
        <w:szCs w:val="16"/>
      </w:rPr>
      <w:fldChar w:fldCharType="end"/>
    </w:r>
  </w:p>
  <w:p w14:paraId="6D1E57C1" w14:textId="77777777" w:rsidR="00416A8C" w:rsidRDefault="00416A8C" w:rsidP="00E32692">
    <w:pPr>
      <w:rPr>
        <w:i/>
        <w:noProof/>
        <w:sz w:val="18"/>
      </w:rPr>
    </w:pPr>
  </w:p>
  <w:p w14:paraId="4019782E" w14:textId="77777777" w:rsidR="00416A8C" w:rsidRPr="008253D2" w:rsidRDefault="00416A8C"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83D6" w14:textId="77777777" w:rsidR="00416A8C" w:rsidRPr="00E33C1C" w:rsidRDefault="00416A8C"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416A8C" w14:paraId="4EAEA115" w14:textId="77777777" w:rsidTr="000A4401">
      <w:trPr>
        <w:trHeight w:val="34"/>
      </w:trPr>
      <w:tc>
        <w:tcPr>
          <w:tcW w:w="1146" w:type="dxa"/>
          <w:tcBorders>
            <w:top w:val="nil"/>
            <w:left w:val="nil"/>
            <w:bottom w:val="nil"/>
            <w:right w:val="nil"/>
          </w:tcBorders>
        </w:tcPr>
        <w:p w14:paraId="176076F8" w14:textId="77777777" w:rsidR="00416A8C" w:rsidRDefault="00416A8C" w:rsidP="00EE57E8">
          <w:pPr>
            <w:spacing w:line="0" w:lineRule="atLeast"/>
            <w:rPr>
              <w:sz w:val="18"/>
            </w:rPr>
          </w:pPr>
        </w:p>
      </w:tc>
      <w:tc>
        <w:tcPr>
          <w:tcW w:w="11754" w:type="dxa"/>
          <w:tcBorders>
            <w:top w:val="nil"/>
            <w:left w:val="nil"/>
            <w:bottom w:val="nil"/>
            <w:right w:val="nil"/>
          </w:tcBorders>
        </w:tcPr>
        <w:p w14:paraId="6AC0D3D8" w14:textId="427AA0ED" w:rsidR="00416A8C" w:rsidRDefault="00416A8C"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416A8C" w:rsidRDefault="00416A8C" w:rsidP="00EE57E8">
          <w:pPr>
            <w:spacing w:line="0" w:lineRule="atLeast"/>
            <w:jc w:val="right"/>
            <w:rPr>
              <w:sz w:val="18"/>
            </w:rPr>
          </w:pPr>
          <w:r>
            <w:rPr>
              <w:sz w:val="18"/>
            </w:rPr>
            <w:t>3</w:t>
          </w:r>
        </w:p>
      </w:tc>
    </w:tr>
    <w:tr w:rsidR="00416A8C"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416A8C" w:rsidRDefault="00416A8C"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416A8C" w:rsidRPr="00ED79B6" w:rsidRDefault="00416A8C"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FB3F" w14:textId="77777777" w:rsidR="00416A8C" w:rsidRDefault="00416A8C" w:rsidP="0048364F">
      <w:pPr>
        <w:spacing w:line="240" w:lineRule="auto"/>
      </w:pPr>
      <w:r>
        <w:separator/>
      </w:r>
    </w:p>
  </w:footnote>
  <w:footnote w:type="continuationSeparator" w:id="0">
    <w:p w14:paraId="7B105BA2" w14:textId="77777777" w:rsidR="00416A8C" w:rsidRDefault="00416A8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ACABA" w14:textId="77777777" w:rsidR="00416A8C" w:rsidRPr="005F1388" w:rsidRDefault="00416A8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B5DD" w14:textId="77777777" w:rsidR="00416A8C" w:rsidRPr="00ED79B6" w:rsidRDefault="00416A8C"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A908" w14:textId="77777777" w:rsidR="00416A8C" w:rsidRPr="00A961C4" w:rsidRDefault="00416A8C" w:rsidP="0048364F">
    <w:pPr>
      <w:rPr>
        <w:b/>
        <w:sz w:val="20"/>
      </w:rPr>
    </w:pPr>
  </w:p>
  <w:p w14:paraId="2E714C95" w14:textId="77777777" w:rsidR="00416A8C" w:rsidRPr="00A961C4" w:rsidRDefault="00416A8C" w:rsidP="0048364F">
    <w:pPr>
      <w:rPr>
        <w:b/>
        <w:sz w:val="20"/>
      </w:rPr>
    </w:pPr>
  </w:p>
  <w:p w14:paraId="4B93BE34" w14:textId="77777777" w:rsidR="00416A8C" w:rsidRPr="00A961C4" w:rsidRDefault="00416A8C"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47C3" w14:textId="77777777" w:rsidR="00416A8C" w:rsidRPr="00A961C4" w:rsidRDefault="00416A8C" w:rsidP="0048364F">
    <w:pPr>
      <w:jc w:val="right"/>
      <w:rPr>
        <w:sz w:val="20"/>
      </w:rPr>
    </w:pPr>
  </w:p>
  <w:p w14:paraId="5774BD9C" w14:textId="77777777" w:rsidR="00416A8C" w:rsidRPr="00A961C4" w:rsidRDefault="00416A8C" w:rsidP="0048364F">
    <w:pPr>
      <w:jc w:val="right"/>
      <w:rPr>
        <w:b/>
        <w:sz w:val="20"/>
      </w:rPr>
    </w:pPr>
  </w:p>
  <w:p w14:paraId="349AE53C" w14:textId="77777777" w:rsidR="00416A8C" w:rsidRPr="00A961C4" w:rsidRDefault="00416A8C"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4898" w14:textId="77777777" w:rsidR="00416A8C" w:rsidRPr="00ED79B6" w:rsidRDefault="00416A8C"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30EC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BCD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265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DA5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02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CA0B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92CE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D08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CD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09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F3559"/>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B1768C"/>
    <w:multiLevelType w:val="multilevel"/>
    <w:tmpl w:val="4D9CE904"/>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6C7F57"/>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6976AC"/>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D7D3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53342"/>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3E0219"/>
    <w:multiLevelType w:val="hybridMultilevel"/>
    <w:tmpl w:val="C05C106C"/>
    <w:lvl w:ilvl="0" w:tplc="79205906">
      <w:start w:val="1"/>
      <w:numFmt w:val="lowerLetter"/>
      <w:lvlText w:val="(%1)"/>
      <w:lvlJc w:val="left"/>
      <w:pPr>
        <w:tabs>
          <w:tab w:val="num" w:pos="1047"/>
        </w:tabs>
        <w:ind w:left="1047" w:hanging="480"/>
      </w:pPr>
      <w:rPr>
        <w:rFonts w:ascii="Arial" w:hAnsi="Arial" w:cs="Arial" w:hint="default"/>
        <w:b/>
        <w:i w:val="0"/>
        <w:sz w:val="20"/>
        <w:szCs w:val="20"/>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9" w15:restartNumberingAfterBreak="0">
    <w:nsid w:val="254458B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A21E24"/>
    <w:multiLevelType w:val="hybridMultilevel"/>
    <w:tmpl w:val="221AA382"/>
    <w:lvl w:ilvl="0" w:tplc="4C5E2182">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3182020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4E6299"/>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BE7D43"/>
    <w:multiLevelType w:val="hybridMultilevel"/>
    <w:tmpl w:val="BACA6744"/>
    <w:lvl w:ilvl="0" w:tplc="4C5E2182">
      <w:start w:val="1"/>
      <w:numFmt w:val="lowerLetter"/>
      <w:lvlText w:val="(%1)"/>
      <w:lvlJc w:val="left"/>
      <w:pPr>
        <w:ind w:left="72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023570"/>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CA66B6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6A1962"/>
    <w:multiLevelType w:val="hybridMultilevel"/>
    <w:tmpl w:val="5A82B7BE"/>
    <w:lvl w:ilvl="0" w:tplc="7524892E">
      <w:start w:val="1"/>
      <w:numFmt w:val="lowerLetter"/>
      <w:lvlText w:val="(%1)"/>
      <w:lvlJc w:val="left"/>
      <w:pPr>
        <w:ind w:left="720" w:hanging="360"/>
      </w:pPr>
      <w:rPr>
        <w:rFonts w:ascii="Arial" w:hAnsi="Arial" w:cs="Arial"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69307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40598F"/>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5F1B5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AD16C3"/>
    <w:multiLevelType w:val="hybridMultilevel"/>
    <w:tmpl w:val="BACA6744"/>
    <w:lvl w:ilvl="0" w:tplc="4C5E2182">
      <w:start w:val="1"/>
      <w:numFmt w:val="lowerLetter"/>
      <w:lvlText w:val="(%1)"/>
      <w:lvlJc w:val="left"/>
      <w:pPr>
        <w:ind w:left="72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AF749F"/>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B43408"/>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1E02FD"/>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E4370A"/>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5B648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384939"/>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CD04AF"/>
    <w:multiLevelType w:val="hybridMultilevel"/>
    <w:tmpl w:val="A544ABE4"/>
    <w:lvl w:ilvl="0" w:tplc="978A2C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931E41"/>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9B4B14"/>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3E29DE"/>
    <w:multiLevelType w:val="hybridMultilevel"/>
    <w:tmpl w:val="D0060960"/>
    <w:lvl w:ilvl="0" w:tplc="842CEFC4">
      <w:start w:val="1"/>
      <w:numFmt w:val="lowerLetter"/>
      <w:lvlText w:val="(%1)"/>
      <w:lvlJc w:val="left"/>
      <w:pPr>
        <w:ind w:left="927"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43" w15:restartNumberingAfterBreak="0">
    <w:nsid w:val="7F9D111B"/>
    <w:multiLevelType w:val="hybridMultilevel"/>
    <w:tmpl w:val="C0FE6298"/>
    <w:lvl w:ilvl="0" w:tplc="9774EB6A">
      <w:start w:val="1"/>
      <w:numFmt w:val="lowerLetter"/>
      <w:lvlText w:val="(%1)"/>
      <w:lvlJc w:val="left"/>
      <w:pPr>
        <w:ind w:left="1134" w:hanging="567"/>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4"/>
  </w:num>
  <w:num w:numId="3">
    <w:abstractNumId w:val="42"/>
  </w:num>
  <w:num w:numId="4">
    <w:abstractNumId w:val="13"/>
  </w:num>
  <w:num w:numId="5">
    <w:abstractNumId w:val="11"/>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hint="default"/>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11"/>
  </w:num>
  <w:num w:numId="7">
    <w:abstractNumId w:val="38"/>
  </w:num>
  <w:num w:numId="8">
    <w:abstractNumId w:val="41"/>
  </w:num>
  <w:num w:numId="9">
    <w:abstractNumId w:val="43"/>
  </w:num>
  <w:num w:numId="10">
    <w:abstractNumId w:val="21"/>
  </w:num>
  <w:num w:numId="11">
    <w:abstractNumId w:val="30"/>
  </w:num>
  <w:num w:numId="12">
    <w:abstractNumId w:val="35"/>
  </w:num>
  <w:num w:numId="13">
    <w:abstractNumId w:val="15"/>
  </w:num>
  <w:num w:numId="14">
    <w:abstractNumId w:val="22"/>
  </w:num>
  <w:num w:numId="15">
    <w:abstractNumId w:val="32"/>
  </w:num>
  <w:num w:numId="16">
    <w:abstractNumId w:val="24"/>
  </w:num>
  <w:num w:numId="17">
    <w:abstractNumId w:val="28"/>
  </w:num>
  <w:num w:numId="18">
    <w:abstractNumId w:val="36"/>
  </w:num>
  <w:num w:numId="19">
    <w:abstractNumId w:val="37"/>
  </w:num>
  <w:num w:numId="20">
    <w:abstractNumId w:val="17"/>
  </w:num>
  <w:num w:numId="21">
    <w:abstractNumId w:val="19"/>
  </w:num>
  <w:num w:numId="22">
    <w:abstractNumId w:val="33"/>
  </w:num>
  <w:num w:numId="23">
    <w:abstractNumId w:val="16"/>
  </w:num>
  <w:num w:numId="24">
    <w:abstractNumId w:val="10"/>
  </w:num>
  <w:num w:numId="25">
    <w:abstractNumId w:val="39"/>
  </w:num>
  <w:num w:numId="26">
    <w:abstractNumId w:val="26"/>
  </w:num>
  <w:num w:numId="27">
    <w:abstractNumId w:val="29"/>
  </w:num>
  <w:num w:numId="28">
    <w:abstractNumId w:val="12"/>
  </w:num>
  <w:num w:numId="29">
    <w:abstractNumId w:val="40"/>
  </w:num>
  <w:num w:numId="30">
    <w:abstractNumId w:val="34"/>
  </w:num>
  <w:num w:numId="31">
    <w:abstractNumId w:val="11"/>
    <w:lvlOverride w:ilvl="0">
      <w:lvl w:ilvl="0">
        <w:start w:val="1"/>
        <w:numFmt w:val="decimal"/>
        <w:lvlText w:val="[%1]"/>
        <w:lvlJc w:val="left"/>
        <w:pPr>
          <w:ind w:left="6120" w:hanging="360"/>
        </w:pPr>
        <w:rPr>
          <w:rFonts w:ascii="Arial" w:hAnsi="Arial" w:cs="Arial" w:hint="default"/>
          <w:b/>
          <w:i w:val="0"/>
          <w:sz w:val="20"/>
          <w:szCs w:val="20"/>
        </w:rPr>
      </w:lvl>
    </w:lvlOverride>
    <w:lvlOverride w:ilvl="1">
      <w:lvl w:ilvl="1">
        <w:start w:val="1"/>
        <w:numFmt w:val="lowerLetter"/>
        <w:lvlText w:val="%2."/>
        <w:lvlJc w:val="left"/>
        <w:pPr>
          <w:ind w:left="6840" w:hanging="360"/>
        </w:pPr>
      </w:lvl>
    </w:lvlOverride>
    <w:lvlOverride w:ilvl="2">
      <w:lvl w:ilvl="2">
        <w:start w:val="1"/>
        <w:numFmt w:val="lowerRoman"/>
        <w:lvlText w:val="%3."/>
        <w:lvlJc w:val="right"/>
        <w:pPr>
          <w:ind w:left="7560" w:hanging="180"/>
        </w:pPr>
      </w:lvl>
    </w:lvlOverride>
    <w:lvlOverride w:ilvl="3">
      <w:lvl w:ilvl="3">
        <w:start w:val="1"/>
        <w:numFmt w:val="decimal"/>
        <w:lvlText w:val="%4."/>
        <w:lvlJc w:val="left"/>
        <w:pPr>
          <w:ind w:left="8280" w:hanging="360"/>
        </w:pPr>
      </w:lvl>
    </w:lvlOverride>
    <w:lvlOverride w:ilvl="4">
      <w:lvl w:ilvl="4">
        <w:start w:val="1"/>
        <w:numFmt w:val="lowerLetter"/>
        <w:lvlText w:val="%5."/>
        <w:lvlJc w:val="left"/>
        <w:pPr>
          <w:ind w:left="9000" w:hanging="360"/>
        </w:pPr>
      </w:lvl>
    </w:lvlOverride>
    <w:lvlOverride w:ilvl="5">
      <w:lvl w:ilvl="5">
        <w:start w:val="1"/>
        <w:numFmt w:val="lowerRoman"/>
        <w:lvlText w:val="%6."/>
        <w:lvlJc w:val="right"/>
        <w:pPr>
          <w:ind w:left="9720" w:hanging="180"/>
        </w:pPr>
      </w:lvl>
    </w:lvlOverride>
    <w:lvlOverride w:ilvl="6">
      <w:lvl w:ilvl="6">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7"/>
  </w:num>
  <w:num w:numId="43">
    <w:abstractNumId w:val="11"/>
    <w:lvlOverride w:ilvl="0">
      <w:lvl w:ilvl="0">
        <w:start w:val="1"/>
        <w:numFmt w:val="decimal"/>
        <w:lvlText w:val="[%1]"/>
        <w:lvlJc w:val="left"/>
        <w:pPr>
          <w:ind w:left="6120" w:hanging="360"/>
        </w:pPr>
        <w:rPr>
          <w:rFonts w:ascii="Arial" w:hAnsi="Arial" w:cs="Arial" w:hint="default"/>
          <w:b/>
          <w:i w:val="0"/>
          <w:color w:val="auto"/>
          <w:sz w:val="20"/>
          <w:szCs w:val="20"/>
        </w:rPr>
      </w:lvl>
    </w:lvlOverride>
    <w:lvlOverride w:ilvl="1">
      <w:lvl w:ilvl="1">
        <w:start w:val="1"/>
        <w:numFmt w:val="decimal"/>
        <w:lvlText w:val="%2."/>
        <w:lvlJc w:val="left"/>
        <w:pPr>
          <w:ind w:left="6840" w:hanging="360"/>
        </w:pPr>
      </w:lvl>
    </w:lvlOverride>
    <w:lvlOverride w:ilvl="2">
      <w:lvl w:ilvl="2">
        <w:start w:val="1"/>
        <w:numFmt w:val="lowerRoman"/>
        <w:lvlText w:val="%3."/>
        <w:lvlJc w:val="right"/>
        <w:pPr>
          <w:ind w:left="7560" w:hanging="180"/>
        </w:pPr>
      </w:lvl>
    </w:lvlOverride>
    <w:lvlOverride w:ilvl="3">
      <w:lvl w:ilvl="3">
        <w:start w:val="1"/>
        <w:numFmt w:val="decimal"/>
        <w:lvlText w:val="%4."/>
        <w:lvlJc w:val="left"/>
        <w:pPr>
          <w:ind w:left="8280" w:hanging="360"/>
        </w:pPr>
      </w:lvl>
    </w:lvlOverride>
    <w:lvlOverride w:ilvl="4">
      <w:lvl w:ilvl="4">
        <w:start w:val="1"/>
        <w:numFmt w:val="decimal"/>
        <w:lvlText w:val="%5)"/>
        <w:lvlJc w:val="left"/>
        <w:pPr>
          <w:ind w:left="9000" w:hanging="360"/>
        </w:pPr>
      </w:lvl>
    </w:lvlOverride>
    <w:lvlOverride w:ilvl="5">
      <w:lvl w:ilvl="5">
        <w:start w:val="1"/>
        <w:numFmt w:val="decimal"/>
        <w:lvlText w:val="%6."/>
        <w:lvlJc w:val="right"/>
        <w:pPr>
          <w:ind w:left="9720" w:hanging="180"/>
        </w:pPr>
      </w:lvl>
    </w:lvlOverride>
    <w:lvlOverride w:ilvl="6">
      <w:lvl w:ilvl="6">
        <w:start w:val="1"/>
        <w:numFmt w:val="decimal"/>
        <w:lvlText w:val="%7."/>
        <w:lvlJc w:val="left"/>
        <w:pPr>
          <w:ind w:left="10440" w:hanging="360"/>
        </w:pPr>
      </w:lvl>
    </w:lvlOverride>
    <w:lvlOverride w:ilvl="7">
      <w:lvl w:ilvl="7">
        <w:start w:val="1"/>
        <w:numFmt w:val="decimal"/>
        <w:lvlText w:val="%8."/>
        <w:lvlJc w:val="left"/>
        <w:pPr>
          <w:ind w:left="11160" w:hanging="360"/>
        </w:pPr>
      </w:lvl>
    </w:lvlOverride>
    <w:lvlOverride w:ilvl="8">
      <w:lvl w:ilvl="8">
        <w:start w:val="1"/>
        <w:numFmt w:val="decimal"/>
        <w:lvlText w:val="%9."/>
        <w:lvlJc w:val="right"/>
        <w:pPr>
          <w:ind w:left="11880" w:hanging="180"/>
        </w:pPr>
      </w:lvl>
    </w:lvlOverride>
  </w:num>
  <w:num w:numId="44">
    <w:abstractNumId w:val="31"/>
  </w:num>
  <w:num w:numId="45">
    <w:abstractNumId w:val="18"/>
  </w:num>
  <w:num w:numId="46">
    <w:abstractNumId w:val="23"/>
  </w:num>
  <w:num w:numId="4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13BC"/>
    <w:rsid w:val="000136AF"/>
    <w:rsid w:val="0001411C"/>
    <w:rsid w:val="00025590"/>
    <w:rsid w:val="0004044E"/>
    <w:rsid w:val="00043D38"/>
    <w:rsid w:val="0005120E"/>
    <w:rsid w:val="00054577"/>
    <w:rsid w:val="000545F7"/>
    <w:rsid w:val="00055070"/>
    <w:rsid w:val="000614BF"/>
    <w:rsid w:val="0007169C"/>
    <w:rsid w:val="00077593"/>
    <w:rsid w:val="00083F48"/>
    <w:rsid w:val="000917FD"/>
    <w:rsid w:val="000A4401"/>
    <w:rsid w:val="000A479A"/>
    <w:rsid w:val="000A7DF9"/>
    <w:rsid w:val="000B75B5"/>
    <w:rsid w:val="000C0946"/>
    <w:rsid w:val="000C2355"/>
    <w:rsid w:val="000C559D"/>
    <w:rsid w:val="000D05EF"/>
    <w:rsid w:val="000D3FB9"/>
    <w:rsid w:val="000D5485"/>
    <w:rsid w:val="000D72ED"/>
    <w:rsid w:val="000E4592"/>
    <w:rsid w:val="000E4786"/>
    <w:rsid w:val="000E598E"/>
    <w:rsid w:val="000E5A3D"/>
    <w:rsid w:val="000F0ADA"/>
    <w:rsid w:val="000F21C1"/>
    <w:rsid w:val="0010745C"/>
    <w:rsid w:val="001122FF"/>
    <w:rsid w:val="001242AB"/>
    <w:rsid w:val="0015668E"/>
    <w:rsid w:val="00160BD7"/>
    <w:rsid w:val="001643C9"/>
    <w:rsid w:val="00165568"/>
    <w:rsid w:val="00166082"/>
    <w:rsid w:val="00166C2F"/>
    <w:rsid w:val="00170CAE"/>
    <w:rsid w:val="001716C9"/>
    <w:rsid w:val="00184261"/>
    <w:rsid w:val="00184BEE"/>
    <w:rsid w:val="00193461"/>
    <w:rsid w:val="001939E1"/>
    <w:rsid w:val="0019452E"/>
    <w:rsid w:val="00194CE1"/>
    <w:rsid w:val="00195382"/>
    <w:rsid w:val="001A286A"/>
    <w:rsid w:val="001A3B9F"/>
    <w:rsid w:val="001A5520"/>
    <w:rsid w:val="001A65C0"/>
    <w:rsid w:val="001A696B"/>
    <w:rsid w:val="001B7A5D"/>
    <w:rsid w:val="001C69C4"/>
    <w:rsid w:val="001D4937"/>
    <w:rsid w:val="001D4D1D"/>
    <w:rsid w:val="001E0A8D"/>
    <w:rsid w:val="001E3590"/>
    <w:rsid w:val="001E7407"/>
    <w:rsid w:val="001F1A46"/>
    <w:rsid w:val="00201D27"/>
    <w:rsid w:val="00205A1B"/>
    <w:rsid w:val="0021153A"/>
    <w:rsid w:val="00220FB9"/>
    <w:rsid w:val="00223241"/>
    <w:rsid w:val="002245A6"/>
    <w:rsid w:val="002302EA"/>
    <w:rsid w:val="00237614"/>
    <w:rsid w:val="00240749"/>
    <w:rsid w:val="002468D7"/>
    <w:rsid w:val="00247E97"/>
    <w:rsid w:val="002536E6"/>
    <w:rsid w:val="00256C81"/>
    <w:rsid w:val="00257BBB"/>
    <w:rsid w:val="00261493"/>
    <w:rsid w:val="002650AD"/>
    <w:rsid w:val="00285CDD"/>
    <w:rsid w:val="00291167"/>
    <w:rsid w:val="0029489E"/>
    <w:rsid w:val="00297ECB"/>
    <w:rsid w:val="002B2C66"/>
    <w:rsid w:val="002B6E2F"/>
    <w:rsid w:val="002C152A"/>
    <w:rsid w:val="002C251F"/>
    <w:rsid w:val="002D043A"/>
    <w:rsid w:val="002E0A2A"/>
    <w:rsid w:val="0030116F"/>
    <w:rsid w:val="003138E0"/>
    <w:rsid w:val="0031713F"/>
    <w:rsid w:val="003222D1"/>
    <w:rsid w:val="00323E14"/>
    <w:rsid w:val="0032750F"/>
    <w:rsid w:val="003313CB"/>
    <w:rsid w:val="00334440"/>
    <w:rsid w:val="003415D3"/>
    <w:rsid w:val="003442F6"/>
    <w:rsid w:val="00346335"/>
    <w:rsid w:val="00352B0F"/>
    <w:rsid w:val="003561B0"/>
    <w:rsid w:val="00365676"/>
    <w:rsid w:val="00371C8F"/>
    <w:rsid w:val="00397893"/>
    <w:rsid w:val="003A15AC"/>
    <w:rsid w:val="003B0627"/>
    <w:rsid w:val="003C27F8"/>
    <w:rsid w:val="003C5F2B"/>
    <w:rsid w:val="003C74E0"/>
    <w:rsid w:val="003C7D35"/>
    <w:rsid w:val="003D0BFE"/>
    <w:rsid w:val="003D2ED0"/>
    <w:rsid w:val="003D4F56"/>
    <w:rsid w:val="003D5700"/>
    <w:rsid w:val="003E0591"/>
    <w:rsid w:val="003F467C"/>
    <w:rsid w:val="003F6F52"/>
    <w:rsid w:val="004022CA"/>
    <w:rsid w:val="0041022B"/>
    <w:rsid w:val="00410290"/>
    <w:rsid w:val="004116CD"/>
    <w:rsid w:val="00414ADE"/>
    <w:rsid w:val="00416A8C"/>
    <w:rsid w:val="00424CA9"/>
    <w:rsid w:val="004257BB"/>
    <w:rsid w:val="0044291A"/>
    <w:rsid w:val="004600B0"/>
    <w:rsid w:val="00460499"/>
    <w:rsid w:val="00460FBA"/>
    <w:rsid w:val="00462D05"/>
    <w:rsid w:val="00471729"/>
    <w:rsid w:val="004739E8"/>
    <w:rsid w:val="00474835"/>
    <w:rsid w:val="00475656"/>
    <w:rsid w:val="004819C7"/>
    <w:rsid w:val="0048364F"/>
    <w:rsid w:val="004877FC"/>
    <w:rsid w:val="00490F2E"/>
    <w:rsid w:val="0049218E"/>
    <w:rsid w:val="00496F97"/>
    <w:rsid w:val="0049750C"/>
    <w:rsid w:val="004A50BB"/>
    <w:rsid w:val="004A53EA"/>
    <w:rsid w:val="004B35E7"/>
    <w:rsid w:val="004C3376"/>
    <w:rsid w:val="004C4B38"/>
    <w:rsid w:val="004E101A"/>
    <w:rsid w:val="004E1E67"/>
    <w:rsid w:val="004E390D"/>
    <w:rsid w:val="004E7FB9"/>
    <w:rsid w:val="004F158E"/>
    <w:rsid w:val="004F1FAC"/>
    <w:rsid w:val="004F676E"/>
    <w:rsid w:val="004F71C0"/>
    <w:rsid w:val="005035C5"/>
    <w:rsid w:val="00516B8D"/>
    <w:rsid w:val="00520E7B"/>
    <w:rsid w:val="00524939"/>
    <w:rsid w:val="00526411"/>
    <w:rsid w:val="0052756C"/>
    <w:rsid w:val="00530230"/>
    <w:rsid w:val="00530CC9"/>
    <w:rsid w:val="00531B46"/>
    <w:rsid w:val="00537FBC"/>
    <w:rsid w:val="005413F2"/>
    <w:rsid w:val="00541D73"/>
    <w:rsid w:val="00543469"/>
    <w:rsid w:val="00546FA3"/>
    <w:rsid w:val="005507C9"/>
    <w:rsid w:val="0055142F"/>
    <w:rsid w:val="00557C7A"/>
    <w:rsid w:val="00562A58"/>
    <w:rsid w:val="005643C7"/>
    <w:rsid w:val="0056541A"/>
    <w:rsid w:val="00574E7A"/>
    <w:rsid w:val="005771D5"/>
    <w:rsid w:val="00581211"/>
    <w:rsid w:val="00582FB6"/>
    <w:rsid w:val="00584811"/>
    <w:rsid w:val="00593AA6"/>
    <w:rsid w:val="00594161"/>
    <w:rsid w:val="00594749"/>
    <w:rsid w:val="00594956"/>
    <w:rsid w:val="005A0D79"/>
    <w:rsid w:val="005B1555"/>
    <w:rsid w:val="005B4067"/>
    <w:rsid w:val="005C3F41"/>
    <w:rsid w:val="005C4EF0"/>
    <w:rsid w:val="005C76CC"/>
    <w:rsid w:val="005D5EA1"/>
    <w:rsid w:val="005E098C"/>
    <w:rsid w:val="005E1F8D"/>
    <w:rsid w:val="005E317F"/>
    <w:rsid w:val="005E61D3"/>
    <w:rsid w:val="005E7450"/>
    <w:rsid w:val="00600219"/>
    <w:rsid w:val="006043AB"/>
    <w:rsid w:val="00604D98"/>
    <w:rsid w:val="006065DA"/>
    <w:rsid w:val="00606AA4"/>
    <w:rsid w:val="006201F2"/>
    <w:rsid w:val="00621BD4"/>
    <w:rsid w:val="00621F8C"/>
    <w:rsid w:val="006309BF"/>
    <w:rsid w:val="00630F1C"/>
    <w:rsid w:val="00631973"/>
    <w:rsid w:val="006331CB"/>
    <w:rsid w:val="006346F4"/>
    <w:rsid w:val="00635D41"/>
    <w:rsid w:val="00640402"/>
    <w:rsid w:val="0064049E"/>
    <w:rsid w:val="00640F78"/>
    <w:rsid w:val="00646EC8"/>
    <w:rsid w:val="00655D6A"/>
    <w:rsid w:val="00656DE9"/>
    <w:rsid w:val="00667C24"/>
    <w:rsid w:val="00671184"/>
    <w:rsid w:val="00672876"/>
    <w:rsid w:val="006748A8"/>
    <w:rsid w:val="00677164"/>
    <w:rsid w:val="00677CC2"/>
    <w:rsid w:val="00685F42"/>
    <w:rsid w:val="00691B37"/>
    <w:rsid w:val="0069207B"/>
    <w:rsid w:val="00697764"/>
    <w:rsid w:val="006A1099"/>
    <w:rsid w:val="006A304E"/>
    <w:rsid w:val="006B7006"/>
    <w:rsid w:val="006C00E6"/>
    <w:rsid w:val="006C3073"/>
    <w:rsid w:val="006C7F8C"/>
    <w:rsid w:val="006D6F37"/>
    <w:rsid w:val="006D7AB9"/>
    <w:rsid w:val="006E09A9"/>
    <w:rsid w:val="006E60F4"/>
    <w:rsid w:val="006F2A1D"/>
    <w:rsid w:val="00700B2C"/>
    <w:rsid w:val="00713084"/>
    <w:rsid w:val="007138ED"/>
    <w:rsid w:val="00717463"/>
    <w:rsid w:val="00717664"/>
    <w:rsid w:val="00720FC2"/>
    <w:rsid w:val="00722E89"/>
    <w:rsid w:val="00731E00"/>
    <w:rsid w:val="007339C7"/>
    <w:rsid w:val="007440B7"/>
    <w:rsid w:val="00747298"/>
    <w:rsid w:val="00747993"/>
    <w:rsid w:val="007634AD"/>
    <w:rsid w:val="007635F4"/>
    <w:rsid w:val="00766668"/>
    <w:rsid w:val="007715C9"/>
    <w:rsid w:val="00774EDD"/>
    <w:rsid w:val="007757EC"/>
    <w:rsid w:val="00787387"/>
    <w:rsid w:val="0079379B"/>
    <w:rsid w:val="007A6863"/>
    <w:rsid w:val="007C2B56"/>
    <w:rsid w:val="007C78B4"/>
    <w:rsid w:val="007D17C1"/>
    <w:rsid w:val="007D2828"/>
    <w:rsid w:val="007E32B6"/>
    <w:rsid w:val="007E486B"/>
    <w:rsid w:val="007E7CC1"/>
    <w:rsid w:val="007E7D4A"/>
    <w:rsid w:val="007F48ED"/>
    <w:rsid w:val="007F5E3F"/>
    <w:rsid w:val="00803066"/>
    <w:rsid w:val="0081032A"/>
    <w:rsid w:val="00812A04"/>
    <w:rsid w:val="00812F45"/>
    <w:rsid w:val="00824B1D"/>
    <w:rsid w:val="0082732B"/>
    <w:rsid w:val="00836FE9"/>
    <w:rsid w:val="00840318"/>
    <w:rsid w:val="0084172C"/>
    <w:rsid w:val="0085175E"/>
    <w:rsid w:val="00853FAE"/>
    <w:rsid w:val="00856A31"/>
    <w:rsid w:val="00872B3E"/>
    <w:rsid w:val="0087425E"/>
    <w:rsid w:val="008754D0"/>
    <w:rsid w:val="00877C69"/>
    <w:rsid w:val="00877D48"/>
    <w:rsid w:val="0088345B"/>
    <w:rsid w:val="00893BA3"/>
    <w:rsid w:val="008A058C"/>
    <w:rsid w:val="008A16A5"/>
    <w:rsid w:val="008A4797"/>
    <w:rsid w:val="008A5C57"/>
    <w:rsid w:val="008B1546"/>
    <w:rsid w:val="008B6EBA"/>
    <w:rsid w:val="008C0629"/>
    <w:rsid w:val="008D0EE0"/>
    <w:rsid w:val="008D7A27"/>
    <w:rsid w:val="008E4702"/>
    <w:rsid w:val="008E69AA"/>
    <w:rsid w:val="008F19D9"/>
    <w:rsid w:val="008F4F1C"/>
    <w:rsid w:val="008F6E5E"/>
    <w:rsid w:val="009004CB"/>
    <w:rsid w:val="00901000"/>
    <w:rsid w:val="009069AD"/>
    <w:rsid w:val="00907CDE"/>
    <w:rsid w:val="00910E64"/>
    <w:rsid w:val="009137CA"/>
    <w:rsid w:val="00921F33"/>
    <w:rsid w:val="00922764"/>
    <w:rsid w:val="009258DE"/>
    <w:rsid w:val="009278C1"/>
    <w:rsid w:val="0093032B"/>
    <w:rsid w:val="00932377"/>
    <w:rsid w:val="00932905"/>
    <w:rsid w:val="009346E3"/>
    <w:rsid w:val="00941C0E"/>
    <w:rsid w:val="0094523D"/>
    <w:rsid w:val="00945E27"/>
    <w:rsid w:val="00947715"/>
    <w:rsid w:val="00952072"/>
    <w:rsid w:val="00956076"/>
    <w:rsid w:val="0096208C"/>
    <w:rsid w:val="009657C2"/>
    <w:rsid w:val="009740E2"/>
    <w:rsid w:val="00974349"/>
    <w:rsid w:val="00976A63"/>
    <w:rsid w:val="00987180"/>
    <w:rsid w:val="009B0106"/>
    <w:rsid w:val="009B2490"/>
    <w:rsid w:val="009B50E5"/>
    <w:rsid w:val="009C3431"/>
    <w:rsid w:val="009C3F6F"/>
    <w:rsid w:val="009C5989"/>
    <w:rsid w:val="009C6A32"/>
    <w:rsid w:val="009D08DA"/>
    <w:rsid w:val="009E6B9B"/>
    <w:rsid w:val="00A06860"/>
    <w:rsid w:val="00A116D0"/>
    <w:rsid w:val="00A136F5"/>
    <w:rsid w:val="00A13A46"/>
    <w:rsid w:val="00A231E2"/>
    <w:rsid w:val="00A2550D"/>
    <w:rsid w:val="00A34067"/>
    <w:rsid w:val="00A379BB"/>
    <w:rsid w:val="00A41414"/>
    <w:rsid w:val="00A4169B"/>
    <w:rsid w:val="00A50D55"/>
    <w:rsid w:val="00A52FDA"/>
    <w:rsid w:val="00A60204"/>
    <w:rsid w:val="00A647D3"/>
    <w:rsid w:val="00A64912"/>
    <w:rsid w:val="00A70A74"/>
    <w:rsid w:val="00A720D6"/>
    <w:rsid w:val="00A7743E"/>
    <w:rsid w:val="00A775DB"/>
    <w:rsid w:val="00A9231A"/>
    <w:rsid w:val="00A95BC7"/>
    <w:rsid w:val="00AA0343"/>
    <w:rsid w:val="00AA78CE"/>
    <w:rsid w:val="00AA7B26"/>
    <w:rsid w:val="00AB0CEA"/>
    <w:rsid w:val="00AC3CA6"/>
    <w:rsid w:val="00AC767C"/>
    <w:rsid w:val="00AD3467"/>
    <w:rsid w:val="00AD5641"/>
    <w:rsid w:val="00AD5E7D"/>
    <w:rsid w:val="00AE4C85"/>
    <w:rsid w:val="00AE52F0"/>
    <w:rsid w:val="00AF33DB"/>
    <w:rsid w:val="00B013D7"/>
    <w:rsid w:val="00B032D8"/>
    <w:rsid w:val="00B0436A"/>
    <w:rsid w:val="00B05D72"/>
    <w:rsid w:val="00B07AF7"/>
    <w:rsid w:val="00B20990"/>
    <w:rsid w:val="00B23FAF"/>
    <w:rsid w:val="00B25255"/>
    <w:rsid w:val="00B323CC"/>
    <w:rsid w:val="00B33B3C"/>
    <w:rsid w:val="00B367C3"/>
    <w:rsid w:val="00B40D74"/>
    <w:rsid w:val="00B42649"/>
    <w:rsid w:val="00B46467"/>
    <w:rsid w:val="00B5264A"/>
    <w:rsid w:val="00B52663"/>
    <w:rsid w:val="00B54516"/>
    <w:rsid w:val="00B54BFC"/>
    <w:rsid w:val="00B56DCB"/>
    <w:rsid w:val="00B57495"/>
    <w:rsid w:val="00B61728"/>
    <w:rsid w:val="00B66109"/>
    <w:rsid w:val="00B6620B"/>
    <w:rsid w:val="00B770D2"/>
    <w:rsid w:val="00B918F4"/>
    <w:rsid w:val="00B93516"/>
    <w:rsid w:val="00B96776"/>
    <w:rsid w:val="00B973E5"/>
    <w:rsid w:val="00BA47A3"/>
    <w:rsid w:val="00BA5026"/>
    <w:rsid w:val="00BA7B5B"/>
    <w:rsid w:val="00BB5D3E"/>
    <w:rsid w:val="00BB6E79"/>
    <w:rsid w:val="00BC1E65"/>
    <w:rsid w:val="00BC6542"/>
    <w:rsid w:val="00BC68A4"/>
    <w:rsid w:val="00BC7363"/>
    <w:rsid w:val="00BD1342"/>
    <w:rsid w:val="00BE2071"/>
    <w:rsid w:val="00BE3676"/>
    <w:rsid w:val="00BE42C5"/>
    <w:rsid w:val="00BE719A"/>
    <w:rsid w:val="00BE720A"/>
    <w:rsid w:val="00BF0723"/>
    <w:rsid w:val="00BF41CA"/>
    <w:rsid w:val="00BF6650"/>
    <w:rsid w:val="00C0679F"/>
    <w:rsid w:val="00C067E5"/>
    <w:rsid w:val="00C06F6E"/>
    <w:rsid w:val="00C164CA"/>
    <w:rsid w:val="00C24E08"/>
    <w:rsid w:val="00C26051"/>
    <w:rsid w:val="00C2723A"/>
    <w:rsid w:val="00C42BF8"/>
    <w:rsid w:val="00C445CF"/>
    <w:rsid w:val="00C460AE"/>
    <w:rsid w:val="00C4631D"/>
    <w:rsid w:val="00C50043"/>
    <w:rsid w:val="00C5015F"/>
    <w:rsid w:val="00C50A0F"/>
    <w:rsid w:val="00C50F4A"/>
    <w:rsid w:val="00C52915"/>
    <w:rsid w:val="00C6304E"/>
    <w:rsid w:val="00C72D10"/>
    <w:rsid w:val="00C7573B"/>
    <w:rsid w:val="00C76CF3"/>
    <w:rsid w:val="00C90B0A"/>
    <w:rsid w:val="00C93205"/>
    <w:rsid w:val="00C945DC"/>
    <w:rsid w:val="00CA7844"/>
    <w:rsid w:val="00CB58EF"/>
    <w:rsid w:val="00CD028A"/>
    <w:rsid w:val="00CE0A93"/>
    <w:rsid w:val="00CE504D"/>
    <w:rsid w:val="00CF0BB2"/>
    <w:rsid w:val="00CF5BB7"/>
    <w:rsid w:val="00D0279E"/>
    <w:rsid w:val="00D12AAF"/>
    <w:rsid w:val="00D12B0D"/>
    <w:rsid w:val="00D13441"/>
    <w:rsid w:val="00D20601"/>
    <w:rsid w:val="00D243A3"/>
    <w:rsid w:val="00D249AD"/>
    <w:rsid w:val="00D30036"/>
    <w:rsid w:val="00D33440"/>
    <w:rsid w:val="00D422D7"/>
    <w:rsid w:val="00D50439"/>
    <w:rsid w:val="00D52EFE"/>
    <w:rsid w:val="00D56A0D"/>
    <w:rsid w:val="00D63EF6"/>
    <w:rsid w:val="00D65B12"/>
    <w:rsid w:val="00D66518"/>
    <w:rsid w:val="00D67FE1"/>
    <w:rsid w:val="00D70DFB"/>
    <w:rsid w:val="00D71EEA"/>
    <w:rsid w:val="00D735CD"/>
    <w:rsid w:val="00D73CAE"/>
    <w:rsid w:val="00D766DF"/>
    <w:rsid w:val="00D90841"/>
    <w:rsid w:val="00D92FCC"/>
    <w:rsid w:val="00D96416"/>
    <w:rsid w:val="00D970A9"/>
    <w:rsid w:val="00D97C3D"/>
    <w:rsid w:val="00DA2439"/>
    <w:rsid w:val="00DA6F05"/>
    <w:rsid w:val="00DB5C4F"/>
    <w:rsid w:val="00DB64FC"/>
    <w:rsid w:val="00DB73EE"/>
    <w:rsid w:val="00DC21F5"/>
    <w:rsid w:val="00DC28C1"/>
    <w:rsid w:val="00DC395A"/>
    <w:rsid w:val="00DD133B"/>
    <w:rsid w:val="00DD755E"/>
    <w:rsid w:val="00DE149E"/>
    <w:rsid w:val="00E02E85"/>
    <w:rsid w:val="00E034DB"/>
    <w:rsid w:val="00E037E8"/>
    <w:rsid w:val="00E05704"/>
    <w:rsid w:val="00E12F1A"/>
    <w:rsid w:val="00E20BFB"/>
    <w:rsid w:val="00E22935"/>
    <w:rsid w:val="00E255D0"/>
    <w:rsid w:val="00E31513"/>
    <w:rsid w:val="00E32692"/>
    <w:rsid w:val="00E402A7"/>
    <w:rsid w:val="00E54292"/>
    <w:rsid w:val="00E60191"/>
    <w:rsid w:val="00E67B0E"/>
    <w:rsid w:val="00E71B3F"/>
    <w:rsid w:val="00E736EE"/>
    <w:rsid w:val="00E74DC7"/>
    <w:rsid w:val="00E87699"/>
    <w:rsid w:val="00E92E27"/>
    <w:rsid w:val="00E9586B"/>
    <w:rsid w:val="00E95B5D"/>
    <w:rsid w:val="00E97334"/>
    <w:rsid w:val="00EB3A99"/>
    <w:rsid w:val="00EB65F8"/>
    <w:rsid w:val="00EC62FA"/>
    <w:rsid w:val="00EC63B3"/>
    <w:rsid w:val="00ED42BE"/>
    <w:rsid w:val="00ED4928"/>
    <w:rsid w:val="00ED511D"/>
    <w:rsid w:val="00EE3FFE"/>
    <w:rsid w:val="00EE57E8"/>
    <w:rsid w:val="00EE6190"/>
    <w:rsid w:val="00EF2E3A"/>
    <w:rsid w:val="00EF53AA"/>
    <w:rsid w:val="00EF607D"/>
    <w:rsid w:val="00EF6402"/>
    <w:rsid w:val="00F047E2"/>
    <w:rsid w:val="00F04D57"/>
    <w:rsid w:val="00F078DC"/>
    <w:rsid w:val="00F10594"/>
    <w:rsid w:val="00F1097B"/>
    <w:rsid w:val="00F13E86"/>
    <w:rsid w:val="00F14D03"/>
    <w:rsid w:val="00F20B52"/>
    <w:rsid w:val="00F31396"/>
    <w:rsid w:val="00F32FCB"/>
    <w:rsid w:val="00F33523"/>
    <w:rsid w:val="00F44B96"/>
    <w:rsid w:val="00F50F16"/>
    <w:rsid w:val="00F677A9"/>
    <w:rsid w:val="00F75EF1"/>
    <w:rsid w:val="00F8121C"/>
    <w:rsid w:val="00F84CF5"/>
    <w:rsid w:val="00F8612E"/>
    <w:rsid w:val="00F9334A"/>
    <w:rsid w:val="00F94583"/>
    <w:rsid w:val="00F9501A"/>
    <w:rsid w:val="00FA420B"/>
    <w:rsid w:val="00FB6AEE"/>
    <w:rsid w:val="00FC1AB2"/>
    <w:rsid w:val="00FC3EAC"/>
    <w:rsid w:val="00FC660F"/>
    <w:rsid w:val="00FE1C7F"/>
    <w:rsid w:val="00FF35E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7C3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6"/>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iPriority w:val="99"/>
    <w:semiHidden/>
    <w:unhideWhenUsed/>
    <w:rsid w:val="00956076"/>
    <w:rPr>
      <w:sz w:val="16"/>
      <w:szCs w:val="16"/>
    </w:rPr>
  </w:style>
  <w:style w:type="paragraph" w:styleId="CommentText">
    <w:name w:val="annotation text"/>
    <w:basedOn w:val="Normal"/>
    <w:link w:val="CommentTextChar"/>
    <w:uiPriority w:val="99"/>
    <w:semiHidden/>
    <w:unhideWhenUsed/>
    <w:rsid w:val="00956076"/>
    <w:pPr>
      <w:spacing w:line="240" w:lineRule="auto"/>
    </w:pPr>
    <w:rPr>
      <w:sz w:val="20"/>
    </w:rPr>
  </w:style>
  <w:style w:type="character" w:customStyle="1" w:styleId="CommentTextChar">
    <w:name w:val="Comment Text Char"/>
    <w:basedOn w:val="DefaultParagraphFont"/>
    <w:link w:val="CommentText"/>
    <w:uiPriority w:val="99"/>
    <w:semiHidden/>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6813</Words>
  <Characters>38835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BEATON, Paula</cp:lastModifiedBy>
  <cp:revision>5</cp:revision>
  <cp:lastPrinted>2021-10-27T21:20:00Z</cp:lastPrinted>
  <dcterms:created xsi:type="dcterms:W3CDTF">2022-03-29T20:44:00Z</dcterms:created>
  <dcterms:modified xsi:type="dcterms:W3CDTF">2022-03-29T21:05:00Z</dcterms:modified>
</cp:coreProperties>
</file>