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BEB99" w14:textId="74477CC0" w:rsidR="00F109D4" w:rsidRPr="006B3A71" w:rsidRDefault="00F109D4" w:rsidP="00000525">
      <w:pPr>
        <w:pStyle w:val="Heading1"/>
        <w:spacing w:after="360"/>
        <w:rPr>
          <w:rFonts w:ascii="Times New Roman" w:hAnsi="Times New Roman"/>
          <w:sz w:val="24"/>
          <w:szCs w:val="24"/>
        </w:rPr>
      </w:pPr>
      <w:r w:rsidRPr="006B3A71">
        <w:rPr>
          <w:rFonts w:ascii="Times New Roman" w:hAnsi="Times New Roman"/>
          <w:sz w:val="24"/>
          <w:szCs w:val="24"/>
        </w:rPr>
        <w:t>EXPLANATORY STATEMENT</w:t>
      </w:r>
    </w:p>
    <w:p w14:paraId="7A2A3614" w14:textId="1488874D" w:rsidR="007662C7" w:rsidRPr="006B3A71" w:rsidRDefault="00F109D4" w:rsidP="00000525">
      <w:pPr>
        <w:pStyle w:val="Heading2"/>
        <w:jc w:val="center"/>
        <w:rPr>
          <w:sz w:val="24"/>
          <w:szCs w:val="24"/>
        </w:rPr>
      </w:pPr>
      <w:r w:rsidRPr="006B3A71">
        <w:rPr>
          <w:sz w:val="24"/>
          <w:szCs w:val="24"/>
        </w:rPr>
        <w:t>Issued by authority of the</w:t>
      </w:r>
      <w:r w:rsidR="00076178" w:rsidRPr="006B3A71">
        <w:rPr>
          <w:sz w:val="24"/>
          <w:szCs w:val="24"/>
        </w:rPr>
        <w:t xml:space="preserve"> </w:t>
      </w:r>
      <w:sdt>
        <w:sdtPr>
          <w:rPr>
            <w:sz w:val="24"/>
            <w:szCs w:val="24"/>
          </w:rPr>
          <w:id w:val="435951383"/>
          <w:placeholder>
            <w:docPart w:val="240BF1E21388405F851F12C2708D692F"/>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A344BA" w:rsidRPr="006B3A71">
            <w:rPr>
              <w:sz w:val="24"/>
              <w:szCs w:val="24"/>
            </w:rPr>
            <w:t>Treasurer</w:t>
          </w:r>
        </w:sdtContent>
      </w:sdt>
    </w:p>
    <w:p w14:paraId="7B110830" w14:textId="309B162E" w:rsidR="0028401A" w:rsidRPr="006B3A71" w:rsidRDefault="00A344BA" w:rsidP="00000525">
      <w:pPr>
        <w:spacing w:before="240" w:after="240"/>
        <w:jc w:val="center"/>
        <w:rPr>
          <w:i/>
        </w:rPr>
      </w:pPr>
      <w:r w:rsidRPr="006B3A71">
        <w:rPr>
          <w:i/>
        </w:rPr>
        <w:t>Foreign Acquisitions and Takeovers Act 1975</w:t>
      </w:r>
    </w:p>
    <w:p w14:paraId="6BCD80CE" w14:textId="766AD241" w:rsidR="00A03F46" w:rsidRPr="006B3A71" w:rsidRDefault="00FF18FE" w:rsidP="00000525">
      <w:pPr>
        <w:tabs>
          <w:tab w:val="left" w:pos="1418"/>
        </w:tabs>
        <w:spacing w:before="0" w:after="240"/>
        <w:jc w:val="center"/>
        <w:rPr>
          <w:i/>
        </w:rPr>
      </w:pPr>
      <w:r w:rsidRPr="006B3A71">
        <w:rPr>
          <w:i/>
        </w:rPr>
        <w:t>Foreign Acquisitions and Takeovers Amendment Regulations 2022</w:t>
      </w:r>
    </w:p>
    <w:p w14:paraId="49AB3D16" w14:textId="1DD35601" w:rsidR="00A344BA" w:rsidRPr="006B3A71" w:rsidRDefault="00A344BA" w:rsidP="00000525">
      <w:pPr>
        <w:spacing w:before="240"/>
      </w:pPr>
      <w:r w:rsidRPr="006B3A71">
        <w:t xml:space="preserve">The </w:t>
      </w:r>
      <w:r w:rsidRPr="006B3A71">
        <w:rPr>
          <w:i/>
          <w:iCs/>
        </w:rPr>
        <w:t>Foreign Acquisitions and Takeovers Act 1975</w:t>
      </w:r>
      <w:r w:rsidRPr="006B3A71">
        <w:t xml:space="preserve"> (the Act) establishes a regime for the notification, review and approval of foreign investment in Australia. </w:t>
      </w:r>
    </w:p>
    <w:p w14:paraId="615B57B8" w14:textId="1F9EBC18" w:rsidR="00F435AF" w:rsidRPr="006B3A71" w:rsidRDefault="00A03F46" w:rsidP="00000525">
      <w:pPr>
        <w:spacing w:before="240"/>
      </w:pPr>
      <w:r w:rsidRPr="006B3A71">
        <w:t xml:space="preserve">Section </w:t>
      </w:r>
      <w:r w:rsidR="00A344BA" w:rsidRPr="006B3A71">
        <w:t>139</w:t>
      </w:r>
      <w:r w:rsidRPr="006B3A71">
        <w:t xml:space="preserve"> of the Act provides that the Governor-General may make regulations prescribing matters required or permitted by the Act to be prescribed, or necessary or convenient to be prescribed for carrying out or giving effect to the Act.</w:t>
      </w:r>
    </w:p>
    <w:p w14:paraId="7C8C6B99" w14:textId="45E67D30" w:rsidR="00D91413" w:rsidRPr="006B3A71" w:rsidRDefault="00A344BA" w:rsidP="00000525">
      <w:pPr>
        <w:spacing w:before="240"/>
      </w:pPr>
      <w:r w:rsidRPr="006B3A71">
        <w:t xml:space="preserve">The purpose of the </w:t>
      </w:r>
      <w:r w:rsidR="00FF18FE" w:rsidRPr="006B3A71">
        <w:rPr>
          <w:i/>
        </w:rPr>
        <w:t>Foreign Acquisitions and Takeovers Amendment Regulations 2022</w:t>
      </w:r>
      <w:r w:rsidRPr="006B3A71">
        <w:t xml:space="preserve"> (the Regulations) </w:t>
      </w:r>
      <w:r w:rsidRPr="006B3A71">
        <w:rPr>
          <w:color w:val="000000"/>
          <w:shd w:val="clear" w:color="auto" w:fill="FFFFFF"/>
        </w:rPr>
        <w:t>is to amend the </w:t>
      </w:r>
      <w:r w:rsidRPr="006B3A71">
        <w:rPr>
          <w:i/>
          <w:iCs/>
          <w:color w:val="000000"/>
          <w:shd w:val="clear" w:color="auto" w:fill="FFFFFF"/>
        </w:rPr>
        <w:t>Foreign Acquisitions and Takeovers Regulation</w:t>
      </w:r>
      <w:r w:rsidR="00513244" w:rsidRPr="006B3A71">
        <w:rPr>
          <w:i/>
          <w:iCs/>
          <w:color w:val="000000"/>
          <w:shd w:val="clear" w:color="auto" w:fill="FFFFFF"/>
        </w:rPr>
        <w:t> </w:t>
      </w:r>
      <w:r w:rsidRPr="006B3A71">
        <w:rPr>
          <w:i/>
          <w:iCs/>
          <w:color w:val="000000"/>
          <w:shd w:val="clear" w:color="auto" w:fill="FFFFFF"/>
        </w:rPr>
        <w:t>2015 </w:t>
      </w:r>
      <w:r w:rsidRPr="006B3A71">
        <w:rPr>
          <w:color w:val="000000"/>
          <w:shd w:val="clear" w:color="auto" w:fill="FFFFFF"/>
        </w:rPr>
        <w:t>(the Principal Regulation</w:t>
      </w:r>
      <w:r w:rsidR="005132E1" w:rsidRPr="006B3A71">
        <w:rPr>
          <w:color w:val="000000"/>
          <w:shd w:val="clear" w:color="auto" w:fill="FFFFFF"/>
        </w:rPr>
        <w:t>s</w:t>
      </w:r>
      <w:r w:rsidRPr="006B3A71">
        <w:rPr>
          <w:color w:val="000000"/>
          <w:shd w:val="clear" w:color="auto" w:fill="FFFFFF"/>
        </w:rPr>
        <w:t xml:space="preserve">) to </w:t>
      </w:r>
      <w:r w:rsidR="009A45A1" w:rsidRPr="006B3A71">
        <w:rPr>
          <w:color w:val="000000"/>
          <w:shd w:val="clear" w:color="auto" w:fill="FFFFFF"/>
        </w:rPr>
        <w:t xml:space="preserve">support the </w:t>
      </w:r>
      <w:r w:rsidR="00CE2D8D" w:rsidRPr="006B3A71">
        <w:rPr>
          <w:color w:val="000000"/>
          <w:shd w:val="clear" w:color="auto" w:fill="FFFFFF"/>
        </w:rPr>
        <w:t>improved</w:t>
      </w:r>
      <w:r w:rsidR="009A45A1" w:rsidRPr="006B3A71">
        <w:rPr>
          <w:color w:val="000000"/>
          <w:shd w:val="clear" w:color="auto" w:fill="FFFFFF"/>
        </w:rPr>
        <w:t xml:space="preserve"> administration of </w:t>
      </w:r>
      <w:r w:rsidR="00E71F05" w:rsidRPr="006B3A71">
        <w:rPr>
          <w:color w:val="000000"/>
          <w:shd w:val="clear" w:color="auto" w:fill="FFFFFF"/>
        </w:rPr>
        <w:t>Australia’s</w:t>
      </w:r>
      <w:r w:rsidR="009A45A1" w:rsidRPr="006B3A71">
        <w:rPr>
          <w:color w:val="000000"/>
          <w:shd w:val="clear" w:color="auto" w:fill="FFFFFF"/>
        </w:rPr>
        <w:t xml:space="preserve"> foreign investment framework</w:t>
      </w:r>
      <w:r w:rsidR="00F47853" w:rsidRPr="006B3A71">
        <w:rPr>
          <w:color w:val="000000"/>
          <w:shd w:val="clear" w:color="auto" w:fill="FFFFFF"/>
        </w:rPr>
        <w:t xml:space="preserve"> by clarifying certain aspects </w:t>
      </w:r>
      <w:r w:rsidR="002167FF" w:rsidRPr="006B3A71">
        <w:rPr>
          <w:color w:val="000000"/>
          <w:shd w:val="clear" w:color="auto" w:fill="FFFFFF"/>
        </w:rPr>
        <w:t xml:space="preserve">of </w:t>
      </w:r>
      <w:r w:rsidR="00F47853" w:rsidRPr="006B3A71">
        <w:rPr>
          <w:color w:val="000000"/>
          <w:shd w:val="clear" w:color="auto" w:fill="FFFFFF"/>
        </w:rPr>
        <w:t>the Principal Regulation</w:t>
      </w:r>
      <w:r w:rsidR="005132E1" w:rsidRPr="006B3A71">
        <w:rPr>
          <w:color w:val="000000"/>
          <w:shd w:val="clear" w:color="auto" w:fill="FFFFFF"/>
        </w:rPr>
        <w:t>s</w:t>
      </w:r>
      <w:r w:rsidR="00F47853" w:rsidRPr="006B3A71">
        <w:rPr>
          <w:color w:val="000000"/>
          <w:shd w:val="clear" w:color="auto" w:fill="FFFFFF"/>
        </w:rPr>
        <w:t xml:space="preserve"> and streamlining the processing of less sensitive types of investment</w:t>
      </w:r>
      <w:r w:rsidR="00E6282C" w:rsidRPr="006B3A71">
        <w:t>.</w:t>
      </w:r>
    </w:p>
    <w:p w14:paraId="36FBDE41" w14:textId="34E431CD" w:rsidR="00CA37A6" w:rsidRPr="006B3A71" w:rsidRDefault="0045001A" w:rsidP="00000525">
      <w:pPr>
        <w:spacing w:before="240"/>
      </w:pPr>
      <w:r w:rsidRPr="006B3A71">
        <w:t xml:space="preserve">As required by the </w:t>
      </w:r>
      <w:r w:rsidRPr="006B3A71">
        <w:rPr>
          <w:i/>
        </w:rPr>
        <w:t>Foreign Investment Reform (Protecting Australia’s National Security) Act 2020</w:t>
      </w:r>
      <w:r w:rsidRPr="006B3A71">
        <w:t xml:space="preserve">, the Secretary to the Treasury undertook an evaluation of the </w:t>
      </w:r>
      <w:r w:rsidR="00406CD9" w:rsidRPr="006B3A71">
        <w:t>Government’s most recent</w:t>
      </w:r>
      <w:r w:rsidRPr="006B3A71">
        <w:t xml:space="preserve"> foreign investment reforms, which came into effect on </w:t>
      </w:r>
      <w:r w:rsidR="009065B7">
        <w:br/>
      </w:r>
      <w:r w:rsidRPr="006B3A71">
        <w:t xml:space="preserve">1 January 2021. The Government accepted all seven of the </w:t>
      </w:r>
      <w:r w:rsidR="008B64D1" w:rsidRPr="006B3A71">
        <w:t xml:space="preserve">evaluation’s </w:t>
      </w:r>
      <w:r w:rsidRPr="006B3A71">
        <w:t>findings and in doing so committed to making further refinements to the foreign investment framework to ensure it remains fit for purpose.</w:t>
      </w:r>
    </w:p>
    <w:p w14:paraId="4DD89E94" w14:textId="315756B2" w:rsidR="00120183" w:rsidRPr="006B3A71" w:rsidRDefault="00C04F68" w:rsidP="00000525">
      <w:pPr>
        <w:spacing w:before="240"/>
      </w:pPr>
      <w:r w:rsidRPr="006B3A71">
        <w:t>The Regulations</w:t>
      </w:r>
      <w:r w:rsidR="0045001A" w:rsidRPr="006B3A71">
        <w:t xml:space="preserve"> </w:t>
      </w:r>
      <w:r w:rsidR="00120183" w:rsidRPr="006B3A71">
        <w:t xml:space="preserve">give effect to this response by reducing the regulatory burden for foreign investors that engage in moneylending, invest in unlisted land entities or Australian media businesses, acquire shares or units under rights issues and other </w:t>
      </w:r>
      <w:r w:rsidR="009065B7">
        <w:br/>
      </w:r>
      <w:r w:rsidR="00120183" w:rsidRPr="006B3A71">
        <w:t>pro-rata offers, or transact on behalf of institutional investors as part of a custodian service.</w:t>
      </w:r>
      <w:r w:rsidR="00120183" w:rsidRPr="006B3A71" w:rsidDel="00CB257F">
        <w:t xml:space="preserve"> </w:t>
      </w:r>
      <w:r w:rsidR="00120183" w:rsidRPr="006B3A71">
        <w:t>Regulatory burden is reduced through amendments that refine the rules for the notification of these kinds of foreign investments, including raising thresholds and providing broader exemptions from foreign investment screening.</w:t>
      </w:r>
    </w:p>
    <w:p w14:paraId="4197D971" w14:textId="5582A298" w:rsidR="008D6CF7" w:rsidRPr="006B3A71" w:rsidRDefault="0087597B" w:rsidP="00000525">
      <w:pPr>
        <w:pStyle w:val="Bullet"/>
        <w:numPr>
          <w:ilvl w:val="0"/>
          <w:numId w:val="0"/>
        </w:numPr>
      </w:pPr>
      <w:r w:rsidRPr="006B3A71">
        <w:rPr>
          <w:color w:val="000000"/>
          <w:shd w:val="clear" w:color="auto" w:fill="FFFFFF"/>
        </w:rPr>
        <w:t>Public c</w:t>
      </w:r>
      <w:r w:rsidR="00BD0D91" w:rsidRPr="006B3A71">
        <w:rPr>
          <w:color w:val="000000"/>
          <w:shd w:val="clear" w:color="auto" w:fill="FFFFFF"/>
        </w:rPr>
        <w:t xml:space="preserve">onsultation on the Regulations was undertaken from 14 February 2022 </w:t>
      </w:r>
      <w:r w:rsidR="006E6273" w:rsidRPr="006B3A71">
        <w:rPr>
          <w:color w:val="000000"/>
          <w:shd w:val="clear" w:color="auto" w:fill="FFFFFF"/>
        </w:rPr>
        <w:t>to</w:t>
      </w:r>
      <w:r w:rsidR="00BD0D91" w:rsidRPr="006B3A71">
        <w:rPr>
          <w:color w:val="000000"/>
          <w:shd w:val="clear" w:color="auto" w:fill="FFFFFF"/>
        </w:rPr>
        <w:t xml:space="preserve"> 25 February 2022. </w:t>
      </w:r>
      <w:r w:rsidR="00B537E3" w:rsidRPr="006B3A71">
        <w:rPr>
          <w:color w:val="000000"/>
          <w:shd w:val="clear" w:color="auto" w:fill="FFFFFF"/>
        </w:rPr>
        <w:t>Five</w:t>
      </w:r>
      <w:r w:rsidR="008D6CF7" w:rsidRPr="006B3A71">
        <w:rPr>
          <w:color w:val="000000"/>
          <w:shd w:val="clear" w:color="auto" w:fill="FFFFFF"/>
        </w:rPr>
        <w:t xml:space="preserve"> submissions were received. </w:t>
      </w:r>
      <w:r w:rsidR="006E6273" w:rsidRPr="006B3A71">
        <w:rPr>
          <w:color w:val="000000"/>
          <w:shd w:val="clear" w:color="auto" w:fill="FFFFFF"/>
        </w:rPr>
        <w:t>Multiple c</w:t>
      </w:r>
      <w:r w:rsidR="008D6CF7" w:rsidRPr="006B3A71">
        <w:rPr>
          <w:color w:val="000000"/>
          <w:shd w:val="clear" w:color="auto" w:fill="FFFFFF"/>
        </w:rPr>
        <w:t xml:space="preserve">hanges were made </w:t>
      </w:r>
      <w:r w:rsidR="008D6CF7" w:rsidRPr="006B3A71" w:rsidDel="00872009">
        <w:rPr>
          <w:color w:val="000000"/>
          <w:shd w:val="clear" w:color="auto" w:fill="FFFFFF"/>
        </w:rPr>
        <w:t xml:space="preserve">to take into account feedback received in these submissions. </w:t>
      </w:r>
      <w:r w:rsidR="00EC20F5" w:rsidRPr="006B3A71">
        <w:rPr>
          <w:color w:val="000000"/>
          <w:shd w:val="clear" w:color="auto" w:fill="FFFFFF"/>
        </w:rPr>
        <w:t>The</w:t>
      </w:r>
      <w:r w:rsidR="008B64D1" w:rsidRPr="006B3A71">
        <w:rPr>
          <w:color w:val="000000"/>
          <w:shd w:val="clear" w:color="auto" w:fill="FFFFFF"/>
        </w:rPr>
        <w:t>se</w:t>
      </w:r>
      <w:r w:rsidR="00EC20F5" w:rsidRPr="006B3A71">
        <w:rPr>
          <w:color w:val="000000"/>
          <w:shd w:val="clear" w:color="auto" w:fill="FFFFFF"/>
        </w:rPr>
        <w:t xml:space="preserve"> changes</w:t>
      </w:r>
      <w:r w:rsidR="00286896" w:rsidRPr="006B3A71">
        <w:rPr>
          <w:color w:val="000000"/>
          <w:shd w:val="clear" w:color="auto" w:fill="FFFFFF"/>
        </w:rPr>
        <w:t xml:space="preserve"> </w:t>
      </w:r>
      <w:r w:rsidR="00EC20F5" w:rsidRPr="006B3A71">
        <w:rPr>
          <w:color w:val="000000"/>
          <w:shd w:val="clear" w:color="auto" w:fill="FFFFFF"/>
        </w:rPr>
        <w:t xml:space="preserve">ensured the proposed Regulations reflect commercial practices </w:t>
      </w:r>
      <w:r w:rsidR="008B64D1" w:rsidRPr="006B3A71">
        <w:rPr>
          <w:color w:val="000000"/>
          <w:shd w:val="clear" w:color="auto" w:fill="FFFFFF"/>
        </w:rPr>
        <w:t xml:space="preserve">of </w:t>
      </w:r>
      <w:r w:rsidR="00EC20F5" w:rsidRPr="006B3A71">
        <w:rPr>
          <w:color w:val="000000"/>
          <w:shd w:val="clear" w:color="auto" w:fill="FFFFFF"/>
        </w:rPr>
        <w:t>foreign investors and that the scope of the amendments is clear.</w:t>
      </w:r>
    </w:p>
    <w:p w14:paraId="0DA846BA" w14:textId="1C0707EC" w:rsidR="00587410" w:rsidRPr="006B3A71" w:rsidRDefault="00A03F46" w:rsidP="00000525">
      <w:pPr>
        <w:spacing w:before="240"/>
        <w:rPr>
          <w:b/>
          <w:bCs/>
          <w:u w:val="single"/>
        </w:rPr>
      </w:pPr>
      <w:r w:rsidRPr="006B3A71">
        <w:t xml:space="preserve">Details of the Regulations are set out in </w:t>
      </w:r>
      <w:r w:rsidRPr="006B3A71">
        <w:rPr>
          <w:u w:val="single"/>
        </w:rPr>
        <w:t xml:space="preserve">Attachment </w:t>
      </w:r>
      <w:r w:rsidR="00C800F3" w:rsidRPr="006B3A71">
        <w:rPr>
          <w:u w:val="single"/>
        </w:rPr>
        <w:t>A</w:t>
      </w:r>
      <w:r w:rsidR="000944E5" w:rsidRPr="006B3A71">
        <w:t>.</w:t>
      </w:r>
    </w:p>
    <w:p w14:paraId="781000F4" w14:textId="77777777" w:rsidR="001A6C8B" w:rsidRPr="006B3A71" w:rsidRDefault="001B110B" w:rsidP="00000525">
      <w:pPr>
        <w:spacing w:before="240"/>
        <w:rPr>
          <w:color w:val="000000"/>
          <w:shd w:val="clear" w:color="auto" w:fill="FFFFFF"/>
        </w:rPr>
      </w:pPr>
      <w:r w:rsidRPr="006B3A71">
        <w:rPr>
          <w:color w:val="000000"/>
          <w:shd w:val="clear" w:color="auto" w:fill="FFFFFF"/>
        </w:rPr>
        <w:t>The Act specifies no conditions that need to be satisfied before the power to make the Regulations may be exercised.</w:t>
      </w:r>
    </w:p>
    <w:p w14:paraId="6301DF0C" w14:textId="4D0947B0" w:rsidR="00A03F46" w:rsidRPr="006B3A71" w:rsidRDefault="00A03F46" w:rsidP="00000525">
      <w:pPr>
        <w:spacing w:before="240"/>
      </w:pPr>
      <w:r w:rsidRPr="006B3A71">
        <w:t xml:space="preserve">The Regulations are a legislative instrument for the purposes of the </w:t>
      </w:r>
      <w:r w:rsidRPr="006B3A71">
        <w:rPr>
          <w:i/>
        </w:rPr>
        <w:t>Legislation Act</w:t>
      </w:r>
      <w:r w:rsidR="00513244" w:rsidRPr="006B3A71">
        <w:rPr>
          <w:i/>
        </w:rPr>
        <w:t> </w:t>
      </w:r>
      <w:r w:rsidRPr="006B3A71">
        <w:rPr>
          <w:i/>
        </w:rPr>
        <w:t>2003</w:t>
      </w:r>
      <w:r w:rsidRPr="006B3A71">
        <w:t>.</w:t>
      </w:r>
    </w:p>
    <w:p w14:paraId="5F0D4599" w14:textId="2D61F5FA" w:rsidR="0059401B" w:rsidRPr="006B3A71" w:rsidRDefault="00A03F46" w:rsidP="00000525">
      <w:pPr>
        <w:spacing w:before="240"/>
      </w:pPr>
      <w:r w:rsidRPr="006B3A71">
        <w:lastRenderedPageBreak/>
        <w:t xml:space="preserve">The Regulations commenced on </w:t>
      </w:r>
      <w:r w:rsidR="00C84710" w:rsidRPr="006B3A71">
        <w:t xml:space="preserve">the day after </w:t>
      </w:r>
      <w:r w:rsidR="00013A83" w:rsidRPr="006B3A71">
        <w:t>they were</w:t>
      </w:r>
      <w:r w:rsidR="00C84710" w:rsidRPr="006B3A71">
        <w:t xml:space="preserve"> registered on the Federal Register of Legislation</w:t>
      </w:r>
      <w:r w:rsidR="00B73F86" w:rsidRPr="006B3A71">
        <w:t>.</w:t>
      </w:r>
    </w:p>
    <w:p w14:paraId="63582162" w14:textId="332DA1BE" w:rsidR="00E6758A" w:rsidRPr="006B3A71" w:rsidRDefault="003A3DD2" w:rsidP="00000525">
      <w:pPr>
        <w:spacing w:before="240"/>
      </w:pPr>
      <w:r w:rsidRPr="006B3A71">
        <w:t>The Regulations has been assessed as having</w:t>
      </w:r>
      <w:r w:rsidR="00AA3B60" w:rsidRPr="006B3A71">
        <w:t xml:space="preserve"> n</w:t>
      </w:r>
      <w:r w:rsidR="00E6758A" w:rsidRPr="006B3A71">
        <w:t>o more than a minor regulatory impact (OBPR reference number OBPR21-01260).</w:t>
      </w:r>
      <w:r w:rsidR="004B540A" w:rsidRPr="006B3A71">
        <w:t xml:space="preserve"> Accordingly, no Regulatory Impact Statement has been prepared.</w:t>
      </w:r>
    </w:p>
    <w:p w14:paraId="4426B752" w14:textId="6EB2FB1B" w:rsidR="00BD0D91" w:rsidRPr="006B3A71" w:rsidRDefault="00BD0D91" w:rsidP="00000525">
      <w:pPr>
        <w:spacing w:before="240"/>
      </w:pPr>
      <w:r w:rsidRPr="006B3A71">
        <w:t xml:space="preserve">A statement of Compatibility with Human Rights is at </w:t>
      </w:r>
      <w:r w:rsidRPr="006B3A71">
        <w:rPr>
          <w:u w:val="single"/>
        </w:rPr>
        <w:t>Attachment B</w:t>
      </w:r>
      <w:r w:rsidRPr="006B3A71">
        <w:t>.</w:t>
      </w:r>
    </w:p>
    <w:p w14:paraId="7C68052E" w14:textId="25D68BDB" w:rsidR="00EA4DD8" w:rsidRPr="006B3A71" w:rsidRDefault="00EA4DD8" w:rsidP="00000525">
      <w:pPr>
        <w:pageBreakBefore/>
        <w:spacing w:before="240"/>
        <w:jc w:val="right"/>
        <w:rPr>
          <w:b/>
          <w:u w:val="single"/>
        </w:rPr>
      </w:pPr>
      <w:r w:rsidRPr="006B3A71">
        <w:rPr>
          <w:b/>
          <w:u w:val="single"/>
        </w:rPr>
        <w:lastRenderedPageBreak/>
        <w:t>ATTACHMENT</w:t>
      </w:r>
      <w:r w:rsidR="004B7CDA" w:rsidRPr="006B3A71">
        <w:rPr>
          <w:b/>
          <w:u w:val="single"/>
        </w:rPr>
        <w:t xml:space="preserve"> A</w:t>
      </w:r>
    </w:p>
    <w:p w14:paraId="3D9BB53D" w14:textId="32C00FB9" w:rsidR="00EA4DD8" w:rsidRPr="006B3A71" w:rsidRDefault="00EA4DD8" w:rsidP="00000525">
      <w:pPr>
        <w:spacing w:before="240"/>
        <w:ind w:right="91"/>
        <w:rPr>
          <w:b/>
          <w:bCs/>
          <w:szCs w:val="24"/>
          <w:u w:val="single"/>
        </w:rPr>
      </w:pPr>
      <w:r w:rsidRPr="006B3A71">
        <w:rPr>
          <w:b/>
          <w:bCs/>
          <w:u w:val="single"/>
        </w:rPr>
        <w:t xml:space="preserve">Details of the </w:t>
      </w:r>
      <w:r w:rsidR="0081112D" w:rsidRPr="006B3A71">
        <w:rPr>
          <w:b/>
          <w:bCs/>
          <w:i/>
          <w:u w:val="single"/>
        </w:rPr>
        <w:t>Foreign Acquisitions and Takeovers Amendment Regulations 2022</w:t>
      </w:r>
      <w:r w:rsidRPr="006B3A71">
        <w:rPr>
          <w:b/>
          <w:bCs/>
          <w:u w:val="single"/>
        </w:rPr>
        <w:t xml:space="preserve"> </w:t>
      </w:r>
    </w:p>
    <w:p w14:paraId="1984C4FF" w14:textId="77777777" w:rsidR="00EA4DD8" w:rsidRPr="006B3A71" w:rsidRDefault="00EA4DD8" w:rsidP="00000525">
      <w:pPr>
        <w:spacing w:before="240"/>
        <w:rPr>
          <w:rFonts w:ascii="Calibri" w:hAnsi="Calibri"/>
          <w:sz w:val="22"/>
          <w:szCs w:val="22"/>
          <w:u w:val="single"/>
          <w:lang w:eastAsia="en-US"/>
        </w:rPr>
      </w:pPr>
      <w:r w:rsidRPr="006B3A71">
        <w:rPr>
          <w:u w:val="single"/>
        </w:rPr>
        <w:t>Section 1 – Name of the Regulations</w:t>
      </w:r>
    </w:p>
    <w:p w14:paraId="15862A54" w14:textId="729BFE05" w:rsidR="00EA4DD8" w:rsidRPr="006B3A71" w:rsidRDefault="00EA4DD8" w:rsidP="00000525">
      <w:pPr>
        <w:spacing w:before="240"/>
      </w:pPr>
      <w:r w:rsidRPr="006B3A71">
        <w:t xml:space="preserve">This section provides that the name of the Regulations is the </w:t>
      </w:r>
      <w:r w:rsidR="00FF18FE" w:rsidRPr="006B3A71">
        <w:rPr>
          <w:i/>
        </w:rPr>
        <w:t>Foreign Acquisitions and Takeovers Amendment Regulations 2022</w:t>
      </w:r>
      <w:r w:rsidR="00FF18FE" w:rsidRPr="006B3A71">
        <w:t xml:space="preserve"> </w:t>
      </w:r>
      <w:r w:rsidRPr="006B3A71">
        <w:t>(the Regulations).</w:t>
      </w:r>
    </w:p>
    <w:p w14:paraId="57129B20" w14:textId="77777777" w:rsidR="00EA4DD8" w:rsidRPr="006B3A71" w:rsidRDefault="00EA4DD8" w:rsidP="00000525">
      <w:pPr>
        <w:spacing w:before="240"/>
        <w:ind w:right="91"/>
        <w:rPr>
          <w:u w:val="single"/>
        </w:rPr>
      </w:pPr>
      <w:r w:rsidRPr="006B3A71">
        <w:rPr>
          <w:u w:val="single"/>
        </w:rPr>
        <w:t>Section 2 – Commencement</w:t>
      </w:r>
    </w:p>
    <w:p w14:paraId="7FD606D1" w14:textId="6DB15BA2" w:rsidR="00EA4DD8" w:rsidRPr="006B3A71" w:rsidRDefault="00E25049" w:rsidP="00000525">
      <w:pPr>
        <w:spacing w:before="240"/>
        <w:ind w:right="91"/>
      </w:pPr>
      <w:r w:rsidRPr="006B3A71">
        <w:t>T</w:t>
      </w:r>
      <w:r w:rsidR="002851F6" w:rsidRPr="006B3A71">
        <w:t xml:space="preserve">he </w:t>
      </w:r>
      <w:r w:rsidR="008D7106" w:rsidRPr="006B3A71">
        <w:t>Regulations</w:t>
      </w:r>
      <w:r w:rsidR="00EA4DD8" w:rsidRPr="006B3A71">
        <w:t xml:space="preserve"> commence on </w:t>
      </w:r>
      <w:r w:rsidR="00EA4DD8" w:rsidRPr="006B3A71">
        <w:rPr>
          <w:color w:val="000000" w:themeColor="text1"/>
        </w:rPr>
        <w:t>the day after the instrument is registered</w:t>
      </w:r>
      <w:r w:rsidR="00EA4DD8" w:rsidRPr="006B3A71" w:rsidDel="002851F6">
        <w:rPr>
          <w:color w:val="FF0000"/>
        </w:rPr>
        <w:t xml:space="preserve"> </w:t>
      </w:r>
      <w:r w:rsidR="00EA4DD8" w:rsidRPr="006B3A71">
        <w:t>on the Federal Register of Legislation.</w:t>
      </w:r>
    </w:p>
    <w:p w14:paraId="50D08B37" w14:textId="77777777" w:rsidR="00EA4DD8" w:rsidRPr="006B3A71" w:rsidRDefault="00EA4DD8" w:rsidP="00000525">
      <w:pPr>
        <w:spacing w:before="240"/>
        <w:ind w:right="91"/>
        <w:rPr>
          <w:u w:val="single"/>
        </w:rPr>
      </w:pPr>
      <w:r w:rsidRPr="006B3A71">
        <w:rPr>
          <w:u w:val="single"/>
        </w:rPr>
        <w:t>Section 3 – Authority</w:t>
      </w:r>
    </w:p>
    <w:p w14:paraId="3D73F737" w14:textId="17334556" w:rsidR="004B7CDA" w:rsidRPr="006B3A71" w:rsidRDefault="004B7CDA" w:rsidP="00000525">
      <w:pPr>
        <w:spacing w:before="240"/>
        <w:ind w:right="91"/>
      </w:pPr>
      <w:r w:rsidRPr="006B3A71">
        <w:t xml:space="preserve">The Regulations are made under the </w:t>
      </w:r>
      <w:r w:rsidR="001259AF" w:rsidRPr="006B3A71">
        <w:rPr>
          <w:i/>
          <w:iCs/>
        </w:rPr>
        <w:t>Foreign Acquisitions and Takeovers Act 1975</w:t>
      </w:r>
      <w:r w:rsidRPr="006B3A71">
        <w:t xml:space="preserve"> (the Act).</w:t>
      </w:r>
    </w:p>
    <w:p w14:paraId="36789B79" w14:textId="24F79FED" w:rsidR="00EA4DD8" w:rsidRPr="006B3A71" w:rsidRDefault="00EA4DD8" w:rsidP="00000525">
      <w:pPr>
        <w:spacing w:before="240"/>
        <w:ind w:right="91"/>
        <w:rPr>
          <w:u w:val="single"/>
        </w:rPr>
      </w:pPr>
      <w:r w:rsidRPr="006B3A71">
        <w:rPr>
          <w:u w:val="single"/>
        </w:rPr>
        <w:t>Section 4 – Schedule</w:t>
      </w:r>
    </w:p>
    <w:p w14:paraId="4BF14C4B" w14:textId="0FB2AD1C" w:rsidR="00EA4DD8" w:rsidRPr="006B3A71" w:rsidRDefault="00EA4DD8" w:rsidP="00000525">
      <w:pPr>
        <w:spacing w:before="240" w:after="200"/>
        <w:ind w:right="91"/>
        <w:rPr>
          <w:u w:val="single"/>
        </w:rPr>
      </w:pPr>
      <w:r w:rsidRPr="006B3A71">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0308C333" w14:textId="671196C4" w:rsidR="00EA4DD8" w:rsidRPr="006B3A71" w:rsidRDefault="00EA4DD8" w:rsidP="00000525">
      <w:pPr>
        <w:spacing w:after="0"/>
        <w:ind w:right="91"/>
        <w:rPr>
          <w:color w:val="000000"/>
          <w:u w:val="single"/>
          <w:shd w:val="clear" w:color="auto" w:fill="FFFFFF"/>
        </w:rPr>
      </w:pPr>
      <w:r w:rsidRPr="006B3A71">
        <w:rPr>
          <w:u w:val="single"/>
        </w:rPr>
        <w:t xml:space="preserve">Schedule 1 – Amendments </w:t>
      </w:r>
      <w:r w:rsidR="006E4680" w:rsidRPr="006B3A71">
        <w:rPr>
          <w:u w:val="single"/>
        </w:rPr>
        <w:t xml:space="preserve">to the </w:t>
      </w:r>
      <w:r w:rsidR="006E4680" w:rsidRPr="006B3A71">
        <w:rPr>
          <w:i/>
          <w:iCs/>
          <w:color w:val="000000"/>
          <w:u w:val="single"/>
          <w:shd w:val="clear" w:color="auto" w:fill="FFFFFF"/>
        </w:rPr>
        <w:t>Foreign Acquisitions and Takeovers Regulation 2015</w:t>
      </w:r>
      <w:r w:rsidR="006E4680" w:rsidRPr="006B3A71">
        <w:rPr>
          <w:color w:val="000000"/>
          <w:u w:val="single"/>
          <w:shd w:val="clear" w:color="auto" w:fill="FFFFFF"/>
        </w:rPr>
        <w:t> (the Principal Regulation</w:t>
      </w:r>
      <w:r w:rsidR="005132E1" w:rsidRPr="006B3A71">
        <w:rPr>
          <w:color w:val="000000"/>
          <w:u w:val="single"/>
          <w:shd w:val="clear" w:color="auto" w:fill="FFFFFF"/>
        </w:rPr>
        <w:t>s</w:t>
      </w:r>
      <w:r w:rsidR="006E4680" w:rsidRPr="006B3A71">
        <w:rPr>
          <w:color w:val="000000"/>
          <w:u w:val="single"/>
          <w:shd w:val="clear" w:color="auto" w:fill="FFFFFF"/>
        </w:rPr>
        <w:t>)</w:t>
      </w:r>
    </w:p>
    <w:p w14:paraId="28D1C009" w14:textId="77777777" w:rsidR="00CA37A6" w:rsidRPr="006B3A71" w:rsidRDefault="00CA37A6" w:rsidP="00000525">
      <w:pPr>
        <w:spacing w:before="0" w:after="0"/>
        <w:ind w:right="91"/>
        <w:rPr>
          <w:color w:val="FF0000"/>
          <w:u w:val="single"/>
        </w:rPr>
      </w:pPr>
    </w:p>
    <w:p w14:paraId="3EF06F5D" w14:textId="6DBEC41E" w:rsidR="00B428D4" w:rsidRPr="006B3A71" w:rsidRDefault="005D71B9" w:rsidP="00000525">
      <w:pPr>
        <w:spacing w:before="0" w:after="0"/>
        <w:rPr>
          <w:b/>
          <w:bCs/>
          <w:i/>
          <w:iCs/>
          <w:color w:val="000000" w:themeColor="text1"/>
        </w:rPr>
      </w:pPr>
      <w:r w:rsidRPr="006B3A71">
        <w:rPr>
          <w:b/>
          <w:bCs/>
          <w:i/>
          <w:iCs/>
          <w:color w:val="000000" w:themeColor="text1"/>
        </w:rPr>
        <w:t>Item</w:t>
      </w:r>
      <w:r w:rsidR="00E26E47" w:rsidRPr="006B3A71">
        <w:rPr>
          <w:b/>
          <w:bCs/>
          <w:i/>
          <w:iCs/>
          <w:color w:val="000000" w:themeColor="text1"/>
        </w:rPr>
        <w:t>s</w:t>
      </w:r>
      <w:r w:rsidRPr="006B3A71">
        <w:rPr>
          <w:b/>
          <w:bCs/>
          <w:i/>
          <w:iCs/>
          <w:color w:val="000000" w:themeColor="text1"/>
        </w:rPr>
        <w:t xml:space="preserve"> 1</w:t>
      </w:r>
      <w:r w:rsidR="00E26E47" w:rsidRPr="006B3A71">
        <w:rPr>
          <w:b/>
          <w:bCs/>
          <w:i/>
          <w:iCs/>
          <w:color w:val="000000" w:themeColor="text1"/>
        </w:rPr>
        <w:t xml:space="preserve"> and 2</w:t>
      </w:r>
      <w:r w:rsidRPr="006B3A71">
        <w:rPr>
          <w:b/>
          <w:bCs/>
          <w:i/>
          <w:iCs/>
          <w:color w:val="000000" w:themeColor="text1"/>
        </w:rPr>
        <w:t xml:space="preserve"> – </w:t>
      </w:r>
      <w:r w:rsidR="000741C3" w:rsidRPr="006B3A71">
        <w:rPr>
          <w:b/>
          <w:bCs/>
          <w:i/>
          <w:iCs/>
          <w:color w:val="000000" w:themeColor="text1"/>
        </w:rPr>
        <w:t xml:space="preserve">Definition of </w:t>
      </w:r>
      <w:r w:rsidR="00E957BC" w:rsidRPr="006B3A71">
        <w:rPr>
          <w:b/>
          <w:bCs/>
          <w:i/>
          <w:iCs/>
          <w:color w:val="000000" w:themeColor="text1"/>
        </w:rPr>
        <w:t>m</w:t>
      </w:r>
      <w:r w:rsidR="000741C3" w:rsidRPr="006B3A71">
        <w:rPr>
          <w:b/>
          <w:bCs/>
          <w:i/>
          <w:iCs/>
          <w:color w:val="000000" w:themeColor="text1"/>
        </w:rPr>
        <w:t>oneylending agreement and moneylending business</w:t>
      </w:r>
    </w:p>
    <w:p w14:paraId="57316F21" w14:textId="77777777" w:rsidR="00CE2D8D" w:rsidRPr="006B3A71" w:rsidRDefault="00CE2D8D" w:rsidP="00000525">
      <w:pPr>
        <w:spacing w:before="0" w:after="0"/>
        <w:rPr>
          <w:color w:val="000000" w:themeColor="text1"/>
        </w:rPr>
      </w:pPr>
    </w:p>
    <w:p w14:paraId="246604AB" w14:textId="10143A3A" w:rsidR="00E17A25" w:rsidRPr="006B3A71" w:rsidRDefault="003E118A" w:rsidP="00000525">
      <w:pPr>
        <w:spacing w:before="0" w:after="0"/>
      </w:pPr>
      <w:r w:rsidRPr="006B3A71">
        <w:rPr>
          <w:color w:val="000000" w:themeColor="text1"/>
        </w:rPr>
        <w:t>Item 1</w:t>
      </w:r>
      <w:r w:rsidR="00DF0E28" w:rsidRPr="006B3A71">
        <w:rPr>
          <w:color w:val="000000" w:themeColor="text1"/>
        </w:rPr>
        <w:t xml:space="preserve"> </w:t>
      </w:r>
      <w:r w:rsidR="009757CC" w:rsidRPr="006B3A71">
        <w:rPr>
          <w:color w:val="000000" w:themeColor="text1"/>
        </w:rPr>
        <w:t>repeals</w:t>
      </w:r>
      <w:r w:rsidR="00F232C9" w:rsidRPr="006B3A71">
        <w:rPr>
          <w:color w:val="000000" w:themeColor="text1"/>
        </w:rPr>
        <w:t xml:space="preserve"> </w:t>
      </w:r>
      <w:r w:rsidR="000D65BD" w:rsidRPr="006B3A71">
        <w:rPr>
          <w:color w:val="000000" w:themeColor="text1"/>
        </w:rPr>
        <w:t xml:space="preserve">the definition of </w:t>
      </w:r>
      <w:r w:rsidR="00FE2E4D" w:rsidRPr="006B3A71">
        <w:rPr>
          <w:color w:val="000000" w:themeColor="text1"/>
        </w:rPr>
        <w:t xml:space="preserve">a </w:t>
      </w:r>
      <w:r w:rsidR="000D65BD" w:rsidRPr="006B3A71">
        <w:rPr>
          <w:color w:val="000000" w:themeColor="text1"/>
        </w:rPr>
        <w:t xml:space="preserve">‘moneylending agreement’ in </w:t>
      </w:r>
      <w:r w:rsidR="002B0B31" w:rsidRPr="006B3A71">
        <w:rPr>
          <w:color w:val="000000" w:themeColor="text1"/>
        </w:rPr>
        <w:t>section</w:t>
      </w:r>
      <w:r w:rsidR="00766C56" w:rsidRPr="006B3A71">
        <w:rPr>
          <w:color w:val="000000" w:themeColor="text1"/>
        </w:rPr>
        <w:t> 5</w:t>
      </w:r>
      <w:r w:rsidR="007F5D0F" w:rsidRPr="006B3A71">
        <w:rPr>
          <w:color w:val="000000" w:themeColor="text1"/>
        </w:rPr>
        <w:t xml:space="preserve"> </w:t>
      </w:r>
      <w:r w:rsidR="000D65BD" w:rsidRPr="006B3A71">
        <w:rPr>
          <w:color w:val="000000" w:themeColor="text1"/>
        </w:rPr>
        <w:t>to</w:t>
      </w:r>
      <w:r w:rsidR="009757CC" w:rsidRPr="006B3A71">
        <w:rPr>
          <w:color w:val="000000" w:themeColor="text1"/>
        </w:rPr>
        <w:t xml:space="preserve"> the Principal </w:t>
      </w:r>
      <w:r w:rsidR="00803088" w:rsidRPr="006B3A71">
        <w:rPr>
          <w:color w:val="000000" w:themeColor="text1"/>
        </w:rPr>
        <w:t>Regulations and substitute a new definition. The amendment clarifies</w:t>
      </w:r>
      <w:r w:rsidR="004A1885" w:rsidRPr="006B3A71">
        <w:rPr>
          <w:color w:val="000000" w:themeColor="text1"/>
        </w:rPr>
        <w:t xml:space="preserve"> that </w:t>
      </w:r>
      <w:r w:rsidR="005178F9" w:rsidRPr="006B3A71">
        <w:rPr>
          <w:color w:val="000000" w:themeColor="text1"/>
        </w:rPr>
        <w:t>a</w:t>
      </w:r>
      <w:r w:rsidR="00075E70" w:rsidRPr="006B3A71">
        <w:rPr>
          <w:color w:val="000000" w:themeColor="text1"/>
        </w:rPr>
        <w:t xml:space="preserve"> </w:t>
      </w:r>
      <w:r w:rsidR="008305F9" w:rsidRPr="006B3A71">
        <w:rPr>
          <w:color w:val="000000" w:themeColor="text1"/>
        </w:rPr>
        <w:t xml:space="preserve">relevant </w:t>
      </w:r>
      <w:r w:rsidR="00A97306" w:rsidRPr="006B3A71">
        <w:rPr>
          <w:color w:val="000000" w:themeColor="text1"/>
        </w:rPr>
        <w:t>agreement entered into by a</w:t>
      </w:r>
      <w:r w:rsidR="004A1885" w:rsidRPr="006B3A71">
        <w:rPr>
          <w:color w:val="000000" w:themeColor="text1"/>
        </w:rPr>
        <w:t xml:space="preserve"> new</w:t>
      </w:r>
      <w:r w:rsidR="005178F9" w:rsidRPr="006B3A71">
        <w:rPr>
          <w:color w:val="000000" w:themeColor="text1"/>
        </w:rPr>
        <w:t xml:space="preserve"> entity </w:t>
      </w:r>
      <w:r w:rsidR="004A1885" w:rsidRPr="006B3A71">
        <w:rPr>
          <w:color w:val="000000" w:themeColor="text1"/>
        </w:rPr>
        <w:t xml:space="preserve">will meet the definition where </w:t>
      </w:r>
      <w:r w:rsidR="006E6273" w:rsidRPr="006B3A71">
        <w:rPr>
          <w:color w:val="000000" w:themeColor="text1"/>
        </w:rPr>
        <w:t xml:space="preserve">the new entity </w:t>
      </w:r>
      <w:r w:rsidR="00075E70" w:rsidRPr="006B3A71">
        <w:rPr>
          <w:color w:val="000000" w:themeColor="text1"/>
        </w:rPr>
        <w:t xml:space="preserve">was </w:t>
      </w:r>
      <w:r w:rsidR="002B591E" w:rsidRPr="006B3A71">
        <w:rPr>
          <w:color w:val="000000" w:themeColor="text1"/>
        </w:rPr>
        <w:t xml:space="preserve">created </w:t>
      </w:r>
      <w:r w:rsidR="005178F9" w:rsidRPr="006B3A71">
        <w:rPr>
          <w:color w:val="000000" w:themeColor="text1"/>
        </w:rPr>
        <w:t xml:space="preserve">by an existing moneylending business </w:t>
      </w:r>
      <w:r w:rsidR="004A1885" w:rsidRPr="006B3A71">
        <w:rPr>
          <w:color w:val="000000" w:themeColor="text1"/>
        </w:rPr>
        <w:t xml:space="preserve">for </w:t>
      </w:r>
      <w:r w:rsidR="00DF7BA0" w:rsidRPr="006B3A71">
        <w:rPr>
          <w:color w:val="000000" w:themeColor="text1"/>
        </w:rPr>
        <w:t xml:space="preserve">the </w:t>
      </w:r>
      <w:r w:rsidR="004A1885" w:rsidRPr="006B3A71">
        <w:rPr>
          <w:color w:val="000000" w:themeColor="text1"/>
        </w:rPr>
        <w:t xml:space="preserve">predominant </w:t>
      </w:r>
      <w:r w:rsidR="00DF7BA0" w:rsidRPr="006B3A71">
        <w:rPr>
          <w:color w:val="000000" w:themeColor="text1"/>
        </w:rPr>
        <w:t xml:space="preserve">purpose of </w:t>
      </w:r>
      <w:r w:rsidR="004A1885" w:rsidRPr="006B3A71">
        <w:rPr>
          <w:color w:val="000000" w:themeColor="text1"/>
        </w:rPr>
        <w:t>lending money (or otherwise providing financial accommodation)</w:t>
      </w:r>
      <w:r w:rsidR="002B0B31" w:rsidRPr="006B3A71">
        <w:rPr>
          <w:color w:val="000000" w:themeColor="text1"/>
        </w:rPr>
        <w:t xml:space="preserve">. </w:t>
      </w:r>
      <w:r w:rsidR="00E17A25" w:rsidRPr="006B3A71">
        <w:t>This is a common industry practice</w:t>
      </w:r>
      <w:r w:rsidR="00C91357" w:rsidRPr="006B3A71">
        <w:t>,</w:t>
      </w:r>
      <w:r w:rsidR="00E17A25" w:rsidRPr="006B3A71">
        <w:t xml:space="preserve"> but </w:t>
      </w:r>
      <w:r w:rsidR="000275CA" w:rsidRPr="006B3A71">
        <w:t>the Principal Regulation do not</w:t>
      </w:r>
      <w:r w:rsidR="00E17A25" w:rsidRPr="006B3A71">
        <w:t xml:space="preserve"> expressly provide for </w:t>
      </w:r>
      <w:r w:rsidR="000275CA" w:rsidRPr="006B3A71">
        <w:t>an exemption in these circumstances</w:t>
      </w:r>
      <w:r w:rsidR="00E17A25" w:rsidRPr="006B3A71">
        <w:t xml:space="preserve">. </w:t>
      </w:r>
      <w:r w:rsidR="003B2002" w:rsidRPr="006B3A71">
        <w:rPr>
          <w:color w:val="000000" w:themeColor="text1"/>
        </w:rPr>
        <w:t xml:space="preserve">The new definition </w:t>
      </w:r>
      <w:r w:rsidR="002B0B31" w:rsidRPr="006B3A71">
        <w:rPr>
          <w:color w:val="000000" w:themeColor="text1"/>
        </w:rPr>
        <w:t xml:space="preserve">ensures that </w:t>
      </w:r>
      <w:r w:rsidR="0077536C" w:rsidRPr="006B3A71">
        <w:rPr>
          <w:color w:val="000000" w:themeColor="text1"/>
        </w:rPr>
        <w:t>the moneylending exemption in section</w:t>
      </w:r>
      <w:r w:rsidR="00631F22" w:rsidRPr="006B3A71">
        <w:rPr>
          <w:color w:val="000000" w:themeColor="text1"/>
        </w:rPr>
        <w:t> </w:t>
      </w:r>
      <w:r w:rsidR="0077536C" w:rsidRPr="006B3A71">
        <w:rPr>
          <w:color w:val="000000" w:themeColor="text1"/>
        </w:rPr>
        <w:t xml:space="preserve">27 </w:t>
      </w:r>
      <w:r w:rsidR="00852820" w:rsidRPr="006B3A71">
        <w:rPr>
          <w:color w:val="000000" w:themeColor="text1"/>
        </w:rPr>
        <w:t xml:space="preserve">of the </w:t>
      </w:r>
      <w:r w:rsidR="004C48C3" w:rsidRPr="006B3A71">
        <w:rPr>
          <w:color w:val="000000" w:themeColor="text1"/>
        </w:rPr>
        <w:t xml:space="preserve">Principal </w:t>
      </w:r>
      <w:r w:rsidR="00852820" w:rsidRPr="006B3A71">
        <w:rPr>
          <w:color w:val="000000" w:themeColor="text1"/>
        </w:rPr>
        <w:t xml:space="preserve">Regulations </w:t>
      </w:r>
      <w:r w:rsidR="00FE2E4D" w:rsidRPr="006B3A71">
        <w:rPr>
          <w:color w:val="000000" w:themeColor="text1"/>
        </w:rPr>
        <w:t xml:space="preserve">also </w:t>
      </w:r>
      <w:r w:rsidR="0077536C" w:rsidRPr="006B3A71">
        <w:rPr>
          <w:color w:val="000000" w:themeColor="text1"/>
        </w:rPr>
        <w:t xml:space="preserve">applies to </w:t>
      </w:r>
      <w:r w:rsidR="002B0B31" w:rsidRPr="006B3A71">
        <w:rPr>
          <w:color w:val="000000" w:themeColor="text1"/>
        </w:rPr>
        <w:t>moneylending agreement</w:t>
      </w:r>
      <w:r w:rsidR="00F04980" w:rsidRPr="006B3A71">
        <w:rPr>
          <w:color w:val="000000" w:themeColor="text1"/>
        </w:rPr>
        <w:t>s</w:t>
      </w:r>
      <w:r w:rsidR="006E6273" w:rsidRPr="006B3A71">
        <w:rPr>
          <w:color w:val="000000" w:themeColor="text1"/>
        </w:rPr>
        <w:t xml:space="preserve"> of entities</w:t>
      </w:r>
      <w:r w:rsidR="00730F6D" w:rsidRPr="006B3A71">
        <w:rPr>
          <w:color w:val="000000" w:themeColor="text1"/>
        </w:rPr>
        <w:t xml:space="preserve"> that are newly created by existing moneylending businesses</w:t>
      </w:r>
      <w:r w:rsidR="00F04980" w:rsidRPr="006B3A71">
        <w:rPr>
          <w:color w:val="000000" w:themeColor="text1"/>
        </w:rPr>
        <w:t>.</w:t>
      </w:r>
      <w:r w:rsidR="00E17A25" w:rsidRPr="006B3A71">
        <w:rPr>
          <w:color w:val="000000" w:themeColor="text1"/>
        </w:rPr>
        <w:t xml:space="preserve"> </w:t>
      </w:r>
      <w:r w:rsidR="00E17A25" w:rsidRPr="006B3A71">
        <w:t xml:space="preserve">The purpose of the amendment is to ensure the </w:t>
      </w:r>
      <w:r w:rsidR="004C48C3" w:rsidRPr="006B3A71">
        <w:t xml:space="preserve">Principal </w:t>
      </w:r>
      <w:r w:rsidR="00E17A25" w:rsidRPr="006B3A71">
        <w:t>Regulations remain fit for purpose and meet investor expectations</w:t>
      </w:r>
      <w:r w:rsidR="004C48C3" w:rsidRPr="006B3A71">
        <w:t>, including with respect to this</w:t>
      </w:r>
      <w:r w:rsidR="00E17A25" w:rsidRPr="006B3A71">
        <w:t xml:space="preserve"> common industry practice. </w:t>
      </w:r>
    </w:p>
    <w:p w14:paraId="03796C1F" w14:textId="78CDE62A" w:rsidR="000741C3" w:rsidRPr="006B3A71" w:rsidRDefault="000741C3" w:rsidP="00000525">
      <w:pPr>
        <w:spacing w:before="0" w:after="0"/>
        <w:rPr>
          <w:color w:val="000000" w:themeColor="text1"/>
        </w:rPr>
      </w:pPr>
    </w:p>
    <w:p w14:paraId="673E854C" w14:textId="5B10D2C6" w:rsidR="00AB215A" w:rsidRPr="006B3A71" w:rsidRDefault="00E1580D" w:rsidP="00000525">
      <w:pPr>
        <w:spacing w:before="0" w:after="0"/>
        <w:rPr>
          <w:color w:val="000000" w:themeColor="text1"/>
        </w:rPr>
      </w:pPr>
      <w:r w:rsidRPr="006B3A71">
        <w:rPr>
          <w:color w:val="000000" w:themeColor="text1"/>
        </w:rPr>
        <w:t xml:space="preserve">Under the </w:t>
      </w:r>
      <w:r w:rsidR="00852820" w:rsidRPr="006B3A71">
        <w:rPr>
          <w:color w:val="000000" w:themeColor="text1"/>
        </w:rPr>
        <w:t xml:space="preserve">new definition </w:t>
      </w:r>
      <w:r w:rsidRPr="006B3A71">
        <w:rPr>
          <w:color w:val="000000" w:themeColor="text1"/>
        </w:rPr>
        <w:t xml:space="preserve">of </w:t>
      </w:r>
      <w:r w:rsidR="005F65B3" w:rsidRPr="006B3A71">
        <w:rPr>
          <w:color w:val="000000" w:themeColor="text1"/>
        </w:rPr>
        <w:t>’</w:t>
      </w:r>
      <w:r w:rsidRPr="006B3A71">
        <w:rPr>
          <w:color w:val="000000" w:themeColor="text1"/>
        </w:rPr>
        <w:t>moneylending agreement</w:t>
      </w:r>
      <w:r w:rsidR="005F65B3" w:rsidRPr="006B3A71">
        <w:rPr>
          <w:color w:val="000000" w:themeColor="text1"/>
        </w:rPr>
        <w:t>’</w:t>
      </w:r>
      <w:r w:rsidRPr="006B3A71">
        <w:rPr>
          <w:color w:val="000000" w:themeColor="text1"/>
        </w:rPr>
        <w:t>, t</w:t>
      </w:r>
      <w:r w:rsidR="00AB215A" w:rsidRPr="006B3A71">
        <w:rPr>
          <w:color w:val="000000" w:themeColor="text1"/>
        </w:rPr>
        <w:t xml:space="preserve">here are a number of exceptions </w:t>
      </w:r>
      <w:r w:rsidR="002742D3" w:rsidRPr="006B3A71">
        <w:rPr>
          <w:color w:val="000000" w:themeColor="text1"/>
        </w:rPr>
        <w:t>to the inclusion of newly created moneylending entities</w:t>
      </w:r>
      <w:r w:rsidR="00981D76" w:rsidRPr="006B3A71">
        <w:rPr>
          <w:color w:val="000000" w:themeColor="text1"/>
        </w:rPr>
        <w:t>:</w:t>
      </w:r>
    </w:p>
    <w:p w14:paraId="3B5B0E0F" w14:textId="2F72ED97" w:rsidR="002742D3" w:rsidRPr="006B3A71" w:rsidRDefault="0089410B" w:rsidP="00000525">
      <w:pPr>
        <w:pStyle w:val="Bullet"/>
      </w:pPr>
      <w:r w:rsidRPr="006B3A71">
        <w:t>Paragraph 5</w:t>
      </w:r>
      <w:r w:rsidR="002742D3" w:rsidRPr="006B3A71">
        <w:t>(b)(i</w:t>
      </w:r>
      <w:r w:rsidR="00E1580D" w:rsidRPr="006B3A71">
        <w:t>v</w:t>
      </w:r>
      <w:r w:rsidR="002742D3" w:rsidRPr="006B3A71">
        <w:t xml:space="preserve">) </w:t>
      </w:r>
      <w:r w:rsidR="00E1580D" w:rsidRPr="006B3A71">
        <w:t xml:space="preserve">provides that the agreement </w:t>
      </w:r>
      <w:r w:rsidR="00D80322" w:rsidRPr="006B3A71">
        <w:t xml:space="preserve">entered into by the newly created entity </w:t>
      </w:r>
      <w:r w:rsidR="00E1580D" w:rsidRPr="006B3A71">
        <w:t xml:space="preserve">must not deal with any matter unrelated to the purpose of </w:t>
      </w:r>
      <w:r w:rsidR="00312C67" w:rsidRPr="006B3A71">
        <w:t>moneylending</w:t>
      </w:r>
      <w:r w:rsidR="00E1580D" w:rsidRPr="006B3A71">
        <w:t xml:space="preserve"> and unrelated to the carr</w:t>
      </w:r>
      <w:r w:rsidR="00B07982" w:rsidRPr="006B3A71">
        <w:t>ying on of the moneylending business of the person or entity that created the new entity</w:t>
      </w:r>
      <w:r w:rsidR="00E1580D" w:rsidRPr="006B3A71">
        <w:t>.</w:t>
      </w:r>
    </w:p>
    <w:p w14:paraId="72B1F28E" w14:textId="38616F2C" w:rsidR="00E1580D" w:rsidRPr="006B3A71" w:rsidRDefault="00245719" w:rsidP="00000525">
      <w:pPr>
        <w:pStyle w:val="Bullet"/>
      </w:pPr>
      <w:r w:rsidRPr="006B3A71">
        <w:lastRenderedPageBreak/>
        <w:t>P</w:t>
      </w:r>
      <w:r w:rsidR="00E1580D" w:rsidRPr="006B3A71">
        <w:t xml:space="preserve">aragraph </w:t>
      </w:r>
      <w:r w:rsidRPr="006B3A71">
        <w:t>5</w:t>
      </w:r>
      <w:r w:rsidR="00E1580D" w:rsidRPr="006B3A71">
        <w:t>(b)(v) provides that the newly created entity must not have carried on a business unrelated to the purpose of moneylending</w:t>
      </w:r>
      <w:r w:rsidR="00EF0FC1" w:rsidRPr="006B3A71">
        <w:t xml:space="preserve"> or otherwise providing financial accommodation</w:t>
      </w:r>
      <w:r w:rsidR="00E1580D" w:rsidRPr="006B3A71">
        <w:t>.</w:t>
      </w:r>
    </w:p>
    <w:p w14:paraId="1B536D3E" w14:textId="77777777" w:rsidR="00C16B77" w:rsidRPr="006B3A71" w:rsidRDefault="00C16B77" w:rsidP="00000525">
      <w:pPr>
        <w:spacing w:before="0" w:after="0"/>
        <w:rPr>
          <w:color w:val="000000" w:themeColor="text1"/>
        </w:rPr>
      </w:pPr>
    </w:p>
    <w:p w14:paraId="01340E3E" w14:textId="596159B8" w:rsidR="002742D3" w:rsidRPr="006B3A71" w:rsidRDefault="00835D64" w:rsidP="00000525">
      <w:pPr>
        <w:spacing w:before="0" w:after="0"/>
        <w:rPr>
          <w:color w:val="000000" w:themeColor="text1"/>
        </w:rPr>
      </w:pPr>
      <w:r w:rsidRPr="006B3A71">
        <w:rPr>
          <w:color w:val="000000" w:themeColor="text1"/>
        </w:rPr>
        <w:t xml:space="preserve">Under the </w:t>
      </w:r>
      <w:r w:rsidR="00EF0FC1" w:rsidRPr="006B3A71">
        <w:rPr>
          <w:color w:val="000000" w:themeColor="text1"/>
        </w:rPr>
        <w:t xml:space="preserve">new </w:t>
      </w:r>
      <w:r w:rsidR="00AC4E99" w:rsidRPr="006B3A71">
        <w:rPr>
          <w:color w:val="000000" w:themeColor="text1"/>
        </w:rPr>
        <w:t>definition</w:t>
      </w:r>
      <w:r w:rsidRPr="006B3A71">
        <w:rPr>
          <w:color w:val="000000" w:themeColor="text1"/>
        </w:rPr>
        <w:t xml:space="preserve"> of </w:t>
      </w:r>
      <w:r w:rsidR="00AC4E99" w:rsidRPr="006B3A71">
        <w:rPr>
          <w:color w:val="000000" w:themeColor="text1"/>
        </w:rPr>
        <w:t>‘</w:t>
      </w:r>
      <w:r w:rsidRPr="006B3A71">
        <w:rPr>
          <w:color w:val="000000" w:themeColor="text1"/>
        </w:rPr>
        <w:t>moneylending agreement</w:t>
      </w:r>
      <w:r w:rsidR="00AC4E99" w:rsidRPr="006B3A71">
        <w:rPr>
          <w:color w:val="000000" w:themeColor="text1"/>
        </w:rPr>
        <w:t>’</w:t>
      </w:r>
      <w:r w:rsidRPr="006B3A71">
        <w:rPr>
          <w:color w:val="000000" w:themeColor="text1"/>
        </w:rPr>
        <w:t xml:space="preserve">, </w:t>
      </w:r>
      <w:r w:rsidR="00EF0FC1" w:rsidRPr="006B3A71">
        <w:rPr>
          <w:color w:val="000000" w:themeColor="text1"/>
        </w:rPr>
        <w:t>subsection 5</w:t>
      </w:r>
      <w:r w:rsidRPr="006B3A71">
        <w:rPr>
          <w:color w:val="000000" w:themeColor="text1"/>
        </w:rPr>
        <w:t>(b) ensures that agreements of newly created entities (</w:t>
      </w:r>
      <w:r w:rsidR="00AE3309" w:rsidRPr="006B3A71">
        <w:rPr>
          <w:color w:val="000000" w:themeColor="text1"/>
        </w:rPr>
        <w:t>that</w:t>
      </w:r>
      <w:r w:rsidR="00E07155" w:rsidRPr="006B3A71">
        <w:rPr>
          <w:color w:val="000000" w:themeColor="text1"/>
        </w:rPr>
        <w:t xml:space="preserve"> may not be</w:t>
      </w:r>
      <w:r w:rsidRPr="006B3A71">
        <w:rPr>
          <w:color w:val="000000" w:themeColor="text1"/>
        </w:rPr>
        <w:t xml:space="preserve"> carrying on any business</w:t>
      </w:r>
      <w:r w:rsidR="00146C2F" w:rsidRPr="006B3A71">
        <w:rPr>
          <w:color w:val="000000" w:themeColor="text1"/>
        </w:rPr>
        <w:t xml:space="preserve"> at the time of entering into the relevant agreement</w:t>
      </w:r>
      <w:r w:rsidRPr="006B3A71">
        <w:rPr>
          <w:color w:val="000000" w:themeColor="text1"/>
        </w:rPr>
        <w:t xml:space="preserve">) can meet the definition </w:t>
      </w:r>
      <w:r w:rsidR="00AC4E99" w:rsidRPr="006B3A71">
        <w:rPr>
          <w:color w:val="000000" w:themeColor="text1"/>
        </w:rPr>
        <w:t>provided that</w:t>
      </w:r>
      <w:r w:rsidRPr="006B3A71">
        <w:rPr>
          <w:color w:val="000000" w:themeColor="text1"/>
        </w:rPr>
        <w:t xml:space="preserve"> the above elements are satisfied. Where an entity carries on a number of businesses, including a moneylending business, the existing provisions in </w:t>
      </w:r>
      <w:r w:rsidR="00EF0FC1" w:rsidRPr="006B3A71">
        <w:rPr>
          <w:color w:val="000000" w:themeColor="text1"/>
        </w:rPr>
        <w:t>subsection 5</w:t>
      </w:r>
      <w:r w:rsidRPr="006B3A71">
        <w:rPr>
          <w:color w:val="000000" w:themeColor="text1"/>
        </w:rPr>
        <w:t>(a) may apply.</w:t>
      </w:r>
    </w:p>
    <w:p w14:paraId="59D2C3EC" w14:textId="77777777" w:rsidR="00835D64" w:rsidRPr="006B3A71" w:rsidRDefault="00835D64" w:rsidP="00000525">
      <w:pPr>
        <w:spacing w:before="0" w:after="0"/>
        <w:rPr>
          <w:color w:val="000000" w:themeColor="text1"/>
        </w:rPr>
      </w:pPr>
    </w:p>
    <w:p w14:paraId="14865358" w14:textId="0FA48A92" w:rsidR="000741C3" w:rsidRPr="006B3A71" w:rsidRDefault="000741C3" w:rsidP="00000525">
      <w:pPr>
        <w:spacing w:before="0" w:after="0"/>
        <w:rPr>
          <w:color w:val="000000" w:themeColor="text1"/>
        </w:rPr>
      </w:pPr>
      <w:r w:rsidRPr="006B3A71">
        <w:rPr>
          <w:color w:val="000000" w:themeColor="text1"/>
        </w:rPr>
        <w:t xml:space="preserve">The amendments </w:t>
      </w:r>
      <w:r w:rsidR="008E69A7" w:rsidRPr="006B3A71">
        <w:rPr>
          <w:color w:val="000000" w:themeColor="text1"/>
        </w:rPr>
        <w:t>clarif</w:t>
      </w:r>
      <w:r w:rsidR="002E026D" w:rsidRPr="006B3A71">
        <w:rPr>
          <w:color w:val="000000" w:themeColor="text1"/>
        </w:rPr>
        <w:t>y</w:t>
      </w:r>
      <w:r w:rsidR="008E69A7" w:rsidRPr="006B3A71">
        <w:rPr>
          <w:color w:val="000000" w:themeColor="text1"/>
        </w:rPr>
        <w:t xml:space="preserve"> that references to a person </w:t>
      </w:r>
      <w:r w:rsidR="00B3193A" w:rsidRPr="006B3A71">
        <w:rPr>
          <w:color w:val="000000" w:themeColor="text1"/>
        </w:rPr>
        <w:t xml:space="preserve">in the </w:t>
      </w:r>
      <w:r w:rsidR="00047992" w:rsidRPr="006B3A71">
        <w:rPr>
          <w:color w:val="000000" w:themeColor="text1"/>
        </w:rPr>
        <w:t>definition of a ‘</w:t>
      </w:r>
      <w:r w:rsidR="00161A1A" w:rsidRPr="006B3A71">
        <w:rPr>
          <w:color w:val="000000" w:themeColor="text1"/>
        </w:rPr>
        <w:t xml:space="preserve">moneylending </w:t>
      </w:r>
      <w:r w:rsidR="004A1885" w:rsidRPr="006B3A71">
        <w:rPr>
          <w:color w:val="000000" w:themeColor="text1"/>
        </w:rPr>
        <w:t>agreement</w:t>
      </w:r>
      <w:r w:rsidR="00047992" w:rsidRPr="006B3A71">
        <w:rPr>
          <w:color w:val="000000" w:themeColor="text1"/>
        </w:rPr>
        <w:t>’</w:t>
      </w:r>
      <w:r w:rsidR="00B3193A" w:rsidRPr="006B3A71">
        <w:rPr>
          <w:color w:val="000000" w:themeColor="text1"/>
        </w:rPr>
        <w:t xml:space="preserve"> </w:t>
      </w:r>
      <w:r w:rsidR="008E69A7" w:rsidRPr="006B3A71">
        <w:rPr>
          <w:color w:val="000000" w:themeColor="text1"/>
        </w:rPr>
        <w:t>also appl</w:t>
      </w:r>
      <w:r w:rsidR="00B3193A" w:rsidRPr="006B3A71">
        <w:rPr>
          <w:color w:val="000000" w:themeColor="text1"/>
        </w:rPr>
        <w:t>y</w:t>
      </w:r>
      <w:r w:rsidR="008E69A7" w:rsidRPr="006B3A71">
        <w:rPr>
          <w:color w:val="000000" w:themeColor="text1"/>
        </w:rPr>
        <w:t xml:space="preserve"> to an entity. The term </w:t>
      </w:r>
      <w:r w:rsidR="0099613A" w:rsidRPr="006B3A71">
        <w:rPr>
          <w:color w:val="000000" w:themeColor="text1"/>
        </w:rPr>
        <w:t>‘</w:t>
      </w:r>
      <w:r w:rsidR="008E69A7" w:rsidRPr="006B3A71">
        <w:rPr>
          <w:color w:val="000000" w:themeColor="text1"/>
        </w:rPr>
        <w:t>entity</w:t>
      </w:r>
      <w:r w:rsidR="0099613A" w:rsidRPr="006B3A71">
        <w:rPr>
          <w:color w:val="000000" w:themeColor="text1"/>
        </w:rPr>
        <w:t>’</w:t>
      </w:r>
      <w:r w:rsidR="008E69A7" w:rsidRPr="006B3A71">
        <w:rPr>
          <w:color w:val="000000" w:themeColor="text1"/>
        </w:rPr>
        <w:t xml:space="preserve"> is defined in section 4 of the Act and means a corporation or unit trust. These amendments align the language of the definition </w:t>
      </w:r>
      <w:r w:rsidR="007977D6" w:rsidRPr="006B3A71">
        <w:rPr>
          <w:color w:val="000000" w:themeColor="text1"/>
        </w:rPr>
        <w:t xml:space="preserve">of moneylending agreement </w:t>
      </w:r>
      <w:r w:rsidR="008E69A7" w:rsidRPr="006B3A71">
        <w:rPr>
          <w:color w:val="000000" w:themeColor="text1"/>
        </w:rPr>
        <w:t xml:space="preserve">with the existing language </w:t>
      </w:r>
      <w:r w:rsidR="00486290" w:rsidRPr="006B3A71">
        <w:rPr>
          <w:color w:val="000000" w:themeColor="text1"/>
        </w:rPr>
        <w:t xml:space="preserve">used </w:t>
      </w:r>
      <w:r w:rsidR="008E69A7" w:rsidRPr="006B3A71">
        <w:rPr>
          <w:color w:val="000000" w:themeColor="text1"/>
        </w:rPr>
        <w:t xml:space="preserve">in the </w:t>
      </w:r>
      <w:r w:rsidR="0000352D" w:rsidRPr="006B3A71">
        <w:rPr>
          <w:color w:val="000000" w:themeColor="text1"/>
        </w:rPr>
        <w:t xml:space="preserve">moneylending </w:t>
      </w:r>
      <w:r w:rsidR="008E69A7" w:rsidRPr="006B3A71">
        <w:rPr>
          <w:color w:val="000000" w:themeColor="text1"/>
        </w:rPr>
        <w:t>exemption under section 27</w:t>
      </w:r>
      <w:r w:rsidR="00486290" w:rsidRPr="006B3A71">
        <w:rPr>
          <w:color w:val="000000" w:themeColor="text1"/>
        </w:rPr>
        <w:t xml:space="preserve"> of the Principal Regulation</w:t>
      </w:r>
      <w:r w:rsidR="005132E1" w:rsidRPr="006B3A71">
        <w:rPr>
          <w:color w:val="000000" w:themeColor="text1"/>
        </w:rPr>
        <w:t>s</w:t>
      </w:r>
      <w:r w:rsidR="008E69A7" w:rsidRPr="006B3A71">
        <w:rPr>
          <w:color w:val="000000" w:themeColor="text1"/>
        </w:rPr>
        <w:t>.</w:t>
      </w:r>
    </w:p>
    <w:p w14:paraId="1AFC7441" w14:textId="6204A92B" w:rsidR="00E26E47" w:rsidRPr="006B3A71" w:rsidRDefault="00E26E47" w:rsidP="00000525">
      <w:pPr>
        <w:spacing w:before="0" w:after="0"/>
        <w:rPr>
          <w:color w:val="000000" w:themeColor="text1"/>
        </w:rPr>
      </w:pPr>
    </w:p>
    <w:p w14:paraId="288557D7" w14:textId="608F1BFF" w:rsidR="000741C3" w:rsidRPr="006B3A71" w:rsidRDefault="000741C3" w:rsidP="00000525">
      <w:pPr>
        <w:spacing w:before="0" w:after="0"/>
        <w:rPr>
          <w:color w:val="000000" w:themeColor="text1"/>
        </w:rPr>
      </w:pPr>
      <w:r w:rsidRPr="006B3A71">
        <w:rPr>
          <w:color w:val="000000" w:themeColor="text1"/>
        </w:rPr>
        <w:t>Item</w:t>
      </w:r>
      <w:r w:rsidR="00E26E47" w:rsidRPr="006B3A71">
        <w:rPr>
          <w:color w:val="000000" w:themeColor="text1"/>
        </w:rPr>
        <w:t xml:space="preserve"> 2</w:t>
      </w:r>
      <w:r w:rsidRPr="006B3A71">
        <w:rPr>
          <w:color w:val="000000" w:themeColor="text1"/>
        </w:rPr>
        <w:t xml:space="preserve"> </w:t>
      </w:r>
      <w:r w:rsidR="005132E1" w:rsidRPr="006B3A71">
        <w:rPr>
          <w:color w:val="000000" w:themeColor="text1"/>
        </w:rPr>
        <w:t xml:space="preserve">inserts the definition of </w:t>
      </w:r>
      <w:r w:rsidRPr="006B3A71">
        <w:rPr>
          <w:color w:val="000000" w:themeColor="text1"/>
        </w:rPr>
        <w:t xml:space="preserve">‘moneylending business’ </w:t>
      </w:r>
      <w:r w:rsidR="00A76973" w:rsidRPr="006B3A71">
        <w:rPr>
          <w:color w:val="000000" w:themeColor="text1"/>
        </w:rPr>
        <w:t>in section 5 of the Principal Regulations</w:t>
      </w:r>
      <w:r w:rsidRPr="006B3A71">
        <w:rPr>
          <w:color w:val="000000" w:themeColor="text1"/>
        </w:rPr>
        <w:t xml:space="preserve">. </w:t>
      </w:r>
      <w:r w:rsidR="008E69A7" w:rsidRPr="006B3A71">
        <w:rPr>
          <w:color w:val="000000" w:themeColor="text1"/>
        </w:rPr>
        <w:t xml:space="preserve">This change is not intended to alter the </w:t>
      </w:r>
      <w:r w:rsidR="00522720" w:rsidRPr="006B3A71">
        <w:rPr>
          <w:color w:val="000000" w:themeColor="text1"/>
        </w:rPr>
        <w:t xml:space="preserve">concept </w:t>
      </w:r>
      <w:r w:rsidR="008E69A7" w:rsidRPr="006B3A71">
        <w:rPr>
          <w:color w:val="000000" w:themeColor="text1"/>
        </w:rPr>
        <w:t>of a moneylending business</w:t>
      </w:r>
      <w:r w:rsidR="00383789" w:rsidRPr="006B3A71">
        <w:rPr>
          <w:color w:val="000000" w:themeColor="text1"/>
        </w:rPr>
        <w:t xml:space="preserve">, which is currently nested in the definition of moneylending agreement </w:t>
      </w:r>
      <w:r w:rsidR="00770E82" w:rsidRPr="006B3A71">
        <w:rPr>
          <w:color w:val="000000" w:themeColor="text1"/>
        </w:rPr>
        <w:t>and</w:t>
      </w:r>
      <w:r w:rsidR="00383789" w:rsidRPr="006B3A71">
        <w:rPr>
          <w:color w:val="000000" w:themeColor="text1"/>
        </w:rPr>
        <w:t xml:space="preserve"> will be repealed</w:t>
      </w:r>
      <w:r w:rsidR="008E69A7" w:rsidRPr="006B3A71">
        <w:rPr>
          <w:color w:val="000000" w:themeColor="text1"/>
        </w:rPr>
        <w:t>.</w:t>
      </w:r>
      <w:r w:rsidR="00A76973" w:rsidRPr="006B3A71">
        <w:rPr>
          <w:color w:val="000000" w:themeColor="text1"/>
        </w:rPr>
        <w:t xml:space="preserve"> The purpose of the amendment is to</w:t>
      </w:r>
      <w:r w:rsidR="00383789" w:rsidRPr="006B3A71">
        <w:rPr>
          <w:color w:val="000000" w:themeColor="text1"/>
        </w:rPr>
        <w:t xml:space="preserve"> support the readability of the </w:t>
      </w:r>
      <w:r w:rsidR="00770E82" w:rsidRPr="006B3A71">
        <w:rPr>
          <w:color w:val="000000" w:themeColor="text1"/>
        </w:rPr>
        <w:t xml:space="preserve">Principal </w:t>
      </w:r>
      <w:r w:rsidR="00383789" w:rsidRPr="006B3A71">
        <w:rPr>
          <w:color w:val="000000" w:themeColor="text1"/>
        </w:rPr>
        <w:t>Regulations. As the new definition of moneylending agreement is length</w:t>
      </w:r>
      <w:r w:rsidR="00A96B9D" w:rsidRPr="006B3A71">
        <w:rPr>
          <w:color w:val="000000" w:themeColor="text1"/>
        </w:rPr>
        <w:t>ier</w:t>
      </w:r>
      <w:r w:rsidR="00383789" w:rsidRPr="006B3A71">
        <w:rPr>
          <w:color w:val="000000" w:themeColor="text1"/>
        </w:rPr>
        <w:t xml:space="preserve"> than the old definition that would be repealed, a separate rather than nested definition would be easier to understand for a reader.</w:t>
      </w:r>
    </w:p>
    <w:p w14:paraId="072A4108" w14:textId="77777777" w:rsidR="002742D3" w:rsidRPr="006B3A71" w:rsidRDefault="002742D3" w:rsidP="00000525">
      <w:pPr>
        <w:spacing w:before="0" w:after="0"/>
        <w:rPr>
          <w:color w:val="000000" w:themeColor="text1"/>
        </w:rPr>
      </w:pPr>
    </w:p>
    <w:p w14:paraId="78205367" w14:textId="3907FBF5" w:rsidR="00BD676D" w:rsidRPr="006B3A71" w:rsidRDefault="00BD676D" w:rsidP="00000525">
      <w:pPr>
        <w:spacing w:before="0" w:after="0"/>
        <w:rPr>
          <w:b/>
          <w:bCs/>
          <w:i/>
          <w:iCs/>
          <w:color w:val="000000" w:themeColor="text1"/>
        </w:rPr>
      </w:pPr>
      <w:r w:rsidRPr="006B3A71">
        <w:rPr>
          <w:b/>
          <w:bCs/>
          <w:i/>
          <w:iCs/>
          <w:color w:val="000000" w:themeColor="text1"/>
        </w:rPr>
        <w:t xml:space="preserve">Item </w:t>
      </w:r>
      <w:r w:rsidR="00E26E47" w:rsidRPr="006B3A71">
        <w:rPr>
          <w:b/>
          <w:bCs/>
          <w:i/>
          <w:iCs/>
          <w:color w:val="000000" w:themeColor="text1"/>
        </w:rPr>
        <w:t>3</w:t>
      </w:r>
      <w:r w:rsidRPr="006B3A71">
        <w:rPr>
          <w:b/>
          <w:bCs/>
          <w:i/>
          <w:iCs/>
          <w:color w:val="000000" w:themeColor="text1"/>
        </w:rPr>
        <w:t xml:space="preserve"> – Moneylending exemption – subsidiary and holding entities </w:t>
      </w:r>
    </w:p>
    <w:p w14:paraId="0B2C987F" w14:textId="77777777" w:rsidR="00BD676D" w:rsidRPr="006B3A71" w:rsidRDefault="00BD676D" w:rsidP="00000525">
      <w:pPr>
        <w:spacing w:before="0" w:after="0"/>
        <w:rPr>
          <w:color w:val="000000" w:themeColor="text1"/>
        </w:rPr>
      </w:pPr>
    </w:p>
    <w:p w14:paraId="4532CE43" w14:textId="3F58C21C" w:rsidR="00A669E6" w:rsidRPr="006B3A71" w:rsidRDefault="00BD676D" w:rsidP="00000525">
      <w:pPr>
        <w:spacing w:before="0" w:after="0"/>
      </w:pPr>
      <w:r w:rsidRPr="006B3A71">
        <w:rPr>
          <w:color w:val="000000" w:themeColor="text1"/>
        </w:rPr>
        <w:t xml:space="preserve">Item </w:t>
      </w:r>
      <w:r w:rsidR="0018574F" w:rsidRPr="006B3A71">
        <w:rPr>
          <w:color w:val="000000" w:themeColor="text1"/>
        </w:rPr>
        <w:t>3</w:t>
      </w:r>
      <w:r w:rsidRPr="006B3A71">
        <w:rPr>
          <w:color w:val="000000" w:themeColor="text1"/>
        </w:rPr>
        <w:t xml:space="preserve"> </w:t>
      </w:r>
      <w:r w:rsidR="00AA6C90" w:rsidRPr="006B3A71">
        <w:rPr>
          <w:color w:val="000000" w:themeColor="text1"/>
        </w:rPr>
        <w:t>omits the words ‘the first entity’ and substitutes ‘an entity mentioned in subparagraph (</w:t>
      </w:r>
      <w:proofErr w:type="spellStart"/>
      <w:r w:rsidR="00AA6C90" w:rsidRPr="006B3A71">
        <w:rPr>
          <w:color w:val="000000" w:themeColor="text1"/>
        </w:rPr>
        <w:t>i</w:t>
      </w:r>
      <w:proofErr w:type="spellEnd"/>
      <w:r w:rsidR="00AA6C90" w:rsidRPr="006B3A71">
        <w:rPr>
          <w:color w:val="000000" w:themeColor="text1"/>
        </w:rPr>
        <w:t>) or (ii)</w:t>
      </w:r>
      <w:r w:rsidR="00D720C7" w:rsidRPr="006B3A71">
        <w:rPr>
          <w:color w:val="000000" w:themeColor="text1"/>
        </w:rPr>
        <w:t>’</w:t>
      </w:r>
      <w:r w:rsidR="00AA6C90" w:rsidRPr="006B3A71">
        <w:rPr>
          <w:color w:val="000000" w:themeColor="text1"/>
        </w:rPr>
        <w:t xml:space="preserve"> in</w:t>
      </w:r>
      <w:r w:rsidRPr="006B3A71">
        <w:rPr>
          <w:color w:val="000000" w:themeColor="text1"/>
        </w:rPr>
        <w:t xml:space="preserve"> subparagraph 27(1)(b)</w:t>
      </w:r>
      <w:r w:rsidR="00302D57" w:rsidRPr="006B3A71">
        <w:rPr>
          <w:color w:val="000000" w:themeColor="text1"/>
        </w:rPr>
        <w:t>(iii)</w:t>
      </w:r>
      <w:r w:rsidRPr="006B3A71">
        <w:rPr>
          <w:color w:val="000000" w:themeColor="text1"/>
        </w:rPr>
        <w:t xml:space="preserve"> </w:t>
      </w:r>
      <w:r w:rsidR="00E4132A" w:rsidRPr="006B3A71">
        <w:rPr>
          <w:color w:val="000000" w:themeColor="text1"/>
        </w:rPr>
        <w:t>of the Principal Regulations. Th</w:t>
      </w:r>
      <w:r w:rsidR="00E24B69" w:rsidRPr="006B3A71">
        <w:rPr>
          <w:color w:val="000000" w:themeColor="text1"/>
        </w:rPr>
        <w:t xml:space="preserve">is </w:t>
      </w:r>
      <w:r w:rsidR="00654BC9" w:rsidRPr="006B3A71">
        <w:rPr>
          <w:color w:val="000000" w:themeColor="text1"/>
        </w:rPr>
        <w:t>extend</w:t>
      </w:r>
      <w:r w:rsidR="00E4132A" w:rsidRPr="006B3A71">
        <w:rPr>
          <w:color w:val="000000" w:themeColor="text1"/>
        </w:rPr>
        <w:t>s</w:t>
      </w:r>
      <w:r w:rsidR="00654BC9" w:rsidRPr="006B3A71">
        <w:rPr>
          <w:color w:val="000000" w:themeColor="text1"/>
        </w:rPr>
        <w:t xml:space="preserve"> </w:t>
      </w:r>
      <w:r w:rsidR="00ED2C0B" w:rsidRPr="006B3A71">
        <w:rPr>
          <w:color w:val="000000" w:themeColor="text1"/>
        </w:rPr>
        <w:t>the moneylending exemption to</w:t>
      </w:r>
      <w:r w:rsidRPr="006B3A71">
        <w:rPr>
          <w:color w:val="000000" w:themeColor="text1"/>
        </w:rPr>
        <w:t xml:space="preserve"> </w:t>
      </w:r>
      <w:r w:rsidR="00302D57" w:rsidRPr="006B3A71">
        <w:t xml:space="preserve">a </w:t>
      </w:r>
      <w:r w:rsidR="00492880" w:rsidRPr="006B3A71">
        <w:t xml:space="preserve">person who is (alone or with others) in a </w:t>
      </w:r>
      <w:r w:rsidR="00302D57" w:rsidRPr="006B3A71">
        <w:t>position to determine the investment</w:t>
      </w:r>
      <w:r w:rsidR="000077BC" w:rsidRPr="006B3A71">
        <w:t>s or</w:t>
      </w:r>
      <w:r w:rsidR="00302D57" w:rsidRPr="006B3A71">
        <w:t xml:space="preserve"> polic</w:t>
      </w:r>
      <w:r w:rsidR="000077BC" w:rsidRPr="006B3A71">
        <w:t>y</w:t>
      </w:r>
      <w:r w:rsidR="00302D57" w:rsidRPr="006B3A71">
        <w:t xml:space="preserve"> of</w:t>
      </w:r>
      <w:r w:rsidR="00654BC9" w:rsidRPr="006B3A71">
        <w:t xml:space="preserve"> a </w:t>
      </w:r>
      <w:r w:rsidR="00302D57" w:rsidRPr="006B3A71">
        <w:t xml:space="preserve">subsidiary or holding </w:t>
      </w:r>
      <w:r w:rsidR="00950A97" w:rsidRPr="006B3A71">
        <w:t>entity</w:t>
      </w:r>
      <w:r w:rsidR="00302D57" w:rsidRPr="006B3A71">
        <w:t xml:space="preserve"> of the entity</w:t>
      </w:r>
      <w:r w:rsidR="00654BC9" w:rsidRPr="006B3A71">
        <w:t xml:space="preserve"> which entered into the moneylending agreement</w:t>
      </w:r>
      <w:r w:rsidR="00ED2C0B" w:rsidRPr="006B3A71">
        <w:t>.</w:t>
      </w:r>
      <w:r w:rsidR="00A669E6" w:rsidRPr="006B3A71">
        <w:t xml:space="preserve"> The purpose of the amendment is to </w:t>
      </w:r>
      <w:r w:rsidR="008B64D1" w:rsidRPr="006B3A71">
        <w:t xml:space="preserve">clearly specify </w:t>
      </w:r>
      <w:r w:rsidR="00836CF4">
        <w:t xml:space="preserve">the class of persons </w:t>
      </w:r>
      <w:r w:rsidR="003B4A96" w:rsidRPr="006B3A71">
        <w:t xml:space="preserve">who can access the </w:t>
      </w:r>
      <w:r w:rsidR="008B64D1" w:rsidRPr="006B3A71">
        <w:t xml:space="preserve">moneylending </w:t>
      </w:r>
      <w:r w:rsidR="003B4A96" w:rsidRPr="006B3A71">
        <w:t>exemption</w:t>
      </w:r>
      <w:r w:rsidR="008B64D1" w:rsidRPr="006B3A71">
        <w:t xml:space="preserve"> and the operation of the exemption </w:t>
      </w:r>
      <w:r w:rsidR="003B4A96" w:rsidRPr="006B3A71">
        <w:t>as currently understood by investors</w:t>
      </w:r>
      <w:r w:rsidR="00A669E6" w:rsidRPr="006B3A71">
        <w:t xml:space="preserve">. </w:t>
      </w:r>
    </w:p>
    <w:p w14:paraId="4100770D" w14:textId="77777777" w:rsidR="005A6246" w:rsidRPr="006B3A71" w:rsidRDefault="005A6246" w:rsidP="00000525">
      <w:pPr>
        <w:spacing w:before="0" w:after="0"/>
        <w:rPr>
          <w:b/>
          <w:bCs/>
          <w:i/>
          <w:iCs/>
          <w:color w:val="000000" w:themeColor="text1"/>
        </w:rPr>
      </w:pPr>
    </w:p>
    <w:p w14:paraId="5DC25D12" w14:textId="45C19E75" w:rsidR="005A6246" w:rsidRPr="006B3A71" w:rsidRDefault="005A6246" w:rsidP="00000525">
      <w:pPr>
        <w:spacing w:before="0" w:after="0"/>
        <w:rPr>
          <w:b/>
          <w:bCs/>
          <w:i/>
          <w:iCs/>
          <w:color w:val="000000" w:themeColor="text1"/>
        </w:rPr>
      </w:pPr>
      <w:r w:rsidRPr="006B3A71">
        <w:rPr>
          <w:b/>
          <w:bCs/>
          <w:i/>
          <w:iCs/>
          <w:color w:val="000000" w:themeColor="text1"/>
        </w:rPr>
        <w:t xml:space="preserve">Item </w:t>
      </w:r>
      <w:r w:rsidR="0018574F" w:rsidRPr="006B3A71">
        <w:rPr>
          <w:b/>
          <w:bCs/>
          <w:i/>
          <w:iCs/>
          <w:color w:val="000000" w:themeColor="text1"/>
        </w:rPr>
        <w:t>4</w:t>
      </w:r>
      <w:r w:rsidRPr="006B3A71">
        <w:rPr>
          <w:b/>
          <w:bCs/>
          <w:i/>
          <w:iCs/>
          <w:color w:val="000000" w:themeColor="text1"/>
        </w:rPr>
        <w:t xml:space="preserve"> – Moneylending exemption – security trustees</w:t>
      </w:r>
    </w:p>
    <w:p w14:paraId="40DBB106" w14:textId="77777777" w:rsidR="007B2CEE" w:rsidRPr="006B3A71" w:rsidRDefault="007B2CEE" w:rsidP="00000525">
      <w:pPr>
        <w:spacing w:before="0" w:after="0"/>
      </w:pPr>
    </w:p>
    <w:p w14:paraId="51179C82" w14:textId="3BD241FA" w:rsidR="00B11977" w:rsidRPr="006B3A71" w:rsidRDefault="007B2CEE" w:rsidP="00000525">
      <w:pPr>
        <w:spacing w:before="0" w:after="0"/>
      </w:pPr>
      <w:r w:rsidRPr="006B3A71">
        <w:rPr>
          <w:color w:val="000000" w:themeColor="text1"/>
        </w:rPr>
        <w:t xml:space="preserve">Item </w:t>
      </w:r>
      <w:r w:rsidR="0018574F" w:rsidRPr="006B3A71">
        <w:rPr>
          <w:color w:val="000000" w:themeColor="text1"/>
        </w:rPr>
        <w:t>4</w:t>
      </w:r>
      <w:r w:rsidRPr="006B3A71">
        <w:rPr>
          <w:color w:val="000000" w:themeColor="text1"/>
        </w:rPr>
        <w:t xml:space="preserve"> </w:t>
      </w:r>
      <w:r w:rsidR="00D720C7" w:rsidRPr="006B3A71">
        <w:t>omits ‘the first entity’ and substitutes ‘a person or entity mentioned in any of subparagraphs (</w:t>
      </w:r>
      <w:proofErr w:type="spellStart"/>
      <w:r w:rsidR="00D720C7" w:rsidRPr="006B3A71">
        <w:t>i</w:t>
      </w:r>
      <w:proofErr w:type="spellEnd"/>
      <w:r w:rsidR="00D720C7" w:rsidRPr="006B3A71">
        <w:t>) to (iii)’ in subparagraph 27(1)(b)(iv) of the Principal Regulations. Th</w:t>
      </w:r>
      <w:r w:rsidR="00E24B69" w:rsidRPr="006B3A71">
        <w:t xml:space="preserve">is </w:t>
      </w:r>
      <w:r w:rsidR="00654BC9" w:rsidRPr="006B3A71">
        <w:rPr>
          <w:color w:val="000000" w:themeColor="text1"/>
        </w:rPr>
        <w:t>extend</w:t>
      </w:r>
      <w:r w:rsidR="00D720C7" w:rsidRPr="006B3A71">
        <w:rPr>
          <w:color w:val="000000" w:themeColor="text1"/>
        </w:rPr>
        <w:t>s</w:t>
      </w:r>
      <w:r w:rsidR="00654BC9" w:rsidRPr="006B3A71">
        <w:rPr>
          <w:color w:val="000000" w:themeColor="text1"/>
        </w:rPr>
        <w:t xml:space="preserve"> </w:t>
      </w:r>
      <w:r w:rsidR="00B11977" w:rsidRPr="006B3A71">
        <w:rPr>
          <w:color w:val="000000" w:themeColor="text1"/>
        </w:rPr>
        <w:t xml:space="preserve">the moneylending exemption to </w:t>
      </w:r>
      <w:r w:rsidR="00302D57" w:rsidRPr="006B3A71">
        <w:t xml:space="preserve">a security trustee who holds or acquires </w:t>
      </w:r>
      <w:r w:rsidR="005A5FD2" w:rsidRPr="006B3A71">
        <w:t xml:space="preserve">an </w:t>
      </w:r>
      <w:r w:rsidR="00302D57" w:rsidRPr="006B3A71">
        <w:t xml:space="preserve">interest </w:t>
      </w:r>
      <w:r w:rsidR="005A5FD2" w:rsidRPr="006B3A71">
        <w:t xml:space="preserve">referenced in paragraph 27(1)(a) </w:t>
      </w:r>
      <w:r w:rsidR="00302D57" w:rsidRPr="006B3A71">
        <w:t>on behalf of</w:t>
      </w:r>
      <w:r w:rsidR="00B11977" w:rsidRPr="006B3A71">
        <w:t>:</w:t>
      </w:r>
    </w:p>
    <w:p w14:paraId="405EF7C7" w14:textId="1B519175" w:rsidR="00B11977" w:rsidRPr="006B3A71" w:rsidRDefault="00654BC9" w:rsidP="00000525">
      <w:pPr>
        <w:pStyle w:val="Bullet"/>
        <w:rPr>
          <w:color w:val="000000" w:themeColor="text1"/>
        </w:rPr>
      </w:pPr>
      <w:r w:rsidRPr="006B3A71">
        <w:t xml:space="preserve">a </w:t>
      </w:r>
      <w:r w:rsidR="00302D57" w:rsidRPr="006B3A71">
        <w:t xml:space="preserve">subsidiary or holding </w:t>
      </w:r>
      <w:r w:rsidR="00950A97" w:rsidRPr="006B3A71">
        <w:t>entity</w:t>
      </w:r>
      <w:r w:rsidR="00302D57" w:rsidRPr="006B3A71">
        <w:t xml:space="preserve"> of the entity</w:t>
      </w:r>
      <w:r w:rsidRPr="006B3A71">
        <w:t xml:space="preserve"> which entered into the moneylending agreement (the first entity)</w:t>
      </w:r>
      <w:r w:rsidR="00302D57" w:rsidRPr="006B3A71">
        <w:t>,</w:t>
      </w:r>
      <w:r w:rsidR="00492880" w:rsidRPr="006B3A71">
        <w:t xml:space="preserve"> or </w:t>
      </w:r>
    </w:p>
    <w:p w14:paraId="07D6BE1A" w14:textId="4742115F" w:rsidR="00494C18" w:rsidRPr="006B3A71" w:rsidRDefault="00492880" w:rsidP="00000525">
      <w:pPr>
        <w:pStyle w:val="Bullet"/>
        <w:rPr>
          <w:color w:val="000000" w:themeColor="text1"/>
        </w:rPr>
      </w:pPr>
      <w:r w:rsidRPr="006B3A71">
        <w:t>a person who is (alone or with others) in a position to determine the investment</w:t>
      </w:r>
      <w:r w:rsidR="00771FE1" w:rsidRPr="006B3A71">
        <w:t>s</w:t>
      </w:r>
      <w:r w:rsidRPr="006B3A71">
        <w:t xml:space="preserve"> </w:t>
      </w:r>
      <w:r w:rsidR="00771FE1" w:rsidRPr="006B3A71">
        <w:t xml:space="preserve">or </w:t>
      </w:r>
      <w:r w:rsidRPr="006B3A71">
        <w:t>polic</w:t>
      </w:r>
      <w:r w:rsidR="00771FE1" w:rsidRPr="006B3A71">
        <w:t>y</w:t>
      </w:r>
      <w:r w:rsidR="00EF0192" w:rsidRPr="006B3A71">
        <w:t xml:space="preserve"> of the </w:t>
      </w:r>
      <w:r w:rsidRPr="006B3A71">
        <w:t>first entity</w:t>
      </w:r>
      <w:r w:rsidR="00EF0192" w:rsidRPr="006B3A71">
        <w:t xml:space="preserve"> </w:t>
      </w:r>
      <w:r w:rsidR="001C422A" w:rsidRPr="006B3A71">
        <w:t>(</w:t>
      </w:r>
      <w:r w:rsidR="00EF0192" w:rsidRPr="006B3A71">
        <w:t>or a subsidiary or holding entity of the first entity</w:t>
      </w:r>
      <w:r w:rsidR="001C422A" w:rsidRPr="006B3A71">
        <w:t>)</w:t>
      </w:r>
      <w:r w:rsidR="00AB5670" w:rsidRPr="006B3A71">
        <w:t>.</w:t>
      </w:r>
    </w:p>
    <w:p w14:paraId="4C59540A" w14:textId="4CA142D3" w:rsidR="00BD676D" w:rsidRPr="006B3A71" w:rsidRDefault="00BD676D" w:rsidP="00000525">
      <w:pPr>
        <w:spacing w:before="0" w:after="0"/>
        <w:rPr>
          <w:color w:val="000000" w:themeColor="text1"/>
        </w:rPr>
      </w:pPr>
    </w:p>
    <w:p w14:paraId="6BEF9D97" w14:textId="408DF454" w:rsidR="00494C18" w:rsidRPr="006B3A71" w:rsidRDefault="00494C18" w:rsidP="00000525">
      <w:pPr>
        <w:spacing w:after="0"/>
      </w:pPr>
      <w:r w:rsidRPr="006B3A71">
        <w:lastRenderedPageBreak/>
        <w:t xml:space="preserve">The purpose of the amendment is to reduce the regulatory burden for </w:t>
      </w:r>
      <w:r w:rsidR="00D803CD" w:rsidRPr="006B3A71">
        <w:t xml:space="preserve">foreign </w:t>
      </w:r>
      <w:r w:rsidRPr="006B3A71">
        <w:t>investors by ensuring consistent treatment of interests held by security trustees</w:t>
      </w:r>
      <w:r w:rsidR="00C5237A" w:rsidRPr="006B3A71">
        <w:t>.</w:t>
      </w:r>
      <w:r w:rsidRPr="006B3A71">
        <w:t xml:space="preserve"> </w:t>
      </w:r>
      <w:r w:rsidR="00C5237A" w:rsidRPr="006B3A71">
        <w:t xml:space="preserve">This would </w:t>
      </w:r>
      <w:r w:rsidR="00D803CD" w:rsidRPr="006B3A71">
        <w:t>mean</w:t>
      </w:r>
      <w:r w:rsidRPr="006B3A71">
        <w:t xml:space="preserve"> the moneylending exemption applies in all security trustee circumstances that do not pose sufficient risks to the national interest to warrant screening.</w:t>
      </w:r>
    </w:p>
    <w:p w14:paraId="7609AAF0" w14:textId="77777777" w:rsidR="00494C18" w:rsidRPr="006B3A71" w:rsidRDefault="00494C18" w:rsidP="00000525">
      <w:pPr>
        <w:spacing w:before="0" w:after="0"/>
        <w:rPr>
          <w:color w:val="000000" w:themeColor="text1"/>
        </w:rPr>
      </w:pPr>
    </w:p>
    <w:p w14:paraId="1C6DCBAE" w14:textId="0E2759FF" w:rsidR="00BD676D" w:rsidRPr="006B3A71" w:rsidRDefault="00BD676D" w:rsidP="00000525">
      <w:pPr>
        <w:spacing w:before="0" w:after="0"/>
        <w:rPr>
          <w:b/>
          <w:bCs/>
          <w:i/>
          <w:iCs/>
          <w:color w:val="000000" w:themeColor="text1"/>
        </w:rPr>
      </w:pPr>
      <w:r w:rsidRPr="006B3A71">
        <w:rPr>
          <w:b/>
          <w:bCs/>
          <w:i/>
          <w:iCs/>
          <w:color w:val="000000" w:themeColor="text1"/>
        </w:rPr>
        <w:t xml:space="preserve">Item </w:t>
      </w:r>
      <w:r w:rsidR="0018574F" w:rsidRPr="006B3A71">
        <w:rPr>
          <w:b/>
          <w:bCs/>
          <w:i/>
          <w:iCs/>
          <w:color w:val="000000" w:themeColor="text1"/>
        </w:rPr>
        <w:t>5</w:t>
      </w:r>
      <w:r w:rsidRPr="006B3A71">
        <w:rPr>
          <w:b/>
          <w:bCs/>
          <w:i/>
          <w:iCs/>
          <w:color w:val="000000" w:themeColor="text1"/>
        </w:rPr>
        <w:t xml:space="preserve"> – Moneylending exemption – receivers </w:t>
      </w:r>
    </w:p>
    <w:p w14:paraId="3B2B962C" w14:textId="77777777" w:rsidR="00BD676D" w:rsidRPr="006B3A71" w:rsidRDefault="00BD676D" w:rsidP="00000525">
      <w:pPr>
        <w:spacing w:before="0" w:after="0"/>
        <w:rPr>
          <w:color w:val="000000" w:themeColor="text1"/>
        </w:rPr>
      </w:pPr>
    </w:p>
    <w:p w14:paraId="74E04305" w14:textId="7C8D0099" w:rsidR="00BD676D" w:rsidRPr="006B3A71" w:rsidRDefault="00BD676D" w:rsidP="00000525">
      <w:pPr>
        <w:spacing w:before="0" w:after="0"/>
        <w:rPr>
          <w:color w:val="000000" w:themeColor="text1"/>
        </w:rPr>
      </w:pPr>
      <w:r w:rsidRPr="006B3A71">
        <w:rPr>
          <w:color w:val="000000" w:themeColor="text1"/>
        </w:rPr>
        <w:t xml:space="preserve">Item </w:t>
      </w:r>
      <w:r w:rsidR="0018574F" w:rsidRPr="006B3A71">
        <w:rPr>
          <w:color w:val="000000" w:themeColor="text1"/>
        </w:rPr>
        <w:t>5</w:t>
      </w:r>
      <w:r w:rsidRPr="006B3A71">
        <w:rPr>
          <w:color w:val="000000" w:themeColor="text1"/>
        </w:rPr>
        <w:t xml:space="preserve"> amends subparagraph 27(1)(b)(v)</w:t>
      </w:r>
      <w:r w:rsidR="00E5007C" w:rsidRPr="006B3A71">
        <w:rPr>
          <w:color w:val="000000" w:themeColor="text1"/>
        </w:rPr>
        <w:t xml:space="preserve"> </w:t>
      </w:r>
      <w:r w:rsidR="00C5237A" w:rsidRPr="006B3A71">
        <w:rPr>
          <w:color w:val="000000" w:themeColor="text1"/>
        </w:rPr>
        <w:t xml:space="preserve">of the Principal Regulations </w:t>
      </w:r>
      <w:r w:rsidR="00E5007C" w:rsidRPr="006B3A71">
        <w:rPr>
          <w:color w:val="000000" w:themeColor="text1"/>
        </w:rPr>
        <w:t>so that</w:t>
      </w:r>
      <w:r w:rsidRPr="006B3A71" w:rsidDel="00E5007C">
        <w:rPr>
          <w:color w:val="000000" w:themeColor="text1"/>
        </w:rPr>
        <w:t xml:space="preserve"> </w:t>
      </w:r>
      <w:r w:rsidR="0030589A" w:rsidRPr="006B3A71">
        <w:rPr>
          <w:color w:val="000000" w:themeColor="text1"/>
        </w:rPr>
        <w:t xml:space="preserve">the </w:t>
      </w:r>
      <w:r w:rsidRPr="006B3A71">
        <w:rPr>
          <w:color w:val="000000" w:themeColor="text1"/>
        </w:rPr>
        <w:t>moneylending</w:t>
      </w:r>
      <w:r w:rsidR="0030589A" w:rsidRPr="006B3A71">
        <w:rPr>
          <w:color w:val="000000" w:themeColor="text1"/>
        </w:rPr>
        <w:t xml:space="preserve"> exemption</w:t>
      </w:r>
      <w:r w:rsidR="00E5007C" w:rsidRPr="006B3A71">
        <w:rPr>
          <w:color w:val="000000" w:themeColor="text1"/>
        </w:rPr>
        <w:t xml:space="preserve"> </w:t>
      </w:r>
      <w:r w:rsidR="005B597E" w:rsidRPr="006B3A71">
        <w:rPr>
          <w:color w:val="000000" w:themeColor="text1"/>
        </w:rPr>
        <w:t>applicable</w:t>
      </w:r>
      <w:r w:rsidR="00E5007C" w:rsidRPr="006B3A71">
        <w:rPr>
          <w:color w:val="000000" w:themeColor="text1"/>
        </w:rPr>
        <w:t xml:space="preserve"> to a receiver (or receiver and manager) appointed in relation to a person or entity listed in subparagraphs 27(1)(b)(</w:t>
      </w:r>
      <w:proofErr w:type="spellStart"/>
      <w:r w:rsidR="00E5007C" w:rsidRPr="006B3A71">
        <w:rPr>
          <w:color w:val="000000" w:themeColor="text1"/>
        </w:rPr>
        <w:t>i</w:t>
      </w:r>
      <w:proofErr w:type="spellEnd"/>
      <w:r w:rsidR="00E5007C" w:rsidRPr="006B3A71">
        <w:rPr>
          <w:color w:val="000000" w:themeColor="text1"/>
        </w:rPr>
        <w:t xml:space="preserve">) to (iv) also applies to a receiver (or receiver and manager) appointed </w:t>
      </w:r>
      <w:r w:rsidR="00E5007C" w:rsidRPr="006B3A71">
        <w:rPr>
          <w:iCs/>
          <w:color w:val="000000" w:themeColor="text1"/>
        </w:rPr>
        <w:t>by</w:t>
      </w:r>
      <w:r w:rsidR="00E5007C" w:rsidRPr="006B3A71">
        <w:rPr>
          <w:color w:val="000000" w:themeColor="text1"/>
        </w:rPr>
        <w:t xml:space="preserve"> </w:t>
      </w:r>
      <w:r w:rsidR="00355E51" w:rsidRPr="006B3A71">
        <w:rPr>
          <w:color w:val="000000" w:themeColor="text1"/>
        </w:rPr>
        <w:t>that</w:t>
      </w:r>
      <w:r w:rsidR="00E5007C" w:rsidRPr="006B3A71">
        <w:rPr>
          <w:color w:val="000000" w:themeColor="text1"/>
        </w:rPr>
        <w:t xml:space="preserve"> person or entit</w:t>
      </w:r>
      <w:r w:rsidR="00355E51" w:rsidRPr="006B3A71">
        <w:rPr>
          <w:color w:val="000000" w:themeColor="text1"/>
        </w:rPr>
        <w:t>y</w:t>
      </w:r>
      <w:r w:rsidR="00E5007C" w:rsidRPr="006B3A71">
        <w:rPr>
          <w:color w:val="000000" w:themeColor="text1"/>
        </w:rPr>
        <w:t>.</w:t>
      </w:r>
    </w:p>
    <w:p w14:paraId="6E376C33" w14:textId="5F3ECAD9" w:rsidR="009019DE" w:rsidRPr="006B3A71" w:rsidRDefault="009019DE" w:rsidP="00000525">
      <w:pPr>
        <w:spacing w:before="0" w:after="0"/>
        <w:rPr>
          <w:color w:val="000000" w:themeColor="text1"/>
        </w:rPr>
      </w:pPr>
    </w:p>
    <w:p w14:paraId="66E5471B" w14:textId="77777777" w:rsidR="00F232C9" w:rsidRPr="006B3A71" w:rsidRDefault="00A00CBB" w:rsidP="00000525">
      <w:pPr>
        <w:spacing w:before="0" w:after="0"/>
        <w:rPr>
          <w:color w:val="000000" w:themeColor="text1"/>
        </w:rPr>
      </w:pPr>
      <w:r w:rsidRPr="006B3A71">
        <w:rPr>
          <w:color w:val="000000" w:themeColor="text1"/>
        </w:rPr>
        <w:t>This clarification means</w:t>
      </w:r>
      <w:r w:rsidR="005B597E" w:rsidRPr="006B3A71">
        <w:rPr>
          <w:color w:val="000000" w:themeColor="text1"/>
        </w:rPr>
        <w:t xml:space="preserve"> the </w:t>
      </w:r>
      <w:r w:rsidR="009019DE" w:rsidRPr="006B3A71">
        <w:rPr>
          <w:color w:val="000000" w:themeColor="text1"/>
        </w:rPr>
        <w:t xml:space="preserve">moneylending exemption </w:t>
      </w:r>
      <w:r w:rsidRPr="006B3A71">
        <w:rPr>
          <w:color w:val="000000" w:themeColor="text1"/>
        </w:rPr>
        <w:t xml:space="preserve">can </w:t>
      </w:r>
      <w:r w:rsidR="009019DE" w:rsidRPr="006B3A71">
        <w:rPr>
          <w:color w:val="000000" w:themeColor="text1"/>
        </w:rPr>
        <w:t>appl</w:t>
      </w:r>
      <w:r w:rsidR="0000352D" w:rsidRPr="006B3A71">
        <w:rPr>
          <w:color w:val="000000" w:themeColor="text1"/>
        </w:rPr>
        <w:t>y</w:t>
      </w:r>
      <w:r w:rsidR="00FB3788" w:rsidRPr="006B3A71">
        <w:rPr>
          <w:color w:val="000000" w:themeColor="text1"/>
        </w:rPr>
        <w:t>,</w:t>
      </w:r>
      <w:r w:rsidR="009019DE" w:rsidRPr="006B3A71">
        <w:rPr>
          <w:color w:val="000000" w:themeColor="text1"/>
        </w:rPr>
        <w:t xml:space="preserve"> </w:t>
      </w:r>
      <w:r w:rsidRPr="006B3A71">
        <w:rPr>
          <w:color w:val="000000" w:themeColor="text1"/>
        </w:rPr>
        <w:t xml:space="preserve">for example, </w:t>
      </w:r>
      <w:r w:rsidR="009019DE" w:rsidRPr="006B3A71">
        <w:rPr>
          <w:color w:val="000000" w:themeColor="text1"/>
        </w:rPr>
        <w:t xml:space="preserve">in </w:t>
      </w:r>
      <w:r w:rsidR="00285C62" w:rsidRPr="006B3A71">
        <w:rPr>
          <w:color w:val="000000" w:themeColor="text1"/>
        </w:rPr>
        <w:t>circumstances</w:t>
      </w:r>
      <w:r w:rsidR="009019DE" w:rsidRPr="006B3A71">
        <w:rPr>
          <w:color w:val="000000" w:themeColor="text1"/>
        </w:rPr>
        <w:t xml:space="preserve"> where the </w:t>
      </w:r>
      <w:r w:rsidR="004452BC" w:rsidRPr="006B3A71">
        <w:t xml:space="preserve">entity </w:t>
      </w:r>
      <w:r w:rsidR="00E926A4" w:rsidRPr="006B3A71">
        <w:t>which</w:t>
      </w:r>
      <w:r w:rsidR="004452BC" w:rsidRPr="006B3A71">
        <w:t xml:space="preserve"> entered </w:t>
      </w:r>
      <w:r w:rsidR="009314DC" w:rsidRPr="006B3A71">
        <w:t>into</w:t>
      </w:r>
      <w:r w:rsidR="004452BC" w:rsidRPr="006B3A71">
        <w:t xml:space="preserve"> the moneylending agreement (the</w:t>
      </w:r>
      <w:r w:rsidR="00E152A1" w:rsidRPr="006B3A71">
        <w:t> </w:t>
      </w:r>
      <w:r w:rsidR="004452BC" w:rsidRPr="006B3A71">
        <w:t xml:space="preserve">first entity), </w:t>
      </w:r>
      <w:r w:rsidR="0000352D" w:rsidRPr="006B3A71">
        <w:rPr>
          <w:color w:val="000000" w:themeColor="text1"/>
        </w:rPr>
        <w:t>as</w:t>
      </w:r>
      <w:r w:rsidRPr="006B3A71">
        <w:rPr>
          <w:color w:val="000000" w:themeColor="text1"/>
        </w:rPr>
        <w:t xml:space="preserve"> a</w:t>
      </w:r>
      <w:r w:rsidR="0000352D" w:rsidRPr="006B3A71">
        <w:rPr>
          <w:color w:val="000000" w:themeColor="text1"/>
        </w:rPr>
        <w:t xml:space="preserve"> lender</w:t>
      </w:r>
      <w:r w:rsidR="006373C2" w:rsidRPr="006B3A71">
        <w:rPr>
          <w:color w:val="000000" w:themeColor="text1"/>
        </w:rPr>
        <w:t>,</w:t>
      </w:r>
      <w:r w:rsidR="0000352D" w:rsidRPr="006B3A71">
        <w:rPr>
          <w:color w:val="000000" w:themeColor="text1"/>
        </w:rPr>
        <w:t xml:space="preserve"> </w:t>
      </w:r>
      <w:r w:rsidR="009019DE" w:rsidRPr="006B3A71">
        <w:rPr>
          <w:color w:val="000000" w:themeColor="text1"/>
        </w:rPr>
        <w:t xml:space="preserve">exercises a right under </w:t>
      </w:r>
      <w:r w:rsidR="0084195F" w:rsidRPr="006B3A71">
        <w:rPr>
          <w:color w:val="000000" w:themeColor="text1"/>
        </w:rPr>
        <w:t xml:space="preserve">its </w:t>
      </w:r>
      <w:r w:rsidR="009019DE" w:rsidRPr="006B3A71">
        <w:rPr>
          <w:color w:val="000000" w:themeColor="text1"/>
        </w:rPr>
        <w:t xml:space="preserve">moneylending agreement </w:t>
      </w:r>
      <w:r w:rsidR="006373C2" w:rsidRPr="006B3A71">
        <w:rPr>
          <w:color w:val="000000" w:themeColor="text1"/>
        </w:rPr>
        <w:t xml:space="preserve">to </w:t>
      </w:r>
      <w:r w:rsidR="00285C62" w:rsidRPr="006B3A71">
        <w:rPr>
          <w:color w:val="000000" w:themeColor="text1"/>
        </w:rPr>
        <w:t>appoint a</w:t>
      </w:r>
      <w:r w:rsidR="00227D1A" w:rsidRPr="006B3A71">
        <w:rPr>
          <w:color w:val="000000" w:themeColor="text1"/>
        </w:rPr>
        <w:t xml:space="preserve"> receiver</w:t>
      </w:r>
      <w:r w:rsidR="009019DE" w:rsidRPr="006B3A71">
        <w:rPr>
          <w:color w:val="000000" w:themeColor="text1"/>
        </w:rPr>
        <w:t>.</w:t>
      </w:r>
    </w:p>
    <w:p w14:paraId="7E265167" w14:textId="77777777" w:rsidR="00F232C9" w:rsidRPr="006B3A71" w:rsidRDefault="00F232C9" w:rsidP="00000525">
      <w:pPr>
        <w:spacing w:before="0" w:after="0"/>
        <w:rPr>
          <w:color w:val="000000" w:themeColor="text1"/>
        </w:rPr>
      </w:pPr>
    </w:p>
    <w:p w14:paraId="0052A305" w14:textId="20E2FFAD" w:rsidR="00190A61" w:rsidRPr="006B3A71" w:rsidRDefault="00190A61" w:rsidP="00000525">
      <w:pPr>
        <w:spacing w:before="0" w:after="0"/>
        <w:rPr>
          <w:color w:val="000000" w:themeColor="text1"/>
        </w:rPr>
      </w:pPr>
      <w:r w:rsidRPr="006B3A71">
        <w:t xml:space="preserve">The purpose of the amendment is to align </w:t>
      </w:r>
      <w:r w:rsidR="00C5237A" w:rsidRPr="006B3A71">
        <w:t xml:space="preserve">the Principal Regulations </w:t>
      </w:r>
      <w:r w:rsidRPr="006B3A71">
        <w:t xml:space="preserve">with commercial practices </w:t>
      </w:r>
      <w:r w:rsidR="00C5237A" w:rsidRPr="006B3A71">
        <w:t xml:space="preserve">and to </w:t>
      </w:r>
      <w:r w:rsidRPr="006B3A71">
        <w:t>enable a receiver (or receiver and manager) to hold an interest under a moneylending agreement after being appointed by an entity to do so</w:t>
      </w:r>
      <w:r w:rsidR="00C5237A" w:rsidRPr="006B3A71">
        <w:t xml:space="preserve"> without requiring screening</w:t>
      </w:r>
      <w:r w:rsidRPr="006B3A71">
        <w:t>.</w:t>
      </w:r>
    </w:p>
    <w:p w14:paraId="124807A3" w14:textId="77777777" w:rsidR="00494C18" w:rsidRPr="006B3A71" w:rsidRDefault="00494C18" w:rsidP="00000525">
      <w:pPr>
        <w:spacing w:before="0" w:after="0"/>
        <w:rPr>
          <w:b/>
          <w:bCs/>
          <w:i/>
          <w:iCs/>
          <w:color w:val="000000" w:themeColor="text1"/>
        </w:rPr>
      </w:pPr>
    </w:p>
    <w:p w14:paraId="15482C21" w14:textId="5CDAC564" w:rsidR="005D71B9" w:rsidRPr="006B3A71" w:rsidRDefault="005D71B9" w:rsidP="00000525">
      <w:pPr>
        <w:spacing w:before="0" w:after="0"/>
        <w:rPr>
          <w:b/>
          <w:bCs/>
          <w:i/>
          <w:iCs/>
          <w:color w:val="000000" w:themeColor="text1"/>
        </w:rPr>
      </w:pPr>
      <w:r w:rsidRPr="006B3A71">
        <w:rPr>
          <w:b/>
          <w:bCs/>
          <w:i/>
          <w:iCs/>
          <w:color w:val="000000" w:themeColor="text1"/>
        </w:rPr>
        <w:t xml:space="preserve">Item </w:t>
      </w:r>
      <w:r w:rsidR="0018574F" w:rsidRPr="006B3A71">
        <w:rPr>
          <w:b/>
          <w:bCs/>
          <w:i/>
          <w:iCs/>
          <w:color w:val="000000" w:themeColor="text1"/>
        </w:rPr>
        <w:t>6</w:t>
      </w:r>
      <w:r w:rsidRPr="006B3A71">
        <w:rPr>
          <w:b/>
          <w:bCs/>
          <w:i/>
          <w:iCs/>
          <w:color w:val="000000" w:themeColor="text1"/>
        </w:rPr>
        <w:t xml:space="preserve"> – </w:t>
      </w:r>
      <w:r w:rsidR="00B428D4" w:rsidRPr="006B3A71">
        <w:rPr>
          <w:b/>
          <w:bCs/>
          <w:i/>
          <w:iCs/>
          <w:color w:val="000000" w:themeColor="text1"/>
        </w:rPr>
        <w:t>Moneylending exemption – large financial institutions</w:t>
      </w:r>
    </w:p>
    <w:p w14:paraId="37EF9770" w14:textId="77777777" w:rsidR="00FB0A60" w:rsidRPr="006B3A71" w:rsidRDefault="00FB0A60" w:rsidP="00000525">
      <w:pPr>
        <w:spacing w:before="0" w:after="0"/>
        <w:rPr>
          <w:color w:val="000000" w:themeColor="text1"/>
        </w:rPr>
      </w:pPr>
    </w:p>
    <w:p w14:paraId="285E3EC2" w14:textId="0AFC56CE" w:rsidR="0030770C" w:rsidRPr="006B3A71" w:rsidRDefault="00DC260F" w:rsidP="00000525">
      <w:pPr>
        <w:spacing w:before="0" w:after="0"/>
      </w:pPr>
      <w:r w:rsidRPr="006B3A71">
        <w:rPr>
          <w:color w:val="000000" w:themeColor="text1"/>
        </w:rPr>
        <w:t xml:space="preserve">Item </w:t>
      </w:r>
      <w:r w:rsidR="0018574F" w:rsidRPr="006B3A71">
        <w:rPr>
          <w:color w:val="000000" w:themeColor="text1"/>
        </w:rPr>
        <w:t>6</w:t>
      </w:r>
      <w:r w:rsidR="00D60C18" w:rsidRPr="006B3A71">
        <w:rPr>
          <w:color w:val="000000" w:themeColor="text1"/>
        </w:rPr>
        <w:t xml:space="preserve"> inserts</w:t>
      </w:r>
      <w:r w:rsidR="0033196D" w:rsidRPr="006B3A71">
        <w:rPr>
          <w:color w:val="000000" w:themeColor="text1"/>
        </w:rPr>
        <w:t xml:space="preserve"> new subparagraph 27(2)(b)(</w:t>
      </w:r>
      <w:proofErr w:type="spellStart"/>
      <w:r w:rsidR="0033196D" w:rsidRPr="006B3A71">
        <w:rPr>
          <w:color w:val="000000" w:themeColor="text1"/>
        </w:rPr>
        <w:t>ia</w:t>
      </w:r>
      <w:proofErr w:type="spellEnd"/>
      <w:r w:rsidR="0033196D" w:rsidRPr="006B3A71">
        <w:rPr>
          <w:color w:val="000000" w:themeColor="text1"/>
        </w:rPr>
        <w:t>)</w:t>
      </w:r>
      <w:r w:rsidR="00AE7D75" w:rsidRPr="006B3A71">
        <w:rPr>
          <w:color w:val="000000" w:themeColor="text1"/>
        </w:rPr>
        <w:t xml:space="preserve"> </w:t>
      </w:r>
      <w:r w:rsidR="00C5237A" w:rsidRPr="006B3A71">
        <w:rPr>
          <w:color w:val="000000" w:themeColor="text1"/>
        </w:rPr>
        <w:t xml:space="preserve">into the Principal Regulations </w:t>
      </w:r>
      <w:r w:rsidR="0033196D" w:rsidRPr="006B3A71">
        <w:rPr>
          <w:color w:val="000000" w:themeColor="text1"/>
        </w:rPr>
        <w:t xml:space="preserve">to allow </w:t>
      </w:r>
      <w:r w:rsidR="00FE2E4D" w:rsidRPr="006B3A71">
        <w:rPr>
          <w:color w:val="000000" w:themeColor="text1"/>
        </w:rPr>
        <w:t xml:space="preserve">moneylending businesses that are licenced financial institutions and have </w:t>
      </w:r>
      <w:r w:rsidR="0033196D" w:rsidRPr="006B3A71">
        <w:rPr>
          <w:color w:val="000000" w:themeColor="text1"/>
        </w:rPr>
        <w:t xml:space="preserve">at least 100 members to be covered by the moneylending exemption </w:t>
      </w:r>
      <w:r w:rsidR="00AF1CED" w:rsidRPr="006B3A71">
        <w:rPr>
          <w:color w:val="000000" w:themeColor="text1"/>
        </w:rPr>
        <w:t xml:space="preserve">for </w:t>
      </w:r>
      <w:r w:rsidR="0033196D" w:rsidRPr="006B3A71">
        <w:rPr>
          <w:color w:val="000000" w:themeColor="text1"/>
        </w:rPr>
        <w:t>interests relating to residential land.</w:t>
      </w:r>
      <w:r w:rsidR="005108DF" w:rsidRPr="006B3A71">
        <w:rPr>
          <w:color w:val="000000" w:themeColor="text1"/>
        </w:rPr>
        <w:t xml:space="preserve"> </w:t>
      </w:r>
      <w:r w:rsidR="00CB4E07" w:rsidRPr="006B3A71">
        <w:rPr>
          <w:color w:val="000000" w:themeColor="text1"/>
        </w:rPr>
        <w:t>Th</w:t>
      </w:r>
      <w:r w:rsidR="00FE2E4D" w:rsidRPr="006B3A71">
        <w:rPr>
          <w:color w:val="000000" w:themeColor="text1"/>
        </w:rPr>
        <w:t>is</w:t>
      </w:r>
      <w:r w:rsidR="00CB4E07" w:rsidRPr="006B3A71">
        <w:rPr>
          <w:color w:val="000000" w:themeColor="text1"/>
        </w:rPr>
        <w:t xml:space="preserve"> new subparagraph </w:t>
      </w:r>
      <w:r w:rsidR="0030770C" w:rsidRPr="006B3A71">
        <w:rPr>
          <w:color w:val="000000" w:themeColor="text1"/>
        </w:rPr>
        <w:t xml:space="preserve">exempts non-stock or mutual entities </w:t>
      </w:r>
      <w:r w:rsidR="0030770C" w:rsidRPr="006B3A71">
        <w:t>from seeking foreign investment approval when they are involved in moneylending for residential land</w:t>
      </w:r>
      <w:r w:rsidR="00FE2E4D" w:rsidRPr="006B3A71">
        <w:t>, provided such</w:t>
      </w:r>
      <w:r w:rsidR="0030770C" w:rsidRPr="006B3A71">
        <w:t xml:space="preserve"> entities have at least 100 members.</w:t>
      </w:r>
    </w:p>
    <w:p w14:paraId="5A0E72C6" w14:textId="77777777" w:rsidR="00C83013" w:rsidRPr="006B3A71" w:rsidRDefault="00C83013" w:rsidP="00000525">
      <w:pPr>
        <w:spacing w:before="0" w:after="0"/>
      </w:pPr>
    </w:p>
    <w:p w14:paraId="12C80267" w14:textId="0BE057E6" w:rsidR="00B75C41" w:rsidRPr="006B3A71" w:rsidRDefault="00A16EDB" w:rsidP="00000525">
      <w:pPr>
        <w:spacing w:before="0" w:after="0"/>
      </w:pPr>
      <w:r w:rsidRPr="006B3A71">
        <w:t>A ‘member’</w:t>
      </w:r>
      <w:r w:rsidR="001C7848" w:rsidRPr="006B3A71">
        <w:t xml:space="preserve"> </w:t>
      </w:r>
      <w:r w:rsidRPr="006B3A71">
        <w:t xml:space="preserve">can </w:t>
      </w:r>
      <w:r w:rsidR="001C7848" w:rsidRPr="006B3A71">
        <w:t>include</w:t>
      </w:r>
      <w:r w:rsidR="00B75C41" w:rsidRPr="006B3A71">
        <w:t>:</w:t>
      </w:r>
    </w:p>
    <w:p w14:paraId="0927C129" w14:textId="2345E6E2" w:rsidR="00B75C41" w:rsidRPr="006B3A71" w:rsidRDefault="00A16EDB" w:rsidP="00000525">
      <w:pPr>
        <w:pStyle w:val="Bullet"/>
      </w:pPr>
      <w:r w:rsidRPr="006B3A71">
        <w:t>a person</w:t>
      </w:r>
      <w:r w:rsidR="00B75C41" w:rsidRPr="006B3A71">
        <w:t xml:space="preserve"> who hold</w:t>
      </w:r>
      <w:r w:rsidR="00843B6F" w:rsidRPr="006B3A71">
        <w:t>s</w:t>
      </w:r>
      <w:r w:rsidR="00B75C41" w:rsidRPr="006B3A71">
        <w:t xml:space="preserve"> interests or shareholding in a non-stock entity </w:t>
      </w:r>
      <w:r w:rsidR="00B75C41" w:rsidRPr="006B3A71">
        <w:rPr>
          <w:color w:val="000000" w:themeColor="text1"/>
        </w:rPr>
        <w:t>(a privately owned entity – an entity which is not listed on an official stock exchange)</w:t>
      </w:r>
      <w:r w:rsidR="00B75C41" w:rsidRPr="006B3A71">
        <w:t xml:space="preserve">; </w:t>
      </w:r>
      <w:r w:rsidR="0051357C" w:rsidRPr="006B3A71">
        <w:t>or</w:t>
      </w:r>
    </w:p>
    <w:p w14:paraId="029EE881" w14:textId="38662875" w:rsidR="00BC640E" w:rsidRPr="006B3A71" w:rsidRDefault="00A16EDB" w:rsidP="00000525">
      <w:pPr>
        <w:pStyle w:val="Bullet"/>
      </w:pPr>
      <w:r w:rsidRPr="006B3A71">
        <w:rPr>
          <w:color w:val="000000" w:themeColor="text1"/>
        </w:rPr>
        <w:t>a person who is a policyholder</w:t>
      </w:r>
      <w:r w:rsidR="00B75C41" w:rsidRPr="006B3A71">
        <w:rPr>
          <w:color w:val="000000" w:themeColor="text1"/>
        </w:rPr>
        <w:t xml:space="preserve"> of a mutual entity (an entity based on the principle of mutuality where policyholders do not contribute to the capital of the entity by direct investment and policyholders derive rights to profits and votes through their customer relationship with the entity).</w:t>
      </w:r>
    </w:p>
    <w:p w14:paraId="4878755E" w14:textId="77777777" w:rsidR="00BC640E" w:rsidRPr="006B3A71" w:rsidRDefault="00BC640E" w:rsidP="00000525">
      <w:pPr>
        <w:spacing w:after="0"/>
      </w:pPr>
    </w:p>
    <w:p w14:paraId="462FD902" w14:textId="61218D80" w:rsidR="00E24B69" w:rsidRPr="006B3A71" w:rsidRDefault="00E24B69" w:rsidP="00000525">
      <w:pPr>
        <w:spacing w:before="0" w:after="0"/>
      </w:pPr>
      <w:r w:rsidRPr="006B3A71">
        <w:t xml:space="preserve">The purpose of the amendment is to ensure the </w:t>
      </w:r>
      <w:r w:rsidR="00717F50" w:rsidRPr="006B3A71">
        <w:t xml:space="preserve">Principal </w:t>
      </w:r>
      <w:r w:rsidRPr="006B3A71">
        <w:t xml:space="preserve">Regulations remain fit for purpose. Currently, licensed financial institutions that are not authorised deposit-taking institutions (as defined in the </w:t>
      </w:r>
      <w:r w:rsidRPr="006B3A71">
        <w:rPr>
          <w:i/>
          <w:iCs/>
        </w:rPr>
        <w:t>Banking Act 1959</w:t>
      </w:r>
      <w:r w:rsidRPr="006B3A71">
        <w:t>) can only benefit from the exemption if they are listed on an official stock exchange or have 100 holders of securities</w:t>
      </w:r>
      <w:r w:rsidR="00C5237A" w:rsidRPr="006B3A71">
        <w:t>.</w:t>
      </w:r>
      <w:r w:rsidRPr="006B3A71">
        <w:t xml:space="preserve"> –</w:t>
      </w:r>
      <w:r w:rsidR="00C5237A" w:rsidRPr="006B3A71">
        <w:t>T</w:t>
      </w:r>
      <w:r w:rsidRPr="006B3A71">
        <w:t>he existing exemption does not extend to non-stock or mutual entities. The amendment ensure</w:t>
      </w:r>
      <w:r w:rsidR="00EA6374" w:rsidRPr="006B3A71">
        <w:t>s</w:t>
      </w:r>
      <w:r w:rsidRPr="006B3A71">
        <w:t xml:space="preserve"> the </w:t>
      </w:r>
      <w:r w:rsidR="00717F50" w:rsidRPr="006B3A71">
        <w:t xml:space="preserve">Principal </w:t>
      </w:r>
      <w:r w:rsidRPr="006B3A71">
        <w:t xml:space="preserve">Regulations extend the exemption to </w:t>
      </w:r>
      <w:r w:rsidR="00717F50" w:rsidRPr="006B3A71">
        <w:t>such entities, which are already required to hold a financial services licence (in Australia or elsewhere) and therefore</w:t>
      </w:r>
      <w:r w:rsidRPr="006B3A71">
        <w:t xml:space="preserve"> do not pose sufficient risks to the national interest to warrant screening.</w:t>
      </w:r>
    </w:p>
    <w:p w14:paraId="69FDBC5B" w14:textId="77777777" w:rsidR="00E24B69" w:rsidRPr="006B3A71" w:rsidRDefault="00E24B69" w:rsidP="00000525">
      <w:pPr>
        <w:spacing w:before="0" w:after="0"/>
        <w:rPr>
          <w:color w:val="000000" w:themeColor="text1"/>
        </w:rPr>
      </w:pPr>
    </w:p>
    <w:p w14:paraId="22C98B6D" w14:textId="03BDCF1E" w:rsidR="00FF3E46" w:rsidRPr="006B3A71" w:rsidRDefault="00FF3E46" w:rsidP="00000525">
      <w:pPr>
        <w:spacing w:before="0" w:after="0"/>
        <w:rPr>
          <w:b/>
          <w:bCs/>
          <w:i/>
          <w:iCs/>
          <w:color w:val="000000" w:themeColor="text1"/>
        </w:rPr>
      </w:pPr>
      <w:r w:rsidRPr="006B3A71">
        <w:rPr>
          <w:b/>
          <w:bCs/>
          <w:i/>
          <w:iCs/>
          <w:color w:val="000000" w:themeColor="text1"/>
        </w:rPr>
        <w:t xml:space="preserve">Items </w:t>
      </w:r>
      <w:r w:rsidR="0018574F" w:rsidRPr="006B3A71">
        <w:rPr>
          <w:b/>
          <w:bCs/>
          <w:i/>
          <w:iCs/>
          <w:color w:val="000000" w:themeColor="text1"/>
        </w:rPr>
        <w:t>7</w:t>
      </w:r>
      <w:r w:rsidR="00644F19" w:rsidRPr="006B3A71">
        <w:rPr>
          <w:b/>
          <w:bCs/>
          <w:i/>
          <w:iCs/>
          <w:color w:val="000000" w:themeColor="text1"/>
        </w:rPr>
        <w:t xml:space="preserve">, </w:t>
      </w:r>
      <w:r w:rsidR="0018574F" w:rsidRPr="006B3A71">
        <w:rPr>
          <w:b/>
          <w:bCs/>
          <w:i/>
          <w:iCs/>
          <w:color w:val="000000" w:themeColor="text1"/>
        </w:rPr>
        <w:t>8</w:t>
      </w:r>
      <w:r w:rsidR="00644F19" w:rsidRPr="006B3A71">
        <w:rPr>
          <w:b/>
          <w:bCs/>
          <w:i/>
          <w:iCs/>
          <w:color w:val="000000" w:themeColor="text1"/>
        </w:rPr>
        <w:t xml:space="preserve"> and </w:t>
      </w:r>
      <w:r w:rsidR="0018574F" w:rsidRPr="006B3A71">
        <w:rPr>
          <w:b/>
          <w:bCs/>
          <w:i/>
          <w:iCs/>
          <w:color w:val="000000" w:themeColor="text1"/>
        </w:rPr>
        <w:t>9</w:t>
      </w:r>
      <w:r w:rsidRPr="006B3A71">
        <w:rPr>
          <w:b/>
          <w:bCs/>
          <w:i/>
          <w:iCs/>
          <w:color w:val="000000" w:themeColor="text1"/>
        </w:rPr>
        <w:t xml:space="preserve"> – Australian media business</w:t>
      </w:r>
    </w:p>
    <w:p w14:paraId="28F68C7F" w14:textId="77777777" w:rsidR="00FF3E46" w:rsidRPr="006B3A71" w:rsidRDefault="00FF3E46" w:rsidP="00000525">
      <w:pPr>
        <w:spacing w:before="0" w:after="0"/>
        <w:rPr>
          <w:color w:val="000000" w:themeColor="text1"/>
        </w:rPr>
      </w:pPr>
    </w:p>
    <w:p w14:paraId="14858166" w14:textId="7A14CBAD" w:rsidR="00275134" w:rsidRPr="006B3A71" w:rsidRDefault="00FF3E46" w:rsidP="00000525">
      <w:pPr>
        <w:spacing w:before="0" w:after="0"/>
      </w:pPr>
      <w:r w:rsidRPr="006B3A71">
        <w:rPr>
          <w:color w:val="000000" w:themeColor="text1"/>
        </w:rPr>
        <w:t>Item</w:t>
      </w:r>
      <w:r w:rsidR="003909DA" w:rsidRPr="006B3A71">
        <w:rPr>
          <w:color w:val="000000" w:themeColor="text1"/>
        </w:rPr>
        <w:t>s</w:t>
      </w:r>
      <w:r w:rsidRPr="006B3A71">
        <w:rPr>
          <w:color w:val="000000" w:themeColor="text1"/>
        </w:rPr>
        <w:t xml:space="preserve"> </w:t>
      </w:r>
      <w:r w:rsidR="0018574F" w:rsidRPr="006B3A71">
        <w:rPr>
          <w:color w:val="000000" w:themeColor="text1"/>
        </w:rPr>
        <w:t>7</w:t>
      </w:r>
      <w:r w:rsidR="00993804" w:rsidRPr="006B3A71">
        <w:rPr>
          <w:color w:val="000000" w:themeColor="text1"/>
        </w:rPr>
        <w:t xml:space="preserve"> and </w:t>
      </w:r>
      <w:r w:rsidR="0018574F" w:rsidRPr="006B3A71">
        <w:rPr>
          <w:color w:val="000000" w:themeColor="text1"/>
        </w:rPr>
        <w:t>8</w:t>
      </w:r>
      <w:r w:rsidR="003909DA" w:rsidRPr="006B3A71">
        <w:rPr>
          <w:color w:val="000000" w:themeColor="text1"/>
        </w:rPr>
        <w:t xml:space="preserve"> </w:t>
      </w:r>
      <w:r w:rsidR="00993804" w:rsidRPr="006B3A71">
        <w:rPr>
          <w:color w:val="000000"/>
          <w:shd w:val="clear" w:color="auto" w:fill="FFFFFF"/>
        </w:rPr>
        <w:t xml:space="preserve">amend the definition of </w:t>
      </w:r>
      <w:r w:rsidR="00C37B59" w:rsidRPr="006B3A71">
        <w:rPr>
          <w:color w:val="000000"/>
          <w:shd w:val="clear" w:color="auto" w:fill="FFFFFF"/>
        </w:rPr>
        <w:t xml:space="preserve">an </w:t>
      </w:r>
      <w:r w:rsidR="00993804" w:rsidRPr="006B3A71">
        <w:rPr>
          <w:color w:val="000000"/>
          <w:shd w:val="clear" w:color="auto" w:fill="FFFFFF"/>
        </w:rPr>
        <w:t>‘Australia</w:t>
      </w:r>
      <w:r w:rsidR="00766C56" w:rsidRPr="006B3A71">
        <w:rPr>
          <w:color w:val="000000"/>
          <w:shd w:val="clear" w:color="auto" w:fill="FFFFFF"/>
        </w:rPr>
        <w:t>n</w:t>
      </w:r>
      <w:r w:rsidR="00993804" w:rsidRPr="006B3A71">
        <w:rPr>
          <w:color w:val="000000"/>
          <w:shd w:val="clear" w:color="auto" w:fill="FFFFFF"/>
        </w:rPr>
        <w:t xml:space="preserve"> media business’ </w:t>
      </w:r>
      <w:r w:rsidR="00766C56" w:rsidRPr="006B3A71">
        <w:rPr>
          <w:color w:val="000000"/>
          <w:shd w:val="clear" w:color="auto" w:fill="FFFFFF"/>
        </w:rPr>
        <w:t xml:space="preserve">in section 13A </w:t>
      </w:r>
      <w:r w:rsidR="00993804" w:rsidRPr="006B3A71">
        <w:rPr>
          <w:color w:val="000000"/>
          <w:shd w:val="clear" w:color="auto" w:fill="FFFFFF"/>
        </w:rPr>
        <w:t>so that some business</w:t>
      </w:r>
      <w:r w:rsidR="00766C56" w:rsidRPr="006B3A71">
        <w:rPr>
          <w:color w:val="000000"/>
          <w:shd w:val="clear" w:color="auto" w:fill="FFFFFF"/>
        </w:rPr>
        <w:t>es that</w:t>
      </w:r>
      <w:r w:rsidR="00993804" w:rsidRPr="006B3A71">
        <w:rPr>
          <w:color w:val="000000"/>
          <w:shd w:val="clear" w:color="auto" w:fill="FFFFFF"/>
        </w:rPr>
        <w:t xml:space="preserve"> </w:t>
      </w:r>
      <w:r w:rsidR="00FB4B6C" w:rsidRPr="006B3A71">
        <w:rPr>
          <w:color w:val="000000"/>
          <w:shd w:val="clear" w:color="auto" w:fill="FFFFFF"/>
        </w:rPr>
        <w:t xml:space="preserve">were </w:t>
      </w:r>
      <w:r w:rsidR="00993804" w:rsidRPr="006B3A71">
        <w:rPr>
          <w:color w:val="000000"/>
          <w:shd w:val="clear" w:color="auto" w:fill="FFFFFF"/>
        </w:rPr>
        <w:t>classified as Australian media business</w:t>
      </w:r>
      <w:r w:rsidR="00FE2E4D" w:rsidRPr="006B3A71">
        <w:rPr>
          <w:color w:val="000000"/>
          <w:shd w:val="clear" w:color="auto" w:fill="FFFFFF"/>
        </w:rPr>
        <w:t>es</w:t>
      </w:r>
      <w:r w:rsidR="00993804" w:rsidRPr="006B3A71">
        <w:rPr>
          <w:color w:val="000000"/>
          <w:shd w:val="clear" w:color="auto" w:fill="FFFFFF"/>
        </w:rPr>
        <w:t xml:space="preserve"> </w:t>
      </w:r>
      <w:r w:rsidR="00766C56" w:rsidRPr="006B3A71">
        <w:rPr>
          <w:color w:val="000000"/>
          <w:shd w:val="clear" w:color="auto" w:fill="FFFFFF"/>
        </w:rPr>
        <w:t xml:space="preserve">prior to the amendments </w:t>
      </w:r>
      <w:r w:rsidR="00FB4B6C" w:rsidRPr="006B3A71">
        <w:rPr>
          <w:color w:val="000000"/>
          <w:shd w:val="clear" w:color="auto" w:fill="FFFFFF"/>
        </w:rPr>
        <w:t xml:space="preserve">are </w:t>
      </w:r>
      <w:r w:rsidR="00993804" w:rsidRPr="006B3A71">
        <w:rPr>
          <w:color w:val="000000"/>
          <w:shd w:val="clear" w:color="auto" w:fill="FFFFFF"/>
        </w:rPr>
        <w:t xml:space="preserve">no longer </w:t>
      </w:r>
      <w:r w:rsidR="00FB4B6C" w:rsidRPr="006B3A71">
        <w:rPr>
          <w:color w:val="000000"/>
          <w:shd w:val="clear" w:color="auto" w:fill="FFFFFF"/>
        </w:rPr>
        <w:t xml:space="preserve">captured by </w:t>
      </w:r>
      <w:r w:rsidR="00766C56" w:rsidRPr="006B3A71">
        <w:rPr>
          <w:color w:val="000000"/>
          <w:shd w:val="clear" w:color="auto" w:fill="FFFFFF"/>
        </w:rPr>
        <w:t xml:space="preserve">the </w:t>
      </w:r>
      <w:r w:rsidR="00993804" w:rsidRPr="006B3A71">
        <w:rPr>
          <w:color w:val="000000"/>
          <w:shd w:val="clear" w:color="auto" w:fill="FFFFFF"/>
        </w:rPr>
        <w:t>definition.</w:t>
      </w:r>
    </w:p>
    <w:p w14:paraId="3E8A39CD" w14:textId="77777777" w:rsidR="00993804" w:rsidRPr="006B3A71" w:rsidRDefault="00993804" w:rsidP="00000525">
      <w:pPr>
        <w:spacing w:before="0" w:after="0"/>
      </w:pPr>
    </w:p>
    <w:p w14:paraId="3F8AE009" w14:textId="4771CAA7" w:rsidR="005D71B9" w:rsidRPr="006B3A71" w:rsidRDefault="00275134" w:rsidP="00000525">
      <w:pPr>
        <w:spacing w:before="0" w:after="0"/>
        <w:rPr>
          <w:color w:val="000000" w:themeColor="text1"/>
        </w:rPr>
      </w:pPr>
      <w:r w:rsidRPr="006B3A71">
        <w:rPr>
          <w:color w:val="000000" w:themeColor="text1"/>
        </w:rPr>
        <w:t xml:space="preserve">Item </w:t>
      </w:r>
      <w:r w:rsidR="0018574F" w:rsidRPr="006B3A71">
        <w:rPr>
          <w:color w:val="000000" w:themeColor="text1"/>
        </w:rPr>
        <w:t>7</w:t>
      </w:r>
      <w:r w:rsidR="007D7060" w:rsidRPr="006B3A71">
        <w:rPr>
          <w:color w:val="000000" w:themeColor="text1"/>
        </w:rPr>
        <w:t xml:space="preserve"> narrows </w:t>
      </w:r>
      <w:r w:rsidR="002B29A3" w:rsidRPr="006B3A71">
        <w:rPr>
          <w:color w:val="000000" w:themeColor="text1"/>
        </w:rPr>
        <w:t xml:space="preserve">the definition </w:t>
      </w:r>
      <w:r w:rsidR="007D7060" w:rsidRPr="006B3A71">
        <w:rPr>
          <w:color w:val="000000" w:themeColor="text1"/>
        </w:rPr>
        <w:t>by repealing subparagraph</w:t>
      </w:r>
      <w:r w:rsidR="00C07A3D" w:rsidRPr="006B3A71">
        <w:rPr>
          <w:color w:val="000000" w:themeColor="text1"/>
        </w:rPr>
        <w:t> </w:t>
      </w:r>
      <w:r w:rsidR="007D7060" w:rsidRPr="006B3A71">
        <w:rPr>
          <w:color w:val="000000" w:themeColor="text1"/>
        </w:rPr>
        <w:t>13A(3)(a)(iii)</w:t>
      </w:r>
      <w:r w:rsidR="00C5237A" w:rsidRPr="006B3A71">
        <w:rPr>
          <w:color w:val="000000" w:themeColor="text1"/>
        </w:rPr>
        <w:t xml:space="preserve"> the Principal Regulations</w:t>
      </w:r>
      <w:r w:rsidR="007D7060" w:rsidRPr="006B3A71">
        <w:rPr>
          <w:color w:val="000000" w:themeColor="text1"/>
        </w:rPr>
        <w:t xml:space="preserve">, </w:t>
      </w:r>
      <w:r w:rsidR="0002550C" w:rsidRPr="006B3A71">
        <w:rPr>
          <w:color w:val="000000" w:themeColor="text1"/>
        </w:rPr>
        <w:t xml:space="preserve">which </w:t>
      </w:r>
      <w:r w:rsidR="00C5237A" w:rsidRPr="006B3A71">
        <w:rPr>
          <w:color w:val="000000" w:themeColor="text1"/>
        </w:rPr>
        <w:t xml:space="preserve">currently specifies that </w:t>
      </w:r>
      <w:r w:rsidR="006951FA" w:rsidRPr="006B3A71">
        <w:rPr>
          <w:color w:val="000000" w:themeColor="text1"/>
        </w:rPr>
        <w:t>‘</w:t>
      </w:r>
      <w:r w:rsidR="00C07A3D" w:rsidRPr="006B3A71">
        <w:rPr>
          <w:color w:val="000000" w:themeColor="text1"/>
        </w:rPr>
        <w:t>content that reports, investigates or explains current issues or events of interest to Australians’</w:t>
      </w:r>
      <w:r w:rsidR="00C37B59" w:rsidRPr="006B3A71">
        <w:rPr>
          <w:color w:val="000000" w:themeColor="text1"/>
        </w:rPr>
        <w:t xml:space="preserve"> </w:t>
      </w:r>
      <w:r w:rsidR="005B597E" w:rsidRPr="006B3A71">
        <w:rPr>
          <w:color w:val="000000" w:themeColor="text1"/>
        </w:rPr>
        <w:t xml:space="preserve">would </w:t>
      </w:r>
      <w:r w:rsidR="00C37B59" w:rsidRPr="006B3A71">
        <w:rPr>
          <w:color w:val="000000" w:themeColor="text1"/>
        </w:rPr>
        <w:t>satisfy the content test of an Australian media business</w:t>
      </w:r>
      <w:r w:rsidR="00C07A3D" w:rsidRPr="006B3A71">
        <w:rPr>
          <w:color w:val="000000" w:themeColor="text1"/>
        </w:rPr>
        <w:t>.</w:t>
      </w:r>
      <w:r w:rsidR="00E011BA" w:rsidRPr="006B3A71" w:rsidDel="00C07A3D">
        <w:rPr>
          <w:color w:val="000000" w:themeColor="text1"/>
        </w:rPr>
        <w:t xml:space="preserve"> </w:t>
      </w:r>
      <w:r w:rsidR="007D7060" w:rsidRPr="006B3A71">
        <w:rPr>
          <w:color w:val="000000" w:themeColor="text1"/>
        </w:rPr>
        <w:t xml:space="preserve">Subparagraph 13A(3)(a)(iii) is </w:t>
      </w:r>
      <w:r w:rsidR="00371BE9" w:rsidRPr="006B3A71">
        <w:rPr>
          <w:color w:val="000000" w:themeColor="text1"/>
        </w:rPr>
        <w:t>no longer</w:t>
      </w:r>
      <w:r w:rsidR="007D7060" w:rsidRPr="006B3A71">
        <w:rPr>
          <w:color w:val="000000" w:themeColor="text1"/>
        </w:rPr>
        <w:t xml:space="preserve"> required as it </w:t>
      </w:r>
      <w:r w:rsidR="00C5237A" w:rsidRPr="006B3A71">
        <w:rPr>
          <w:color w:val="000000" w:themeColor="text1"/>
        </w:rPr>
        <w:t xml:space="preserve">has </w:t>
      </w:r>
      <w:r w:rsidR="00C37B59" w:rsidRPr="006B3A71">
        <w:rPr>
          <w:color w:val="000000" w:themeColor="text1"/>
        </w:rPr>
        <w:t xml:space="preserve">the potential to </w:t>
      </w:r>
      <w:r w:rsidR="00371BE9" w:rsidRPr="006B3A71">
        <w:t xml:space="preserve">capture </w:t>
      </w:r>
      <w:r w:rsidR="007D7060" w:rsidRPr="006B3A71">
        <w:t xml:space="preserve">non-media businesses that presented no or low risk to Australia’s national interest </w:t>
      </w:r>
      <w:r w:rsidR="00371BE9" w:rsidRPr="006B3A71">
        <w:t xml:space="preserve">in </w:t>
      </w:r>
      <w:r w:rsidR="006951FA" w:rsidRPr="006B3A71">
        <w:rPr>
          <w:color w:val="000000" w:themeColor="text1"/>
        </w:rPr>
        <w:t xml:space="preserve">the </w:t>
      </w:r>
      <w:r w:rsidR="00C37B59" w:rsidRPr="006B3A71">
        <w:rPr>
          <w:color w:val="000000" w:themeColor="text1"/>
        </w:rPr>
        <w:t>context</w:t>
      </w:r>
      <w:r w:rsidR="006951FA" w:rsidRPr="006B3A71">
        <w:rPr>
          <w:color w:val="000000" w:themeColor="text1"/>
        </w:rPr>
        <w:t xml:space="preserve"> of</w:t>
      </w:r>
      <w:r w:rsidR="007D7060" w:rsidRPr="006B3A71">
        <w:rPr>
          <w:color w:val="000000" w:themeColor="text1"/>
        </w:rPr>
        <w:t xml:space="preserve"> </w:t>
      </w:r>
      <w:r w:rsidR="00C37B59" w:rsidRPr="006B3A71">
        <w:rPr>
          <w:color w:val="000000" w:themeColor="text1"/>
        </w:rPr>
        <w:t xml:space="preserve">an </w:t>
      </w:r>
      <w:r w:rsidR="007D7060" w:rsidRPr="006B3A71">
        <w:rPr>
          <w:color w:val="000000" w:themeColor="text1"/>
        </w:rPr>
        <w:t xml:space="preserve">Australian media business. For example, a bank (a business broader than the media sector) may have been viewed as an Australian media business </w:t>
      </w:r>
      <w:r w:rsidR="005B597E" w:rsidRPr="006B3A71">
        <w:rPr>
          <w:color w:val="000000" w:themeColor="text1"/>
        </w:rPr>
        <w:t xml:space="preserve">due to the operation of </w:t>
      </w:r>
      <w:r w:rsidR="00762878" w:rsidRPr="006B3A71">
        <w:rPr>
          <w:color w:val="000000" w:themeColor="text1"/>
        </w:rPr>
        <w:t xml:space="preserve">former </w:t>
      </w:r>
      <w:r w:rsidR="007D7060" w:rsidRPr="006B3A71">
        <w:rPr>
          <w:color w:val="000000" w:themeColor="text1"/>
        </w:rPr>
        <w:t>subparagraph 13A(3)(a)(iii) when the bank publishe</w:t>
      </w:r>
      <w:r w:rsidR="00983C4C" w:rsidRPr="006B3A71">
        <w:rPr>
          <w:color w:val="000000" w:themeColor="text1"/>
        </w:rPr>
        <w:t>d</w:t>
      </w:r>
      <w:r w:rsidR="007D7060" w:rsidRPr="006B3A71">
        <w:rPr>
          <w:color w:val="000000" w:themeColor="text1"/>
        </w:rPr>
        <w:t xml:space="preserve"> interest rate changes on its website, given interest rate changes </w:t>
      </w:r>
      <w:r w:rsidR="006951FA" w:rsidRPr="006B3A71">
        <w:rPr>
          <w:color w:val="000000" w:themeColor="text1"/>
        </w:rPr>
        <w:t>are</w:t>
      </w:r>
      <w:r w:rsidR="007D7060" w:rsidRPr="006B3A71">
        <w:rPr>
          <w:color w:val="000000" w:themeColor="text1"/>
        </w:rPr>
        <w:t xml:space="preserve"> a current issue of interest to Australians.</w:t>
      </w:r>
    </w:p>
    <w:p w14:paraId="2D07D20A" w14:textId="35DB4987" w:rsidR="00C07A3D" w:rsidRPr="006B3A71" w:rsidRDefault="00C07A3D" w:rsidP="00000525">
      <w:pPr>
        <w:spacing w:before="0" w:after="0"/>
        <w:rPr>
          <w:color w:val="000000" w:themeColor="text1"/>
        </w:rPr>
      </w:pPr>
    </w:p>
    <w:p w14:paraId="234EF2C3" w14:textId="1BCA1A5A" w:rsidR="003E6CFF" w:rsidRPr="006B3A71" w:rsidRDefault="000E0F67" w:rsidP="00000525">
      <w:pPr>
        <w:spacing w:before="0" w:after="0"/>
        <w:rPr>
          <w:color w:val="000000" w:themeColor="text1"/>
        </w:rPr>
      </w:pPr>
      <w:r w:rsidRPr="006B3A71">
        <w:rPr>
          <w:color w:val="000000" w:themeColor="text1"/>
        </w:rPr>
        <w:t xml:space="preserve">Item </w:t>
      </w:r>
      <w:r w:rsidR="0018574F" w:rsidRPr="006B3A71">
        <w:rPr>
          <w:color w:val="000000" w:themeColor="text1"/>
        </w:rPr>
        <w:t>8</w:t>
      </w:r>
      <w:r w:rsidRPr="006B3A71">
        <w:rPr>
          <w:color w:val="000000" w:themeColor="text1"/>
        </w:rPr>
        <w:t xml:space="preserve"> </w:t>
      </w:r>
      <w:r w:rsidR="00762878" w:rsidRPr="006B3A71">
        <w:rPr>
          <w:color w:val="000000" w:themeColor="text1"/>
        </w:rPr>
        <w:t>clarifies</w:t>
      </w:r>
      <w:r w:rsidR="00A95143" w:rsidRPr="006B3A71">
        <w:rPr>
          <w:color w:val="000000" w:themeColor="text1"/>
        </w:rPr>
        <w:t xml:space="preserve"> subsection 13A(4) </w:t>
      </w:r>
      <w:r w:rsidR="00C5237A" w:rsidRPr="006B3A71">
        <w:rPr>
          <w:color w:val="000000" w:themeColor="text1"/>
        </w:rPr>
        <w:t xml:space="preserve">the Principal Regulations </w:t>
      </w:r>
      <w:r w:rsidR="000E5F10" w:rsidRPr="006B3A71">
        <w:rPr>
          <w:color w:val="000000" w:themeColor="text1"/>
        </w:rPr>
        <w:t xml:space="preserve">so </w:t>
      </w:r>
      <w:r w:rsidR="00275134" w:rsidRPr="006B3A71">
        <w:rPr>
          <w:color w:val="000000" w:themeColor="text1"/>
        </w:rPr>
        <w:t xml:space="preserve">that </w:t>
      </w:r>
      <w:r w:rsidR="00A95143" w:rsidRPr="006B3A71">
        <w:rPr>
          <w:color w:val="000000" w:themeColor="text1"/>
        </w:rPr>
        <w:t>an</w:t>
      </w:r>
      <w:r w:rsidR="007C4653" w:rsidRPr="006B3A71">
        <w:rPr>
          <w:color w:val="000000" w:themeColor="text1"/>
        </w:rPr>
        <w:t xml:space="preserve"> </w:t>
      </w:r>
      <w:r w:rsidR="00A95143" w:rsidRPr="006B3A71">
        <w:rPr>
          <w:color w:val="000000" w:themeColor="text1"/>
        </w:rPr>
        <w:t>electronic service (a digital-only media business) satisfies the threshold test</w:t>
      </w:r>
      <w:r w:rsidR="000E5F10" w:rsidRPr="006B3A71">
        <w:rPr>
          <w:color w:val="000000" w:themeColor="text1"/>
        </w:rPr>
        <w:t xml:space="preserve"> in subsection</w:t>
      </w:r>
      <w:r w:rsidR="005B597E" w:rsidRPr="006B3A71">
        <w:rPr>
          <w:color w:val="000000" w:themeColor="text1"/>
        </w:rPr>
        <w:t> </w:t>
      </w:r>
      <w:r w:rsidR="000E5F10" w:rsidRPr="006B3A71">
        <w:rPr>
          <w:color w:val="000000" w:themeColor="text1"/>
        </w:rPr>
        <w:t>13</w:t>
      </w:r>
      <w:r w:rsidR="00CF4B04" w:rsidRPr="006B3A71">
        <w:rPr>
          <w:color w:val="000000" w:themeColor="text1"/>
        </w:rPr>
        <w:t>A</w:t>
      </w:r>
      <w:r w:rsidR="000E5F10" w:rsidRPr="006B3A71">
        <w:rPr>
          <w:color w:val="000000" w:themeColor="text1"/>
        </w:rPr>
        <w:t>(4)</w:t>
      </w:r>
      <w:r w:rsidR="00A95143" w:rsidRPr="006B3A71">
        <w:rPr>
          <w:color w:val="000000" w:themeColor="text1"/>
        </w:rPr>
        <w:t xml:space="preserve"> if it is reasonable to conclude that the average daily audience for the service exceed</w:t>
      </w:r>
      <w:r w:rsidR="0076631A" w:rsidRPr="006B3A71">
        <w:rPr>
          <w:color w:val="000000" w:themeColor="text1"/>
        </w:rPr>
        <w:t>s</w:t>
      </w:r>
      <w:r w:rsidR="00A95143" w:rsidRPr="006B3A71">
        <w:rPr>
          <w:color w:val="000000" w:themeColor="text1"/>
        </w:rPr>
        <w:t xml:space="preserve"> 10,000 people </w:t>
      </w:r>
      <w:r w:rsidR="00A95143" w:rsidRPr="006B3A71">
        <w:rPr>
          <w:i/>
          <w:color w:val="000000" w:themeColor="text1"/>
        </w:rPr>
        <w:t>in</w:t>
      </w:r>
      <w:r w:rsidR="00E152A1" w:rsidRPr="006B3A71">
        <w:rPr>
          <w:i/>
          <w:color w:val="000000" w:themeColor="text1"/>
        </w:rPr>
        <w:t> </w:t>
      </w:r>
      <w:r w:rsidR="00A95143" w:rsidRPr="006B3A71">
        <w:rPr>
          <w:i/>
          <w:color w:val="000000" w:themeColor="text1"/>
        </w:rPr>
        <w:t>Australia</w:t>
      </w:r>
      <w:r w:rsidR="00A95143" w:rsidRPr="006B3A71">
        <w:rPr>
          <w:color w:val="000000" w:themeColor="text1"/>
        </w:rPr>
        <w:t>, not globally.</w:t>
      </w:r>
    </w:p>
    <w:p w14:paraId="082CBE89" w14:textId="77777777" w:rsidR="00E73C00" w:rsidRPr="006B3A71" w:rsidRDefault="00E73C00" w:rsidP="00000525">
      <w:pPr>
        <w:spacing w:before="0" w:after="0"/>
        <w:rPr>
          <w:color w:val="000000" w:themeColor="text1"/>
        </w:rPr>
      </w:pPr>
    </w:p>
    <w:p w14:paraId="303938DB" w14:textId="40D389CB" w:rsidR="00275134" w:rsidRDefault="00487C59" w:rsidP="00000525">
      <w:pPr>
        <w:spacing w:before="0" w:after="0"/>
      </w:pPr>
      <w:r w:rsidRPr="006B3A71">
        <w:t xml:space="preserve">Item </w:t>
      </w:r>
      <w:r w:rsidR="0018574F" w:rsidRPr="006B3A71">
        <w:t>9</w:t>
      </w:r>
      <w:r w:rsidRPr="006B3A71">
        <w:t xml:space="preserve"> </w:t>
      </w:r>
      <w:r w:rsidR="00E24B69" w:rsidRPr="006B3A71">
        <w:t xml:space="preserve">omits ‘an interest of at least 5%’ and substitutes ‘a direct interest’ in section 55 of the Principal Regulations. This </w:t>
      </w:r>
      <w:r w:rsidR="00284350" w:rsidRPr="006B3A71">
        <w:t xml:space="preserve">amends the threshold test </w:t>
      </w:r>
      <w:r w:rsidR="005D1B42" w:rsidRPr="006B3A71">
        <w:t xml:space="preserve">for </w:t>
      </w:r>
      <w:r w:rsidR="00284350" w:rsidRPr="006B3A71">
        <w:t>investments in Australian media businesses</w:t>
      </w:r>
      <w:r w:rsidR="00762878" w:rsidRPr="006B3A71">
        <w:t xml:space="preserve"> under section 55</w:t>
      </w:r>
      <w:r w:rsidR="002B29A3" w:rsidRPr="006B3A71">
        <w:t xml:space="preserve">, </w:t>
      </w:r>
      <w:r w:rsidR="009B7B99" w:rsidRPr="006B3A71">
        <w:t xml:space="preserve">changing </w:t>
      </w:r>
      <w:r w:rsidR="002B29A3" w:rsidRPr="006B3A71">
        <w:t>the 5</w:t>
      </w:r>
      <w:r w:rsidR="00454D65" w:rsidRPr="006B3A71">
        <w:t xml:space="preserve"> per cent threshold test</w:t>
      </w:r>
      <w:r w:rsidR="002B29A3" w:rsidRPr="006B3A71">
        <w:t xml:space="preserve"> </w:t>
      </w:r>
      <w:r w:rsidR="004C689B" w:rsidRPr="006B3A71">
        <w:t>to a ‘direct interest’</w:t>
      </w:r>
      <w:r w:rsidR="00762878" w:rsidRPr="006B3A71">
        <w:t xml:space="preserve"> test</w:t>
      </w:r>
      <w:r w:rsidR="006A4B98" w:rsidRPr="006B3A71">
        <w:t>. This aligns the threshold for acquisitions of Australian media businesses with</w:t>
      </w:r>
      <w:r w:rsidRPr="006B3A71">
        <w:t xml:space="preserve"> </w:t>
      </w:r>
      <w:r w:rsidR="00FE2E4D" w:rsidRPr="006B3A71">
        <w:t>the</w:t>
      </w:r>
      <w:r w:rsidR="00C37B59" w:rsidRPr="006B3A71">
        <w:t xml:space="preserve"> threshold that</w:t>
      </w:r>
      <w:r w:rsidR="00FE2E4D" w:rsidRPr="006B3A71">
        <w:t xml:space="preserve"> generally applies to more sensitive investments, including acquisitions of national security businesses and acquisitions by foreign government investors</w:t>
      </w:r>
      <w:r w:rsidR="003E6CFF" w:rsidRPr="006B3A71">
        <w:t xml:space="preserve">. </w:t>
      </w:r>
    </w:p>
    <w:p w14:paraId="0E5A0139" w14:textId="2DED9E55" w:rsidR="003204E0" w:rsidRDefault="003204E0" w:rsidP="00000525">
      <w:pPr>
        <w:spacing w:before="0" w:after="0"/>
      </w:pPr>
    </w:p>
    <w:p w14:paraId="1E9A31F4" w14:textId="77777777" w:rsidR="003204E0" w:rsidRDefault="003204E0" w:rsidP="00000525">
      <w:pPr>
        <w:spacing w:after="0"/>
      </w:pPr>
      <w:r w:rsidRPr="00281BF0">
        <w:t xml:space="preserve">The meaning of ‘direct interest’ </w:t>
      </w:r>
      <w:r>
        <w:t xml:space="preserve">in an entity or business </w:t>
      </w:r>
      <w:r w:rsidRPr="00281BF0">
        <w:t>is defined in section 16</w:t>
      </w:r>
      <w:r>
        <w:t xml:space="preserve"> as: </w:t>
      </w:r>
      <w:bookmarkStart w:id="0" w:name="_Hlk97647926"/>
    </w:p>
    <w:p w14:paraId="1C7B0EDF" w14:textId="77777777" w:rsidR="003204E0" w:rsidRDefault="003204E0" w:rsidP="00000525">
      <w:pPr>
        <w:pStyle w:val="Bullet"/>
      </w:pPr>
      <w:r w:rsidRPr="00467F92">
        <w:t xml:space="preserve">an interest of at least 10% in the entity or business; or </w:t>
      </w:r>
    </w:p>
    <w:p w14:paraId="37F64173" w14:textId="77777777" w:rsidR="003204E0" w:rsidRDefault="003204E0" w:rsidP="00000525">
      <w:pPr>
        <w:pStyle w:val="Bullet"/>
      </w:pPr>
      <w:r w:rsidRPr="00467F92">
        <w:t xml:space="preserve">an interest of at least 5% in the entity or business if the person who acquires the interest has entered a legal arrangement relating to the businesses of the person and the entity or business; or </w:t>
      </w:r>
    </w:p>
    <w:p w14:paraId="7D39BAB5" w14:textId="1195FE5F" w:rsidR="003204E0" w:rsidRDefault="003204E0" w:rsidP="00000525">
      <w:pPr>
        <w:pStyle w:val="Bullet"/>
      </w:pPr>
      <w:r w:rsidRPr="00467F92">
        <w:t xml:space="preserve">an interest of any percentage in the entity or business if the person who acquired the interest is </w:t>
      </w:r>
      <w:r>
        <w:t xml:space="preserve">either </w:t>
      </w:r>
      <w:r w:rsidRPr="00467F92">
        <w:t>in a position</w:t>
      </w:r>
      <w:r w:rsidR="00D55D1F">
        <w:t>:</w:t>
      </w:r>
    </w:p>
    <w:p w14:paraId="2ABC9B1B" w14:textId="77777777" w:rsidR="003204E0" w:rsidRDefault="003204E0" w:rsidP="00000525">
      <w:pPr>
        <w:pStyle w:val="Bullet"/>
        <w:numPr>
          <w:ilvl w:val="1"/>
          <w:numId w:val="2"/>
        </w:numPr>
      </w:pPr>
      <w:r w:rsidRPr="00467F92">
        <w:t xml:space="preserve">to influence or participate in the central management and control of the entity or business; or </w:t>
      </w:r>
    </w:p>
    <w:p w14:paraId="20971D46" w14:textId="38E9C7C8" w:rsidR="003204E0" w:rsidRPr="00281BF0" w:rsidRDefault="003204E0" w:rsidP="00000525">
      <w:pPr>
        <w:pStyle w:val="Bullet"/>
        <w:numPr>
          <w:ilvl w:val="1"/>
          <w:numId w:val="2"/>
        </w:numPr>
      </w:pPr>
      <w:r w:rsidRPr="00467F92">
        <w:t>to influence, participate in or determine the policy of the entity or business</w:t>
      </w:r>
      <w:bookmarkEnd w:id="0"/>
      <w:r w:rsidRPr="00467F92">
        <w:t>.</w:t>
      </w:r>
    </w:p>
    <w:p w14:paraId="76672EE9" w14:textId="2471A08E" w:rsidR="00C21E8C" w:rsidRPr="006B3A71" w:rsidRDefault="00993804" w:rsidP="00000525">
      <w:pPr>
        <w:spacing w:before="0" w:after="0"/>
      </w:pPr>
      <w:r w:rsidRPr="006B3A71">
        <w:t xml:space="preserve">The </w:t>
      </w:r>
      <w:r w:rsidR="00C21E8C" w:rsidRPr="006B3A71">
        <w:t xml:space="preserve">purpose of the </w:t>
      </w:r>
      <w:r w:rsidR="00284350" w:rsidRPr="006B3A71">
        <w:t xml:space="preserve">amendments to the definition </w:t>
      </w:r>
      <w:r w:rsidR="005F4965">
        <w:t xml:space="preserve">of Australian media business </w:t>
      </w:r>
      <w:r w:rsidR="00284350" w:rsidRPr="006B3A71">
        <w:t xml:space="preserve">and </w:t>
      </w:r>
      <w:r w:rsidR="005F4965">
        <w:t xml:space="preserve">to </w:t>
      </w:r>
      <w:r w:rsidR="00284350" w:rsidRPr="006B3A71">
        <w:t>the threshold</w:t>
      </w:r>
      <w:r w:rsidRPr="006B3A71">
        <w:t xml:space="preserve"> </w:t>
      </w:r>
      <w:r w:rsidR="002B29A3" w:rsidRPr="006B3A71">
        <w:t xml:space="preserve">test </w:t>
      </w:r>
      <w:r w:rsidR="005F4965">
        <w:t xml:space="preserve">for investments in Australian media businesses </w:t>
      </w:r>
      <w:r w:rsidR="00C21E8C" w:rsidRPr="006B3A71">
        <w:t xml:space="preserve">is to </w:t>
      </w:r>
      <w:r w:rsidRPr="006B3A71">
        <w:t>support a better balance between welcoming foreign investment and protecting national interest</w:t>
      </w:r>
      <w:r w:rsidR="004A06DF" w:rsidRPr="006B3A71">
        <w:t>s</w:t>
      </w:r>
      <w:r w:rsidRPr="006B3A71">
        <w:t xml:space="preserve"> in </w:t>
      </w:r>
      <w:r w:rsidRPr="006B3A71">
        <w:lastRenderedPageBreak/>
        <w:t>relation to media investments</w:t>
      </w:r>
      <w:r w:rsidR="000314B3" w:rsidRPr="006B3A71">
        <w:t>.</w:t>
      </w:r>
      <w:r w:rsidR="00C21E8C" w:rsidRPr="006B3A71">
        <w:t xml:space="preserve"> The amendments ensure the </w:t>
      </w:r>
      <w:r w:rsidR="007D6F69" w:rsidRPr="006B3A71">
        <w:t xml:space="preserve">Principal </w:t>
      </w:r>
      <w:r w:rsidR="00C21E8C" w:rsidRPr="006B3A71">
        <w:t xml:space="preserve">Regulations remain fit for purpose by only capturing those acquisitions that pose sufficient risks to the national interest to warrant screening. </w:t>
      </w:r>
      <w:r w:rsidR="00C5237A" w:rsidRPr="006B3A71">
        <w:t>During</w:t>
      </w:r>
      <w:r w:rsidR="00C21E8C" w:rsidRPr="006B3A71">
        <w:t xml:space="preserve"> the evaluation of the </w:t>
      </w:r>
      <w:r w:rsidR="007D6F69" w:rsidRPr="006B3A71">
        <w:t>2021</w:t>
      </w:r>
      <w:r w:rsidR="00C21E8C" w:rsidRPr="006B3A71">
        <w:t xml:space="preserve"> foreign investment reforms, some stakeholders provided feedback that </w:t>
      </w:r>
      <w:r w:rsidR="007D6F69" w:rsidRPr="006B3A71">
        <w:t>t</w:t>
      </w:r>
      <w:r w:rsidR="00C21E8C" w:rsidRPr="006B3A71">
        <w:t>he current definition captures businesses that have no material connection to Australia or are not traditionally in the media sector.</w:t>
      </w:r>
    </w:p>
    <w:p w14:paraId="1002112D" w14:textId="77777777" w:rsidR="00F60A44" w:rsidRPr="006B3A71" w:rsidRDefault="00F60A44" w:rsidP="00000525">
      <w:pPr>
        <w:spacing w:before="0" w:after="0"/>
        <w:rPr>
          <w:color w:val="000000" w:themeColor="text1"/>
        </w:rPr>
      </w:pPr>
    </w:p>
    <w:p w14:paraId="655DC283" w14:textId="357C9D85" w:rsidR="005D71B9" w:rsidRPr="006B3A71" w:rsidRDefault="005D71B9" w:rsidP="00000525">
      <w:pPr>
        <w:spacing w:before="0" w:after="0"/>
        <w:rPr>
          <w:b/>
          <w:bCs/>
          <w:i/>
          <w:iCs/>
          <w:color w:val="000000" w:themeColor="text1"/>
        </w:rPr>
      </w:pPr>
      <w:r w:rsidRPr="006B3A71">
        <w:rPr>
          <w:b/>
          <w:bCs/>
          <w:i/>
          <w:iCs/>
          <w:color w:val="000000" w:themeColor="text1"/>
        </w:rPr>
        <w:t xml:space="preserve">Item </w:t>
      </w:r>
      <w:r w:rsidR="0018574F" w:rsidRPr="006B3A71">
        <w:rPr>
          <w:b/>
          <w:bCs/>
          <w:i/>
          <w:iCs/>
          <w:color w:val="000000" w:themeColor="text1"/>
        </w:rPr>
        <w:t>10</w:t>
      </w:r>
      <w:r w:rsidRPr="006B3A71">
        <w:rPr>
          <w:b/>
          <w:bCs/>
          <w:i/>
          <w:iCs/>
          <w:color w:val="000000" w:themeColor="text1"/>
        </w:rPr>
        <w:t xml:space="preserve"> – </w:t>
      </w:r>
      <w:r w:rsidR="003A1381" w:rsidRPr="006B3A71">
        <w:rPr>
          <w:b/>
          <w:bCs/>
          <w:i/>
          <w:iCs/>
          <w:color w:val="000000" w:themeColor="text1"/>
        </w:rPr>
        <w:t xml:space="preserve">Unlisted </w:t>
      </w:r>
      <w:r w:rsidR="001461C2" w:rsidRPr="006B3A71">
        <w:rPr>
          <w:b/>
          <w:bCs/>
          <w:i/>
          <w:iCs/>
          <w:color w:val="000000" w:themeColor="text1"/>
        </w:rPr>
        <w:t xml:space="preserve">Australian </w:t>
      </w:r>
      <w:r w:rsidR="003A1381" w:rsidRPr="006B3A71">
        <w:rPr>
          <w:b/>
          <w:bCs/>
          <w:i/>
          <w:iCs/>
          <w:color w:val="000000" w:themeColor="text1"/>
        </w:rPr>
        <w:t>land entities</w:t>
      </w:r>
    </w:p>
    <w:p w14:paraId="76F9A023" w14:textId="491C7FC0" w:rsidR="00A43B72" w:rsidRPr="006B3A71" w:rsidRDefault="00A43B72" w:rsidP="00000525">
      <w:pPr>
        <w:spacing w:before="0" w:after="0"/>
        <w:rPr>
          <w:b/>
          <w:bCs/>
          <w:i/>
          <w:iCs/>
          <w:color w:val="000000" w:themeColor="text1"/>
        </w:rPr>
      </w:pPr>
    </w:p>
    <w:p w14:paraId="741E7C55" w14:textId="1A8E17C0" w:rsidR="00F232C9" w:rsidRPr="006B3A71" w:rsidRDefault="00715262" w:rsidP="00000525">
      <w:pPr>
        <w:spacing w:before="0" w:after="0"/>
      </w:pPr>
      <w:r w:rsidRPr="006B3A71">
        <w:t xml:space="preserve">Item </w:t>
      </w:r>
      <w:r w:rsidR="0018574F" w:rsidRPr="006B3A71">
        <w:t>10</w:t>
      </w:r>
      <w:r w:rsidRPr="006B3A71">
        <w:t xml:space="preserve"> </w:t>
      </w:r>
      <w:r w:rsidR="00C21E8C" w:rsidRPr="006B3A71">
        <w:t xml:space="preserve">omits ‘5%’ and substitutes ‘10%’ in paragraph 37(4)(c) of the Principal Regulations. This </w:t>
      </w:r>
      <w:r w:rsidR="002C5C12" w:rsidRPr="006B3A71">
        <w:t>amends the exemption</w:t>
      </w:r>
      <w:r w:rsidR="002D4CF5" w:rsidRPr="006B3A71">
        <w:t xml:space="preserve"> under paragraph 37(4)(c) </w:t>
      </w:r>
      <w:r w:rsidR="002C5C12" w:rsidRPr="006B3A71">
        <w:t xml:space="preserve">for acquisitions of securities in unlisted Australian land entities so that the exemption applies where </w:t>
      </w:r>
      <w:r w:rsidR="00684FAD" w:rsidRPr="006B3A71">
        <w:t xml:space="preserve">after the acquisition, </w:t>
      </w:r>
      <w:r w:rsidR="001C422A" w:rsidRPr="006B3A71">
        <w:t xml:space="preserve">a </w:t>
      </w:r>
      <w:r w:rsidR="002C5C12" w:rsidRPr="006B3A71">
        <w:t>foreign person</w:t>
      </w:r>
      <w:r w:rsidR="002D4CF5" w:rsidRPr="006B3A71">
        <w:t xml:space="preserve"> (</w:t>
      </w:r>
      <w:r w:rsidR="002C5C12" w:rsidRPr="006B3A71">
        <w:t>alone or together with one or more associates</w:t>
      </w:r>
      <w:r w:rsidR="002D4CF5" w:rsidRPr="006B3A71">
        <w:t>)</w:t>
      </w:r>
      <w:r w:rsidR="002C5C12" w:rsidRPr="006B3A71">
        <w:t xml:space="preserve">, holds an interest of </w:t>
      </w:r>
      <w:r w:rsidR="002C5C12" w:rsidRPr="006B3A71">
        <w:rPr>
          <w:iCs/>
        </w:rPr>
        <w:t>less than 10</w:t>
      </w:r>
      <w:r w:rsidR="004C6E73" w:rsidRPr="006B3A71">
        <w:rPr>
          <w:iCs/>
        </w:rPr>
        <w:t> </w:t>
      </w:r>
      <w:r w:rsidR="002D4CF5" w:rsidRPr="006B3A71">
        <w:rPr>
          <w:iCs/>
        </w:rPr>
        <w:t>per cent</w:t>
      </w:r>
      <w:r w:rsidR="002C5C12" w:rsidRPr="006B3A71">
        <w:t xml:space="preserve"> in the land entity, instead of</w:t>
      </w:r>
      <w:r w:rsidR="00513244" w:rsidRPr="006B3A71">
        <w:t> </w:t>
      </w:r>
      <w:r w:rsidR="002C5C12" w:rsidRPr="006B3A71">
        <w:t>5</w:t>
      </w:r>
      <w:r w:rsidR="004C6E73" w:rsidRPr="006B3A71">
        <w:t> </w:t>
      </w:r>
      <w:r w:rsidR="002C5C12" w:rsidRPr="006B3A71">
        <w:t xml:space="preserve">per cent. </w:t>
      </w:r>
      <w:r w:rsidR="002D4CF5" w:rsidRPr="006B3A71">
        <w:rPr>
          <w:color w:val="000000" w:themeColor="text1"/>
        </w:rPr>
        <w:t>Th</w:t>
      </w:r>
      <w:r w:rsidR="00896E17" w:rsidRPr="006B3A71">
        <w:rPr>
          <w:color w:val="000000" w:themeColor="text1"/>
        </w:rPr>
        <w:t>is</w:t>
      </w:r>
      <w:r w:rsidR="002D4CF5" w:rsidRPr="006B3A71">
        <w:rPr>
          <w:color w:val="000000" w:themeColor="text1"/>
        </w:rPr>
        <w:t xml:space="preserve"> amendment align</w:t>
      </w:r>
      <w:r w:rsidR="00896E17" w:rsidRPr="006B3A71">
        <w:rPr>
          <w:color w:val="000000" w:themeColor="text1"/>
        </w:rPr>
        <w:t>s</w:t>
      </w:r>
      <w:r w:rsidR="006705B9" w:rsidRPr="006B3A71">
        <w:rPr>
          <w:color w:val="000000" w:themeColor="text1"/>
        </w:rPr>
        <w:t xml:space="preserve"> the </w:t>
      </w:r>
      <w:r w:rsidR="002C5C12" w:rsidRPr="006B3A71">
        <w:rPr>
          <w:color w:val="000000" w:themeColor="text1"/>
        </w:rPr>
        <w:t xml:space="preserve">percentage </w:t>
      </w:r>
      <w:r w:rsidR="006705B9" w:rsidRPr="006B3A71">
        <w:rPr>
          <w:color w:val="000000" w:themeColor="text1"/>
        </w:rPr>
        <w:t>control threshold</w:t>
      </w:r>
      <w:r w:rsidR="00B0326F" w:rsidRPr="006B3A71">
        <w:rPr>
          <w:color w:val="000000" w:themeColor="text1"/>
        </w:rPr>
        <w:t>s</w:t>
      </w:r>
      <w:r w:rsidR="006705B9" w:rsidRPr="006B3A71">
        <w:rPr>
          <w:color w:val="000000" w:themeColor="text1"/>
        </w:rPr>
        <w:t xml:space="preserve"> for acquisitions of unlisted Australian land entities</w:t>
      </w:r>
      <w:r w:rsidR="00402DAC" w:rsidRPr="006B3A71">
        <w:rPr>
          <w:color w:val="000000" w:themeColor="text1"/>
        </w:rPr>
        <w:t xml:space="preserve"> with listed Australian land entities </w:t>
      </w:r>
      <w:r w:rsidR="00A75AD5">
        <w:rPr>
          <w:color w:val="000000" w:themeColor="text1"/>
        </w:rPr>
        <w:t>under</w:t>
      </w:r>
      <w:r w:rsidR="00402DAC" w:rsidRPr="006B3A71">
        <w:rPr>
          <w:color w:val="000000" w:themeColor="text1"/>
        </w:rPr>
        <w:t xml:space="preserve"> </w:t>
      </w:r>
      <w:r w:rsidR="002D4CF5" w:rsidRPr="006B3A71">
        <w:rPr>
          <w:color w:val="000000" w:themeColor="text1"/>
        </w:rPr>
        <w:t>paragraph</w:t>
      </w:r>
      <w:r w:rsidR="004C6E73" w:rsidRPr="006B3A71">
        <w:rPr>
          <w:color w:val="000000" w:themeColor="text1"/>
        </w:rPr>
        <w:t> </w:t>
      </w:r>
      <w:r w:rsidR="00402DAC" w:rsidRPr="006B3A71">
        <w:rPr>
          <w:color w:val="000000" w:themeColor="text1"/>
        </w:rPr>
        <w:t>37(2)(c)</w:t>
      </w:r>
      <w:r w:rsidRPr="006B3A71">
        <w:t>.</w:t>
      </w:r>
    </w:p>
    <w:p w14:paraId="59D260F5" w14:textId="77777777" w:rsidR="00A75AD5" w:rsidRDefault="00A75AD5" w:rsidP="00000525">
      <w:pPr>
        <w:spacing w:before="0" w:after="0"/>
      </w:pPr>
    </w:p>
    <w:p w14:paraId="08D6191B" w14:textId="6F2AD8F7" w:rsidR="00C21E8C" w:rsidRPr="006B3A71" w:rsidRDefault="00C21E8C" w:rsidP="00000525">
      <w:pPr>
        <w:spacing w:before="0" w:after="0"/>
      </w:pPr>
      <w:r w:rsidRPr="006B3A71">
        <w:t xml:space="preserve">The purpose of the amendment is to reduce the regulatory burden </w:t>
      </w:r>
      <w:r w:rsidR="007D6F69" w:rsidRPr="006B3A71">
        <w:t>for foreign investors that invest in unlisted land entities</w:t>
      </w:r>
      <w:r w:rsidR="004B34D0" w:rsidRPr="006B3A71">
        <w:t>.</w:t>
      </w:r>
      <w:r w:rsidR="007D6F69" w:rsidRPr="006B3A71">
        <w:t xml:space="preserve"> </w:t>
      </w:r>
      <w:r w:rsidR="004B34D0" w:rsidRPr="006B3A71">
        <w:t>T</w:t>
      </w:r>
      <w:r w:rsidR="00EA6374" w:rsidRPr="006B3A71">
        <w:t xml:space="preserve">he current 5 per cent threshold is lower than the threshold for investments into national security businesses, despite not entailing the same risks. The change to the threshold </w:t>
      </w:r>
      <w:r w:rsidR="004B34D0" w:rsidRPr="006B3A71">
        <w:t xml:space="preserve">would </w:t>
      </w:r>
      <w:r w:rsidR="00EA6374" w:rsidRPr="006B3A71">
        <w:t xml:space="preserve">ensure that the </w:t>
      </w:r>
      <w:r w:rsidR="007D6F69" w:rsidRPr="006B3A71">
        <w:t xml:space="preserve">Principal </w:t>
      </w:r>
      <w:r w:rsidR="00EA6374" w:rsidRPr="006B3A71">
        <w:t>Regulations only capture acquisitions that pose sufficient risks to the national interest to warrant screening.</w:t>
      </w:r>
    </w:p>
    <w:p w14:paraId="3F535230" w14:textId="77777777" w:rsidR="001578BC" w:rsidRPr="006B3A71" w:rsidRDefault="001578BC" w:rsidP="00000525">
      <w:pPr>
        <w:spacing w:before="0" w:after="0"/>
      </w:pPr>
    </w:p>
    <w:p w14:paraId="5ACBE502" w14:textId="4BB73A7A" w:rsidR="00B0326F" w:rsidRPr="006B3A71" w:rsidRDefault="00B0326F" w:rsidP="00000525">
      <w:pPr>
        <w:spacing w:before="0" w:after="0"/>
        <w:rPr>
          <w:b/>
          <w:bCs/>
          <w:i/>
          <w:iCs/>
          <w:color w:val="000000" w:themeColor="text1"/>
        </w:rPr>
      </w:pPr>
      <w:r w:rsidRPr="006B3A71">
        <w:rPr>
          <w:b/>
          <w:bCs/>
          <w:i/>
          <w:iCs/>
          <w:color w:val="000000" w:themeColor="text1"/>
        </w:rPr>
        <w:t>Items</w:t>
      </w:r>
      <w:r w:rsidR="00D57A8E" w:rsidRPr="006B3A71">
        <w:rPr>
          <w:b/>
          <w:bCs/>
          <w:i/>
          <w:iCs/>
          <w:color w:val="000000" w:themeColor="text1"/>
        </w:rPr>
        <w:t xml:space="preserve"> </w:t>
      </w:r>
      <w:r w:rsidR="0018574F" w:rsidRPr="006B3A71">
        <w:rPr>
          <w:b/>
          <w:bCs/>
          <w:i/>
          <w:iCs/>
          <w:color w:val="000000" w:themeColor="text1"/>
        </w:rPr>
        <w:t>11</w:t>
      </w:r>
      <w:r w:rsidR="00D70BDD" w:rsidRPr="006B3A71">
        <w:rPr>
          <w:b/>
          <w:bCs/>
          <w:i/>
          <w:iCs/>
          <w:color w:val="000000" w:themeColor="text1"/>
        </w:rPr>
        <w:t>, 1</w:t>
      </w:r>
      <w:r w:rsidR="0018574F" w:rsidRPr="006B3A71">
        <w:rPr>
          <w:b/>
          <w:bCs/>
          <w:i/>
          <w:iCs/>
          <w:color w:val="000000" w:themeColor="text1"/>
        </w:rPr>
        <w:t>2</w:t>
      </w:r>
      <w:r w:rsidR="00D70BDD" w:rsidRPr="006B3A71">
        <w:rPr>
          <w:b/>
          <w:bCs/>
          <w:i/>
          <w:iCs/>
          <w:color w:val="000000" w:themeColor="text1"/>
        </w:rPr>
        <w:t xml:space="preserve"> and 1</w:t>
      </w:r>
      <w:r w:rsidR="0018574F" w:rsidRPr="006B3A71">
        <w:rPr>
          <w:b/>
          <w:bCs/>
          <w:i/>
          <w:iCs/>
          <w:color w:val="000000" w:themeColor="text1"/>
        </w:rPr>
        <w:t>3</w:t>
      </w:r>
      <w:r w:rsidR="00D57A8E" w:rsidRPr="006B3A71">
        <w:rPr>
          <w:b/>
          <w:bCs/>
          <w:i/>
          <w:iCs/>
          <w:color w:val="000000" w:themeColor="text1"/>
        </w:rPr>
        <w:t xml:space="preserve"> </w:t>
      </w:r>
      <w:r w:rsidRPr="006B3A71">
        <w:rPr>
          <w:b/>
          <w:bCs/>
          <w:i/>
          <w:iCs/>
          <w:color w:val="000000" w:themeColor="text1"/>
        </w:rPr>
        <w:t xml:space="preserve">– </w:t>
      </w:r>
      <w:r w:rsidR="00D57A8E" w:rsidRPr="006B3A71">
        <w:rPr>
          <w:b/>
          <w:bCs/>
          <w:i/>
          <w:iCs/>
          <w:color w:val="000000" w:themeColor="text1"/>
        </w:rPr>
        <w:t>Acquisition</w:t>
      </w:r>
      <w:r w:rsidR="00B6371B" w:rsidRPr="006B3A71">
        <w:rPr>
          <w:b/>
          <w:bCs/>
          <w:i/>
          <w:iCs/>
          <w:color w:val="000000" w:themeColor="text1"/>
        </w:rPr>
        <w:t>s</w:t>
      </w:r>
      <w:r w:rsidR="00D57A8E" w:rsidRPr="006B3A71">
        <w:rPr>
          <w:b/>
          <w:bCs/>
          <w:i/>
          <w:iCs/>
          <w:color w:val="000000" w:themeColor="text1"/>
        </w:rPr>
        <w:t xml:space="preserve"> of interests in securities where proportionate </w:t>
      </w:r>
      <w:r w:rsidR="00790CE4" w:rsidRPr="006B3A71">
        <w:rPr>
          <w:b/>
          <w:bCs/>
          <w:i/>
          <w:iCs/>
          <w:color w:val="000000" w:themeColor="text1"/>
        </w:rPr>
        <w:t xml:space="preserve">share or unit holding </w:t>
      </w:r>
      <w:r w:rsidR="00F24A40" w:rsidRPr="006B3A71">
        <w:rPr>
          <w:b/>
          <w:bCs/>
          <w:i/>
          <w:iCs/>
          <w:color w:val="000000" w:themeColor="text1"/>
        </w:rPr>
        <w:t>will</w:t>
      </w:r>
      <w:r w:rsidR="00790CE4" w:rsidRPr="006B3A71">
        <w:rPr>
          <w:b/>
          <w:bCs/>
          <w:i/>
          <w:iCs/>
          <w:color w:val="000000" w:themeColor="text1"/>
        </w:rPr>
        <w:t xml:space="preserve"> not increase as a result of a person’s acquisition</w:t>
      </w:r>
    </w:p>
    <w:p w14:paraId="5B1D6893" w14:textId="77777777" w:rsidR="00B0326F" w:rsidRPr="006B3A71" w:rsidRDefault="00B0326F" w:rsidP="00000525">
      <w:pPr>
        <w:spacing w:before="0" w:after="0"/>
        <w:rPr>
          <w:color w:val="000000" w:themeColor="text1"/>
        </w:rPr>
      </w:pPr>
    </w:p>
    <w:p w14:paraId="507A8880" w14:textId="78AE5876" w:rsidR="005B759A" w:rsidRPr="006B3A71" w:rsidRDefault="00287074" w:rsidP="00000525">
      <w:pPr>
        <w:spacing w:before="0" w:after="0"/>
      </w:pPr>
      <w:r w:rsidRPr="006B3A71">
        <w:rPr>
          <w:color w:val="000000" w:themeColor="text1"/>
        </w:rPr>
        <w:t>Item</w:t>
      </w:r>
      <w:r w:rsidRPr="006B3A71" w:rsidDel="00380EE4">
        <w:rPr>
          <w:color w:val="000000" w:themeColor="text1"/>
        </w:rPr>
        <w:t xml:space="preserve"> </w:t>
      </w:r>
      <w:r w:rsidR="00D70BDD" w:rsidRPr="006B3A71">
        <w:rPr>
          <w:color w:val="000000" w:themeColor="text1"/>
        </w:rPr>
        <w:t>1</w:t>
      </w:r>
      <w:r w:rsidR="0018574F" w:rsidRPr="006B3A71">
        <w:rPr>
          <w:color w:val="000000" w:themeColor="text1"/>
        </w:rPr>
        <w:t>3</w:t>
      </w:r>
      <w:r w:rsidRPr="006B3A71">
        <w:rPr>
          <w:color w:val="000000" w:themeColor="text1"/>
        </w:rPr>
        <w:t xml:space="preserve"> </w:t>
      </w:r>
      <w:r w:rsidR="00380EE4" w:rsidRPr="006B3A71">
        <w:rPr>
          <w:color w:val="000000" w:themeColor="text1"/>
        </w:rPr>
        <w:t xml:space="preserve">inserts new paragraph </w:t>
      </w:r>
      <w:r w:rsidR="003E540E" w:rsidRPr="006B3A71">
        <w:rPr>
          <w:color w:val="000000" w:themeColor="text1"/>
        </w:rPr>
        <w:t>41(2)</w:t>
      </w:r>
      <w:r w:rsidR="00380EE4" w:rsidRPr="006B3A71">
        <w:rPr>
          <w:color w:val="000000" w:themeColor="text1"/>
        </w:rPr>
        <w:t>(c)</w:t>
      </w:r>
      <w:r w:rsidR="003E540E" w:rsidRPr="006B3A71">
        <w:rPr>
          <w:color w:val="000000" w:themeColor="text1"/>
        </w:rPr>
        <w:t xml:space="preserve"> </w:t>
      </w:r>
      <w:r w:rsidR="004B34D0" w:rsidRPr="006B3A71">
        <w:rPr>
          <w:color w:val="000000" w:themeColor="text1"/>
        </w:rPr>
        <w:t xml:space="preserve">into the Principal Regulations </w:t>
      </w:r>
      <w:r w:rsidR="00380EE4" w:rsidRPr="006B3A71">
        <w:rPr>
          <w:color w:val="000000" w:themeColor="text1"/>
        </w:rPr>
        <w:t xml:space="preserve">to </w:t>
      </w:r>
      <w:r w:rsidR="00B65B6C" w:rsidRPr="006B3A71">
        <w:rPr>
          <w:color w:val="000000" w:themeColor="text1"/>
        </w:rPr>
        <w:t xml:space="preserve">provide an </w:t>
      </w:r>
      <w:r w:rsidRPr="006B3A71">
        <w:t>exempt</w:t>
      </w:r>
      <w:r w:rsidR="00B65B6C" w:rsidRPr="006B3A71">
        <w:t>ion</w:t>
      </w:r>
      <w:r w:rsidR="00FC3E09" w:rsidRPr="006B3A71">
        <w:t xml:space="preserve"> from the notifiable provisions of the Act</w:t>
      </w:r>
      <w:r w:rsidRPr="006B3A71">
        <w:t xml:space="preserve"> </w:t>
      </w:r>
      <w:r w:rsidR="008A54CA" w:rsidRPr="006B3A71">
        <w:t>for</w:t>
      </w:r>
      <w:r w:rsidR="0050274B" w:rsidRPr="006B3A71">
        <w:t xml:space="preserve"> </w:t>
      </w:r>
      <w:r w:rsidR="00FC3E09" w:rsidRPr="006B3A71">
        <w:t>foreign persons that acquire</w:t>
      </w:r>
      <w:r w:rsidRPr="006B3A71">
        <w:t xml:space="preserve"> </w:t>
      </w:r>
      <w:r w:rsidR="00407BD8" w:rsidRPr="006B3A71">
        <w:t xml:space="preserve">an </w:t>
      </w:r>
      <w:r w:rsidR="00430DDC" w:rsidRPr="006B3A71">
        <w:t xml:space="preserve">additional </w:t>
      </w:r>
      <w:r w:rsidRPr="006B3A71">
        <w:t xml:space="preserve">interest </w:t>
      </w:r>
      <w:r w:rsidR="00430DDC" w:rsidRPr="006B3A71">
        <w:t>in an entity</w:t>
      </w:r>
      <w:r w:rsidR="00407BD8" w:rsidRPr="006B3A71">
        <w:t>,</w:t>
      </w:r>
      <w:r w:rsidR="00430DDC" w:rsidRPr="006B3A71">
        <w:t xml:space="preserve"> </w:t>
      </w:r>
      <w:r w:rsidR="00407BD8" w:rsidRPr="006B3A71">
        <w:t>provided</w:t>
      </w:r>
      <w:r w:rsidR="00FC3E09" w:rsidRPr="006B3A71">
        <w:t xml:space="preserve"> their proportional percentage interest holding would not generally increase </w:t>
      </w:r>
      <w:r w:rsidR="00407BD8" w:rsidRPr="006B3A71">
        <w:t>post-</w:t>
      </w:r>
      <w:r w:rsidR="008B0EA7" w:rsidRPr="006B3A71">
        <w:t>acquisition</w:t>
      </w:r>
      <w:r w:rsidR="00FC3E09" w:rsidRPr="006B3A71">
        <w:t>. The exemption operates as follows:</w:t>
      </w:r>
      <w:r w:rsidR="0088300A" w:rsidRPr="006B3A71">
        <w:t xml:space="preserve"> </w:t>
      </w:r>
    </w:p>
    <w:p w14:paraId="007EB020" w14:textId="77777777" w:rsidR="005B759A" w:rsidRPr="006B3A71" w:rsidRDefault="005B759A" w:rsidP="00000525">
      <w:pPr>
        <w:spacing w:before="0" w:after="0"/>
        <w:rPr>
          <w:color w:val="000000" w:themeColor="text1"/>
        </w:rPr>
      </w:pPr>
    </w:p>
    <w:p w14:paraId="5E82EB7F" w14:textId="01607FD5" w:rsidR="006F75F0" w:rsidRPr="006B3A71" w:rsidRDefault="00107EAD" w:rsidP="00000525">
      <w:pPr>
        <w:spacing w:before="0" w:after="0"/>
        <w:rPr>
          <w:color w:val="000000" w:themeColor="text1"/>
        </w:rPr>
      </w:pPr>
      <w:r w:rsidRPr="006B3A71">
        <w:rPr>
          <w:color w:val="000000" w:themeColor="text1"/>
        </w:rPr>
        <w:t>Firstly</w:t>
      </w:r>
      <w:bookmarkStart w:id="1" w:name="_Hlk97034160"/>
      <w:r w:rsidR="0010591A" w:rsidRPr="006B3A71">
        <w:rPr>
          <w:color w:val="000000" w:themeColor="text1"/>
        </w:rPr>
        <w:t>,</w:t>
      </w:r>
      <w:r w:rsidR="00F6201D" w:rsidRPr="006B3A71">
        <w:rPr>
          <w:color w:val="000000" w:themeColor="text1"/>
        </w:rPr>
        <w:t xml:space="preserve"> under subparagraph 41(2)(c)(</w:t>
      </w:r>
      <w:proofErr w:type="spellStart"/>
      <w:r w:rsidR="00F6201D" w:rsidRPr="006B3A71">
        <w:rPr>
          <w:color w:val="000000" w:themeColor="text1"/>
        </w:rPr>
        <w:t>i</w:t>
      </w:r>
      <w:proofErr w:type="spellEnd"/>
      <w:r w:rsidR="00F6201D" w:rsidRPr="006B3A71">
        <w:rPr>
          <w:color w:val="000000" w:themeColor="text1"/>
        </w:rPr>
        <w:t>)</w:t>
      </w:r>
      <w:bookmarkEnd w:id="1"/>
      <w:r w:rsidRPr="006B3A71">
        <w:rPr>
          <w:color w:val="000000" w:themeColor="text1"/>
        </w:rPr>
        <w:t>, a</w:t>
      </w:r>
      <w:r w:rsidR="001A20FA" w:rsidRPr="006B3A71">
        <w:rPr>
          <w:color w:val="000000" w:themeColor="text1"/>
        </w:rPr>
        <w:t xml:space="preserve"> person holds an interest of a particular percentage in </w:t>
      </w:r>
      <w:r w:rsidR="00407BD8" w:rsidRPr="006B3A71">
        <w:rPr>
          <w:color w:val="000000" w:themeColor="text1"/>
        </w:rPr>
        <w:t xml:space="preserve">an </w:t>
      </w:r>
      <w:r w:rsidR="001A20FA" w:rsidRPr="006B3A71">
        <w:rPr>
          <w:color w:val="000000" w:themeColor="text1"/>
        </w:rPr>
        <w:t>entity if the person (alone or together with one or more associates) is either in a position to control at least that percentage of the voting power</w:t>
      </w:r>
      <w:r w:rsidR="00407BD8" w:rsidRPr="006B3A71">
        <w:rPr>
          <w:color w:val="000000" w:themeColor="text1"/>
        </w:rPr>
        <w:t xml:space="preserve"> of the entity</w:t>
      </w:r>
      <w:r w:rsidR="001A20FA" w:rsidRPr="006B3A71">
        <w:rPr>
          <w:color w:val="000000" w:themeColor="text1"/>
        </w:rPr>
        <w:t>, or holds interests in at least that percentage of the issued securities in the entity.</w:t>
      </w:r>
      <w:r w:rsidR="00CE4668" w:rsidRPr="006B3A71">
        <w:rPr>
          <w:color w:val="000000" w:themeColor="text1"/>
        </w:rPr>
        <w:t xml:space="preserve"> This concept is analogous to the meaning of </w:t>
      </w:r>
      <w:r w:rsidR="00EE5405" w:rsidRPr="006B3A71">
        <w:rPr>
          <w:color w:val="000000" w:themeColor="text1"/>
        </w:rPr>
        <w:t xml:space="preserve">a person’s </w:t>
      </w:r>
      <w:r w:rsidR="00CE4668" w:rsidRPr="006B3A71">
        <w:rPr>
          <w:color w:val="000000" w:themeColor="text1"/>
        </w:rPr>
        <w:t>interest of a specified percentage in an entity</w:t>
      </w:r>
      <w:r w:rsidR="001C422A" w:rsidRPr="006B3A71">
        <w:rPr>
          <w:color w:val="000000" w:themeColor="text1"/>
        </w:rPr>
        <w:t xml:space="preserve"> as outlined</w:t>
      </w:r>
      <w:r w:rsidR="00CE4668" w:rsidRPr="006B3A71">
        <w:rPr>
          <w:color w:val="000000" w:themeColor="text1"/>
        </w:rPr>
        <w:t xml:space="preserve"> in subsection</w:t>
      </w:r>
      <w:r w:rsidR="00B6291A" w:rsidRPr="006B3A71">
        <w:rPr>
          <w:color w:val="000000" w:themeColor="text1"/>
        </w:rPr>
        <w:t> </w:t>
      </w:r>
      <w:r w:rsidR="00CE4668" w:rsidRPr="006B3A71">
        <w:rPr>
          <w:color w:val="000000" w:themeColor="text1"/>
        </w:rPr>
        <w:t>17(1) of the Act.</w:t>
      </w:r>
      <w:r w:rsidR="006F75F0" w:rsidRPr="006B3A71">
        <w:rPr>
          <w:color w:val="000000" w:themeColor="text1"/>
        </w:rPr>
        <w:t xml:space="preserve"> This percentage is the </w:t>
      </w:r>
      <w:r w:rsidR="00FC3E09" w:rsidRPr="006B3A71">
        <w:rPr>
          <w:color w:val="000000" w:themeColor="text1"/>
        </w:rPr>
        <w:t>‘</w:t>
      </w:r>
      <w:r w:rsidR="006F75F0" w:rsidRPr="006B3A71">
        <w:rPr>
          <w:color w:val="000000" w:themeColor="text1"/>
        </w:rPr>
        <w:t>allowable percentage</w:t>
      </w:r>
      <w:r w:rsidR="00FC3E09" w:rsidRPr="006B3A71">
        <w:rPr>
          <w:color w:val="000000" w:themeColor="text1"/>
        </w:rPr>
        <w:t>’</w:t>
      </w:r>
      <w:r w:rsidR="006F75F0" w:rsidRPr="006B3A71">
        <w:rPr>
          <w:color w:val="000000" w:themeColor="text1"/>
        </w:rPr>
        <w:t>.</w:t>
      </w:r>
    </w:p>
    <w:p w14:paraId="4101063B" w14:textId="5F58E172" w:rsidR="006F75F0" w:rsidRPr="006B3A71" w:rsidRDefault="006F75F0" w:rsidP="00000525">
      <w:pPr>
        <w:spacing w:before="0" w:after="0"/>
        <w:rPr>
          <w:color w:val="000000" w:themeColor="text1"/>
        </w:rPr>
      </w:pPr>
    </w:p>
    <w:p w14:paraId="2CF74D23" w14:textId="6E14C54D" w:rsidR="00DE7C4B" w:rsidRPr="006B3A71" w:rsidRDefault="00107EAD" w:rsidP="00000525">
      <w:pPr>
        <w:spacing w:before="0" w:after="0"/>
        <w:rPr>
          <w:color w:val="000000" w:themeColor="text1"/>
        </w:rPr>
      </w:pPr>
      <w:r w:rsidRPr="006B3A71">
        <w:rPr>
          <w:color w:val="000000" w:themeColor="text1"/>
        </w:rPr>
        <w:t>Secondly</w:t>
      </w:r>
      <w:r w:rsidR="0010591A" w:rsidRPr="006B3A71">
        <w:rPr>
          <w:color w:val="000000" w:themeColor="text1"/>
        </w:rPr>
        <w:t>,</w:t>
      </w:r>
      <w:r w:rsidR="00F6201D" w:rsidRPr="006B3A71">
        <w:rPr>
          <w:color w:val="000000" w:themeColor="text1"/>
        </w:rPr>
        <w:t xml:space="preserve"> under subparagraph 41(2)(c)(ii)</w:t>
      </w:r>
      <w:r w:rsidRPr="006B3A71">
        <w:rPr>
          <w:color w:val="000000" w:themeColor="text1"/>
        </w:rPr>
        <w:t>, t</w:t>
      </w:r>
      <w:r w:rsidR="006F75F0" w:rsidRPr="006B3A71">
        <w:rPr>
          <w:color w:val="000000" w:themeColor="text1"/>
        </w:rPr>
        <w:t xml:space="preserve">he </w:t>
      </w:r>
      <w:r w:rsidR="00FC3E09" w:rsidRPr="006B3A71">
        <w:rPr>
          <w:color w:val="000000" w:themeColor="text1"/>
        </w:rPr>
        <w:t xml:space="preserve">person’s </w:t>
      </w:r>
      <w:r w:rsidR="006F75F0" w:rsidRPr="006B3A71">
        <w:rPr>
          <w:color w:val="000000" w:themeColor="text1"/>
        </w:rPr>
        <w:t xml:space="preserve">acquisition </w:t>
      </w:r>
      <w:r w:rsidRPr="006B3A71">
        <w:rPr>
          <w:color w:val="000000" w:themeColor="text1"/>
        </w:rPr>
        <w:t>was</w:t>
      </w:r>
      <w:r w:rsidR="006F75F0" w:rsidRPr="006B3A71">
        <w:rPr>
          <w:color w:val="000000" w:themeColor="text1"/>
        </w:rPr>
        <w:t xml:space="preserve"> </w:t>
      </w:r>
      <w:r w:rsidR="00C7707D" w:rsidRPr="006B3A71">
        <w:rPr>
          <w:color w:val="000000" w:themeColor="text1"/>
        </w:rPr>
        <w:t>of</w:t>
      </w:r>
      <w:r w:rsidR="006F75F0" w:rsidRPr="006B3A71">
        <w:rPr>
          <w:color w:val="000000" w:themeColor="text1"/>
        </w:rPr>
        <w:t xml:space="preserve"> additional </w:t>
      </w:r>
      <w:r w:rsidRPr="006B3A71">
        <w:rPr>
          <w:color w:val="000000" w:themeColor="text1"/>
        </w:rPr>
        <w:t>interest</w:t>
      </w:r>
      <w:r w:rsidR="00A9519A" w:rsidRPr="006B3A71">
        <w:rPr>
          <w:color w:val="000000" w:themeColor="text1"/>
        </w:rPr>
        <w:t>s</w:t>
      </w:r>
      <w:r w:rsidR="009D5783" w:rsidRPr="006B3A71">
        <w:rPr>
          <w:color w:val="000000" w:themeColor="text1"/>
        </w:rPr>
        <w:t xml:space="preserve"> </w:t>
      </w:r>
      <w:r w:rsidR="006F75F0" w:rsidRPr="006B3A71">
        <w:rPr>
          <w:color w:val="000000" w:themeColor="text1"/>
        </w:rPr>
        <w:t xml:space="preserve">only available to existing interest holders </w:t>
      </w:r>
      <w:r w:rsidR="00C7707D" w:rsidRPr="006B3A71">
        <w:rPr>
          <w:color w:val="000000" w:themeColor="text1"/>
        </w:rPr>
        <w:t xml:space="preserve">at </w:t>
      </w:r>
      <w:r w:rsidR="006F75F0" w:rsidRPr="006B3A71">
        <w:rPr>
          <w:color w:val="000000" w:themeColor="text1"/>
        </w:rPr>
        <w:t>their</w:t>
      </w:r>
      <w:r w:rsidR="004754FF" w:rsidRPr="006B3A71">
        <w:rPr>
          <w:color w:val="000000" w:themeColor="text1"/>
        </w:rPr>
        <w:t xml:space="preserve"> respective</w:t>
      </w:r>
      <w:r w:rsidR="006F75F0" w:rsidRPr="006B3A71">
        <w:rPr>
          <w:color w:val="000000" w:themeColor="text1"/>
        </w:rPr>
        <w:t xml:space="preserve"> allowable percentage</w:t>
      </w:r>
      <w:r w:rsidRPr="006B3A71">
        <w:rPr>
          <w:color w:val="000000" w:themeColor="text1"/>
        </w:rPr>
        <w:t>s</w:t>
      </w:r>
      <w:r w:rsidR="006F75F0" w:rsidRPr="006B3A71">
        <w:rPr>
          <w:color w:val="000000" w:themeColor="text1"/>
        </w:rPr>
        <w:t xml:space="preserve">. </w:t>
      </w:r>
      <w:r w:rsidR="00310839" w:rsidRPr="006B3A71">
        <w:rPr>
          <w:color w:val="000000" w:themeColor="text1"/>
        </w:rPr>
        <w:t>These circumstance</w:t>
      </w:r>
      <w:r w:rsidR="00826DF1" w:rsidRPr="006B3A71">
        <w:rPr>
          <w:color w:val="000000" w:themeColor="text1"/>
        </w:rPr>
        <w:t>s</w:t>
      </w:r>
      <w:r w:rsidR="00310839" w:rsidRPr="006B3A71">
        <w:rPr>
          <w:color w:val="000000" w:themeColor="text1"/>
        </w:rPr>
        <w:t xml:space="preserve"> include subscription agreements where the existing interest holders are offered the opportunity to contribute capital at the same proportions as their existing interest holding or capital calls where they are required to do so.</w:t>
      </w:r>
    </w:p>
    <w:p w14:paraId="30B7B3EC" w14:textId="77777777" w:rsidR="00310839" w:rsidRPr="006B3A71" w:rsidRDefault="00310839" w:rsidP="00000525">
      <w:pPr>
        <w:spacing w:before="0" w:after="0"/>
        <w:rPr>
          <w:color w:val="000000" w:themeColor="text1"/>
        </w:rPr>
      </w:pPr>
    </w:p>
    <w:p w14:paraId="4C6094E4" w14:textId="2DE1FA49" w:rsidR="00EE789B" w:rsidRPr="006B3A71" w:rsidRDefault="005D79A5" w:rsidP="00000525">
      <w:pPr>
        <w:spacing w:before="0" w:after="0"/>
      </w:pPr>
      <w:r w:rsidRPr="006B3A71">
        <w:t>Thirdly</w:t>
      </w:r>
      <w:r w:rsidR="0010591A" w:rsidRPr="006B3A71">
        <w:t>,</w:t>
      </w:r>
      <w:r w:rsidR="00F6201D" w:rsidRPr="006B3A71">
        <w:rPr>
          <w:color w:val="000000" w:themeColor="text1"/>
        </w:rPr>
        <w:t xml:space="preserve"> under subparagraph 41(2)(c)(iii)</w:t>
      </w:r>
      <w:r w:rsidR="006F75F0" w:rsidRPr="006B3A71">
        <w:t xml:space="preserve">, the </w:t>
      </w:r>
      <w:r w:rsidR="00B127EA" w:rsidRPr="006B3A71">
        <w:t xml:space="preserve">portion </w:t>
      </w:r>
      <w:r w:rsidR="006F75F0" w:rsidRPr="006B3A71">
        <w:t xml:space="preserve">of </w:t>
      </w:r>
      <w:r w:rsidR="002F004E" w:rsidRPr="006B3A71">
        <w:t xml:space="preserve">additional </w:t>
      </w:r>
      <w:r w:rsidR="006F75F0" w:rsidRPr="006B3A71">
        <w:t xml:space="preserve">interest acquired </w:t>
      </w:r>
      <w:r w:rsidR="00C7707D" w:rsidRPr="006B3A71">
        <w:t>by the person</w:t>
      </w:r>
      <w:r w:rsidR="00B127EA" w:rsidRPr="006B3A71">
        <w:t xml:space="preserve"> (and their associates)</w:t>
      </w:r>
      <w:r w:rsidR="006F75F0" w:rsidRPr="006B3A71">
        <w:t xml:space="preserve"> </w:t>
      </w:r>
      <w:r w:rsidR="00595520" w:rsidRPr="006B3A71">
        <w:t xml:space="preserve">when compared against the total amount of </w:t>
      </w:r>
      <w:r w:rsidR="00595520" w:rsidRPr="006B3A71">
        <w:lastRenderedPageBreak/>
        <w:t xml:space="preserve">additional interest available for acquisition by all existing interest holders </w:t>
      </w:r>
      <w:r w:rsidR="006F75F0" w:rsidRPr="006B3A71">
        <w:t xml:space="preserve">must not exceed </w:t>
      </w:r>
      <w:r w:rsidR="00B127EA" w:rsidRPr="006B3A71">
        <w:t xml:space="preserve">the person’s </w:t>
      </w:r>
      <w:r w:rsidR="006F75F0" w:rsidRPr="006B3A71">
        <w:t>allowable percentage.</w:t>
      </w:r>
      <w:r w:rsidR="002F004E" w:rsidRPr="006B3A71">
        <w:t xml:space="preserve"> </w:t>
      </w:r>
      <w:r w:rsidR="00595520" w:rsidRPr="006B3A71">
        <w:t xml:space="preserve">Under this provision, </w:t>
      </w:r>
      <w:r w:rsidR="00416C6B" w:rsidRPr="006B3A71">
        <w:t>‘those</w:t>
      </w:r>
      <w:r w:rsidR="00832FC4" w:rsidRPr="006B3A71">
        <w:t> </w:t>
      </w:r>
      <w:r w:rsidR="00FA308C" w:rsidRPr="006B3A71">
        <w:t>additional interests</w:t>
      </w:r>
      <w:r w:rsidR="00416C6B" w:rsidRPr="006B3A71">
        <w:t>’</w:t>
      </w:r>
      <w:r w:rsidR="00FA308C" w:rsidRPr="006B3A71">
        <w:t xml:space="preserve"> </w:t>
      </w:r>
      <w:r w:rsidR="00416C6B" w:rsidRPr="006B3A71">
        <w:t>refers to the amount of additional interest</w:t>
      </w:r>
      <w:r w:rsidR="009A2260" w:rsidRPr="006B3A71">
        <w:t>s</w:t>
      </w:r>
      <w:r w:rsidR="00416C6B" w:rsidRPr="006B3A71">
        <w:t xml:space="preserve"> </w:t>
      </w:r>
      <w:r w:rsidR="00FA308C" w:rsidRPr="006B3A71">
        <w:t xml:space="preserve">available for acquisition </w:t>
      </w:r>
      <w:r w:rsidR="00A9519A" w:rsidRPr="006B3A71">
        <w:t xml:space="preserve">by all existing interest holders </w:t>
      </w:r>
      <w:r w:rsidR="00416C6B" w:rsidRPr="006B3A71">
        <w:t xml:space="preserve">as mentioned in subparagraph 41(c)(ii). </w:t>
      </w:r>
      <w:r w:rsidR="00FA308C" w:rsidRPr="006B3A71">
        <w:t xml:space="preserve">This </w:t>
      </w:r>
      <w:r w:rsidR="00FC48FC" w:rsidRPr="006B3A71">
        <w:t xml:space="preserve">is also made clear </w:t>
      </w:r>
      <w:r w:rsidR="00FA308C" w:rsidRPr="006B3A71">
        <w:t>in Note 3 to paragraph</w:t>
      </w:r>
      <w:r w:rsidR="00595520" w:rsidRPr="006B3A71">
        <w:t> </w:t>
      </w:r>
      <w:r w:rsidR="00FA308C" w:rsidRPr="006B3A71">
        <w:t xml:space="preserve">41(2)(c). </w:t>
      </w:r>
    </w:p>
    <w:p w14:paraId="7EC2D0C8" w14:textId="12D08F9B" w:rsidR="00B537E3" w:rsidRPr="006B3A71" w:rsidRDefault="00B537E3" w:rsidP="00000525">
      <w:pPr>
        <w:spacing w:before="0" w:after="0"/>
      </w:pPr>
    </w:p>
    <w:p w14:paraId="6621E607" w14:textId="4DB54C8F" w:rsidR="00B537E3" w:rsidRPr="006B3A71" w:rsidRDefault="00B537E3" w:rsidP="00000525">
      <w:pPr>
        <w:spacing w:before="0" w:after="0"/>
      </w:pPr>
      <w:r w:rsidRPr="006B3A71">
        <w:t xml:space="preserve">For example, an existing foreign investor who holds a 25 per cent interest in an entity must not acquire more than 25 per cent of the total amount of interests available to all existing investors under </w:t>
      </w:r>
      <w:r w:rsidR="00CF0B26" w:rsidRPr="006B3A71">
        <w:t>a pro-rata capital raising offer of additional shares</w:t>
      </w:r>
      <w:r w:rsidRPr="006B3A71">
        <w:t xml:space="preserve">, regardless of whether or not some investors end up acquiring interests under </w:t>
      </w:r>
      <w:r w:rsidR="00CF0B26" w:rsidRPr="006B3A71">
        <w:t>that offer</w:t>
      </w:r>
      <w:r w:rsidRPr="006B3A71">
        <w:t xml:space="preserve"> (and subject to </w:t>
      </w:r>
      <w:r w:rsidR="00E94115" w:rsidRPr="006B3A71">
        <w:t xml:space="preserve">the application of </w:t>
      </w:r>
      <w:r w:rsidRPr="006B3A71">
        <w:t xml:space="preserve">subparagraph 41(2)(c)(iv) discussed below). </w:t>
      </w:r>
      <w:r w:rsidR="00146C2F" w:rsidRPr="006B3A71">
        <w:t>I</w:t>
      </w:r>
      <w:r w:rsidR="003F2AB0" w:rsidRPr="006B3A71">
        <w:t xml:space="preserve">f 100 additional shares are available to all existing shareholders under the </w:t>
      </w:r>
      <w:r w:rsidR="00CF0B26" w:rsidRPr="006B3A71">
        <w:t>offer</w:t>
      </w:r>
      <w:r w:rsidR="003F2AB0" w:rsidRPr="006B3A71">
        <w:t xml:space="preserve">, </w:t>
      </w:r>
      <w:r w:rsidRPr="006B3A71">
        <w:t xml:space="preserve">subparagraph </w:t>
      </w:r>
      <w:r w:rsidR="003F2AB0" w:rsidRPr="006B3A71">
        <w:t>41(2)(c)(iii) requires that</w:t>
      </w:r>
      <w:r w:rsidRPr="006B3A71">
        <w:t xml:space="preserve"> the foreign investor must not acquire more than 25 of </w:t>
      </w:r>
      <w:r w:rsidR="00E94115" w:rsidRPr="006B3A71">
        <w:t>the 100</w:t>
      </w:r>
      <w:r w:rsidRPr="006B3A71">
        <w:t xml:space="preserve"> additional shares</w:t>
      </w:r>
      <w:r w:rsidR="003F2AB0" w:rsidRPr="006B3A71">
        <w:t xml:space="preserve">. This applies regardless of whether </w:t>
      </w:r>
      <w:r w:rsidRPr="006B3A71">
        <w:t xml:space="preserve">at the end of the </w:t>
      </w:r>
      <w:r w:rsidR="00CF0B26" w:rsidRPr="006B3A71">
        <w:t>offer</w:t>
      </w:r>
      <w:r w:rsidRPr="006B3A71">
        <w:t>, certain other investors did not participate and only a total of 80 additional shares were acquired by all existing shareholders.</w:t>
      </w:r>
    </w:p>
    <w:p w14:paraId="3F46DD6B" w14:textId="77777777" w:rsidR="00146C2F" w:rsidRPr="006B3A71" w:rsidRDefault="00146C2F" w:rsidP="00000525">
      <w:pPr>
        <w:spacing w:before="0" w:after="0"/>
      </w:pPr>
    </w:p>
    <w:p w14:paraId="566EE8FF" w14:textId="3F8EDA9F" w:rsidR="00107EAD" w:rsidRPr="006B3A71" w:rsidRDefault="005D79A5" w:rsidP="00000525">
      <w:pPr>
        <w:spacing w:before="0" w:after="0"/>
        <w:rPr>
          <w:color w:val="000000" w:themeColor="text1"/>
        </w:rPr>
      </w:pPr>
      <w:r w:rsidRPr="006B3A71">
        <w:rPr>
          <w:color w:val="000000" w:themeColor="text1"/>
        </w:rPr>
        <w:t>Finally</w:t>
      </w:r>
      <w:r w:rsidR="004B34D0" w:rsidRPr="006B3A71">
        <w:rPr>
          <w:color w:val="000000" w:themeColor="text1"/>
        </w:rPr>
        <w:t>,</w:t>
      </w:r>
      <w:r w:rsidR="00F6201D" w:rsidRPr="006B3A71">
        <w:rPr>
          <w:color w:val="000000" w:themeColor="text1"/>
        </w:rPr>
        <w:t xml:space="preserve"> under subparagraph 41(2)(c)(iv)</w:t>
      </w:r>
      <w:r w:rsidRPr="006B3A71">
        <w:rPr>
          <w:color w:val="000000" w:themeColor="text1"/>
        </w:rPr>
        <w:t xml:space="preserve">, </w:t>
      </w:r>
      <w:r w:rsidR="00107EAD" w:rsidRPr="006B3A71">
        <w:rPr>
          <w:color w:val="000000" w:themeColor="text1"/>
        </w:rPr>
        <w:t>at the time of acquisition</w:t>
      </w:r>
      <w:r w:rsidR="00F21D0C" w:rsidRPr="006B3A71">
        <w:rPr>
          <w:color w:val="000000" w:themeColor="text1"/>
        </w:rPr>
        <w:t>,</w:t>
      </w:r>
      <w:r w:rsidR="00107EAD" w:rsidRPr="006B3A71">
        <w:rPr>
          <w:color w:val="000000" w:themeColor="text1"/>
        </w:rPr>
        <w:t xml:space="preserve"> the person must have no</w:t>
      </w:r>
      <w:r w:rsidR="00526FC9" w:rsidRPr="006B3A71">
        <w:rPr>
          <w:color w:val="000000" w:themeColor="text1"/>
        </w:rPr>
        <w:t> </w:t>
      </w:r>
      <w:r w:rsidR="00107EAD" w:rsidRPr="006B3A71">
        <w:rPr>
          <w:color w:val="000000" w:themeColor="text1"/>
        </w:rPr>
        <w:t xml:space="preserve">reasonable grounds to believe that their </w:t>
      </w:r>
      <w:r w:rsidR="00D51774" w:rsidRPr="006B3A71">
        <w:rPr>
          <w:color w:val="000000" w:themeColor="text1"/>
        </w:rPr>
        <w:t xml:space="preserve">overall </w:t>
      </w:r>
      <w:r w:rsidR="00107EAD" w:rsidRPr="006B3A71">
        <w:rPr>
          <w:color w:val="000000" w:themeColor="text1"/>
        </w:rPr>
        <w:t xml:space="preserve">proportionate interest holding </w:t>
      </w:r>
      <w:r w:rsidR="00D51774" w:rsidRPr="006B3A71">
        <w:rPr>
          <w:color w:val="000000" w:themeColor="text1"/>
        </w:rPr>
        <w:t xml:space="preserve">at the end of the acquisitions </w:t>
      </w:r>
      <w:r w:rsidR="00C7707D" w:rsidRPr="006B3A71">
        <w:rPr>
          <w:color w:val="000000" w:themeColor="text1"/>
        </w:rPr>
        <w:t xml:space="preserve">would </w:t>
      </w:r>
      <w:r w:rsidR="00107EAD" w:rsidRPr="006B3A71">
        <w:rPr>
          <w:color w:val="000000" w:themeColor="text1"/>
        </w:rPr>
        <w:t>increase as a result of the</w:t>
      </w:r>
      <w:r w:rsidR="00C7707D" w:rsidRPr="006B3A71">
        <w:rPr>
          <w:color w:val="000000" w:themeColor="text1"/>
        </w:rPr>
        <w:t>ir</w:t>
      </w:r>
      <w:r w:rsidR="00107EAD" w:rsidRPr="006B3A71">
        <w:rPr>
          <w:color w:val="000000" w:themeColor="text1"/>
        </w:rPr>
        <w:t xml:space="preserve"> acquisition. Whether or not the person has reasonable grounds to believe that their percentage interest holding in an entity </w:t>
      </w:r>
      <w:r w:rsidR="00C7707D" w:rsidRPr="006B3A71">
        <w:rPr>
          <w:color w:val="000000" w:themeColor="text1"/>
        </w:rPr>
        <w:t xml:space="preserve">would </w:t>
      </w:r>
      <w:r w:rsidR="00107EAD" w:rsidRPr="006B3A71">
        <w:rPr>
          <w:color w:val="000000" w:themeColor="text1"/>
        </w:rPr>
        <w:t>increase as a result of the acquisition is an objective test.</w:t>
      </w:r>
    </w:p>
    <w:p w14:paraId="05549B0E" w14:textId="0353012F" w:rsidR="00CF0B26" w:rsidRPr="006B3A71" w:rsidRDefault="00CF0B26" w:rsidP="00000525">
      <w:pPr>
        <w:pStyle w:val="Bullet"/>
      </w:pPr>
      <w:r w:rsidRPr="006B3A71">
        <w:t>Depending on the circumstances, a person may have reasonable grounds to believe that pursuant to a pro-rata capital raising offer, their proportionate interest holding will increase, and therefore, the exemption would not apply.</w:t>
      </w:r>
      <w:r w:rsidR="00B523BD" w:rsidRPr="006B3A71">
        <w:t xml:space="preserve"> </w:t>
      </w:r>
      <w:r w:rsidRPr="006B3A71">
        <w:t xml:space="preserve">For example, a person may intend to </w:t>
      </w:r>
      <w:r w:rsidR="00A97F17" w:rsidRPr="006B3A71">
        <w:t>acquire more shares under the offer</w:t>
      </w:r>
      <w:r w:rsidRPr="006B3A71">
        <w:t xml:space="preserve"> for additional </w:t>
      </w:r>
      <w:r w:rsidR="00B523BD" w:rsidRPr="006B3A71">
        <w:t>shares</w:t>
      </w:r>
      <w:r w:rsidRPr="006B3A71">
        <w:t xml:space="preserve"> in an entity but has reasonable grounds to believe that their percentage </w:t>
      </w:r>
      <w:r w:rsidR="00B523BD" w:rsidRPr="006B3A71">
        <w:t>share</w:t>
      </w:r>
      <w:r w:rsidRPr="006B3A71">
        <w:t xml:space="preserve">holding would increase post-acquisition. This could be because at the time of the person’s acquisition, the facts suggest that </w:t>
      </w:r>
      <w:r w:rsidR="00A97F17" w:rsidRPr="006B3A71">
        <w:t xml:space="preserve">any </w:t>
      </w:r>
      <w:r w:rsidRPr="006B3A71">
        <w:t xml:space="preserve">number of other </w:t>
      </w:r>
      <w:bookmarkStart w:id="2" w:name="_Hlk96676832"/>
      <w:r w:rsidRPr="006B3A71">
        <w:t>shareholders will not participate in the capital call</w:t>
      </w:r>
      <w:bookmarkEnd w:id="2"/>
      <w:r w:rsidRPr="006B3A71">
        <w:t>.</w:t>
      </w:r>
    </w:p>
    <w:p w14:paraId="77ED606A" w14:textId="7537F5EB" w:rsidR="00107EAD" w:rsidRPr="006B3A71" w:rsidRDefault="00107EAD" w:rsidP="00000525">
      <w:pPr>
        <w:pStyle w:val="Bullet"/>
      </w:pPr>
      <w:r w:rsidRPr="006B3A71">
        <w:rPr>
          <w:color w:val="000000" w:themeColor="text1"/>
        </w:rPr>
        <w:t xml:space="preserve">A </w:t>
      </w:r>
      <w:r w:rsidRPr="006B3A71">
        <w:t>person’s proportionate share or unit holding is generally not expected to increase as a result of a capital call</w:t>
      </w:r>
      <w:r w:rsidR="00C7707D" w:rsidRPr="006B3A71">
        <w:t xml:space="preserve"> (or a comparable pro-rata capital raising </w:t>
      </w:r>
      <w:r w:rsidR="00407BD8" w:rsidRPr="006B3A71">
        <w:t xml:space="preserve">or unit subscription </w:t>
      </w:r>
      <w:r w:rsidR="00C7707D" w:rsidRPr="006B3A71">
        <w:t>event)</w:t>
      </w:r>
      <w:r w:rsidRPr="006B3A71">
        <w:t xml:space="preserve">, where </w:t>
      </w:r>
      <w:r w:rsidR="00C7707D" w:rsidRPr="006B3A71">
        <w:t xml:space="preserve">each </w:t>
      </w:r>
      <w:r w:rsidRPr="006B3A71">
        <w:t>person is required to contribute additional funding to an investment vehicle in their respective ownership proportions.</w:t>
      </w:r>
      <w:r w:rsidR="00A97F17" w:rsidRPr="006B3A71">
        <w:t xml:space="preserve"> Under these circumstances, because each investor has an obligation to contribute additional capital, there are generally no reasonable grounds to believe that another investor would not comply.</w:t>
      </w:r>
    </w:p>
    <w:p w14:paraId="35D6F1DD" w14:textId="77777777" w:rsidR="00E94115" w:rsidRPr="006B3A71" w:rsidRDefault="00E94115" w:rsidP="00000525">
      <w:pPr>
        <w:spacing w:before="0" w:after="0"/>
        <w:rPr>
          <w:color w:val="000000" w:themeColor="text1"/>
        </w:rPr>
      </w:pPr>
    </w:p>
    <w:p w14:paraId="72146339" w14:textId="20D62E92" w:rsidR="006C228D" w:rsidRPr="006B3A71" w:rsidRDefault="00D23B51" w:rsidP="00000525">
      <w:pPr>
        <w:spacing w:before="0" w:after="0"/>
        <w:rPr>
          <w:color w:val="000000" w:themeColor="text1"/>
        </w:rPr>
      </w:pPr>
      <w:r w:rsidRPr="006B3A71">
        <w:rPr>
          <w:color w:val="000000" w:themeColor="text1"/>
        </w:rPr>
        <w:t>A</w:t>
      </w:r>
      <w:r w:rsidR="002C11A9" w:rsidRPr="006B3A71">
        <w:rPr>
          <w:color w:val="000000" w:themeColor="text1"/>
        </w:rPr>
        <w:t xml:space="preserve"> foreign investor may be covered by the exemption even if</w:t>
      </w:r>
      <w:r w:rsidR="00373B5A" w:rsidRPr="006B3A71">
        <w:rPr>
          <w:color w:val="000000" w:themeColor="text1"/>
        </w:rPr>
        <w:t xml:space="preserve"> </w:t>
      </w:r>
      <w:r w:rsidR="00E94115" w:rsidRPr="006B3A71">
        <w:rPr>
          <w:color w:val="000000" w:themeColor="text1"/>
        </w:rPr>
        <w:t>post-</w:t>
      </w:r>
      <w:r w:rsidR="00373B5A" w:rsidRPr="006B3A71">
        <w:rPr>
          <w:color w:val="000000" w:themeColor="text1"/>
        </w:rPr>
        <w:t>acquisition,</w:t>
      </w:r>
      <w:r w:rsidR="002C11A9" w:rsidRPr="006B3A71">
        <w:rPr>
          <w:color w:val="000000" w:themeColor="text1"/>
        </w:rPr>
        <w:t xml:space="preserve"> they </w:t>
      </w:r>
      <w:r w:rsidR="00373B5A" w:rsidRPr="006B3A71">
        <w:rPr>
          <w:color w:val="000000" w:themeColor="text1"/>
        </w:rPr>
        <w:t>have</w:t>
      </w:r>
      <w:r w:rsidR="002C11A9" w:rsidRPr="006B3A71">
        <w:rPr>
          <w:color w:val="000000" w:themeColor="text1"/>
        </w:rPr>
        <w:t xml:space="preserve"> a proportionate</w:t>
      </w:r>
      <w:r w:rsidR="00373B5A" w:rsidRPr="006B3A71">
        <w:rPr>
          <w:color w:val="000000" w:themeColor="text1"/>
        </w:rPr>
        <w:t xml:space="preserve"> interest holding </w:t>
      </w:r>
      <w:r w:rsidR="002C11A9" w:rsidRPr="006B3A71">
        <w:rPr>
          <w:color w:val="000000" w:themeColor="text1"/>
        </w:rPr>
        <w:t>above their allowable percentage</w:t>
      </w:r>
      <w:r w:rsidR="00373B5A" w:rsidRPr="006B3A71">
        <w:rPr>
          <w:color w:val="000000" w:themeColor="text1"/>
        </w:rPr>
        <w:t xml:space="preserve"> </w:t>
      </w:r>
      <w:r w:rsidR="006C228D" w:rsidRPr="006B3A71">
        <w:rPr>
          <w:color w:val="000000" w:themeColor="text1"/>
        </w:rPr>
        <w:t>(</w:t>
      </w:r>
      <w:r w:rsidR="00373B5A" w:rsidRPr="006B3A71">
        <w:rPr>
          <w:color w:val="000000" w:themeColor="text1"/>
        </w:rPr>
        <w:t>prior to the acquisition</w:t>
      </w:r>
      <w:r w:rsidR="006C228D" w:rsidRPr="006B3A71">
        <w:rPr>
          <w:color w:val="000000" w:themeColor="text1"/>
        </w:rPr>
        <w:t>)</w:t>
      </w:r>
      <w:r w:rsidR="00373B5A" w:rsidRPr="006B3A71">
        <w:rPr>
          <w:color w:val="000000" w:themeColor="text1"/>
        </w:rPr>
        <w:t>. In these cases, the exemption may still apply</w:t>
      </w:r>
      <w:r w:rsidR="002C11A9" w:rsidRPr="006B3A71">
        <w:rPr>
          <w:color w:val="000000" w:themeColor="text1"/>
        </w:rPr>
        <w:t xml:space="preserve"> </w:t>
      </w:r>
      <w:r w:rsidR="00373B5A" w:rsidRPr="006B3A71">
        <w:rPr>
          <w:color w:val="000000" w:themeColor="text1"/>
        </w:rPr>
        <w:t>if</w:t>
      </w:r>
      <w:r w:rsidR="002C11A9" w:rsidRPr="006B3A71">
        <w:rPr>
          <w:color w:val="000000" w:themeColor="text1"/>
        </w:rPr>
        <w:t xml:space="preserve"> subparagraph 41(2)(c)(iv) is satisfied</w:t>
      </w:r>
      <w:r w:rsidR="00E94115" w:rsidRPr="006B3A71">
        <w:rPr>
          <w:color w:val="000000" w:themeColor="text1"/>
        </w:rPr>
        <w:t xml:space="preserve"> (at the time of acquisition)</w:t>
      </w:r>
      <w:r w:rsidR="002C11A9" w:rsidRPr="006B3A71">
        <w:rPr>
          <w:color w:val="000000" w:themeColor="text1"/>
        </w:rPr>
        <w:t xml:space="preserve">. </w:t>
      </w:r>
    </w:p>
    <w:p w14:paraId="21389227" w14:textId="77777777" w:rsidR="006C228D" w:rsidRPr="006B3A71" w:rsidRDefault="006C228D" w:rsidP="00000525">
      <w:pPr>
        <w:spacing w:before="0" w:after="0"/>
        <w:rPr>
          <w:color w:val="000000" w:themeColor="text1"/>
        </w:rPr>
      </w:pPr>
    </w:p>
    <w:p w14:paraId="02F1022D" w14:textId="6DD89B12" w:rsidR="000C120E" w:rsidRPr="006B3A71" w:rsidRDefault="00071118" w:rsidP="00000525">
      <w:pPr>
        <w:spacing w:before="0" w:after="0"/>
        <w:rPr>
          <w:color w:val="000000" w:themeColor="text1"/>
        </w:rPr>
      </w:pPr>
      <w:r w:rsidRPr="006B3A71">
        <w:rPr>
          <w:color w:val="000000" w:themeColor="text1"/>
        </w:rPr>
        <w:t>The exemption is not restricted to the above circumstances and is intended to cover transactions that present low risk to Australia’s national interest, including in instances where a</w:t>
      </w:r>
      <w:r w:rsidR="0050274B" w:rsidRPr="006B3A71">
        <w:rPr>
          <w:color w:val="000000" w:themeColor="text1"/>
        </w:rPr>
        <w:t xml:space="preserve"> person’s proportionate share or unit holding </w:t>
      </w:r>
      <w:r w:rsidR="00407BD8" w:rsidRPr="006B3A71">
        <w:rPr>
          <w:color w:val="000000" w:themeColor="text1"/>
        </w:rPr>
        <w:t xml:space="preserve">does </w:t>
      </w:r>
      <w:r w:rsidR="0050274B" w:rsidRPr="006B3A71">
        <w:rPr>
          <w:color w:val="000000" w:themeColor="text1"/>
        </w:rPr>
        <w:t xml:space="preserve">not increase as a result of </w:t>
      </w:r>
      <w:r w:rsidRPr="006B3A71">
        <w:rPr>
          <w:color w:val="000000" w:themeColor="text1"/>
        </w:rPr>
        <w:t>capitalising</w:t>
      </w:r>
      <w:r w:rsidR="0050274B" w:rsidRPr="006B3A71">
        <w:rPr>
          <w:color w:val="000000" w:themeColor="text1"/>
        </w:rPr>
        <w:t xml:space="preserve"> a wholly</w:t>
      </w:r>
      <w:r w:rsidR="00955C20" w:rsidRPr="006B3A71">
        <w:rPr>
          <w:color w:val="000000" w:themeColor="text1"/>
        </w:rPr>
        <w:t>-</w:t>
      </w:r>
      <w:r w:rsidR="0050274B" w:rsidRPr="006B3A71">
        <w:rPr>
          <w:color w:val="000000" w:themeColor="text1"/>
        </w:rPr>
        <w:t>owned subsidiary. T</w:t>
      </w:r>
      <w:r w:rsidR="000C120E" w:rsidRPr="006B3A71">
        <w:rPr>
          <w:color w:val="000000" w:themeColor="text1"/>
        </w:rPr>
        <w:t>h</w:t>
      </w:r>
      <w:r w:rsidR="003E540E" w:rsidRPr="006B3A71">
        <w:rPr>
          <w:color w:val="000000" w:themeColor="text1"/>
        </w:rPr>
        <w:t>is is because the</w:t>
      </w:r>
      <w:r w:rsidR="000C120E" w:rsidRPr="006B3A71">
        <w:rPr>
          <w:color w:val="000000" w:themeColor="text1"/>
        </w:rPr>
        <w:t xml:space="preserve"> </w:t>
      </w:r>
      <w:r w:rsidR="00C37B59" w:rsidRPr="006B3A71">
        <w:rPr>
          <w:color w:val="000000" w:themeColor="text1"/>
        </w:rPr>
        <w:t>immediate</w:t>
      </w:r>
      <w:r w:rsidR="000C120E" w:rsidRPr="006B3A71">
        <w:rPr>
          <w:color w:val="000000" w:themeColor="text1"/>
        </w:rPr>
        <w:t xml:space="preserve"> owner’s </w:t>
      </w:r>
      <w:r w:rsidR="005522D8" w:rsidRPr="006B3A71">
        <w:rPr>
          <w:color w:val="000000" w:themeColor="text1"/>
        </w:rPr>
        <w:t>allowable</w:t>
      </w:r>
      <w:r w:rsidR="000C120E" w:rsidRPr="006B3A71">
        <w:rPr>
          <w:color w:val="000000" w:themeColor="text1"/>
        </w:rPr>
        <w:t xml:space="preserve"> percentage </w:t>
      </w:r>
      <w:r w:rsidRPr="006B3A71">
        <w:rPr>
          <w:color w:val="000000" w:themeColor="text1"/>
        </w:rPr>
        <w:t xml:space="preserve">would </w:t>
      </w:r>
      <w:r w:rsidR="003E540E" w:rsidRPr="006B3A71">
        <w:rPr>
          <w:color w:val="000000" w:themeColor="text1"/>
        </w:rPr>
        <w:t>not change</w:t>
      </w:r>
      <w:r w:rsidR="000C120E" w:rsidRPr="006B3A71">
        <w:rPr>
          <w:color w:val="000000" w:themeColor="text1"/>
        </w:rPr>
        <w:t xml:space="preserve"> as a result of the person’s acquisition</w:t>
      </w:r>
      <w:r w:rsidR="0050274B" w:rsidRPr="006B3A71">
        <w:rPr>
          <w:color w:val="000000" w:themeColor="text1"/>
        </w:rPr>
        <w:t xml:space="preserve"> </w:t>
      </w:r>
      <w:r w:rsidR="005522D8" w:rsidRPr="006B3A71">
        <w:rPr>
          <w:color w:val="000000" w:themeColor="text1"/>
        </w:rPr>
        <w:lastRenderedPageBreak/>
        <w:t>of</w:t>
      </w:r>
      <w:r w:rsidR="00407BD8" w:rsidRPr="006B3A71">
        <w:rPr>
          <w:color w:val="000000" w:themeColor="text1"/>
        </w:rPr>
        <w:t xml:space="preserve"> an</w:t>
      </w:r>
      <w:r w:rsidR="005522D8" w:rsidRPr="006B3A71">
        <w:rPr>
          <w:color w:val="000000" w:themeColor="text1"/>
        </w:rPr>
        <w:t xml:space="preserve"> additional interest </w:t>
      </w:r>
      <w:r w:rsidR="005469BE" w:rsidRPr="006B3A71">
        <w:rPr>
          <w:color w:val="000000" w:themeColor="text1"/>
        </w:rPr>
        <w:t xml:space="preserve">in </w:t>
      </w:r>
      <w:r w:rsidR="000903E2" w:rsidRPr="006B3A71">
        <w:rPr>
          <w:color w:val="000000" w:themeColor="text1"/>
        </w:rPr>
        <w:t>the</w:t>
      </w:r>
      <w:r w:rsidR="003E540E" w:rsidRPr="006B3A71">
        <w:rPr>
          <w:color w:val="000000" w:themeColor="text1"/>
        </w:rPr>
        <w:t xml:space="preserve"> wholly</w:t>
      </w:r>
      <w:r w:rsidR="00955C20" w:rsidRPr="006B3A71">
        <w:rPr>
          <w:color w:val="000000" w:themeColor="text1"/>
        </w:rPr>
        <w:t>-</w:t>
      </w:r>
      <w:r w:rsidR="003E540E" w:rsidRPr="006B3A71">
        <w:rPr>
          <w:color w:val="000000" w:themeColor="text1"/>
        </w:rPr>
        <w:t xml:space="preserve">owned subsidiary </w:t>
      </w:r>
      <w:r w:rsidR="0050274B" w:rsidRPr="006B3A71">
        <w:rPr>
          <w:color w:val="000000" w:themeColor="text1"/>
        </w:rPr>
        <w:t>(it remains at 100</w:t>
      </w:r>
      <w:r w:rsidR="000903E2" w:rsidRPr="006B3A71">
        <w:rPr>
          <w:color w:val="000000" w:themeColor="text1"/>
        </w:rPr>
        <w:t> </w:t>
      </w:r>
      <w:r w:rsidR="0050274B" w:rsidRPr="006B3A71">
        <w:rPr>
          <w:color w:val="000000" w:themeColor="text1"/>
        </w:rPr>
        <w:t>per</w:t>
      </w:r>
      <w:r w:rsidR="000903E2" w:rsidRPr="006B3A71">
        <w:rPr>
          <w:color w:val="000000" w:themeColor="text1"/>
        </w:rPr>
        <w:t> </w:t>
      </w:r>
      <w:r w:rsidR="0050274B" w:rsidRPr="006B3A71">
        <w:rPr>
          <w:color w:val="000000" w:themeColor="text1"/>
        </w:rPr>
        <w:t>cent)</w:t>
      </w:r>
      <w:r w:rsidR="000C120E" w:rsidRPr="006B3A71">
        <w:rPr>
          <w:color w:val="000000" w:themeColor="text1"/>
        </w:rPr>
        <w:t xml:space="preserve">. </w:t>
      </w:r>
      <w:r w:rsidR="0050274B" w:rsidRPr="006B3A71">
        <w:rPr>
          <w:color w:val="000000" w:themeColor="text1"/>
        </w:rPr>
        <w:t xml:space="preserve">The amendments ensure that </w:t>
      </w:r>
      <w:r w:rsidR="001E43D4" w:rsidRPr="006B3A71">
        <w:rPr>
          <w:color w:val="000000" w:themeColor="text1"/>
        </w:rPr>
        <w:t xml:space="preserve">in these circumstances, </w:t>
      </w:r>
      <w:r w:rsidR="005522D8" w:rsidRPr="006B3A71">
        <w:rPr>
          <w:color w:val="000000" w:themeColor="text1"/>
        </w:rPr>
        <w:t xml:space="preserve">the exemption </w:t>
      </w:r>
      <w:r w:rsidRPr="006B3A71">
        <w:rPr>
          <w:color w:val="000000" w:themeColor="text1"/>
        </w:rPr>
        <w:t xml:space="preserve">from </w:t>
      </w:r>
      <w:r w:rsidR="00624273" w:rsidRPr="006B3A71">
        <w:rPr>
          <w:color w:val="000000" w:themeColor="text1"/>
        </w:rPr>
        <w:t xml:space="preserve">the </w:t>
      </w:r>
      <w:r w:rsidRPr="006B3A71">
        <w:rPr>
          <w:color w:val="000000" w:themeColor="text1"/>
        </w:rPr>
        <w:t xml:space="preserve">notifiable </w:t>
      </w:r>
      <w:r w:rsidR="005B3C96" w:rsidRPr="006B3A71">
        <w:rPr>
          <w:color w:val="000000" w:themeColor="text1"/>
        </w:rPr>
        <w:t xml:space="preserve">action </w:t>
      </w:r>
      <w:r w:rsidRPr="006B3A71">
        <w:rPr>
          <w:color w:val="000000" w:themeColor="text1"/>
        </w:rPr>
        <w:t xml:space="preserve">provisions </w:t>
      </w:r>
      <w:r w:rsidR="00624273" w:rsidRPr="006B3A71">
        <w:rPr>
          <w:color w:val="000000" w:themeColor="text1"/>
        </w:rPr>
        <w:t xml:space="preserve">of </w:t>
      </w:r>
      <w:r w:rsidRPr="006B3A71">
        <w:rPr>
          <w:color w:val="000000" w:themeColor="text1"/>
        </w:rPr>
        <w:t xml:space="preserve">the Act </w:t>
      </w:r>
      <w:r w:rsidR="005522D8" w:rsidRPr="006B3A71">
        <w:rPr>
          <w:color w:val="000000" w:themeColor="text1"/>
        </w:rPr>
        <w:t>applies</w:t>
      </w:r>
      <w:r w:rsidR="00280286" w:rsidRPr="006B3A71">
        <w:rPr>
          <w:color w:val="000000" w:themeColor="text1"/>
        </w:rPr>
        <w:t>.</w:t>
      </w:r>
    </w:p>
    <w:p w14:paraId="125B5414" w14:textId="77777777" w:rsidR="00BC4B6E" w:rsidRPr="006B3A71" w:rsidRDefault="00BC4B6E" w:rsidP="00000525">
      <w:pPr>
        <w:spacing w:before="0" w:after="0"/>
        <w:rPr>
          <w:color w:val="000000" w:themeColor="text1"/>
        </w:rPr>
      </w:pPr>
    </w:p>
    <w:p w14:paraId="53676D06" w14:textId="579C8404" w:rsidR="005E4B0F" w:rsidRPr="006B3A71" w:rsidRDefault="005E4B0F" w:rsidP="00000525">
      <w:pPr>
        <w:spacing w:before="0" w:after="0"/>
        <w:rPr>
          <w:b/>
          <w:bCs/>
          <w:color w:val="000000" w:themeColor="text1"/>
        </w:rPr>
      </w:pPr>
      <w:r w:rsidRPr="006B3A71">
        <w:rPr>
          <w:b/>
          <w:bCs/>
          <w:color w:val="000000" w:themeColor="text1"/>
        </w:rPr>
        <w:t>Example</w:t>
      </w:r>
      <w:r w:rsidR="001C7848" w:rsidRPr="006B3A71">
        <w:rPr>
          <w:b/>
          <w:bCs/>
          <w:color w:val="000000" w:themeColor="text1"/>
        </w:rPr>
        <w:t xml:space="preserve"> </w:t>
      </w:r>
      <w:r w:rsidR="00E94115" w:rsidRPr="006B3A71">
        <w:rPr>
          <w:b/>
          <w:bCs/>
          <w:color w:val="000000" w:themeColor="text1"/>
        </w:rPr>
        <w:t>1</w:t>
      </w:r>
      <w:r w:rsidR="00B537E3" w:rsidRPr="006B3A71">
        <w:rPr>
          <w:b/>
          <w:bCs/>
          <w:color w:val="000000" w:themeColor="text1"/>
        </w:rPr>
        <w:t xml:space="preserve"> – No increase in proportionate interest holding</w:t>
      </w:r>
    </w:p>
    <w:p w14:paraId="640C5390" w14:textId="33FB6CFD" w:rsidR="005E4B0F" w:rsidRPr="006B3A71" w:rsidRDefault="005E4B0F" w:rsidP="00000525">
      <w:pPr>
        <w:spacing w:before="0" w:after="0"/>
        <w:rPr>
          <w:color w:val="000000" w:themeColor="text1"/>
        </w:rPr>
      </w:pPr>
    </w:p>
    <w:p w14:paraId="0E7F4676" w14:textId="00BBE5F7" w:rsidR="00C729E8" w:rsidRPr="006B3A71" w:rsidRDefault="0095341C" w:rsidP="00000525">
      <w:pPr>
        <w:spacing w:before="0" w:after="0"/>
        <w:ind w:left="720"/>
        <w:rPr>
          <w:color w:val="000000" w:themeColor="text1"/>
        </w:rPr>
      </w:pPr>
      <w:r w:rsidRPr="006B3A71">
        <w:rPr>
          <w:color w:val="000000" w:themeColor="text1"/>
        </w:rPr>
        <w:t xml:space="preserve">Foreign persons </w:t>
      </w:r>
      <w:r w:rsidR="001E43D4" w:rsidRPr="006B3A71">
        <w:rPr>
          <w:color w:val="000000" w:themeColor="text1"/>
        </w:rPr>
        <w:t>X</w:t>
      </w:r>
      <w:r w:rsidR="001C7848" w:rsidRPr="006B3A71">
        <w:rPr>
          <w:color w:val="000000" w:themeColor="text1"/>
        </w:rPr>
        <w:t xml:space="preserve">, </w:t>
      </w:r>
      <w:r w:rsidR="001E43D4" w:rsidRPr="006B3A71">
        <w:rPr>
          <w:color w:val="000000" w:themeColor="text1"/>
        </w:rPr>
        <w:t>Y</w:t>
      </w:r>
      <w:r w:rsidRPr="006B3A71">
        <w:rPr>
          <w:color w:val="000000" w:themeColor="text1"/>
        </w:rPr>
        <w:t xml:space="preserve"> and </w:t>
      </w:r>
      <w:r w:rsidR="001E43D4" w:rsidRPr="006B3A71">
        <w:rPr>
          <w:color w:val="000000" w:themeColor="text1"/>
        </w:rPr>
        <w:t>Z</w:t>
      </w:r>
      <w:r w:rsidRPr="006B3A71">
        <w:rPr>
          <w:color w:val="000000" w:themeColor="text1"/>
        </w:rPr>
        <w:t xml:space="preserve"> </w:t>
      </w:r>
      <w:r w:rsidR="00DE7C4B" w:rsidRPr="006B3A71">
        <w:rPr>
          <w:color w:val="000000" w:themeColor="text1"/>
        </w:rPr>
        <w:t xml:space="preserve">are participating in a capital call and </w:t>
      </w:r>
      <w:r w:rsidR="0056042C" w:rsidRPr="006B3A71">
        <w:rPr>
          <w:color w:val="000000" w:themeColor="text1"/>
        </w:rPr>
        <w:t>will</w:t>
      </w:r>
      <w:r w:rsidRPr="006B3A71">
        <w:rPr>
          <w:color w:val="000000" w:themeColor="text1"/>
        </w:rPr>
        <w:t xml:space="preserve"> contribute additional funding to an investment vehicle </w:t>
      </w:r>
      <w:r w:rsidR="00DE7C4B" w:rsidRPr="006B3A71">
        <w:rPr>
          <w:color w:val="000000" w:themeColor="text1"/>
        </w:rPr>
        <w:t>for additional interest in the entity</w:t>
      </w:r>
      <w:r w:rsidRPr="006B3A71">
        <w:rPr>
          <w:color w:val="000000" w:themeColor="text1"/>
        </w:rPr>
        <w:t xml:space="preserve">. </w:t>
      </w:r>
    </w:p>
    <w:p w14:paraId="4371EB47" w14:textId="77777777" w:rsidR="006C228D" w:rsidRPr="006B3A71" w:rsidRDefault="006C228D" w:rsidP="00000525">
      <w:pPr>
        <w:spacing w:before="0" w:after="0"/>
        <w:ind w:left="720"/>
        <w:rPr>
          <w:color w:val="000000" w:themeColor="text1"/>
        </w:rPr>
      </w:pPr>
    </w:p>
    <w:p w14:paraId="4B94A367" w14:textId="50DAAFF6" w:rsidR="00C729E8" w:rsidRPr="006B3A71" w:rsidRDefault="0095341C" w:rsidP="00000525">
      <w:pPr>
        <w:spacing w:before="0" w:after="0"/>
        <w:ind w:left="720"/>
        <w:rPr>
          <w:color w:val="000000" w:themeColor="text1"/>
        </w:rPr>
      </w:pPr>
      <w:r w:rsidRPr="006B3A71">
        <w:rPr>
          <w:color w:val="000000" w:themeColor="text1"/>
        </w:rPr>
        <w:t xml:space="preserve">Foreign persons </w:t>
      </w:r>
      <w:r w:rsidR="001E43D4" w:rsidRPr="006B3A71">
        <w:rPr>
          <w:color w:val="000000" w:themeColor="text1"/>
        </w:rPr>
        <w:t>X</w:t>
      </w:r>
      <w:r w:rsidR="001C7848" w:rsidRPr="006B3A71">
        <w:rPr>
          <w:color w:val="000000" w:themeColor="text1"/>
        </w:rPr>
        <w:t xml:space="preserve">, </w:t>
      </w:r>
      <w:r w:rsidR="001E43D4" w:rsidRPr="006B3A71">
        <w:rPr>
          <w:color w:val="000000" w:themeColor="text1"/>
        </w:rPr>
        <w:t>Y</w:t>
      </w:r>
      <w:r w:rsidR="001C7848" w:rsidRPr="006B3A71">
        <w:rPr>
          <w:color w:val="000000" w:themeColor="text1"/>
        </w:rPr>
        <w:t xml:space="preserve"> and </w:t>
      </w:r>
      <w:r w:rsidR="001E43D4" w:rsidRPr="006B3A71">
        <w:rPr>
          <w:color w:val="000000" w:themeColor="text1"/>
        </w:rPr>
        <w:t>Z</w:t>
      </w:r>
      <w:r w:rsidRPr="006B3A71">
        <w:rPr>
          <w:color w:val="000000" w:themeColor="text1"/>
        </w:rPr>
        <w:t xml:space="preserve"> are the only investors that have provide</w:t>
      </w:r>
      <w:r w:rsidR="00A16EDB" w:rsidRPr="006B3A71">
        <w:rPr>
          <w:color w:val="000000" w:themeColor="text1"/>
        </w:rPr>
        <w:t>d</w:t>
      </w:r>
      <w:r w:rsidRPr="006B3A71">
        <w:rPr>
          <w:color w:val="000000" w:themeColor="text1"/>
        </w:rPr>
        <w:t xml:space="preserve"> funding to the investment vehicle to date</w:t>
      </w:r>
      <w:r w:rsidR="00DE7C4B" w:rsidRPr="006B3A71">
        <w:rPr>
          <w:color w:val="000000" w:themeColor="text1"/>
        </w:rPr>
        <w:t xml:space="preserve"> and each foreign investor works out their allowable percentage based on the percentage of shareholding prior to the capital call</w:t>
      </w:r>
      <w:r w:rsidRPr="006B3A71">
        <w:rPr>
          <w:color w:val="000000" w:themeColor="text1"/>
        </w:rPr>
        <w:t xml:space="preserve">. </w:t>
      </w:r>
    </w:p>
    <w:p w14:paraId="60FD5957" w14:textId="77777777" w:rsidR="00C729E8" w:rsidRPr="006B3A71" w:rsidRDefault="00C729E8" w:rsidP="00000525">
      <w:pPr>
        <w:spacing w:before="0" w:after="0"/>
        <w:ind w:left="720"/>
        <w:rPr>
          <w:color w:val="000000" w:themeColor="text1"/>
        </w:rPr>
      </w:pPr>
    </w:p>
    <w:p w14:paraId="335C894C" w14:textId="25FDE09C" w:rsidR="006C09B5" w:rsidRPr="006B3A71" w:rsidRDefault="00C729E8" w:rsidP="00000525">
      <w:pPr>
        <w:spacing w:before="0" w:after="0"/>
        <w:ind w:left="720"/>
        <w:rPr>
          <w:color w:val="000000" w:themeColor="text1"/>
        </w:rPr>
      </w:pPr>
      <w:r w:rsidRPr="006B3A71">
        <w:rPr>
          <w:color w:val="000000" w:themeColor="text1"/>
        </w:rPr>
        <w:t xml:space="preserve">Each investor contributes capital for additional shares in the same proportions as their existing ownership (additional acquisition is at no more than their respective allowable percentages). </w:t>
      </w:r>
      <w:r w:rsidR="003A416C" w:rsidRPr="006B3A71">
        <w:rPr>
          <w:color w:val="000000" w:themeColor="text1"/>
        </w:rPr>
        <w:t xml:space="preserve">The exemption under the amendments apply to each of the foreign persons X, Y and </w:t>
      </w:r>
      <w:r w:rsidR="00DE7C4B" w:rsidRPr="006B3A71">
        <w:rPr>
          <w:color w:val="000000" w:themeColor="text1"/>
        </w:rPr>
        <w:t>Z</w:t>
      </w:r>
      <w:r w:rsidR="003A416C" w:rsidRPr="006B3A71">
        <w:rPr>
          <w:color w:val="000000" w:themeColor="text1"/>
        </w:rPr>
        <w:t>.</w:t>
      </w:r>
      <w:r w:rsidR="00DE7C4B" w:rsidRPr="006B3A71">
        <w:rPr>
          <w:color w:val="000000" w:themeColor="text1"/>
        </w:rPr>
        <w:t xml:space="preserve"> </w:t>
      </w:r>
    </w:p>
    <w:p w14:paraId="179E7D5E" w14:textId="77777777" w:rsidR="006C09B5" w:rsidRPr="006B3A71" w:rsidRDefault="006C09B5" w:rsidP="00000525">
      <w:pPr>
        <w:spacing w:before="0" w:after="0"/>
        <w:ind w:left="720"/>
        <w:rPr>
          <w:color w:val="000000" w:themeColor="text1"/>
        </w:rPr>
      </w:pPr>
    </w:p>
    <w:p w14:paraId="000C03BB" w14:textId="4DFBF4D0" w:rsidR="006C09B5" w:rsidRPr="006B3A71" w:rsidRDefault="006C09B5" w:rsidP="00000525">
      <w:pPr>
        <w:spacing w:before="0" w:after="0"/>
        <w:ind w:left="720"/>
        <w:rPr>
          <w:color w:val="000000" w:themeColor="text1"/>
        </w:rPr>
      </w:pPr>
      <w:r w:rsidRPr="006B3A71">
        <w:rPr>
          <w:color w:val="000000" w:themeColor="text1"/>
        </w:rPr>
        <w:t xml:space="preserve">Each of the foreign investors had no reasonable grounds to believe there will be an increase in the percentage interest for each of the foreign persons X, Y and Z in relation to this capital call, because each of the foreign persons are required to contribute additional capital in their respective ownership proportions and no other persons are </w:t>
      </w:r>
      <w:r w:rsidR="00CD0F43" w:rsidRPr="006B3A71">
        <w:rPr>
          <w:color w:val="000000" w:themeColor="text1"/>
        </w:rPr>
        <w:t xml:space="preserve">able </w:t>
      </w:r>
      <w:r w:rsidRPr="006B3A71">
        <w:rPr>
          <w:color w:val="000000" w:themeColor="text1"/>
        </w:rPr>
        <w:t xml:space="preserve">to provide capital to the investment vehicle. </w:t>
      </w:r>
    </w:p>
    <w:p w14:paraId="55EBB803" w14:textId="17261A27" w:rsidR="00584F63" w:rsidRPr="006B3A71" w:rsidRDefault="00584F63" w:rsidP="00000525">
      <w:pPr>
        <w:spacing w:before="0" w:after="0"/>
        <w:rPr>
          <w:color w:val="000000" w:themeColor="text1"/>
        </w:rPr>
      </w:pPr>
    </w:p>
    <w:p w14:paraId="7F7B04F0" w14:textId="1F092F3E" w:rsidR="00826DF1" w:rsidRPr="006B3A71" w:rsidRDefault="00826DF1" w:rsidP="00000525">
      <w:pPr>
        <w:spacing w:before="0" w:after="0"/>
        <w:rPr>
          <w:color w:val="000000" w:themeColor="text1"/>
        </w:rPr>
      </w:pPr>
      <w:r w:rsidRPr="006B3A71">
        <w:t xml:space="preserve">The purpose of the amendments is to reduce the regulatory burden </w:t>
      </w:r>
      <w:r w:rsidR="008539DC" w:rsidRPr="006B3A71">
        <w:t>for</w:t>
      </w:r>
      <w:r w:rsidRPr="006B3A71">
        <w:t xml:space="preserve"> investors by </w:t>
      </w:r>
      <w:r w:rsidR="004B34D0" w:rsidRPr="006B3A71">
        <w:t>removing the requirement</w:t>
      </w:r>
      <w:r w:rsidR="008539DC" w:rsidRPr="006B3A71">
        <w:t xml:space="preserve"> to submit an application before acquiring an interest in an entity </w:t>
      </w:r>
      <w:r w:rsidRPr="006B3A71">
        <w:t xml:space="preserve">where </w:t>
      </w:r>
      <w:r w:rsidR="004B34D0" w:rsidRPr="006B3A71">
        <w:t xml:space="preserve">the investor’s </w:t>
      </w:r>
      <w:r w:rsidRPr="006B3A71">
        <w:t xml:space="preserve">proportionate share or unit holding will not increase. </w:t>
      </w:r>
    </w:p>
    <w:p w14:paraId="3B0665C5" w14:textId="77777777" w:rsidR="00826DF1" w:rsidRPr="006B3A71" w:rsidRDefault="00826DF1" w:rsidP="00000525">
      <w:pPr>
        <w:spacing w:before="0" w:after="0"/>
        <w:rPr>
          <w:color w:val="000000" w:themeColor="text1"/>
        </w:rPr>
      </w:pPr>
    </w:p>
    <w:p w14:paraId="0D010312" w14:textId="562348DD" w:rsidR="00795B6E" w:rsidRPr="006B3A71" w:rsidRDefault="00380EE4" w:rsidP="00000525">
      <w:pPr>
        <w:spacing w:before="0" w:after="0"/>
        <w:rPr>
          <w:color w:val="000000" w:themeColor="text1"/>
        </w:rPr>
      </w:pPr>
      <w:r w:rsidRPr="006B3A71">
        <w:rPr>
          <w:color w:val="000000" w:themeColor="text1"/>
        </w:rPr>
        <w:t xml:space="preserve">Items </w:t>
      </w:r>
      <w:r w:rsidR="00D70BDD" w:rsidRPr="006B3A71">
        <w:rPr>
          <w:color w:val="000000" w:themeColor="text1"/>
        </w:rPr>
        <w:t>1</w:t>
      </w:r>
      <w:r w:rsidR="0018574F" w:rsidRPr="006B3A71">
        <w:rPr>
          <w:color w:val="000000" w:themeColor="text1"/>
        </w:rPr>
        <w:t>1</w:t>
      </w:r>
      <w:r w:rsidRPr="006B3A71">
        <w:rPr>
          <w:color w:val="000000" w:themeColor="text1"/>
        </w:rPr>
        <w:t xml:space="preserve"> and </w:t>
      </w:r>
      <w:r w:rsidR="00D70BDD" w:rsidRPr="006B3A71">
        <w:rPr>
          <w:color w:val="000000" w:themeColor="text1"/>
        </w:rPr>
        <w:t>1</w:t>
      </w:r>
      <w:r w:rsidR="0018574F" w:rsidRPr="006B3A71">
        <w:rPr>
          <w:color w:val="000000" w:themeColor="text1"/>
        </w:rPr>
        <w:t>2</w:t>
      </w:r>
      <w:r w:rsidRPr="006B3A71">
        <w:rPr>
          <w:color w:val="000000" w:themeColor="text1"/>
        </w:rPr>
        <w:t xml:space="preserve"> make minor </w:t>
      </w:r>
      <w:r w:rsidR="00F556B9" w:rsidRPr="006B3A71">
        <w:rPr>
          <w:color w:val="000000" w:themeColor="text1"/>
        </w:rPr>
        <w:t>editorial amendments</w:t>
      </w:r>
      <w:r w:rsidRPr="006B3A71">
        <w:rPr>
          <w:color w:val="000000" w:themeColor="text1"/>
        </w:rPr>
        <w:t xml:space="preserve"> to subsection 41(2) </w:t>
      </w:r>
      <w:r w:rsidR="0017366F" w:rsidRPr="006B3A71">
        <w:rPr>
          <w:color w:val="000000" w:themeColor="text1"/>
        </w:rPr>
        <w:t>to facilitate</w:t>
      </w:r>
      <w:r w:rsidRPr="006B3A71">
        <w:rPr>
          <w:color w:val="000000" w:themeColor="text1"/>
        </w:rPr>
        <w:t xml:space="preserve"> the </w:t>
      </w:r>
      <w:r w:rsidR="00F556B9" w:rsidRPr="006B3A71">
        <w:rPr>
          <w:color w:val="000000" w:themeColor="text1"/>
        </w:rPr>
        <w:t xml:space="preserve">insertion of </w:t>
      </w:r>
      <w:r w:rsidRPr="006B3A71">
        <w:rPr>
          <w:color w:val="000000" w:themeColor="text1"/>
        </w:rPr>
        <w:t xml:space="preserve">new paragraph 41(2)(c). </w:t>
      </w:r>
      <w:r w:rsidR="00795B6E" w:rsidRPr="006B3A71">
        <w:t>For example, Item 11 omit</w:t>
      </w:r>
      <w:r w:rsidR="000F2879" w:rsidRPr="006B3A71">
        <w:t>s</w:t>
      </w:r>
      <w:r w:rsidR="00795B6E" w:rsidRPr="006B3A71">
        <w:t xml:space="preserve"> ‘an acquisition’ and substitute</w:t>
      </w:r>
      <w:r w:rsidR="000F2879" w:rsidRPr="006B3A71">
        <w:t>s</w:t>
      </w:r>
      <w:r w:rsidR="00795B6E" w:rsidRPr="006B3A71">
        <w:t xml:space="preserve"> ‘a person’s acquisition’ in subsection 41(2) of the Principal Regulations.</w:t>
      </w:r>
    </w:p>
    <w:p w14:paraId="121ED744" w14:textId="5DE780AD" w:rsidR="00E7306F" w:rsidRPr="006B3A71" w:rsidRDefault="00E7306F" w:rsidP="00000525">
      <w:pPr>
        <w:spacing w:before="0" w:after="0"/>
        <w:rPr>
          <w:color w:val="000000" w:themeColor="text1"/>
        </w:rPr>
      </w:pPr>
    </w:p>
    <w:p w14:paraId="61069B87" w14:textId="57109310" w:rsidR="00790CE4" w:rsidRPr="006B3A71" w:rsidRDefault="00790CE4" w:rsidP="00000525">
      <w:pPr>
        <w:spacing w:before="0" w:after="0"/>
        <w:rPr>
          <w:b/>
          <w:bCs/>
          <w:i/>
          <w:iCs/>
          <w:color w:val="000000" w:themeColor="text1"/>
        </w:rPr>
      </w:pPr>
      <w:r w:rsidRPr="006B3A71">
        <w:rPr>
          <w:b/>
          <w:bCs/>
          <w:i/>
          <w:iCs/>
          <w:color w:val="000000" w:themeColor="text1"/>
        </w:rPr>
        <w:t xml:space="preserve">Item </w:t>
      </w:r>
      <w:r w:rsidR="00B912C2" w:rsidRPr="006B3A71">
        <w:rPr>
          <w:b/>
          <w:bCs/>
          <w:i/>
          <w:iCs/>
          <w:color w:val="000000" w:themeColor="text1"/>
        </w:rPr>
        <w:t>1</w:t>
      </w:r>
      <w:r w:rsidR="0018574F" w:rsidRPr="006B3A71">
        <w:rPr>
          <w:b/>
          <w:bCs/>
          <w:i/>
          <w:iCs/>
          <w:color w:val="000000" w:themeColor="text1"/>
        </w:rPr>
        <w:t>4</w:t>
      </w:r>
      <w:r w:rsidRPr="006B3A71">
        <w:rPr>
          <w:b/>
          <w:bCs/>
          <w:i/>
          <w:iCs/>
          <w:color w:val="000000" w:themeColor="text1"/>
        </w:rPr>
        <w:t xml:space="preserve"> – </w:t>
      </w:r>
      <w:r w:rsidR="00A21D8C" w:rsidRPr="006B3A71">
        <w:rPr>
          <w:b/>
          <w:bCs/>
          <w:i/>
          <w:iCs/>
          <w:color w:val="000000" w:themeColor="text1"/>
        </w:rPr>
        <w:t>Meaning of r</w:t>
      </w:r>
      <w:r w:rsidRPr="006B3A71">
        <w:rPr>
          <w:b/>
          <w:bCs/>
          <w:i/>
          <w:iCs/>
          <w:color w:val="000000" w:themeColor="text1"/>
        </w:rPr>
        <w:t>ights issue</w:t>
      </w:r>
      <w:r w:rsidR="003A39F7" w:rsidRPr="006B3A71">
        <w:rPr>
          <w:b/>
          <w:bCs/>
          <w:i/>
          <w:iCs/>
          <w:color w:val="000000" w:themeColor="text1"/>
        </w:rPr>
        <w:t xml:space="preserve"> </w:t>
      </w:r>
    </w:p>
    <w:p w14:paraId="5589648E" w14:textId="77777777" w:rsidR="00A43B72" w:rsidRPr="006B3A71" w:rsidRDefault="00A43B72" w:rsidP="00000525">
      <w:pPr>
        <w:spacing w:before="0" w:after="0"/>
        <w:rPr>
          <w:color w:val="000000" w:themeColor="text1"/>
        </w:rPr>
      </w:pPr>
    </w:p>
    <w:p w14:paraId="13186C34" w14:textId="242D706F" w:rsidR="0097134E" w:rsidRPr="006B3A71" w:rsidRDefault="00790CE4" w:rsidP="00000525">
      <w:pPr>
        <w:spacing w:before="0" w:after="0"/>
        <w:rPr>
          <w:color w:val="000000" w:themeColor="text1"/>
        </w:rPr>
      </w:pPr>
      <w:r w:rsidRPr="006B3A71">
        <w:rPr>
          <w:color w:val="000000" w:themeColor="text1"/>
        </w:rPr>
        <w:t xml:space="preserve">Item </w:t>
      </w:r>
      <w:r w:rsidR="00B912C2" w:rsidRPr="006B3A71">
        <w:rPr>
          <w:color w:val="000000" w:themeColor="text1"/>
        </w:rPr>
        <w:t>1</w:t>
      </w:r>
      <w:r w:rsidR="0018574F" w:rsidRPr="006B3A71">
        <w:rPr>
          <w:color w:val="000000" w:themeColor="text1"/>
        </w:rPr>
        <w:t>4</w:t>
      </w:r>
      <w:r w:rsidRPr="006B3A71">
        <w:rPr>
          <w:color w:val="000000" w:themeColor="text1"/>
        </w:rPr>
        <w:t xml:space="preserve"> </w:t>
      </w:r>
      <w:r w:rsidR="0003429C" w:rsidRPr="006B3A71">
        <w:rPr>
          <w:color w:val="000000" w:themeColor="text1"/>
        </w:rPr>
        <w:t xml:space="preserve">clarifies that </w:t>
      </w:r>
      <w:r w:rsidR="00A21D8C" w:rsidRPr="006B3A71">
        <w:rPr>
          <w:color w:val="000000" w:themeColor="text1"/>
        </w:rPr>
        <w:t xml:space="preserve">the </w:t>
      </w:r>
      <w:r w:rsidR="0097134E" w:rsidRPr="006B3A71">
        <w:rPr>
          <w:color w:val="000000" w:themeColor="text1"/>
        </w:rPr>
        <w:t>exemption</w:t>
      </w:r>
      <w:r w:rsidR="00C21DFB" w:rsidRPr="006B3A71">
        <w:rPr>
          <w:color w:val="000000" w:themeColor="text1"/>
        </w:rPr>
        <w:t xml:space="preserve"> </w:t>
      </w:r>
      <w:r w:rsidR="0097134E" w:rsidRPr="006B3A71">
        <w:rPr>
          <w:color w:val="000000" w:themeColor="text1"/>
        </w:rPr>
        <w:t xml:space="preserve">from the notifiable action provisions of the Act </w:t>
      </w:r>
      <w:r w:rsidR="00C21DFB" w:rsidRPr="006B3A71">
        <w:rPr>
          <w:color w:val="000000" w:themeColor="text1"/>
        </w:rPr>
        <w:t xml:space="preserve">in paragraph 41(2)(a) </w:t>
      </w:r>
      <w:r w:rsidR="0097134E" w:rsidRPr="006B3A71">
        <w:rPr>
          <w:color w:val="000000" w:themeColor="text1"/>
        </w:rPr>
        <w:t xml:space="preserve">apply </w:t>
      </w:r>
      <w:r w:rsidR="00C21DFB" w:rsidRPr="006B3A71">
        <w:rPr>
          <w:color w:val="000000" w:themeColor="text1"/>
        </w:rPr>
        <w:t>to circumstances where</w:t>
      </w:r>
      <w:r w:rsidR="0097134E" w:rsidRPr="006B3A71">
        <w:rPr>
          <w:color w:val="000000" w:themeColor="text1"/>
        </w:rPr>
        <w:t xml:space="preserve"> a person acquires interest under any of the following:</w:t>
      </w:r>
    </w:p>
    <w:p w14:paraId="093F3811" w14:textId="46288582" w:rsidR="0097134E" w:rsidRPr="006B3A71" w:rsidRDefault="0097134E" w:rsidP="00000525">
      <w:pPr>
        <w:pStyle w:val="Bullet"/>
      </w:pPr>
      <w:r w:rsidRPr="006B3A71">
        <w:t xml:space="preserve">a rights issue within the meaning of the </w:t>
      </w:r>
      <w:r w:rsidRPr="006B3A71">
        <w:rPr>
          <w:i/>
          <w:iCs/>
        </w:rPr>
        <w:t>Corporations Act 2001</w:t>
      </w:r>
      <w:r w:rsidRPr="006B3A71">
        <w:t>;</w:t>
      </w:r>
    </w:p>
    <w:p w14:paraId="0A38F63C" w14:textId="3ECD76D5" w:rsidR="0097134E" w:rsidRPr="006B3A71" w:rsidRDefault="0097134E" w:rsidP="00000525">
      <w:pPr>
        <w:pStyle w:val="Bullet"/>
      </w:pPr>
      <w:r w:rsidRPr="006B3A71">
        <w:t xml:space="preserve">a rights issue within the meaning of </w:t>
      </w:r>
      <w:r w:rsidR="006C4AA0" w:rsidRPr="006B3A71">
        <w:t>a</w:t>
      </w:r>
      <w:r w:rsidRPr="006B3A71">
        <w:t xml:space="preserve"> foreign country</w:t>
      </w:r>
      <w:r w:rsidR="006C4AA0" w:rsidRPr="006B3A71">
        <w:t>, if that issue is regulated by a law of a foreign country</w:t>
      </w:r>
      <w:r w:rsidRPr="006B3A71">
        <w:t>; or</w:t>
      </w:r>
    </w:p>
    <w:p w14:paraId="461613A8" w14:textId="3E6624EE" w:rsidR="0097134E" w:rsidRPr="006B3A71" w:rsidRDefault="0097134E" w:rsidP="00000525">
      <w:pPr>
        <w:pStyle w:val="Bullet"/>
      </w:pPr>
      <w:r w:rsidRPr="006B3A71">
        <w:t xml:space="preserve">an issue that is similar to a rights issue within the meaning of the </w:t>
      </w:r>
      <w:r w:rsidRPr="006B3A71">
        <w:rPr>
          <w:i/>
          <w:iCs/>
        </w:rPr>
        <w:t>Corporations Act 2001</w:t>
      </w:r>
      <w:r w:rsidRPr="006B3A71">
        <w:t xml:space="preserve">, and is provided for under an instrument </w:t>
      </w:r>
      <w:r w:rsidR="00C21DFB" w:rsidRPr="006B3A71">
        <w:t xml:space="preserve">made by the Australian Securities Investment Corporation (ASIC) under the </w:t>
      </w:r>
      <w:r w:rsidR="00C21DFB" w:rsidRPr="006B3A71">
        <w:rPr>
          <w:i/>
          <w:iCs/>
        </w:rPr>
        <w:t>Corporations Act 2001</w:t>
      </w:r>
      <w:r w:rsidR="00C21DFB" w:rsidRPr="006B3A71">
        <w:t>.</w:t>
      </w:r>
    </w:p>
    <w:p w14:paraId="15EFFC69" w14:textId="77777777" w:rsidR="0097134E" w:rsidRPr="006B3A71" w:rsidRDefault="0097134E" w:rsidP="00000525">
      <w:pPr>
        <w:spacing w:before="0" w:after="0"/>
        <w:rPr>
          <w:color w:val="000000" w:themeColor="text1"/>
        </w:rPr>
      </w:pPr>
    </w:p>
    <w:p w14:paraId="1FF4AE09" w14:textId="280BAE39" w:rsidR="001055D4" w:rsidRPr="006B3A71" w:rsidRDefault="00EC0D10" w:rsidP="00000525">
      <w:pPr>
        <w:spacing w:before="0" w:after="0"/>
        <w:rPr>
          <w:color w:val="000000" w:themeColor="text1"/>
        </w:rPr>
      </w:pPr>
      <w:r w:rsidRPr="006B3A71">
        <w:rPr>
          <w:color w:val="000000" w:themeColor="text1"/>
        </w:rPr>
        <w:lastRenderedPageBreak/>
        <w:t>T</w:t>
      </w:r>
      <w:r w:rsidR="00FE4164" w:rsidRPr="006B3A71">
        <w:rPr>
          <w:color w:val="000000" w:themeColor="text1"/>
        </w:rPr>
        <w:t>he amendment</w:t>
      </w:r>
      <w:r w:rsidRPr="006B3A71">
        <w:rPr>
          <w:color w:val="000000" w:themeColor="text1"/>
        </w:rPr>
        <w:t xml:space="preserve"> </w:t>
      </w:r>
      <w:r w:rsidR="001055D4" w:rsidRPr="006B3A71">
        <w:rPr>
          <w:color w:val="000000" w:themeColor="text1"/>
        </w:rPr>
        <w:t>ensures that the exemption from the notifiable provisions of the Act appl</w:t>
      </w:r>
      <w:r w:rsidR="00407BD8" w:rsidRPr="006B3A71">
        <w:rPr>
          <w:color w:val="000000" w:themeColor="text1"/>
        </w:rPr>
        <w:t>ies</w:t>
      </w:r>
      <w:r w:rsidR="001055D4" w:rsidRPr="006B3A71">
        <w:rPr>
          <w:color w:val="000000" w:themeColor="text1"/>
        </w:rPr>
        <w:t xml:space="preserve"> to foreign persons when they acquire </w:t>
      </w:r>
      <w:r w:rsidR="00407BD8" w:rsidRPr="006B3A71">
        <w:rPr>
          <w:color w:val="000000" w:themeColor="text1"/>
        </w:rPr>
        <w:t xml:space="preserve">an </w:t>
      </w:r>
      <w:r w:rsidR="001055D4" w:rsidRPr="006B3A71">
        <w:rPr>
          <w:color w:val="000000" w:themeColor="text1"/>
        </w:rPr>
        <w:t xml:space="preserve">additional interest in an entity under a voluntary, pro-rata rights issue contemplated by this provision (or a law of a foreign country or part of a foreign country, </w:t>
      </w:r>
      <w:r w:rsidR="00AF5973" w:rsidRPr="006B3A71">
        <w:rPr>
          <w:color w:val="000000" w:themeColor="text1"/>
        </w:rPr>
        <w:t>as the case may be</w:t>
      </w:r>
      <w:r w:rsidR="001055D4" w:rsidRPr="006B3A71">
        <w:rPr>
          <w:color w:val="000000" w:themeColor="text1"/>
        </w:rPr>
        <w:t xml:space="preserve"> </w:t>
      </w:r>
      <w:r w:rsidR="00AF5973" w:rsidRPr="006B3A71">
        <w:rPr>
          <w:color w:val="000000" w:themeColor="text1"/>
        </w:rPr>
        <w:t>with</w:t>
      </w:r>
      <w:r w:rsidR="001055D4" w:rsidRPr="006B3A71">
        <w:rPr>
          <w:color w:val="000000" w:themeColor="text1"/>
        </w:rPr>
        <w:t xml:space="preserve"> a foreign entity).</w:t>
      </w:r>
      <w:r w:rsidR="0097134E" w:rsidRPr="006B3A71">
        <w:rPr>
          <w:color w:val="000000" w:themeColor="text1"/>
        </w:rPr>
        <w:t xml:space="preserve"> </w:t>
      </w:r>
    </w:p>
    <w:p w14:paraId="0CA5FDD5" w14:textId="77777777" w:rsidR="00720047" w:rsidRPr="006B3A71" w:rsidRDefault="00720047" w:rsidP="00000525">
      <w:pPr>
        <w:spacing w:before="0" w:after="0"/>
        <w:rPr>
          <w:color w:val="000000" w:themeColor="text1"/>
        </w:rPr>
      </w:pPr>
    </w:p>
    <w:p w14:paraId="7FB50280" w14:textId="551E9EBC" w:rsidR="00F232C9" w:rsidRPr="006B3A71" w:rsidRDefault="00C21DFB" w:rsidP="00000525">
      <w:pPr>
        <w:spacing w:before="0" w:after="0"/>
        <w:rPr>
          <w:color w:val="000000" w:themeColor="text1"/>
        </w:rPr>
      </w:pPr>
      <w:r w:rsidRPr="006B3A71">
        <w:t>U</w:t>
      </w:r>
      <w:r w:rsidR="00EC0D10" w:rsidRPr="006B3A71">
        <w:t xml:space="preserve">nder subparagraph </w:t>
      </w:r>
      <w:r w:rsidR="003C2A73" w:rsidRPr="006B3A71">
        <w:t xml:space="preserve">41(2)(a)(ii), </w:t>
      </w:r>
      <w:r w:rsidR="00082964" w:rsidRPr="006B3A71">
        <w:t xml:space="preserve">acquisitions </w:t>
      </w:r>
      <w:r w:rsidR="003C2A73" w:rsidRPr="006B3A71">
        <w:t>are also exempt under the notifiable provisions of the Act if they</w:t>
      </w:r>
      <w:r w:rsidR="00082964" w:rsidRPr="006B3A71">
        <w:t xml:space="preserve"> are similar to rights issues and are provided </w:t>
      </w:r>
      <w:r w:rsidR="003C2A73" w:rsidRPr="006B3A71">
        <w:t xml:space="preserve">for </w:t>
      </w:r>
      <w:r w:rsidR="009F365A" w:rsidRPr="006B3A71">
        <w:t>in</w:t>
      </w:r>
      <w:r w:rsidR="00082964" w:rsidRPr="006B3A71">
        <w:t xml:space="preserve"> a</w:t>
      </w:r>
      <w:r w:rsidR="005F5139" w:rsidRPr="006B3A71">
        <w:t>n</w:t>
      </w:r>
      <w:r w:rsidR="00082964" w:rsidRPr="006B3A71">
        <w:t xml:space="preserve"> instrument </w:t>
      </w:r>
      <w:r w:rsidR="003E7FC9" w:rsidRPr="006B3A71">
        <w:t xml:space="preserve">made under </w:t>
      </w:r>
      <w:r w:rsidR="00082964" w:rsidRPr="006B3A71">
        <w:t xml:space="preserve">the </w:t>
      </w:r>
      <w:r w:rsidR="00082964" w:rsidRPr="006B3A71">
        <w:rPr>
          <w:i/>
          <w:iCs/>
        </w:rPr>
        <w:t>Corporations Act 2001</w:t>
      </w:r>
      <w:r w:rsidR="00082964" w:rsidRPr="006B3A71">
        <w:t xml:space="preserve"> by </w:t>
      </w:r>
      <w:r w:rsidR="00AD5A5F" w:rsidRPr="006B3A71">
        <w:t xml:space="preserve">the </w:t>
      </w:r>
      <w:r w:rsidR="001055D4" w:rsidRPr="006B3A71">
        <w:t>Australian Securities and Investments Commission (</w:t>
      </w:r>
      <w:r w:rsidR="00082964" w:rsidRPr="006B3A71">
        <w:t>ASIC</w:t>
      </w:r>
      <w:r w:rsidR="001055D4" w:rsidRPr="006B3A71">
        <w:t>)</w:t>
      </w:r>
      <w:r w:rsidR="00082964" w:rsidRPr="006B3A71">
        <w:t xml:space="preserve">. This </w:t>
      </w:r>
      <w:r w:rsidR="006108C9" w:rsidRPr="006B3A71">
        <w:t>clarification</w:t>
      </w:r>
      <w:r w:rsidR="00082964" w:rsidRPr="006B3A71">
        <w:t xml:space="preserve"> aligns </w:t>
      </w:r>
      <w:r w:rsidR="001055D4" w:rsidRPr="006B3A71">
        <w:t xml:space="preserve">with what different regulators and the market </w:t>
      </w:r>
      <w:r w:rsidR="00082964" w:rsidRPr="006B3A71">
        <w:t>understand</w:t>
      </w:r>
      <w:r w:rsidR="001055D4" w:rsidRPr="006B3A71">
        <w:t xml:space="preserve"> a</w:t>
      </w:r>
      <w:r w:rsidR="00082964" w:rsidRPr="006B3A71">
        <w:t xml:space="preserve"> rights issue</w:t>
      </w:r>
      <w:r w:rsidR="001055D4" w:rsidRPr="006B3A71">
        <w:t xml:space="preserve"> to be, which ensures </w:t>
      </w:r>
      <w:r w:rsidR="004F0D85" w:rsidRPr="006B3A71">
        <w:t>consistent application of the law</w:t>
      </w:r>
      <w:r w:rsidR="00082964" w:rsidRPr="006B3A71">
        <w:t>.</w:t>
      </w:r>
      <w:r w:rsidR="004F0D85" w:rsidRPr="006B3A71">
        <w:t xml:space="preserve"> ASIC </w:t>
      </w:r>
      <w:r w:rsidR="00064CBB" w:rsidRPr="006B3A71">
        <w:t xml:space="preserve">has issued an </w:t>
      </w:r>
      <w:r w:rsidR="004F0D85" w:rsidRPr="006B3A71">
        <w:t xml:space="preserve">instrument </w:t>
      </w:r>
      <w:r w:rsidR="00064CBB" w:rsidRPr="006B3A71">
        <w:t>that provide</w:t>
      </w:r>
      <w:r w:rsidR="00E1176A">
        <w:t>s</w:t>
      </w:r>
      <w:r w:rsidR="00064CBB" w:rsidRPr="006B3A71">
        <w:t xml:space="preserve"> </w:t>
      </w:r>
      <w:r w:rsidR="004F0D85" w:rsidRPr="006B3A71">
        <w:t>for a form of ‘accelerated rights issue’. It is the policy intention that the exemption applies to acquisitions</w:t>
      </w:r>
      <w:r w:rsidR="00EA196F" w:rsidRPr="006B3A71">
        <w:t xml:space="preserve"> </w:t>
      </w:r>
      <w:r w:rsidR="00064CBB" w:rsidRPr="006B3A71">
        <w:t xml:space="preserve">under </w:t>
      </w:r>
      <w:r w:rsidR="00EA196F" w:rsidRPr="006B3A71">
        <w:t>these types of rights issues</w:t>
      </w:r>
      <w:r w:rsidR="004F0D85" w:rsidRPr="006B3A71">
        <w:t>.</w:t>
      </w:r>
    </w:p>
    <w:p w14:paraId="22F18B61" w14:textId="77777777" w:rsidR="00F232C9" w:rsidRPr="006B3A71" w:rsidRDefault="00F232C9" w:rsidP="00000525">
      <w:pPr>
        <w:spacing w:before="0" w:after="0"/>
        <w:rPr>
          <w:color w:val="000000" w:themeColor="text1"/>
        </w:rPr>
      </w:pPr>
    </w:p>
    <w:p w14:paraId="693DECEC" w14:textId="4CE080E1" w:rsidR="00835D64" w:rsidRPr="006B3A71" w:rsidRDefault="00795B6E" w:rsidP="00000525">
      <w:pPr>
        <w:spacing w:before="0" w:after="0"/>
      </w:pPr>
      <w:r w:rsidRPr="006B3A71">
        <w:t xml:space="preserve">The purpose of the amendment is to ensure the </w:t>
      </w:r>
      <w:r w:rsidR="00064CBB" w:rsidRPr="006B3A71">
        <w:t xml:space="preserve">Principal </w:t>
      </w:r>
      <w:r w:rsidRPr="006B3A71">
        <w:t xml:space="preserve">Regulations remain fit for purpose and meet investor expectations by </w:t>
      </w:r>
      <w:r w:rsidR="006726AE" w:rsidRPr="006B3A71">
        <w:t>including an explicit definition of a rights issue</w:t>
      </w:r>
      <w:r w:rsidR="00064CBB" w:rsidRPr="006B3A71">
        <w:t xml:space="preserve"> in</w:t>
      </w:r>
      <w:r w:rsidRPr="006B3A71">
        <w:t xml:space="preserve"> the </w:t>
      </w:r>
      <w:r w:rsidR="00064CBB" w:rsidRPr="006B3A71">
        <w:t xml:space="preserve">Principal </w:t>
      </w:r>
      <w:r w:rsidRPr="006B3A71">
        <w:t xml:space="preserve">Regulations </w:t>
      </w:r>
      <w:r w:rsidR="006726AE" w:rsidRPr="006B3A71">
        <w:t>which is consistent with the common industry understanding of that term</w:t>
      </w:r>
      <w:r w:rsidRPr="006B3A71">
        <w:t xml:space="preserve">. </w:t>
      </w:r>
    </w:p>
    <w:p w14:paraId="5A91341F" w14:textId="77777777" w:rsidR="006726AE" w:rsidRPr="006B3A71" w:rsidRDefault="006726AE" w:rsidP="00000525">
      <w:pPr>
        <w:spacing w:before="0" w:after="0"/>
        <w:rPr>
          <w:color w:val="000000" w:themeColor="text1"/>
        </w:rPr>
      </w:pPr>
    </w:p>
    <w:p w14:paraId="60D990D6" w14:textId="6149DA05" w:rsidR="00790CE4" w:rsidRPr="006B3A71" w:rsidRDefault="00790CE4" w:rsidP="00000525">
      <w:pPr>
        <w:spacing w:before="0" w:after="0"/>
        <w:rPr>
          <w:b/>
          <w:bCs/>
          <w:i/>
          <w:iCs/>
          <w:color w:val="000000" w:themeColor="text1"/>
        </w:rPr>
      </w:pPr>
      <w:r w:rsidRPr="006B3A71">
        <w:rPr>
          <w:b/>
          <w:bCs/>
          <w:i/>
          <w:iCs/>
          <w:color w:val="000000" w:themeColor="text1"/>
        </w:rPr>
        <w:t xml:space="preserve">Items </w:t>
      </w:r>
      <w:r w:rsidR="004C058E" w:rsidRPr="006B3A71">
        <w:rPr>
          <w:b/>
          <w:bCs/>
          <w:i/>
          <w:iCs/>
          <w:color w:val="000000" w:themeColor="text1"/>
        </w:rPr>
        <w:t>1</w:t>
      </w:r>
      <w:r w:rsidR="0018574F" w:rsidRPr="006B3A71">
        <w:rPr>
          <w:b/>
          <w:bCs/>
          <w:i/>
          <w:iCs/>
          <w:color w:val="000000" w:themeColor="text1"/>
        </w:rPr>
        <w:t>5</w:t>
      </w:r>
      <w:r w:rsidR="004C058E" w:rsidRPr="006B3A71">
        <w:rPr>
          <w:b/>
          <w:bCs/>
          <w:i/>
          <w:iCs/>
          <w:color w:val="000000" w:themeColor="text1"/>
        </w:rPr>
        <w:t xml:space="preserve"> to 2</w:t>
      </w:r>
      <w:r w:rsidR="0018574F" w:rsidRPr="006B3A71">
        <w:rPr>
          <w:b/>
          <w:bCs/>
          <w:i/>
          <w:iCs/>
          <w:color w:val="000000" w:themeColor="text1"/>
        </w:rPr>
        <w:t>1</w:t>
      </w:r>
      <w:r w:rsidRPr="006B3A71">
        <w:rPr>
          <w:b/>
          <w:bCs/>
          <w:i/>
          <w:iCs/>
          <w:color w:val="000000" w:themeColor="text1"/>
        </w:rPr>
        <w:t xml:space="preserve"> – Foreign custodian corporations</w:t>
      </w:r>
    </w:p>
    <w:p w14:paraId="15965A88" w14:textId="77777777" w:rsidR="00790CE4" w:rsidRPr="006B3A71" w:rsidRDefault="00790CE4" w:rsidP="00000525">
      <w:pPr>
        <w:spacing w:before="0" w:after="0"/>
        <w:rPr>
          <w:color w:val="000000" w:themeColor="text1"/>
        </w:rPr>
      </w:pPr>
    </w:p>
    <w:p w14:paraId="2B848646" w14:textId="269BCB25" w:rsidR="00795B6E" w:rsidRPr="006B3A71" w:rsidRDefault="00DD2100" w:rsidP="00000525">
      <w:pPr>
        <w:spacing w:before="0" w:after="0"/>
      </w:pPr>
      <w:r w:rsidRPr="006B3A71">
        <w:rPr>
          <w:color w:val="000000" w:themeColor="text1"/>
        </w:rPr>
        <w:t>Item</w:t>
      </w:r>
      <w:r w:rsidR="001055D4" w:rsidRPr="006B3A71">
        <w:rPr>
          <w:color w:val="000000" w:themeColor="text1"/>
        </w:rPr>
        <w:t>s</w:t>
      </w:r>
      <w:r w:rsidRPr="006B3A71">
        <w:rPr>
          <w:color w:val="000000" w:themeColor="text1"/>
        </w:rPr>
        <w:t xml:space="preserve"> </w:t>
      </w:r>
      <w:r w:rsidR="00CE3D36" w:rsidRPr="006B3A71">
        <w:rPr>
          <w:color w:val="000000" w:themeColor="text1"/>
        </w:rPr>
        <w:t>1</w:t>
      </w:r>
      <w:r w:rsidR="0018574F" w:rsidRPr="006B3A71">
        <w:rPr>
          <w:color w:val="000000" w:themeColor="text1"/>
        </w:rPr>
        <w:t>8</w:t>
      </w:r>
      <w:r w:rsidR="00354C53" w:rsidRPr="006B3A71">
        <w:rPr>
          <w:color w:val="000000" w:themeColor="text1"/>
        </w:rPr>
        <w:t xml:space="preserve"> </w:t>
      </w:r>
      <w:r w:rsidR="001055D4" w:rsidRPr="006B3A71">
        <w:rPr>
          <w:color w:val="000000" w:themeColor="text1"/>
        </w:rPr>
        <w:t xml:space="preserve">and 19 </w:t>
      </w:r>
      <w:r w:rsidR="00354C53" w:rsidRPr="006B3A71">
        <w:t>amend the foreign custodian corporations exemption</w:t>
      </w:r>
      <w:r w:rsidR="000E30D5" w:rsidRPr="006B3A71">
        <w:t xml:space="preserve"> in </w:t>
      </w:r>
      <w:r w:rsidR="00482BB1" w:rsidRPr="006B3A71">
        <w:t>section</w:t>
      </w:r>
      <w:r w:rsidR="000E30D5" w:rsidRPr="006B3A71">
        <w:t xml:space="preserve"> 30 </w:t>
      </w:r>
      <w:r w:rsidR="006726AE" w:rsidRPr="006B3A71">
        <w:t xml:space="preserve">of </w:t>
      </w:r>
      <w:r w:rsidR="006726AE" w:rsidRPr="006B3A71">
        <w:rPr>
          <w:color w:val="000000" w:themeColor="text1"/>
        </w:rPr>
        <w:t xml:space="preserve">the Principal Regulations </w:t>
      </w:r>
      <w:r w:rsidR="00354C53" w:rsidRPr="006B3A71">
        <w:t xml:space="preserve">to ensure </w:t>
      </w:r>
      <w:r w:rsidR="000E30D5" w:rsidRPr="006B3A71">
        <w:t xml:space="preserve">that </w:t>
      </w:r>
      <w:r w:rsidR="00354C53" w:rsidRPr="006B3A71">
        <w:t>foreign custodian</w:t>
      </w:r>
      <w:r w:rsidR="00C37B59" w:rsidRPr="006B3A71">
        <w:t>s</w:t>
      </w:r>
      <w:r w:rsidR="00324040" w:rsidRPr="006B3A71">
        <w:t xml:space="preserve"> </w:t>
      </w:r>
      <w:r w:rsidR="00354C53" w:rsidRPr="006B3A71">
        <w:t xml:space="preserve">do not require approval where they undertake acquisitions in the course of providing </w:t>
      </w:r>
      <w:r w:rsidR="005469BE" w:rsidRPr="006B3A71">
        <w:t xml:space="preserve">custodian </w:t>
      </w:r>
      <w:r w:rsidR="00ED7D4A" w:rsidRPr="006B3A71">
        <w:t>services.</w:t>
      </w:r>
      <w:r w:rsidR="003F58C4" w:rsidRPr="006B3A71">
        <w:t xml:space="preserve"> The amendments achieve this by clarifying that the exemption can be accessed where a foreign custodian will be unable to exercise voting rights associated with an interest it acquires, and where it will have an equitable interest that is only a right to indemnification.</w:t>
      </w:r>
    </w:p>
    <w:p w14:paraId="62048171" w14:textId="77777777" w:rsidR="00795B6E" w:rsidRPr="006B3A71" w:rsidRDefault="00795B6E" w:rsidP="00000525">
      <w:pPr>
        <w:spacing w:before="0" w:after="0"/>
      </w:pPr>
    </w:p>
    <w:p w14:paraId="77967FAD" w14:textId="5BBD146C" w:rsidR="00795B6E" w:rsidRPr="006B3A71" w:rsidRDefault="00795B6E" w:rsidP="00000525">
      <w:pPr>
        <w:spacing w:before="0" w:after="0"/>
      </w:pPr>
      <w:r w:rsidRPr="006B3A71">
        <w:t xml:space="preserve">The purpose of the amendments is to reduce the regulatory burden on investors by not requiring screening </w:t>
      </w:r>
      <w:r w:rsidR="006726AE" w:rsidRPr="006B3A71">
        <w:t>of</w:t>
      </w:r>
      <w:r w:rsidRPr="006B3A71">
        <w:t xml:space="preserve"> acquisitions which do not pose sufficient risks to the national interest to warrant screening. </w:t>
      </w:r>
    </w:p>
    <w:p w14:paraId="6BAD6F5F" w14:textId="77777777" w:rsidR="00795B6E" w:rsidRPr="006B3A71" w:rsidRDefault="00795B6E" w:rsidP="00000525">
      <w:pPr>
        <w:spacing w:before="0" w:after="0"/>
        <w:rPr>
          <w:color w:val="000000" w:themeColor="text1"/>
        </w:rPr>
      </w:pPr>
    </w:p>
    <w:p w14:paraId="17FB0163" w14:textId="360D1CF4" w:rsidR="000F2879" w:rsidRPr="006B3A71" w:rsidRDefault="00697E62" w:rsidP="00000525">
      <w:pPr>
        <w:spacing w:before="0" w:after="0"/>
        <w:rPr>
          <w:color w:val="000000" w:themeColor="text1"/>
        </w:rPr>
      </w:pPr>
      <w:r w:rsidRPr="006B3A71">
        <w:rPr>
          <w:color w:val="000000" w:themeColor="text1"/>
        </w:rPr>
        <w:t xml:space="preserve">Items </w:t>
      </w:r>
      <w:r w:rsidR="004C058E" w:rsidRPr="006B3A71">
        <w:rPr>
          <w:color w:val="000000" w:themeColor="text1"/>
        </w:rPr>
        <w:t>1</w:t>
      </w:r>
      <w:r w:rsidR="0018574F" w:rsidRPr="006B3A71">
        <w:rPr>
          <w:color w:val="000000" w:themeColor="text1"/>
        </w:rPr>
        <w:t>5</w:t>
      </w:r>
      <w:r w:rsidR="004C058E" w:rsidRPr="006B3A71">
        <w:rPr>
          <w:color w:val="000000" w:themeColor="text1"/>
        </w:rPr>
        <w:t>, 1</w:t>
      </w:r>
      <w:r w:rsidR="0018574F" w:rsidRPr="006B3A71">
        <w:rPr>
          <w:color w:val="000000" w:themeColor="text1"/>
        </w:rPr>
        <w:t>6</w:t>
      </w:r>
      <w:r w:rsidR="004C058E" w:rsidRPr="006B3A71">
        <w:rPr>
          <w:color w:val="000000" w:themeColor="text1"/>
        </w:rPr>
        <w:t>, 1</w:t>
      </w:r>
      <w:r w:rsidR="0018574F" w:rsidRPr="006B3A71">
        <w:rPr>
          <w:color w:val="000000" w:themeColor="text1"/>
        </w:rPr>
        <w:t>7</w:t>
      </w:r>
      <w:r w:rsidR="004C058E" w:rsidRPr="006B3A71">
        <w:rPr>
          <w:color w:val="000000" w:themeColor="text1"/>
        </w:rPr>
        <w:t xml:space="preserve">, </w:t>
      </w:r>
      <w:r w:rsidR="0018574F" w:rsidRPr="006B3A71">
        <w:rPr>
          <w:color w:val="000000" w:themeColor="text1"/>
        </w:rPr>
        <w:t>20</w:t>
      </w:r>
      <w:r w:rsidR="004C058E" w:rsidRPr="006B3A71">
        <w:rPr>
          <w:color w:val="000000" w:themeColor="text1"/>
        </w:rPr>
        <w:t xml:space="preserve"> and 2</w:t>
      </w:r>
      <w:r w:rsidR="0018574F" w:rsidRPr="006B3A71">
        <w:rPr>
          <w:color w:val="000000" w:themeColor="text1"/>
        </w:rPr>
        <w:t>1</w:t>
      </w:r>
      <w:r w:rsidRPr="006B3A71">
        <w:rPr>
          <w:color w:val="000000" w:themeColor="text1"/>
        </w:rPr>
        <w:t xml:space="preserve"> make </w:t>
      </w:r>
      <w:r w:rsidR="008E4292" w:rsidRPr="006B3A71">
        <w:rPr>
          <w:color w:val="000000" w:themeColor="text1"/>
        </w:rPr>
        <w:t xml:space="preserve">consequential </w:t>
      </w:r>
      <w:r w:rsidR="00121558" w:rsidRPr="006B3A71">
        <w:rPr>
          <w:color w:val="000000" w:themeColor="text1"/>
        </w:rPr>
        <w:t xml:space="preserve">editorial and referencing </w:t>
      </w:r>
      <w:r w:rsidR="00CD670C" w:rsidRPr="006B3A71">
        <w:rPr>
          <w:color w:val="000000" w:themeColor="text1"/>
        </w:rPr>
        <w:t>amendments</w:t>
      </w:r>
      <w:r w:rsidR="00121558" w:rsidRPr="006B3A71">
        <w:rPr>
          <w:color w:val="000000" w:themeColor="text1"/>
        </w:rPr>
        <w:t xml:space="preserve"> </w:t>
      </w:r>
      <w:r w:rsidR="000E30D5" w:rsidRPr="006B3A71">
        <w:rPr>
          <w:color w:val="000000" w:themeColor="text1"/>
        </w:rPr>
        <w:t xml:space="preserve">to section </w:t>
      </w:r>
      <w:r w:rsidR="00CD670C" w:rsidRPr="006B3A71">
        <w:rPr>
          <w:color w:val="000000" w:themeColor="text1"/>
        </w:rPr>
        <w:t>30</w:t>
      </w:r>
      <w:r w:rsidR="000E30D5" w:rsidRPr="006B3A71">
        <w:rPr>
          <w:color w:val="000000" w:themeColor="text1"/>
        </w:rPr>
        <w:t xml:space="preserve"> and subsection 41A(2) </w:t>
      </w:r>
      <w:r w:rsidR="006726AE" w:rsidRPr="006B3A71">
        <w:rPr>
          <w:color w:val="000000" w:themeColor="text1"/>
        </w:rPr>
        <w:t xml:space="preserve">of the Principal Regulations </w:t>
      </w:r>
      <w:r w:rsidR="00C41458" w:rsidRPr="006B3A71">
        <w:rPr>
          <w:color w:val="000000" w:themeColor="text1"/>
        </w:rPr>
        <w:t xml:space="preserve">for </w:t>
      </w:r>
      <w:r w:rsidRPr="006B3A71">
        <w:rPr>
          <w:color w:val="000000" w:themeColor="text1"/>
        </w:rPr>
        <w:t>the</w:t>
      </w:r>
      <w:r w:rsidR="00365BF8" w:rsidRPr="006B3A71">
        <w:rPr>
          <w:color w:val="000000" w:themeColor="text1"/>
        </w:rPr>
        <w:t xml:space="preserve"> </w:t>
      </w:r>
      <w:r w:rsidRPr="006B3A71">
        <w:rPr>
          <w:color w:val="000000" w:themeColor="text1"/>
        </w:rPr>
        <w:t>amendments</w:t>
      </w:r>
      <w:r w:rsidR="009B1D86" w:rsidRPr="006B3A71">
        <w:rPr>
          <w:color w:val="000000" w:themeColor="text1"/>
        </w:rPr>
        <w:t xml:space="preserve"> made by items 18 and 19</w:t>
      </w:r>
      <w:r w:rsidRPr="006B3A71">
        <w:rPr>
          <w:color w:val="000000" w:themeColor="text1"/>
        </w:rPr>
        <w:t>.</w:t>
      </w:r>
      <w:r w:rsidR="000F2879" w:rsidRPr="006B3A71">
        <w:rPr>
          <w:color w:val="000000" w:themeColor="text1"/>
        </w:rPr>
        <w:t xml:space="preserve"> </w:t>
      </w:r>
      <w:r w:rsidR="000F2879" w:rsidRPr="006B3A71">
        <w:t xml:space="preserve">For example, item 17 omits ‘the interest’ and substitutes ‘the subject interest’ in paragraphs 30(b) and (c) while items 20 and 21 omit ‘30(a)’ and substitute ‘30(1)(a)’ in paragraphs 41A(2)(b) and (c) and </w:t>
      </w:r>
      <w:r w:rsidR="00890202">
        <w:t xml:space="preserve">the example in </w:t>
      </w:r>
      <w:r w:rsidR="000F2879" w:rsidRPr="006B3A71">
        <w:t>subsection 41A(2).</w:t>
      </w:r>
    </w:p>
    <w:p w14:paraId="34E4517E" w14:textId="77777777" w:rsidR="00697E62" w:rsidRPr="006B3A71" w:rsidRDefault="00697E62" w:rsidP="00000525">
      <w:pPr>
        <w:spacing w:before="0" w:after="0"/>
        <w:rPr>
          <w:color w:val="000000" w:themeColor="text1"/>
        </w:rPr>
      </w:pPr>
    </w:p>
    <w:p w14:paraId="0147B702" w14:textId="3626402A" w:rsidR="00DA7051" w:rsidRPr="006B3A71" w:rsidRDefault="005D71B9" w:rsidP="00000525">
      <w:pPr>
        <w:spacing w:before="0" w:after="0"/>
        <w:rPr>
          <w:b/>
          <w:bCs/>
          <w:i/>
          <w:iCs/>
          <w:color w:val="000000" w:themeColor="text1"/>
        </w:rPr>
      </w:pPr>
      <w:r w:rsidRPr="006B3A71">
        <w:rPr>
          <w:b/>
          <w:bCs/>
          <w:i/>
          <w:iCs/>
          <w:color w:val="000000" w:themeColor="text1"/>
        </w:rPr>
        <w:t xml:space="preserve">Item </w:t>
      </w:r>
      <w:r w:rsidR="00241C67" w:rsidRPr="006B3A71">
        <w:rPr>
          <w:b/>
          <w:bCs/>
          <w:i/>
          <w:iCs/>
          <w:color w:val="000000" w:themeColor="text1"/>
        </w:rPr>
        <w:t>2</w:t>
      </w:r>
      <w:r w:rsidR="0018574F" w:rsidRPr="006B3A71">
        <w:rPr>
          <w:b/>
          <w:bCs/>
          <w:i/>
          <w:iCs/>
          <w:color w:val="000000" w:themeColor="text1"/>
        </w:rPr>
        <w:t>2</w:t>
      </w:r>
      <w:r w:rsidR="00241C67" w:rsidRPr="006B3A71">
        <w:rPr>
          <w:b/>
          <w:bCs/>
          <w:i/>
          <w:iCs/>
          <w:color w:val="000000" w:themeColor="text1"/>
        </w:rPr>
        <w:t xml:space="preserve"> </w:t>
      </w:r>
      <w:r w:rsidR="00DA7051" w:rsidRPr="006B3A71">
        <w:rPr>
          <w:b/>
          <w:bCs/>
          <w:i/>
          <w:iCs/>
          <w:color w:val="000000" w:themeColor="text1"/>
        </w:rPr>
        <w:t xml:space="preserve">- </w:t>
      </w:r>
      <w:r w:rsidR="00A43B72" w:rsidRPr="006B3A71">
        <w:rPr>
          <w:b/>
          <w:bCs/>
          <w:i/>
          <w:iCs/>
          <w:color w:val="000000" w:themeColor="text1"/>
        </w:rPr>
        <w:t xml:space="preserve">Application of </w:t>
      </w:r>
      <w:r w:rsidR="005F37EB" w:rsidRPr="006B3A71">
        <w:rPr>
          <w:b/>
          <w:bCs/>
          <w:i/>
          <w:iCs/>
          <w:color w:val="000000" w:themeColor="text1"/>
        </w:rPr>
        <w:t>the Regulations</w:t>
      </w:r>
    </w:p>
    <w:p w14:paraId="56D8C6DA" w14:textId="77777777" w:rsidR="00DA7051" w:rsidRPr="006B3A71" w:rsidRDefault="00DA7051" w:rsidP="00000525">
      <w:pPr>
        <w:spacing w:before="0" w:after="0"/>
        <w:rPr>
          <w:color w:val="000000" w:themeColor="text1"/>
        </w:rPr>
      </w:pPr>
    </w:p>
    <w:p w14:paraId="706454EF" w14:textId="4DD5AB1B" w:rsidR="00404477" w:rsidRPr="006B3A71" w:rsidRDefault="00DA7051" w:rsidP="00000525">
      <w:pPr>
        <w:spacing w:before="0" w:after="0"/>
        <w:rPr>
          <w:color w:val="000000" w:themeColor="text1"/>
        </w:rPr>
      </w:pPr>
      <w:r w:rsidRPr="006B3A71">
        <w:rPr>
          <w:color w:val="000000" w:themeColor="text1"/>
        </w:rPr>
        <w:t xml:space="preserve">Item </w:t>
      </w:r>
      <w:r w:rsidR="00241C67" w:rsidRPr="006B3A71">
        <w:rPr>
          <w:color w:val="000000" w:themeColor="text1"/>
        </w:rPr>
        <w:t>2</w:t>
      </w:r>
      <w:r w:rsidR="0018574F" w:rsidRPr="006B3A71">
        <w:rPr>
          <w:color w:val="000000" w:themeColor="text1"/>
        </w:rPr>
        <w:t>2</w:t>
      </w:r>
      <w:r w:rsidR="00241C67" w:rsidRPr="006B3A71">
        <w:rPr>
          <w:color w:val="000000" w:themeColor="text1"/>
        </w:rPr>
        <w:t xml:space="preserve"> </w:t>
      </w:r>
      <w:r w:rsidR="009D36D9" w:rsidRPr="006B3A71">
        <w:rPr>
          <w:color w:val="000000" w:themeColor="text1"/>
        </w:rPr>
        <w:t>inserts new</w:t>
      </w:r>
      <w:r w:rsidR="00404477" w:rsidRPr="006B3A71">
        <w:rPr>
          <w:color w:val="000000" w:themeColor="text1"/>
        </w:rPr>
        <w:t xml:space="preserve"> section 77 </w:t>
      </w:r>
      <w:r w:rsidR="006726AE" w:rsidRPr="006B3A71">
        <w:rPr>
          <w:color w:val="000000" w:themeColor="text1"/>
        </w:rPr>
        <w:t xml:space="preserve">the Principal Regulations </w:t>
      </w:r>
      <w:r w:rsidR="0056122D" w:rsidRPr="006B3A71">
        <w:rPr>
          <w:color w:val="000000" w:themeColor="text1"/>
        </w:rPr>
        <w:t xml:space="preserve">to </w:t>
      </w:r>
      <w:r w:rsidR="00482BB1" w:rsidRPr="006B3A71">
        <w:rPr>
          <w:color w:val="000000" w:themeColor="text1"/>
        </w:rPr>
        <w:t>provide</w:t>
      </w:r>
      <w:r w:rsidR="009D36D9" w:rsidRPr="006B3A71">
        <w:rPr>
          <w:color w:val="000000" w:themeColor="text1"/>
        </w:rPr>
        <w:t xml:space="preserve"> application </w:t>
      </w:r>
      <w:r w:rsidR="002C7598" w:rsidRPr="006B3A71">
        <w:rPr>
          <w:color w:val="000000" w:themeColor="text1"/>
        </w:rPr>
        <w:t>and transitional rules</w:t>
      </w:r>
      <w:r w:rsidR="00365BF8" w:rsidRPr="006B3A71">
        <w:rPr>
          <w:color w:val="000000" w:themeColor="text1"/>
        </w:rPr>
        <w:t xml:space="preserve"> </w:t>
      </w:r>
      <w:r w:rsidR="00404477" w:rsidRPr="006B3A71">
        <w:rPr>
          <w:color w:val="000000" w:themeColor="text1"/>
        </w:rPr>
        <w:t>as follows:</w:t>
      </w:r>
    </w:p>
    <w:p w14:paraId="4C166E53" w14:textId="56FE06F5" w:rsidR="001E58A3" w:rsidRPr="006B3A71" w:rsidRDefault="00482BB1" w:rsidP="00000525">
      <w:pPr>
        <w:pStyle w:val="Bullet"/>
      </w:pPr>
      <w:r w:rsidRPr="006B3A71">
        <w:t>t</w:t>
      </w:r>
      <w:r w:rsidR="003F482E" w:rsidRPr="006B3A71">
        <w:t xml:space="preserve">he amendments </w:t>
      </w:r>
      <w:r w:rsidR="002C7598" w:rsidRPr="006B3A71">
        <w:t xml:space="preserve">relating to moneylending agreements </w:t>
      </w:r>
      <w:r w:rsidR="003F482E" w:rsidRPr="006B3A71">
        <w:t>apply in relation to moneylending agreements entered into on or after 1</w:t>
      </w:r>
      <w:r w:rsidR="00697E62" w:rsidRPr="006B3A71">
        <w:t> </w:t>
      </w:r>
      <w:r w:rsidR="003F482E" w:rsidRPr="006B3A71">
        <w:t>April</w:t>
      </w:r>
      <w:r w:rsidR="00697E62" w:rsidRPr="006B3A71">
        <w:t> </w:t>
      </w:r>
      <w:r w:rsidR="003F482E" w:rsidRPr="006B3A71">
        <w:t>2022</w:t>
      </w:r>
      <w:r w:rsidR="00AE4068" w:rsidRPr="006B3A71">
        <w:t>; and</w:t>
      </w:r>
    </w:p>
    <w:p w14:paraId="6336296F" w14:textId="5AF0D0AC" w:rsidR="001C688C" w:rsidRPr="009065B7" w:rsidRDefault="00482BB1" w:rsidP="00000525">
      <w:pPr>
        <w:pStyle w:val="Bullet"/>
        <w:spacing w:before="0" w:after="0"/>
        <w:rPr>
          <w:color w:val="000000" w:themeColor="text1"/>
        </w:rPr>
      </w:pPr>
      <w:r w:rsidRPr="006B3A71">
        <w:t>t</w:t>
      </w:r>
      <w:r w:rsidR="003F482E" w:rsidRPr="006B3A71">
        <w:t xml:space="preserve">he </w:t>
      </w:r>
      <w:r w:rsidR="002C7598" w:rsidRPr="006B3A71">
        <w:t xml:space="preserve">other </w:t>
      </w:r>
      <w:r w:rsidR="003F482E" w:rsidRPr="006B3A71">
        <w:t>amendments to the</w:t>
      </w:r>
      <w:r w:rsidR="001B4B8D" w:rsidRPr="006B3A71">
        <w:t xml:space="preserve"> Principal</w:t>
      </w:r>
      <w:r w:rsidR="003F482E" w:rsidRPr="006B3A71">
        <w:t xml:space="preserve"> Regulation</w:t>
      </w:r>
      <w:r w:rsidR="005132E1" w:rsidRPr="006B3A71">
        <w:t>s</w:t>
      </w:r>
      <w:r w:rsidR="003F482E" w:rsidRPr="006B3A71">
        <w:t xml:space="preserve"> apply to actions taken </w:t>
      </w:r>
      <w:r w:rsidR="006D4769" w:rsidRPr="006B3A71">
        <w:t xml:space="preserve">or proposed to be taken </w:t>
      </w:r>
      <w:r w:rsidR="003F482E" w:rsidRPr="006B3A71">
        <w:t>on or after 1</w:t>
      </w:r>
      <w:r w:rsidR="00697E62" w:rsidRPr="006B3A71">
        <w:t> </w:t>
      </w:r>
      <w:r w:rsidR="003F482E" w:rsidRPr="006B3A71">
        <w:t>April</w:t>
      </w:r>
      <w:r w:rsidR="00697E62" w:rsidRPr="006B3A71">
        <w:t> </w:t>
      </w:r>
      <w:r w:rsidR="003F482E" w:rsidRPr="006B3A71">
        <w:t xml:space="preserve">2022. </w:t>
      </w:r>
      <w:r w:rsidR="001C688C" w:rsidRPr="009065B7">
        <w:rPr>
          <w:color w:val="000000" w:themeColor="text1"/>
        </w:rPr>
        <w:br w:type="page"/>
      </w:r>
    </w:p>
    <w:p w14:paraId="18C97B7B" w14:textId="2957B31A" w:rsidR="001C688C" w:rsidRPr="006B3A71" w:rsidRDefault="001C688C" w:rsidP="00000525">
      <w:pPr>
        <w:pageBreakBefore/>
        <w:spacing w:before="240"/>
        <w:jc w:val="right"/>
        <w:rPr>
          <w:b/>
          <w:u w:val="single"/>
        </w:rPr>
      </w:pPr>
      <w:r w:rsidRPr="006B3A71">
        <w:rPr>
          <w:b/>
          <w:u w:val="single"/>
        </w:rPr>
        <w:lastRenderedPageBreak/>
        <w:t>ATTACHMENT B</w:t>
      </w:r>
    </w:p>
    <w:p w14:paraId="0492CC4B" w14:textId="77777777" w:rsidR="001C688C" w:rsidRPr="006B3A71" w:rsidRDefault="001C688C" w:rsidP="00000525">
      <w:pPr>
        <w:pStyle w:val="Heading3"/>
      </w:pPr>
      <w:r w:rsidRPr="006B3A71">
        <w:t>Statement of Compatibility with Human Rights</w:t>
      </w:r>
    </w:p>
    <w:p w14:paraId="0EB40BFA" w14:textId="77777777" w:rsidR="001C688C" w:rsidRPr="006B3A71" w:rsidRDefault="001C688C" w:rsidP="00000525">
      <w:pPr>
        <w:spacing w:before="240"/>
        <w:jc w:val="center"/>
        <w:rPr>
          <w:i/>
        </w:rPr>
      </w:pPr>
      <w:r w:rsidRPr="006B3A71">
        <w:rPr>
          <w:i/>
        </w:rPr>
        <w:t>Prepared in accordance with Part 3 of the Human Rights (Parliamentary Scrutiny) Act 2011</w:t>
      </w:r>
    </w:p>
    <w:p w14:paraId="1CCF61D7" w14:textId="77777777" w:rsidR="001C688C" w:rsidRPr="006B3A71" w:rsidRDefault="001C688C" w:rsidP="00000525">
      <w:pPr>
        <w:tabs>
          <w:tab w:val="left" w:pos="1418"/>
        </w:tabs>
        <w:spacing w:before="0" w:after="240"/>
        <w:jc w:val="center"/>
        <w:rPr>
          <w:i/>
        </w:rPr>
      </w:pPr>
      <w:r w:rsidRPr="006B3A71">
        <w:rPr>
          <w:i/>
        </w:rPr>
        <w:t>Foreign Acquisitions and Takeovers Amendment Regulations 2022</w:t>
      </w:r>
    </w:p>
    <w:p w14:paraId="1ADDFC39" w14:textId="77777777" w:rsidR="001C688C" w:rsidRPr="006B3A71" w:rsidRDefault="001C688C" w:rsidP="00000525">
      <w:pPr>
        <w:spacing w:before="240"/>
      </w:pPr>
      <w:r w:rsidRPr="006B3A71">
        <w:t xml:space="preserve">This Legislative Instrument is compatible with the human rights and freedoms recognised or declared in the international instruments listed in section 3 of the </w:t>
      </w:r>
      <w:r w:rsidRPr="006B3A71">
        <w:rPr>
          <w:i/>
        </w:rPr>
        <w:t>Human Rights (Parliamentary Scrutiny) Act 2011</w:t>
      </w:r>
      <w:r w:rsidRPr="006B3A71">
        <w:t>.</w:t>
      </w:r>
    </w:p>
    <w:p w14:paraId="5121E12F" w14:textId="77777777" w:rsidR="001C688C" w:rsidRPr="006B3A71" w:rsidRDefault="001C688C" w:rsidP="00000525">
      <w:pPr>
        <w:pStyle w:val="Heading3"/>
      </w:pPr>
      <w:r w:rsidRPr="006B3A71">
        <w:t>Overview of the Legislative Instrument</w:t>
      </w:r>
    </w:p>
    <w:p w14:paraId="6DEF3D67" w14:textId="21B11967" w:rsidR="00C14AC1" w:rsidRPr="006B3A71" w:rsidRDefault="00C14AC1" w:rsidP="00000525">
      <w:pPr>
        <w:spacing w:before="240"/>
      </w:pPr>
      <w:r w:rsidRPr="006B3A71">
        <w:t xml:space="preserve">The </w:t>
      </w:r>
      <w:r w:rsidRPr="006B3A71">
        <w:rPr>
          <w:i/>
          <w:iCs/>
        </w:rPr>
        <w:t>Foreign Acquisitions and Takeovers Act 1975</w:t>
      </w:r>
      <w:r w:rsidRPr="006B3A71">
        <w:t xml:space="preserve"> (the Act) establishes a regime for the notification, review and approval of foreign investment in Australia. </w:t>
      </w:r>
    </w:p>
    <w:p w14:paraId="7F4517B5" w14:textId="77777777" w:rsidR="00F232C9" w:rsidRPr="006B3A71" w:rsidRDefault="00F232C9" w:rsidP="00000525">
      <w:pPr>
        <w:spacing w:before="240"/>
      </w:pPr>
      <w:r w:rsidRPr="006B3A71">
        <w:t xml:space="preserve">The purpose of the </w:t>
      </w:r>
      <w:r w:rsidRPr="006B3A71">
        <w:rPr>
          <w:i/>
        </w:rPr>
        <w:t>Foreign Acquisitions and Takeovers Amendment Regulations 2022</w:t>
      </w:r>
      <w:r w:rsidRPr="006B3A71">
        <w:t xml:space="preserve"> (the Regulations) </w:t>
      </w:r>
      <w:r w:rsidRPr="006B3A71">
        <w:rPr>
          <w:color w:val="000000"/>
          <w:shd w:val="clear" w:color="auto" w:fill="FFFFFF"/>
        </w:rPr>
        <w:t>is to amend the </w:t>
      </w:r>
      <w:r w:rsidRPr="006B3A71">
        <w:rPr>
          <w:i/>
          <w:iCs/>
          <w:color w:val="000000"/>
          <w:shd w:val="clear" w:color="auto" w:fill="FFFFFF"/>
        </w:rPr>
        <w:t>Foreign Acquisitions and Takeovers Regulation 2015 </w:t>
      </w:r>
      <w:r w:rsidRPr="006B3A71">
        <w:rPr>
          <w:color w:val="000000"/>
          <w:shd w:val="clear" w:color="auto" w:fill="FFFFFF"/>
        </w:rPr>
        <w:t>(the Principal Regulations) to support the improved administration of Australia’s foreign investment framework by clarifying certain aspects of the Principal Regulations and streamlining the processing of less sensitive types of investment</w:t>
      </w:r>
      <w:r w:rsidRPr="006B3A71">
        <w:t>.</w:t>
      </w:r>
    </w:p>
    <w:p w14:paraId="18AB866C" w14:textId="638249A6" w:rsidR="00F232C9" w:rsidRPr="006B3A71" w:rsidRDefault="00F232C9" w:rsidP="00000525">
      <w:pPr>
        <w:spacing w:before="240"/>
      </w:pPr>
      <w:r w:rsidRPr="006B3A71">
        <w:t xml:space="preserve">As required by the </w:t>
      </w:r>
      <w:r w:rsidRPr="006B3A71">
        <w:rPr>
          <w:i/>
        </w:rPr>
        <w:t>Foreign Investment Reform (Protecting Australia’s National Security) Act 2020</w:t>
      </w:r>
      <w:r w:rsidRPr="006B3A71">
        <w:t xml:space="preserve">, the Secretary to the Treasury undertook an evaluation of the Government’s most recent foreign investment reforms, which came into effect on </w:t>
      </w:r>
      <w:r w:rsidR="009065B7">
        <w:br/>
      </w:r>
      <w:r w:rsidRPr="006B3A71">
        <w:t xml:space="preserve">1 January 2021. The Government accepted all seven of the </w:t>
      </w:r>
      <w:r w:rsidR="00F21FF4" w:rsidRPr="006B3A71">
        <w:t xml:space="preserve">evaluation’s </w:t>
      </w:r>
      <w:r w:rsidRPr="006B3A71">
        <w:t>findings and in doing so committed to making further refinements to the foreign investment framework to ensure it remains fit for purpose.</w:t>
      </w:r>
    </w:p>
    <w:p w14:paraId="0750A6E5" w14:textId="77777777" w:rsidR="00F232C9" w:rsidRPr="006B3A71" w:rsidRDefault="00F232C9" w:rsidP="00000525">
      <w:pPr>
        <w:spacing w:before="240"/>
      </w:pPr>
      <w:r w:rsidRPr="006B3A71">
        <w:t>The Regulations give effect to this response by reducing the regulatory burden for foreign investors that engage in moneylending, invest in unlisted land entities or Australian media businesses, acquire shares or units under rights issues and other pro-rata offers, or transact on behalf of institutional investors as part of a custodian service.</w:t>
      </w:r>
      <w:r w:rsidRPr="006B3A71" w:rsidDel="00CB257F">
        <w:t xml:space="preserve"> </w:t>
      </w:r>
      <w:r w:rsidRPr="006B3A71">
        <w:t>Regulatory burden is reduced through amendments that refine the rules for the notification of these kinds of foreign investments, including raising thresholds and providing broader exemptions from foreign investment screening.</w:t>
      </w:r>
    </w:p>
    <w:p w14:paraId="7E22FB35" w14:textId="77777777" w:rsidR="001C688C" w:rsidRPr="006B3A71" w:rsidRDefault="001C688C" w:rsidP="00000525">
      <w:pPr>
        <w:pStyle w:val="Heading3"/>
      </w:pPr>
      <w:r w:rsidRPr="006B3A71">
        <w:t>Human rights implications</w:t>
      </w:r>
    </w:p>
    <w:p w14:paraId="1F0C14C5" w14:textId="19020CFB" w:rsidR="001C688C" w:rsidRPr="006B3A71" w:rsidRDefault="001C688C" w:rsidP="00000525">
      <w:pPr>
        <w:spacing w:before="240"/>
      </w:pPr>
      <w:r w:rsidRPr="006B3A71">
        <w:t>This Legislative Instrument</w:t>
      </w:r>
      <w:r w:rsidR="00C14AC1" w:rsidRPr="006B3A71">
        <w:t xml:space="preserve"> engages with the right to be free from discrimination.</w:t>
      </w:r>
    </w:p>
    <w:p w14:paraId="337B3634" w14:textId="4693B2B3" w:rsidR="00C14AC1" w:rsidRPr="006B3A71" w:rsidRDefault="00C14AC1" w:rsidP="00000525">
      <w:pPr>
        <w:spacing w:before="240"/>
      </w:pPr>
      <w:r w:rsidRPr="006B3A71">
        <w:t xml:space="preserve">Article 26 of the International Covenant on Civil and Political Rights (ICCPR) recognises that all persons are equal before the law and are entitled without discrimination to the equal protection of the law. Article 26 further provides that ‘the law shall prohibit any discrimination and guarantee to all persons equal and effective protection against discrimination on any ground such as national origin. However, the Human Rights Committee has recognised that ‘not every differentiation of treatment will constitute discrimination, if the criteria for such differentiation are reasonable and </w:t>
      </w:r>
      <w:r w:rsidRPr="006B3A71">
        <w:lastRenderedPageBreak/>
        <w:t>objective and if the aim is to achieve a purpose which is legitimate under the Covenant’.</w:t>
      </w:r>
    </w:p>
    <w:p w14:paraId="53948134" w14:textId="70250C6A" w:rsidR="00C14AC1" w:rsidRPr="006B3A71" w:rsidRDefault="00C14AC1" w:rsidP="00000525">
      <w:pPr>
        <w:spacing w:before="240"/>
      </w:pPr>
      <w:r w:rsidRPr="006B3A71">
        <w:t>The Regulation</w:t>
      </w:r>
      <w:r w:rsidR="00F21FF4" w:rsidRPr="006B3A71">
        <w:t>s</w:t>
      </w:r>
      <w:r w:rsidRPr="006B3A71">
        <w:t xml:space="preserve"> also generally engages the rights protected by the International Convention on the Elimination of All Forms of Racial Discrimination. Paragraph 1 of Article 1 of International Convention on the Elimination of All Forms of Racial Discrimination defines the term ‘racial discrimination’ to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 Under Article 2(a)(a) of the International Convention on the Elimination of All Forms of Racial Discrimination, </w:t>
      </w:r>
      <w:r w:rsidR="00F21FF4" w:rsidRPr="006B3A71">
        <w:t>‘</w:t>
      </w:r>
      <w:r w:rsidRPr="006B3A71">
        <w:t>Each State Party undertakes to engage in no act or practice of racial discrimination against persons, groups of persons or institutions and to ensure that all public authorities and public institutions, national and local shall act in conformity with this obligation’. Under Article 5 of International Convention on the Elimination of All Forms of Racial Discrimination</w:t>
      </w:r>
      <w:r w:rsidR="00506C5B" w:rsidRPr="006B3A71">
        <w:t>,</w:t>
      </w:r>
      <w:r w:rsidRPr="006B3A71">
        <w:t xml:space="preserve"> States Parties ‘undertake to prohibit and eliminate racial discrimination in all its forms and to guarantee the right of everyone, without distinction as to …national …origin, to equality before the law’ in the enjoyment of civil, political, economic, social and cultural rights, including the ‘right to own property alone as well as in association with others’.</w:t>
      </w:r>
    </w:p>
    <w:p w14:paraId="05B9AA59" w14:textId="452E577A" w:rsidR="00C14AC1" w:rsidRPr="006B3A71" w:rsidRDefault="00C14AC1" w:rsidP="00000525">
      <w:pPr>
        <w:spacing w:before="240"/>
      </w:pPr>
      <w:r w:rsidRPr="006B3A71">
        <w:t>The Regulation</w:t>
      </w:r>
      <w:r w:rsidR="00941FD8">
        <w:t>s</w:t>
      </w:r>
      <w:r w:rsidRPr="006B3A71">
        <w:t xml:space="preserve"> engage Article 26 of the ICCPR and Articles 2 and 5 of International Convention on the Elimination of All Forms of Racial Discrimination because the core obligations imposed by the Act and </w:t>
      </w:r>
      <w:r w:rsidR="00506C5B" w:rsidRPr="006B3A71">
        <w:t xml:space="preserve">the Principal </w:t>
      </w:r>
      <w:r w:rsidRPr="006B3A71">
        <w:t>Regulations apply to a ‘foreign person’. While an Australian citizen who is not ordinarily resident in Australia may be a ‘foreign person’ for the purposes of this Act, it is anticipated that the majority of individuals who are directly affected by this Regulation will not be Australian citizens.</w:t>
      </w:r>
    </w:p>
    <w:p w14:paraId="2386F74C" w14:textId="19D6D5D9" w:rsidR="00C14AC1" w:rsidRPr="006B3A71" w:rsidRDefault="00C14AC1" w:rsidP="00000525">
      <w:pPr>
        <w:spacing w:before="240"/>
      </w:pPr>
      <w:r w:rsidRPr="006B3A71">
        <w:t>While the Regulation</w:t>
      </w:r>
      <w:r w:rsidR="008A7CDB" w:rsidRPr="006B3A71">
        <w:t>s</w:t>
      </w:r>
      <w:r w:rsidRPr="006B3A71">
        <w:t xml:space="preserve"> will primarily affect individuals who are citizens of countries other than Australia, the Regulations streamline the administration of the Act and </w:t>
      </w:r>
      <w:r w:rsidR="00506C5B" w:rsidRPr="006B3A71">
        <w:t xml:space="preserve">Principal </w:t>
      </w:r>
      <w:r w:rsidRPr="006B3A71">
        <w:t>Regulations by clarifying concepts</w:t>
      </w:r>
      <w:r w:rsidR="00781BF3" w:rsidRPr="006B3A71">
        <w:t xml:space="preserve"> that represent lower risk to national interests</w:t>
      </w:r>
      <w:r w:rsidRPr="006B3A71">
        <w:t xml:space="preserve"> and broadening </w:t>
      </w:r>
      <w:r w:rsidR="00781BF3" w:rsidRPr="006B3A71">
        <w:t xml:space="preserve">the </w:t>
      </w:r>
      <w:r w:rsidRPr="006B3A71">
        <w:t xml:space="preserve">exemptions from </w:t>
      </w:r>
      <w:r w:rsidR="008A7CDB" w:rsidRPr="006B3A71">
        <w:t>the</w:t>
      </w:r>
      <w:r w:rsidR="00781BF3" w:rsidRPr="006B3A71">
        <w:t xml:space="preserve"> relevant</w:t>
      </w:r>
      <w:r w:rsidR="008A7CDB" w:rsidRPr="006B3A71">
        <w:t xml:space="preserve"> notification provisions under the Act.</w:t>
      </w:r>
    </w:p>
    <w:p w14:paraId="2D858E6D" w14:textId="77777777" w:rsidR="001C688C" w:rsidRPr="006B3A71" w:rsidRDefault="001C688C" w:rsidP="00000525">
      <w:pPr>
        <w:pStyle w:val="Heading3"/>
      </w:pPr>
      <w:r w:rsidRPr="006B3A71">
        <w:t>Conclusion</w:t>
      </w:r>
    </w:p>
    <w:p w14:paraId="77B5C2A9" w14:textId="7EB8AEC1" w:rsidR="001C688C" w:rsidRDefault="001C688C" w:rsidP="00000525">
      <w:pPr>
        <w:spacing w:before="240"/>
      </w:pPr>
      <w:r w:rsidRPr="006B3A71">
        <w:t xml:space="preserve">This Legislative Instrument is compatible with human rights as it </w:t>
      </w:r>
      <w:r w:rsidR="008A7CDB" w:rsidRPr="006B3A71">
        <w:t>promotes the right to be free from discrimination.</w:t>
      </w:r>
    </w:p>
    <w:p w14:paraId="675C7340" w14:textId="77777777" w:rsidR="00482B81" w:rsidRPr="002E26E8" w:rsidRDefault="00482B81" w:rsidP="00000525">
      <w:pPr>
        <w:spacing w:before="0" w:after="0"/>
        <w:rPr>
          <w:color w:val="000000" w:themeColor="text1"/>
        </w:rPr>
      </w:pPr>
    </w:p>
    <w:sectPr w:rsidR="00482B81" w:rsidRPr="002E26E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C4BF6" w14:textId="77777777" w:rsidR="00167E95" w:rsidRDefault="00167E95" w:rsidP="00954679">
      <w:pPr>
        <w:spacing w:before="0" w:after="0"/>
      </w:pPr>
      <w:r>
        <w:separator/>
      </w:r>
    </w:p>
  </w:endnote>
  <w:endnote w:type="continuationSeparator" w:id="0">
    <w:p w14:paraId="7B4673DC" w14:textId="77777777" w:rsidR="00167E95" w:rsidRDefault="00167E95" w:rsidP="00954679">
      <w:pPr>
        <w:spacing w:before="0" w:after="0"/>
      </w:pPr>
      <w:r>
        <w:continuationSeparator/>
      </w:r>
    </w:p>
  </w:endnote>
  <w:endnote w:type="continuationNotice" w:id="1">
    <w:p w14:paraId="68981743" w14:textId="77777777" w:rsidR="00167E95" w:rsidRDefault="00167E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704425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BB365" w14:textId="77777777" w:rsidR="00167E95" w:rsidRDefault="00167E95" w:rsidP="00954679">
      <w:pPr>
        <w:spacing w:before="0" w:after="0"/>
      </w:pPr>
      <w:r>
        <w:separator/>
      </w:r>
    </w:p>
  </w:footnote>
  <w:footnote w:type="continuationSeparator" w:id="0">
    <w:p w14:paraId="7703872C" w14:textId="77777777" w:rsidR="00167E95" w:rsidRDefault="00167E95" w:rsidP="00954679">
      <w:pPr>
        <w:spacing w:before="0" w:after="0"/>
      </w:pPr>
      <w:r>
        <w:continuationSeparator/>
      </w:r>
    </w:p>
  </w:footnote>
  <w:footnote w:type="continuationNotice" w:id="1">
    <w:p w14:paraId="201B0FA3" w14:textId="77777777" w:rsidR="00167E95" w:rsidRDefault="00167E9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B7F"/>
    <w:multiLevelType w:val="multilevel"/>
    <w:tmpl w:val="C75A7666"/>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FB287E"/>
    <w:multiLevelType w:val="multilevel"/>
    <w:tmpl w:val="7938D7DA"/>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C512B72"/>
    <w:multiLevelType w:val="hybridMultilevel"/>
    <w:tmpl w:val="D6842C34"/>
    <w:lvl w:ilvl="0" w:tplc="02B05A70">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6" w15:restartNumberingAfterBreak="0">
    <w:nsid w:val="67A43C0B"/>
    <w:multiLevelType w:val="multilevel"/>
    <w:tmpl w:val="1B062E4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7"/>
  </w:num>
  <w:num w:numId="8">
    <w:abstractNumId w:val="6"/>
  </w:num>
  <w:num w:numId="9">
    <w:abstractNumId w:val="4"/>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74"/>
    <w:rsid w:val="00000525"/>
    <w:rsid w:val="000006BB"/>
    <w:rsid w:val="00001981"/>
    <w:rsid w:val="0000352D"/>
    <w:rsid w:val="00004C2D"/>
    <w:rsid w:val="000077BC"/>
    <w:rsid w:val="00011314"/>
    <w:rsid w:val="00011665"/>
    <w:rsid w:val="000123B1"/>
    <w:rsid w:val="00013390"/>
    <w:rsid w:val="00013A83"/>
    <w:rsid w:val="00015928"/>
    <w:rsid w:val="00016EA2"/>
    <w:rsid w:val="000224BA"/>
    <w:rsid w:val="00023A87"/>
    <w:rsid w:val="0002550C"/>
    <w:rsid w:val="000275CA"/>
    <w:rsid w:val="00031180"/>
    <w:rsid w:val="000314B3"/>
    <w:rsid w:val="0003429C"/>
    <w:rsid w:val="000345D5"/>
    <w:rsid w:val="000346B7"/>
    <w:rsid w:val="0004198B"/>
    <w:rsid w:val="00044BF0"/>
    <w:rsid w:val="00044F3F"/>
    <w:rsid w:val="00046F8B"/>
    <w:rsid w:val="00047992"/>
    <w:rsid w:val="000500F2"/>
    <w:rsid w:val="00050113"/>
    <w:rsid w:val="00051146"/>
    <w:rsid w:val="00064AEA"/>
    <w:rsid w:val="00064CBB"/>
    <w:rsid w:val="00070DAC"/>
    <w:rsid w:val="00071118"/>
    <w:rsid w:val="000741C3"/>
    <w:rsid w:val="00075E70"/>
    <w:rsid w:val="00076178"/>
    <w:rsid w:val="000762F6"/>
    <w:rsid w:val="000801FA"/>
    <w:rsid w:val="00081503"/>
    <w:rsid w:val="000816DF"/>
    <w:rsid w:val="00082964"/>
    <w:rsid w:val="000833FE"/>
    <w:rsid w:val="000903E2"/>
    <w:rsid w:val="00092519"/>
    <w:rsid w:val="000939D6"/>
    <w:rsid w:val="000944E5"/>
    <w:rsid w:val="00095211"/>
    <w:rsid w:val="00095B63"/>
    <w:rsid w:val="00095CB7"/>
    <w:rsid w:val="00096A63"/>
    <w:rsid w:val="000A12FF"/>
    <w:rsid w:val="000A1FD7"/>
    <w:rsid w:val="000A6703"/>
    <w:rsid w:val="000B0B21"/>
    <w:rsid w:val="000B3059"/>
    <w:rsid w:val="000B3921"/>
    <w:rsid w:val="000B39A1"/>
    <w:rsid w:val="000B4209"/>
    <w:rsid w:val="000B43A6"/>
    <w:rsid w:val="000B4D27"/>
    <w:rsid w:val="000B4E9F"/>
    <w:rsid w:val="000B69F0"/>
    <w:rsid w:val="000B6DAA"/>
    <w:rsid w:val="000C10DF"/>
    <w:rsid w:val="000C120E"/>
    <w:rsid w:val="000C1AE9"/>
    <w:rsid w:val="000C449E"/>
    <w:rsid w:val="000C5126"/>
    <w:rsid w:val="000C53A0"/>
    <w:rsid w:val="000C6935"/>
    <w:rsid w:val="000C73AF"/>
    <w:rsid w:val="000D65BD"/>
    <w:rsid w:val="000E0002"/>
    <w:rsid w:val="000E0F67"/>
    <w:rsid w:val="000E1C9F"/>
    <w:rsid w:val="000E30D5"/>
    <w:rsid w:val="000E32E3"/>
    <w:rsid w:val="000E361A"/>
    <w:rsid w:val="000E49C7"/>
    <w:rsid w:val="000E5F10"/>
    <w:rsid w:val="000F2879"/>
    <w:rsid w:val="000F32B2"/>
    <w:rsid w:val="000F59EE"/>
    <w:rsid w:val="000F7D61"/>
    <w:rsid w:val="00100A2B"/>
    <w:rsid w:val="00101AFB"/>
    <w:rsid w:val="001055D4"/>
    <w:rsid w:val="0010591A"/>
    <w:rsid w:val="00105A06"/>
    <w:rsid w:val="00107358"/>
    <w:rsid w:val="001075E6"/>
    <w:rsid w:val="00107EAD"/>
    <w:rsid w:val="00113B45"/>
    <w:rsid w:val="001146BC"/>
    <w:rsid w:val="00114DB8"/>
    <w:rsid w:val="0011664B"/>
    <w:rsid w:val="00116680"/>
    <w:rsid w:val="00116D81"/>
    <w:rsid w:val="00120183"/>
    <w:rsid w:val="0012110D"/>
    <w:rsid w:val="00121558"/>
    <w:rsid w:val="001259AF"/>
    <w:rsid w:val="0012602F"/>
    <w:rsid w:val="00126262"/>
    <w:rsid w:val="0012670A"/>
    <w:rsid w:val="00127404"/>
    <w:rsid w:val="0013011E"/>
    <w:rsid w:val="001304F6"/>
    <w:rsid w:val="00130C2B"/>
    <w:rsid w:val="001333C2"/>
    <w:rsid w:val="00133495"/>
    <w:rsid w:val="00136E78"/>
    <w:rsid w:val="001414C9"/>
    <w:rsid w:val="00142B92"/>
    <w:rsid w:val="00143E94"/>
    <w:rsid w:val="001461C2"/>
    <w:rsid w:val="00146C2F"/>
    <w:rsid w:val="00147886"/>
    <w:rsid w:val="00152358"/>
    <w:rsid w:val="001528D3"/>
    <w:rsid w:val="00153B4D"/>
    <w:rsid w:val="00154616"/>
    <w:rsid w:val="001562F2"/>
    <w:rsid w:val="00156BDE"/>
    <w:rsid w:val="001578BC"/>
    <w:rsid w:val="00157929"/>
    <w:rsid w:val="00160885"/>
    <w:rsid w:val="0016140B"/>
    <w:rsid w:val="00161A1A"/>
    <w:rsid w:val="001664EF"/>
    <w:rsid w:val="001668E5"/>
    <w:rsid w:val="00167E95"/>
    <w:rsid w:val="00170A30"/>
    <w:rsid w:val="00170E2B"/>
    <w:rsid w:val="00171BAD"/>
    <w:rsid w:val="0017366F"/>
    <w:rsid w:val="001739A1"/>
    <w:rsid w:val="00175010"/>
    <w:rsid w:val="001766C9"/>
    <w:rsid w:val="001773B4"/>
    <w:rsid w:val="00180E76"/>
    <w:rsid w:val="001812A1"/>
    <w:rsid w:val="00181F65"/>
    <w:rsid w:val="00182F0C"/>
    <w:rsid w:val="0018574F"/>
    <w:rsid w:val="0018625E"/>
    <w:rsid w:val="00190A61"/>
    <w:rsid w:val="00190CB5"/>
    <w:rsid w:val="001923F4"/>
    <w:rsid w:val="0019399E"/>
    <w:rsid w:val="001A0981"/>
    <w:rsid w:val="001A0CA8"/>
    <w:rsid w:val="001A20FA"/>
    <w:rsid w:val="001A25A5"/>
    <w:rsid w:val="001A64D5"/>
    <w:rsid w:val="001A6C8B"/>
    <w:rsid w:val="001A76D2"/>
    <w:rsid w:val="001B05A4"/>
    <w:rsid w:val="001B07C9"/>
    <w:rsid w:val="001B110B"/>
    <w:rsid w:val="001B4A0C"/>
    <w:rsid w:val="001B4B8D"/>
    <w:rsid w:val="001B557A"/>
    <w:rsid w:val="001B6825"/>
    <w:rsid w:val="001B6FCD"/>
    <w:rsid w:val="001B7535"/>
    <w:rsid w:val="001C15BD"/>
    <w:rsid w:val="001C2D4F"/>
    <w:rsid w:val="001C422A"/>
    <w:rsid w:val="001C53E0"/>
    <w:rsid w:val="001C688C"/>
    <w:rsid w:val="001C6E1E"/>
    <w:rsid w:val="001C7848"/>
    <w:rsid w:val="001D4AFB"/>
    <w:rsid w:val="001D59D8"/>
    <w:rsid w:val="001D5A50"/>
    <w:rsid w:val="001D61BE"/>
    <w:rsid w:val="001D61E8"/>
    <w:rsid w:val="001E00AD"/>
    <w:rsid w:val="001E43D4"/>
    <w:rsid w:val="001E4993"/>
    <w:rsid w:val="001E58A3"/>
    <w:rsid w:val="001E6A74"/>
    <w:rsid w:val="001E7115"/>
    <w:rsid w:val="001E7F82"/>
    <w:rsid w:val="001F02FB"/>
    <w:rsid w:val="001F0FF2"/>
    <w:rsid w:val="001F371D"/>
    <w:rsid w:val="001F41D0"/>
    <w:rsid w:val="001F6C6E"/>
    <w:rsid w:val="001F7664"/>
    <w:rsid w:val="00200A54"/>
    <w:rsid w:val="00212E51"/>
    <w:rsid w:val="00213DAF"/>
    <w:rsid w:val="00213EFB"/>
    <w:rsid w:val="002167FF"/>
    <w:rsid w:val="00220F16"/>
    <w:rsid w:val="002215FB"/>
    <w:rsid w:val="00226946"/>
    <w:rsid w:val="00226AA1"/>
    <w:rsid w:val="00227D1A"/>
    <w:rsid w:val="00227F4B"/>
    <w:rsid w:val="002303DB"/>
    <w:rsid w:val="00241C67"/>
    <w:rsid w:val="00242456"/>
    <w:rsid w:val="00245719"/>
    <w:rsid w:val="0024757A"/>
    <w:rsid w:val="002503E1"/>
    <w:rsid w:val="002508A1"/>
    <w:rsid w:val="0025391C"/>
    <w:rsid w:val="00254C5B"/>
    <w:rsid w:val="00264CF4"/>
    <w:rsid w:val="00266353"/>
    <w:rsid w:val="002742D3"/>
    <w:rsid w:val="00275134"/>
    <w:rsid w:val="00275371"/>
    <w:rsid w:val="00277A8E"/>
    <w:rsid w:val="00280286"/>
    <w:rsid w:val="00281564"/>
    <w:rsid w:val="002816E4"/>
    <w:rsid w:val="002832C5"/>
    <w:rsid w:val="0028401A"/>
    <w:rsid w:val="00284350"/>
    <w:rsid w:val="002851F6"/>
    <w:rsid w:val="00285C62"/>
    <w:rsid w:val="00286896"/>
    <w:rsid w:val="00287074"/>
    <w:rsid w:val="00293740"/>
    <w:rsid w:val="002974F8"/>
    <w:rsid w:val="002A07D7"/>
    <w:rsid w:val="002A32FD"/>
    <w:rsid w:val="002A3CE9"/>
    <w:rsid w:val="002A4F09"/>
    <w:rsid w:val="002A7070"/>
    <w:rsid w:val="002A7E1F"/>
    <w:rsid w:val="002B0B31"/>
    <w:rsid w:val="002B1772"/>
    <w:rsid w:val="002B2755"/>
    <w:rsid w:val="002B29A3"/>
    <w:rsid w:val="002B45F9"/>
    <w:rsid w:val="002B591E"/>
    <w:rsid w:val="002B5F5F"/>
    <w:rsid w:val="002B67C9"/>
    <w:rsid w:val="002C11A9"/>
    <w:rsid w:val="002C148E"/>
    <w:rsid w:val="002C14A1"/>
    <w:rsid w:val="002C226C"/>
    <w:rsid w:val="002C32D3"/>
    <w:rsid w:val="002C35EE"/>
    <w:rsid w:val="002C5C12"/>
    <w:rsid w:val="002C7598"/>
    <w:rsid w:val="002D0798"/>
    <w:rsid w:val="002D23B7"/>
    <w:rsid w:val="002D340A"/>
    <w:rsid w:val="002D3AA0"/>
    <w:rsid w:val="002D3BA4"/>
    <w:rsid w:val="002D4B14"/>
    <w:rsid w:val="002D4CF5"/>
    <w:rsid w:val="002D4D1F"/>
    <w:rsid w:val="002D5205"/>
    <w:rsid w:val="002D655B"/>
    <w:rsid w:val="002D749B"/>
    <w:rsid w:val="002D770C"/>
    <w:rsid w:val="002E026D"/>
    <w:rsid w:val="002E26E8"/>
    <w:rsid w:val="002E398A"/>
    <w:rsid w:val="002E4B54"/>
    <w:rsid w:val="002E4DF6"/>
    <w:rsid w:val="002E7208"/>
    <w:rsid w:val="002F004E"/>
    <w:rsid w:val="002F20A2"/>
    <w:rsid w:val="002F2AAB"/>
    <w:rsid w:val="002F367E"/>
    <w:rsid w:val="002F66FE"/>
    <w:rsid w:val="00302711"/>
    <w:rsid w:val="00302D57"/>
    <w:rsid w:val="00303425"/>
    <w:rsid w:val="00304048"/>
    <w:rsid w:val="003041FA"/>
    <w:rsid w:val="00304875"/>
    <w:rsid w:val="0030589A"/>
    <w:rsid w:val="003063B5"/>
    <w:rsid w:val="0030770C"/>
    <w:rsid w:val="00310839"/>
    <w:rsid w:val="00311F25"/>
    <w:rsid w:val="00312C67"/>
    <w:rsid w:val="00315584"/>
    <w:rsid w:val="00315E7B"/>
    <w:rsid w:val="003204E0"/>
    <w:rsid w:val="00321423"/>
    <w:rsid w:val="00322A8F"/>
    <w:rsid w:val="00324040"/>
    <w:rsid w:val="00330908"/>
    <w:rsid w:val="0033196D"/>
    <w:rsid w:val="003337E9"/>
    <w:rsid w:val="00333A18"/>
    <w:rsid w:val="003342CD"/>
    <w:rsid w:val="00335042"/>
    <w:rsid w:val="0034226A"/>
    <w:rsid w:val="00343C71"/>
    <w:rsid w:val="0035075F"/>
    <w:rsid w:val="0035199E"/>
    <w:rsid w:val="003532A1"/>
    <w:rsid w:val="00354B19"/>
    <w:rsid w:val="00354C53"/>
    <w:rsid w:val="00355271"/>
    <w:rsid w:val="003557B7"/>
    <w:rsid w:val="00355E51"/>
    <w:rsid w:val="0036040C"/>
    <w:rsid w:val="0036199E"/>
    <w:rsid w:val="00362B70"/>
    <w:rsid w:val="003633C0"/>
    <w:rsid w:val="00363FA1"/>
    <w:rsid w:val="00364DC3"/>
    <w:rsid w:val="0036513D"/>
    <w:rsid w:val="00365BF8"/>
    <w:rsid w:val="00371BE9"/>
    <w:rsid w:val="003737E6"/>
    <w:rsid w:val="00373B5A"/>
    <w:rsid w:val="00373E5A"/>
    <w:rsid w:val="0037655D"/>
    <w:rsid w:val="003778DF"/>
    <w:rsid w:val="00380EE4"/>
    <w:rsid w:val="00383406"/>
    <w:rsid w:val="00383789"/>
    <w:rsid w:val="00385EE3"/>
    <w:rsid w:val="00386B29"/>
    <w:rsid w:val="00386DEC"/>
    <w:rsid w:val="0038781D"/>
    <w:rsid w:val="003906AF"/>
    <w:rsid w:val="003907D2"/>
    <w:rsid w:val="003909DA"/>
    <w:rsid w:val="00390A06"/>
    <w:rsid w:val="0039197C"/>
    <w:rsid w:val="00391DCB"/>
    <w:rsid w:val="00391FDE"/>
    <w:rsid w:val="003923A2"/>
    <w:rsid w:val="003924AC"/>
    <w:rsid w:val="00392BBA"/>
    <w:rsid w:val="003942CA"/>
    <w:rsid w:val="003954FD"/>
    <w:rsid w:val="00396D90"/>
    <w:rsid w:val="003A1381"/>
    <w:rsid w:val="003A1AB4"/>
    <w:rsid w:val="003A1CED"/>
    <w:rsid w:val="003A1F9F"/>
    <w:rsid w:val="003A2526"/>
    <w:rsid w:val="003A2B06"/>
    <w:rsid w:val="003A39F7"/>
    <w:rsid w:val="003A3DD2"/>
    <w:rsid w:val="003A416C"/>
    <w:rsid w:val="003A65A6"/>
    <w:rsid w:val="003A765F"/>
    <w:rsid w:val="003B077C"/>
    <w:rsid w:val="003B2002"/>
    <w:rsid w:val="003B31B1"/>
    <w:rsid w:val="003B36E7"/>
    <w:rsid w:val="003B437F"/>
    <w:rsid w:val="003B4A96"/>
    <w:rsid w:val="003C2A73"/>
    <w:rsid w:val="003C41DA"/>
    <w:rsid w:val="003C45BC"/>
    <w:rsid w:val="003C45D7"/>
    <w:rsid w:val="003C5F6B"/>
    <w:rsid w:val="003C68E7"/>
    <w:rsid w:val="003C7907"/>
    <w:rsid w:val="003D012D"/>
    <w:rsid w:val="003D1416"/>
    <w:rsid w:val="003D60D7"/>
    <w:rsid w:val="003D724B"/>
    <w:rsid w:val="003D7FC7"/>
    <w:rsid w:val="003E118A"/>
    <w:rsid w:val="003E1CE3"/>
    <w:rsid w:val="003E23BE"/>
    <w:rsid w:val="003E540E"/>
    <w:rsid w:val="003E6CFF"/>
    <w:rsid w:val="003E7FC9"/>
    <w:rsid w:val="003F2AB0"/>
    <w:rsid w:val="003F482E"/>
    <w:rsid w:val="003F58C4"/>
    <w:rsid w:val="00400374"/>
    <w:rsid w:val="0040152E"/>
    <w:rsid w:val="00402DAC"/>
    <w:rsid w:val="00404477"/>
    <w:rsid w:val="00406CD9"/>
    <w:rsid w:val="00406D1E"/>
    <w:rsid w:val="00407772"/>
    <w:rsid w:val="00407BD8"/>
    <w:rsid w:val="004110DF"/>
    <w:rsid w:val="0041147D"/>
    <w:rsid w:val="00412284"/>
    <w:rsid w:val="00413233"/>
    <w:rsid w:val="00416260"/>
    <w:rsid w:val="0041628C"/>
    <w:rsid w:val="00416C6B"/>
    <w:rsid w:val="004231F4"/>
    <w:rsid w:val="00423886"/>
    <w:rsid w:val="00426822"/>
    <w:rsid w:val="00426BF6"/>
    <w:rsid w:val="0042761F"/>
    <w:rsid w:val="004303B6"/>
    <w:rsid w:val="00430DDC"/>
    <w:rsid w:val="00431A7D"/>
    <w:rsid w:val="004452BC"/>
    <w:rsid w:val="004458F2"/>
    <w:rsid w:val="00446E36"/>
    <w:rsid w:val="0045001A"/>
    <w:rsid w:val="004513D9"/>
    <w:rsid w:val="00454939"/>
    <w:rsid w:val="00454D65"/>
    <w:rsid w:val="00455CFF"/>
    <w:rsid w:val="00457674"/>
    <w:rsid w:val="00462095"/>
    <w:rsid w:val="00462AE9"/>
    <w:rsid w:val="004632B0"/>
    <w:rsid w:val="00463E37"/>
    <w:rsid w:val="00464CA7"/>
    <w:rsid w:val="0047055B"/>
    <w:rsid w:val="004735B6"/>
    <w:rsid w:val="00474077"/>
    <w:rsid w:val="004754FF"/>
    <w:rsid w:val="0047649E"/>
    <w:rsid w:val="00477AA6"/>
    <w:rsid w:val="00482317"/>
    <w:rsid w:val="00482B81"/>
    <w:rsid w:val="00482BB1"/>
    <w:rsid w:val="00482D4C"/>
    <w:rsid w:val="00484AC4"/>
    <w:rsid w:val="00486290"/>
    <w:rsid w:val="0048654E"/>
    <w:rsid w:val="0048729D"/>
    <w:rsid w:val="00487C59"/>
    <w:rsid w:val="00491567"/>
    <w:rsid w:val="00492880"/>
    <w:rsid w:val="00493706"/>
    <w:rsid w:val="00494C18"/>
    <w:rsid w:val="00496EC4"/>
    <w:rsid w:val="004973E9"/>
    <w:rsid w:val="004979C5"/>
    <w:rsid w:val="004A06A1"/>
    <w:rsid w:val="004A06DF"/>
    <w:rsid w:val="004A1885"/>
    <w:rsid w:val="004A3C8A"/>
    <w:rsid w:val="004A4663"/>
    <w:rsid w:val="004A7028"/>
    <w:rsid w:val="004A78D7"/>
    <w:rsid w:val="004B2774"/>
    <w:rsid w:val="004B34D0"/>
    <w:rsid w:val="004B3C0F"/>
    <w:rsid w:val="004B540A"/>
    <w:rsid w:val="004B5532"/>
    <w:rsid w:val="004B7CDA"/>
    <w:rsid w:val="004C058E"/>
    <w:rsid w:val="004C05E4"/>
    <w:rsid w:val="004C0AFF"/>
    <w:rsid w:val="004C1764"/>
    <w:rsid w:val="004C43A0"/>
    <w:rsid w:val="004C48C3"/>
    <w:rsid w:val="004C4AD5"/>
    <w:rsid w:val="004C689B"/>
    <w:rsid w:val="004C6C11"/>
    <w:rsid w:val="004C6E73"/>
    <w:rsid w:val="004D160F"/>
    <w:rsid w:val="004D17A6"/>
    <w:rsid w:val="004D21E8"/>
    <w:rsid w:val="004E16CB"/>
    <w:rsid w:val="004E20BD"/>
    <w:rsid w:val="004E23E0"/>
    <w:rsid w:val="004E39E1"/>
    <w:rsid w:val="004E5F6A"/>
    <w:rsid w:val="004E777F"/>
    <w:rsid w:val="004F0D85"/>
    <w:rsid w:val="004F102F"/>
    <w:rsid w:val="004F168F"/>
    <w:rsid w:val="004F33C0"/>
    <w:rsid w:val="004F39FB"/>
    <w:rsid w:val="004F3D84"/>
    <w:rsid w:val="004F56D0"/>
    <w:rsid w:val="004F6B6B"/>
    <w:rsid w:val="004F7197"/>
    <w:rsid w:val="005012A1"/>
    <w:rsid w:val="005013FB"/>
    <w:rsid w:val="0050274B"/>
    <w:rsid w:val="00503E44"/>
    <w:rsid w:val="00506C5B"/>
    <w:rsid w:val="005108DF"/>
    <w:rsid w:val="00510EBC"/>
    <w:rsid w:val="00511BF8"/>
    <w:rsid w:val="00513244"/>
    <w:rsid w:val="005132E1"/>
    <w:rsid w:val="0051357C"/>
    <w:rsid w:val="00515040"/>
    <w:rsid w:val="00515283"/>
    <w:rsid w:val="00515E95"/>
    <w:rsid w:val="0051617B"/>
    <w:rsid w:val="005178F9"/>
    <w:rsid w:val="005207CE"/>
    <w:rsid w:val="0052166F"/>
    <w:rsid w:val="00522720"/>
    <w:rsid w:val="00526FC9"/>
    <w:rsid w:val="00531169"/>
    <w:rsid w:val="00533926"/>
    <w:rsid w:val="0053774A"/>
    <w:rsid w:val="00537BA6"/>
    <w:rsid w:val="005458EE"/>
    <w:rsid w:val="005469BE"/>
    <w:rsid w:val="005522D8"/>
    <w:rsid w:val="00553AE2"/>
    <w:rsid w:val="00555C12"/>
    <w:rsid w:val="00555E6C"/>
    <w:rsid w:val="005565A9"/>
    <w:rsid w:val="0055675D"/>
    <w:rsid w:val="0056042C"/>
    <w:rsid w:val="0056122D"/>
    <w:rsid w:val="00566E8F"/>
    <w:rsid w:val="005702CA"/>
    <w:rsid w:val="00571761"/>
    <w:rsid w:val="00571782"/>
    <w:rsid w:val="00572CEB"/>
    <w:rsid w:val="0057422E"/>
    <w:rsid w:val="005745EF"/>
    <w:rsid w:val="00576F16"/>
    <w:rsid w:val="00580CCB"/>
    <w:rsid w:val="005833BE"/>
    <w:rsid w:val="005839E1"/>
    <w:rsid w:val="00584F63"/>
    <w:rsid w:val="00586162"/>
    <w:rsid w:val="00587410"/>
    <w:rsid w:val="00591331"/>
    <w:rsid w:val="005922FB"/>
    <w:rsid w:val="005934BC"/>
    <w:rsid w:val="0059401B"/>
    <w:rsid w:val="00595520"/>
    <w:rsid w:val="005A1344"/>
    <w:rsid w:val="005A1F47"/>
    <w:rsid w:val="005A5FD2"/>
    <w:rsid w:val="005A6246"/>
    <w:rsid w:val="005B1950"/>
    <w:rsid w:val="005B3C96"/>
    <w:rsid w:val="005B5830"/>
    <w:rsid w:val="005B597E"/>
    <w:rsid w:val="005B65C6"/>
    <w:rsid w:val="005B6B6A"/>
    <w:rsid w:val="005B6BD7"/>
    <w:rsid w:val="005B7411"/>
    <w:rsid w:val="005B759A"/>
    <w:rsid w:val="005C0084"/>
    <w:rsid w:val="005C1FC7"/>
    <w:rsid w:val="005C2879"/>
    <w:rsid w:val="005C3502"/>
    <w:rsid w:val="005C3AEF"/>
    <w:rsid w:val="005C55A0"/>
    <w:rsid w:val="005D196D"/>
    <w:rsid w:val="005D1B42"/>
    <w:rsid w:val="005D2A26"/>
    <w:rsid w:val="005D2EE8"/>
    <w:rsid w:val="005D30A6"/>
    <w:rsid w:val="005D3D4D"/>
    <w:rsid w:val="005D71B9"/>
    <w:rsid w:val="005D74A5"/>
    <w:rsid w:val="005D79A5"/>
    <w:rsid w:val="005D7D5A"/>
    <w:rsid w:val="005E2793"/>
    <w:rsid w:val="005E4B0F"/>
    <w:rsid w:val="005E4BAC"/>
    <w:rsid w:val="005E6684"/>
    <w:rsid w:val="005F09AF"/>
    <w:rsid w:val="005F37EB"/>
    <w:rsid w:val="005F3837"/>
    <w:rsid w:val="005F43F0"/>
    <w:rsid w:val="005F480D"/>
    <w:rsid w:val="005F4965"/>
    <w:rsid w:val="005F5139"/>
    <w:rsid w:val="005F6572"/>
    <w:rsid w:val="005F65B3"/>
    <w:rsid w:val="005F7F34"/>
    <w:rsid w:val="0060130D"/>
    <w:rsid w:val="0060383F"/>
    <w:rsid w:val="00603BF1"/>
    <w:rsid w:val="00603F0C"/>
    <w:rsid w:val="00605EA2"/>
    <w:rsid w:val="00606DE9"/>
    <w:rsid w:val="006108C9"/>
    <w:rsid w:val="00613343"/>
    <w:rsid w:val="0061481D"/>
    <w:rsid w:val="00622909"/>
    <w:rsid w:val="00623E52"/>
    <w:rsid w:val="00624273"/>
    <w:rsid w:val="00624B75"/>
    <w:rsid w:val="00626982"/>
    <w:rsid w:val="00626CB5"/>
    <w:rsid w:val="00627B9E"/>
    <w:rsid w:val="006303AA"/>
    <w:rsid w:val="00630EE6"/>
    <w:rsid w:val="00631F22"/>
    <w:rsid w:val="006355B7"/>
    <w:rsid w:val="00635718"/>
    <w:rsid w:val="00636B4B"/>
    <w:rsid w:val="006373C2"/>
    <w:rsid w:val="00640E86"/>
    <w:rsid w:val="00640F39"/>
    <w:rsid w:val="0064129F"/>
    <w:rsid w:val="00643430"/>
    <w:rsid w:val="00644F19"/>
    <w:rsid w:val="00645114"/>
    <w:rsid w:val="00645B10"/>
    <w:rsid w:val="00647BB7"/>
    <w:rsid w:val="0065007F"/>
    <w:rsid w:val="00654BC9"/>
    <w:rsid w:val="00657DB3"/>
    <w:rsid w:val="00657F52"/>
    <w:rsid w:val="006630EE"/>
    <w:rsid w:val="00664A79"/>
    <w:rsid w:val="00665BBF"/>
    <w:rsid w:val="0066731F"/>
    <w:rsid w:val="006705B9"/>
    <w:rsid w:val="00670DAF"/>
    <w:rsid w:val="006726AE"/>
    <w:rsid w:val="0067455E"/>
    <w:rsid w:val="00680297"/>
    <w:rsid w:val="006802FA"/>
    <w:rsid w:val="00683558"/>
    <w:rsid w:val="00684FAD"/>
    <w:rsid w:val="006858AB"/>
    <w:rsid w:val="006873CE"/>
    <w:rsid w:val="00687685"/>
    <w:rsid w:val="00687779"/>
    <w:rsid w:val="0069172F"/>
    <w:rsid w:val="006951FA"/>
    <w:rsid w:val="00696529"/>
    <w:rsid w:val="00697E62"/>
    <w:rsid w:val="006A0033"/>
    <w:rsid w:val="006A0786"/>
    <w:rsid w:val="006A1D87"/>
    <w:rsid w:val="006A4B98"/>
    <w:rsid w:val="006A7D2F"/>
    <w:rsid w:val="006B0F29"/>
    <w:rsid w:val="006B2511"/>
    <w:rsid w:val="006B3A71"/>
    <w:rsid w:val="006B4C0B"/>
    <w:rsid w:val="006B7C3B"/>
    <w:rsid w:val="006C09B5"/>
    <w:rsid w:val="006C131A"/>
    <w:rsid w:val="006C228D"/>
    <w:rsid w:val="006C2681"/>
    <w:rsid w:val="006C4AA0"/>
    <w:rsid w:val="006C7836"/>
    <w:rsid w:val="006D00F2"/>
    <w:rsid w:val="006D1939"/>
    <w:rsid w:val="006D1FE7"/>
    <w:rsid w:val="006D21B1"/>
    <w:rsid w:val="006D4769"/>
    <w:rsid w:val="006D611D"/>
    <w:rsid w:val="006D7A98"/>
    <w:rsid w:val="006E072C"/>
    <w:rsid w:val="006E15FD"/>
    <w:rsid w:val="006E2543"/>
    <w:rsid w:val="006E31C1"/>
    <w:rsid w:val="006E3637"/>
    <w:rsid w:val="006E4680"/>
    <w:rsid w:val="006E6273"/>
    <w:rsid w:val="006E7A2C"/>
    <w:rsid w:val="006F10C8"/>
    <w:rsid w:val="006F2CFF"/>
    <w:rsid w:val="006F3078"/>
    <w:rsid w:val="006F3600"/>
    <w:rsid w:val="006F3804"/>
    <w:rsid w:val="006F5F05"/>
    <w:rsid w:val="006F6354"/>
    <w:rsid w:val="006F75F0"/>
    <w:rsid w:val="007009B9"/>
    <w:rsid w:val="00701486"/>
    <w:rsid w:val="00703047"/>
    <w:rsid w:val="007036D0"/>
    <w:rsid w:val="00703D7D"/>
    <w:rsid w:val="007045EA"/>
    <w:rsid w:val="00707285"/>
    <w:rsid w:val="0071021C"/>
    <w:rsid w:val="00710E94"/>
    <w:rsid w:val="007110D0"/>
    <w:rsid w:val="00712278"/>
    <w:rsid w:val="00712D40"/>
    <w:rsid w:val="00713BFA"/>
    <w:rsid w:val="00715262"/>
    <w:rsid w:val="00715E65"/>
    <w:rsid w:val="00715ECC"/>
    <w:rsid w:val="00717214"/>
    <w:rsid w:val="00717BF3"/>
    <w:rsid w:val="00717F50"/>
    <w:rsid w:val="00720047"/>
    <w:rsid w:val="00721F56"/>
    <w:rsid w:val="007250B5"/>
    <w:rsid w:val="00726189"/>
    <w:rsid w:val="00727D8A"/>
    <w:rsid w:val="00730618"/>
    <w:rsid w:val="00730F6D"/>
    <w:rsid w:val="0073133F"/>
    <w:rsid w:val="00731455"/>
    <w:rsid w:val="00731FEA"/>
    <w:rsid w:val="00735BAD"/>
    <w:rsid w:val="00736F61"/>
    <w:rsid w:val="00742253"/>
    <w:rsid w:val="00745E79"/>
    <w:rsid w:val="00745F81"/>
    <w:rsid w:val="00746EDE"/>
    <w:rsid w:val="0075091B"/>
    <w:rsid w:val="00751A3F"/>
    <w:rsid w:val="00752C0D"/>
    <w:rsid w:val="007540E5"/>
    <w:rsid w:val="007566CC"/>
    <w:rsid w:val="0076135D"/>
    <w:rsid w:val="00761667"/>
    <w:rsid w:val="00762878"/>
    <w:rsid w:val="00762EA6"/>
    <w:rsid w:val="007662C7"/>
    <w:rsid w:val="0076631A"/>
    <w:rsid w:val="00766389"/>
    <w:rsid w:val="00766C56"/>
    <w:rsid w:val="007678BB"/>
    <w:rsid w:val="00770E82"/>
    <w:rsid w:val="00771FE1"/>
    <w:rsid w:val="00773A9C"/>
    <w:rsid w:val="00774A47"/>
    <w:rsid w:val="0077536C"/>
    <w:rsid w:val="00776306"/>
    <w:rsid w:val="007804B0"/>
    <w:rsid w:val="007811CF"/>
    <w:rsid w:val="00781BF3"/>
    <w:rsid w:val="007846E0"/>
    <w:rsid w:val="00787939"/>
    <w:rsid w:val="00790CE4"/>
    <w:rsid w:val="00791B84"/>
    <w:rsid w:val="0079285D"/>
    <w:rsid w:val="007934D4"/>
    <w:rsid w:val="00795B6E"/>
    <w:rsid w:val="007977D6"/>
    <w:rsid w:val="007A0C9E"/>
    <w:rsid w:val="007A2449"/>
    <w:rsid w:val="007A3243"/>
    <w:rsid w:val="007A55A7"/>
    <w:rsid w:val="007A64B2"/>
    <w:rsid w:val="007A7776"/>
    <w:rsid w:val="007B1F10"/>
    <w:rsid w:val="007B2CEE"/>
    <w:rsid w:val="007B31C7"/>
    <w:rsid w:val="007B335E"/>
    <w:rsid w:val="007B5F7F"/>
    <w:rsid w:val="007B7C3E"/>
    <w:rsid w:val="007C033D"/>
    <w:rsid w:val="007C09F6"/>
    <w:rsid w:val="007C1B1D"/>
    <w:rsid w:val="007C303F"/>
    <w:rsid w:val="007C4653"/>
    <w:rsid w:val="007C51CA"/>
    <w:rsid w:val="007C7B48"/>
    <w:rsid w:val="007D1700"/>
    <w:rsid w:val="007D3FB5"/>
    <w:rsid w:val="007D6F69"/>
    <w:rsid w:val="007D7060"/>
    <w:rsid w:val="007E018D"/>
    <w:rsid w:val="007E3D30"/>
    <w:rsid w:val="007E7D0F"/>
    <w:rsid w:val="007F08D3"/>
    <w:rsid w:val="007F1575"/>
    <w:rsid w:val="007F1B71"/>
    <w:rsid w:val="007F2853"/>
    <w:rsid w:val="007F437B"/>
    <w:rsid w:val="007F4D43"/>
    <w:rsid w:val="007F5D0F"/>
    <w:rsid w:val="007F6C25"/>
    <w:rsid w:val="007F7BAB"/>
    <w:rsid w:val="00802166"/>
    <w:rsid w:val="008021F0"/>
    <w:rsid w:val="00803088"/>
    <w:rsid w:val="008035A8"/>
    <w:rsid w:val="00804E41"/>
    <w:rsid w:val="00807E7D"/>
    <w:rsid w:val="0081112D"/>
    <w:rsid w:val="008111A6"/>
    <w:rsid w:val="0081128C"/>
    <w:rsid w:val="0081171C"/>
    <w:rsid w:val="00811975"/>
    <w:rsid w:val="00811E23"/>
    <w:rsid w:val="008142C6"/>
    <w:rsid w:val="00814F64"/>
    <w:rsid w:val="00815721"/>
    <w:rsid w:val="00822F78"/>
    <w:rsid w:val="00823FE5"/>
    <w:rsid w:val="0082428E"/>
    <w:rsid w:val="008242AE"/>
    <w:rsid w:val="008264EF"/>
    <w:rsid w:val="00826DF1"/>
    <w:rsid w:val="008305F9"/>
    <w:rsid w:val="00830D22"/>
    <w:rsid w:val="0083118C"/>
    <w:rsid w:val="00831675"/>
    <w:rsid w:val="00831DE0"/>
    <w:rsid w:val="0083263C"/>
    <w:rsid w:val="00832FC4"/>
    <w:rsid w:val="00834782"/>
    <w:rsid w:val="00835D64"/>
    <w:rsid w:val="00836CF4"/>
    <w:rsid w:val="008410FF"/>
    <w:rsid w:val="0084195F"/>
    <w:rsid w:val="00843B6F"/>
    <w:rsid w:val="00843EFD"/>
    <w:rsid w:val="008440FC"/>
    <w:rsid w:val="00845ACB"/>
    <w:rsid w:val="00850EF0"/>
    <w:rsid w:val="008510F8"/>
    <w:rsid w:val="008516E3"/>
    <w:rsid w:val="00852820"/>
    <w:rsid w:val="008539DC"/>
    <w:rsid w:val="00855B5B"/>
    <w:rsid w:val="00857973"/>
    <w:rsid w:val="00857DDE"/>
    <w:rsid w:val="00862B1C"/>
    <w:rsid w:val="0086700A"/>
    <w:rsid w:val="008678C5"/>
    <w:rsid w:val="00872009"/>
    <w:rsid w:val="0087597B"/>
    <w:rsid w:val="00875CA1"/>
    <w:rsid w:val="008777AD"/>
    <w:rsid w:val="0088300A"/>
    <w:rsid w:val="0088467C"/>
    <w:rsid w:val="00885624"/>
    <w:rsid w:val="00885CF3"/>
    <w:rsid w:val="00886D44"/>
    <w:rsid w:val="00887313"/>
    <w:rsid w:val="00890202"/>
    <w:rsid w:val="00891DB2"/>
    <w:rsid w:val="0089410B"/>
    <w:rsid w:val="00894579"/>
    <w:rsid w:val="008962E1"/>
    <w:rsid w:val="00896E17"/>
    <w:rsid w:val="008979E3"/>
    <w:rsid w:val="008A064F"/>
    <w:rsid w:val="008A0F73"/>
    <w:rsid w:val="008A226C"/>
    <w:rsid w:val="008A2FD1"/>
    <w:rsid w:val="008A54CA"/>
    <w:rsid w:val="008A5B67"/>
    <w:rsid w:val="008A7CDB"/>
    <w:rsid w:val="008B0EA7"/>
    <w:rsid w:val="008B2659"/>
    <w:rsid w:val="008B4344"/>
    <w:rsid w:val="008B4FC7"/>
    <w:rsid w:val="008B64D1"/>
    <w:rsid w:val="008B732E"/>
    <w:rsid w:val="008C1E22"/>
    <w:rsid w:val="008C2370"/>
    <w:rsid w:val="008C3CD7"/>
    <w:rsid w:val="008C596E"/>
    <w:rsid w:val="008D15F9"/>
    <w:rsid w:val="008D16F7"/>
    <w:rsid w:val="008D1FDE"/>
    <w:rsid w:val="008D307B"/>
    <w:rsid w:val="008D6CF7"/>
    <w:rsid w:val="008D7106"/>
    <w:rsid w:val="008D72D8"/>
    <w:rsid w:val="008D7683"/>
    <w:rsid w:val="008E0AEB"/>
    <w:rsid w:val="008E1427"/>
    <w:rsid w:val="008E233C"/>
    <w:rsid w:val="008E2B6B"/>
    <w:rsid w:val="008E4292"/>
    <w:rsid w:val="008E4FED"/>
    <w:rsid w:val="008E5AC0"/>
    <w:rsid w:val="008E5C8A"/>
    <w:rsid w:val="008E69A7"/>
    <w:rsid w:val="008F407B"/>
    <w:rsid w:val="008F5AF6"/>
    <w:rsid w:val="008F67AD"/>
    <w:rsid w:val="009019DE"/>
    <w:rsid w:val="0090200B"/>
    <w:rsid w:val="0090244F"/>
    <w:rsid w:val="009044D7"/>
    <w:rsid w:val="00905446"/>
    <w:rsid w:val="009065B7"/>
    <w:rsid w:val="00906FDE"/>
    <w:rsid w:val="009075A3"/>
    <w:rsid w:val="009110AE"/>
    <w:rsid w:val="00913A1D"/>
    <w:rsid w:val="009143A0"/>
    <w:rsid w:val="00920C0F"/>
    <w:rsid w:val="00921D01"/>
    <w:rsid w:val="00921FA8"/>
    <w:rsid w:val="00922712"/>
    <w:rsid w:val="00924EE3"/>
    <w:rsid w:val="009257FD"/>
    <w:rsid w:val="00926FCB"/>
    <w:rsid w:val="009274FE"/>
    <w:rsid w:val="00927C21"/>
    <w:rsid w:val="00930ED4"/>
    <w:rsid w:val="009314DC"/>
    <w:rsid w:val="00931CEB"/>
    <w:rsid w:val="00932200"/>
    <w:rsid w:val="00932B23"/>
    <w:rsid w:val="00933759"/>
    <w:rsid w:val="0093679A"/>
    <w:rsid w:val="00936902"/>
    <w:rsid w:val="00936C6B"/>
    <w:rsid w:val="00941121"/>
    <w:rsid w:val="00941CDC"/>
    <w:rsid w:val="00941FD8"/>
    <w:rsid w:val="00944BC5"/>
    <w:rsid w:val="00945C1D"/>
    <w:rsid w:val="00950A97"/>
    <w:rsid w:val="00952E61"/>
    <w:rsid w:val="0095333F"/>
    <w:rsid w:val="0095341C"/>
    <w:rsid w:val="009543D7"/>
    <w:rsid w:val="00954679"/>
    <w:rsid w:val="00954F8A"/>
    <w:rsid w:val="00955115"/>
    <w:rsid w:val="00955C20"/>
    <w:rsid w:val="009665FE"/>
    <w:rsid w:val="0096690A"/>
    <w:rsid w:val="0097134E"/>
    <w:rsid w:val="0097149E"/>
    <w:rsid w:val="0097543D"/>
    <w:rsid w:val="009757CC"/>
    <w:rsid w:val="00975850"/>
    <w:rsid w:val="00981D76"/>
    <w:rsid w:val="009822F9"/>
    <w:rsid w:val="009823DE"/>
    <w:rsid w:val="00983C4C"/>
    <w:rsid w:val="00985610"/>
    <w:rsid w:val="00990E1F"/>
    <w:rsid w:val="00991E02"/>
    <w:rsid w:val="00992ECD"/>
    <w:rsid w:val="00993655"/>
    <w:rsid w:val="00993804"/>
    <w:rsid w:val="0099613A"/>
    <w:rsid w:val="009A2260"/>
    <w:rsid w:val="009A45A1"/>
    <w:rsid w:val="009A6FF6"/>
    <w:rsid w:val="009B0BAE"/>
    <w:rsid w:val="009B1D86"/>
    <w:rsid w:val="009B48DC"/>
    <w:rsid w:val="009B497F"/>
    <w:rsid w:val="009B7B99"/>
    <w:rsid w:val="009C19D9"/>
    <w:rsid w:val="009C6A1E"/>
    <w:rsid w:val="009C70C2"/>
    <w:rsid w:val="009D2108"/>
    <w:rsid w:val="009D36D9"/>
    <w:rsid w:val="009D3D27"/>
    <w:rsid w:val="009D5783"/>
    <w:rsid w:val="009D6440"/>
    <w:rsid w:val="009D7C4A"/>
    <w:rsid w:val="009E1F1C"/>
    <w:rsid w:val="009E2609"/>
    <w:rsid w:val="009E2F86"/>
    <w:rsid w:val="009E373E"/>
    <w:rsid w:val="009E53FD"/>
    <w:rsid w:val="009E5CB1"/>
    <w:rsid w:val="009E6966"/>
    <w:rsid w:val="009F01BE"/>
    <w:rsid w:val="009F18FB"/>
    <w:rsid w:val="009F241F"/>
    <w:rsid w:val="009F365A"/>
    <w:rsid w:val="009F719F"/>
    <w:rsid w:val="009F7493"/>
    <w:rsid w:val="00A00CBB"/>
    <w:rsid w:val="00A027CE"/>
    <w:rsid w:val="00A02AD7"/>
    <w:rsid w:val="00A03822"/>
    <w:rsid w:val="00A03F46"/>
    <w:rsid w:val="00A040DF"/>
    <w:rsid w:val="00A120D2"/>
    <w:rsid w:val="00A12209"/>
    <w:rsid w:val="00A14542"/>
    <w:rsid w:val="00A16EDB"/>
    <w:rsid w:val="00A21D8C"/>
    <w:rsid w:val="00A23585"/>
    <w:rsid w:val="00A24A5C"/>
    <w:rsid w:val="00A27305"/>
    <w:rsid w:val="00A30BC1"/>
    <w:rsid w:val="00A31E1D"/>
    <w:rsid w:val="00A322B4"/>
    <w:rsid w:val="00A32D75"/>
    <w:rsid w:val="00A33A03"/>
    <w:rsid w:val="00A344BA"/>
    <w:rsid w:val="00A35443"/>
    <w:rsid w:val="00A356BD"/>
    <w:rsid w:val="00A357AB"/>
    <w:rsid w:val="00A363FC"/>
    <w:rsid w:val="00A36C34"/>
    <w:rsid w:val="00A36DF3"/>
    <w:rsid w:val="00A404F9"/>
    <w:rsid w:val="00A43B72"/>
    <w:rsid w:val="00A43C77"/>
    <w:rsid w:val="00A463B3"/>
    <w:rsid w:val="00A47612"/>
    <w:rsid w:val="00A5029E"/>
    <w:rsid w:val="00A5210F"/>
    <w:rsid w:val="00A532DD"/>
    <w:rsid w:val="00A61B06"/>
    <w:rsid w:val="00A64C03"/>
    <w:rsid w:val="00A669E6"/>
    <w:rsid w:val="00A67245"/>
    <w:rsid w:val="00A71843"/>
    <w:rsid w:val="00A73D63"/>
    <w:rsid w:val="00A75040"/>
    <w:rsid w:val="00A75AD5"/>
    <w:rsid w:val="00A7603C"/>
    <w:rsid w:val="00A76973"/>
    <w:rsid w:val="00A80BCF"/>
    <w:rsid w:val="00A80D10"/>
    <w:rsid w:val="00A82650"/>
    <w:rsid w:val="00A8369C"/>
    <w:rsid w:val="00A84F9E"/>
    <w:rsid w:val="00A9436C"/>
    <w:rsid w:val="00A95143"/>
    <w:rsid w:val="00A9519A"/>
    <w:rsid w:val="00A96B9D"/>
    <w:rsid w:val="00A97306"/>
    <w:rsid w:val="00A97F17"/>
    <w:rsid w:val="00AA050A"/>
    <w:rsid w:val="00AA09C5"/>
    <w:rsid w:val="00AA1106"/>
    <w:rsid w:val="00AA1689"/>
    <w:rsid w:val="00AA239A"/>
    <w:rsid w:val="00AA3B60"/>
    <w:rsid w:val="00AA3F13"/>
    <w:rsid w:val="00AA4F28"/>
    <w:rsid w:val="00AA5770"/>
    <w:rsid w:val="00AA5C6A"/>
    <w:rsid w:val="00AA68AE"/>
    <w:rsid w:val="00AA6C90"/>
    <w:rsid w:val="00AA72FA"/>
    <w:rsid w:val="00AA7307"/>
    <w:rsid w:val="00AB215A"/>
    <w:rsid w:val="00AB34FE"/>
    <w:rsid w:val="00AB5670"/>
    <w:rsid w:val="00AB6AD2"/>
    <w:rsid w:val="00AB7F98"/>
    <w:rsid w:val="00AC1D15"/>
    <w:rsid w:val="00AC4E99"/>
    <w:rsid w:val="00AC5116"/>
    <w:rsid w:val="00AC76B4"/>
    <w:rsid w:val="00AD03AA"/>
    <w:rsid w:val="00AD1383"/>
    <w:rsid w:val="00AD1EBF"/>
    <w:rsid w:val="00AD4AD1"/>
    <w:rsid w:val="00AD5A5F"/>
    <w:rsid w:val="00AD7140"/>
    <w:rsid w:val="00AD7D19"/>
    <w:rsid w:val="00AE0D12"/>
    <w:rsid w:val="00AE3309"/>
    <w:rsid w:val="00AE4068"/>
    <w:rsid w:val="00AE6C46"/>
    <w:rsid w:val="00AE7D75"/>
    <w:rsid w:val="00AF14FA"/>
    <w:rsid w:val="00AF1CED"/>
    <w:rsid w:val="00AF3AC1"/>
    <w:rsid w:val="00AF4080"/>
    <w:rsid w:val="00AF5973"/>
    <w:rsid w:val="00AF5DCA"/>
    <w:rsid w:val="00AF6F91"/>
    <w:rsid w:val="00AF79D9"/>
    <w:rsid w:val="00B0024D"/>
    <w:rsid w:val="00B006EB"/>
    <w:rsid w:val="00B012EA"/>
    <w:rsid w:val="00B0246F"/>
    <w:rsid w:val="00B030EF"/>
    <w:rsid w:val="00B0326F"/>
    <w:rsid w:val="00B04EC3"/>
    <w:rsid w:val="00B056D1"/>
    <w:rsid w:val="00B063B4"/>
    <w:rsid w:val="00B06487"/>
    <w:rsid w:val="00B07982"/>
    <w:rsid w:val="00B07B0C"/>
    <w:rsid w:val="00B10583"/>
    <w:rsid w:val="00B11977"/>
    <w:rsid w:val="00B127EA"/>
    <w:rsid w:val="00B20979"/>
    <w:rsid w:val="00B22CAC"/>
    <w:rsid w:val="00B25563"/>
    <w:rsid w:val="00B25722"/>
    <w:rsid w:val="00B26D48"/>
    <w:rsid w:val="00B27FAE"/>
    <w:rsid w:val="00B3193A"/>
    <w:rsid w:val="00B34430"/>
    <w:rsid w:val="00B34C0A"/>
    <w:rsid w:val="00B35A7E"/>
    <w:rsid w:val="00B4033F"/>
    <w:rsid w:val="00B41AE0"/>
    <w:rsid w:val="00B41D5E"/>
    <w:rsid w:val="00B42031"/>
    <w:rsid w:val="00B426A7"/>
    <w:rsid w:val="00B428D4"/>
    <w:rsid w:val="00B42EE1"/>
    <w:rsid w:val="00B4401F"/>
    <w:rsid w:val="00B46847"/>
    <w:rsid w:val="00B5208A"/>
    <w:rsid w:val="00B523BD"/>
    <w:rsid w:val="00B537E3"/>
    <w:rsid w:val="00B54095"/>
    <w:rsid w:val="00B57208"/>
    <w:rsid w:val="00B5732B"/>
    <w:rsid w:val="00B57DFE"/>
    <w:rsid w:val="00B6291A"/>
    <w:rsid w:val="00B62E3C"/>
    <w:rsid w:val="00B6371B"/>
    <w:rsid w:val="00B654FE"/>
    <w:rsid w:val="00B6590C"/>
    <w:rsid w:val="00B65B6C"/>
    <w:rsid w:val="00B702B2"/>
    <w:rsid w:val="00B71EEA"/>
    <w:rsid w:val="00B73490"/>
    <w:rsid w:val="00B73F86"/>
    <w:rsid w:val="00B7403E"/>
    <w:rsid w:val="00B748B2"/>
    <w:rsid w:val="00B74A72"/>
    <w:rsid w:val="00B74EDD"/>
    <w:rsid w:val="00B75C41"/>
    <w:rsid w:val="00B7620E"/>
    <w:rsid w:val="00B775E4"/>
    <w:rsid w:val="00B821F1"/>
    <w:rsid w:val="00B82415"/>
    <w:rsid w:val="00B8293D"/>
    <w:rsid w:val="00B84A80"/>
    <w:rsid w:val="00B84C37"/>
    <w:rsid w:val="00B85975"/>
    <w:rsid w:val="00B865C2"/>
    <w:rsid w:val="00B912C2"/>
    <w:rsid w:val="00B91BA9"/>
    <w:rsid w:val="00B92478"/>
    <w:rsid w:val="00B92A00"/>
    <w:rsid w:val="00B939F0"/>
    <w:rsid w:val="00B967F7"/>
    <w:rsid w:val="00B97F5F"/>
    <w:rsid w:val="00BA2D64"/>
    <w:rsid w:val="00BA4C1C"/>
    <w:rsid w:val="00BA6188"/>
    <w:rsid w:val="00BC3563"/>
    <w:rsid w:val="00BC4958"/>
    <w:rsid w:val="00BC4B6E"/>
    <w:rsid w:val="00BC640E"/>
    <w:rsid w:val="00BC77C6"/>
    <w:rsid w:val="00BD0D91"/>
    <w:rsid w:val="00BD1349"/>
    <w:rsid w:val="00BD3D46"/>
    <w:rsid w:val="00BD40D1"/>
    <w:rsid w:val="00BD50E7"/>
    <w:rsid w:val="00BD61A2"/>
    <w:rsid w:val="00BD676D"/>
    <w:rsid w:val="00BD7F36"/>
    <w:rsid w:val="00BE06CE"/>
    <w:rsid w:val="00BE484D"/>
    <w:rsid w:val="00BE4960"/>
    <w:rsid w:val="00BE764F"/>
    <w:rsid w:val="00BF4F2F"/>
    <w:rsid w:val="00BF700A"/>
    <w:rsid w:val="00C02AC7"/>
    <w:rsid w:val="00C03569"/>
    <w:rsid w:val="00C04F68"/>
    <w:rsid w:val="00C07A3D"/>
    <w:rsid w:val="00C14AC1"/>
    <w:rsid w:val="00C1627B"/>
    <w:rsid w:val="00C165BA"/>
    <w:rsid w:val="00C16B77"/>
    <w:rsid w:val="00C21DFB"/>
    <w:rsid w:val="00C21E8C"/>
    <w:rsid w:val="00C232A1"/>
    <w:rsid w:val="00C2679A"/>
    <w:rsid w:val="00C27654"/>
    <w:rsid w:val="00C319FA"/>
    <w:rsid w:val="00C34442"/>
    <w:rsid w:val="00C36FFD"/>
    <w:rsid w:val="00C37B59"/>
    <w:rsid w:val="00C37E05"/>
    <w:rsid w:val="00C41458"/>
    <w:rsid w:val="00C41A32"/>
    <w:rsid w:val="00C42733"/>
    <w:rsid w:val="00C43442"/>
    <w:rsid w:val="00C44939"/>
    <w:rsid w:val="00C463C9"/>
    <w:rsid w:val="00C51B19"/>
    <w:rsid w:val="00C5237A"/>
    <w:rsid w:val="00C52B55"/>
    <w:rsid w:val="00C53D61"/>
    <w:rsid w:val="00C55D29"/>
    <w:rsid w:val="00C57943"/>
    <w:rsid w:val="00C61E73"/>
    <w:rsid w:val="00C6213A"/>
    <w:rsid w:val="00C62151"/>
    <w:rsid w:val="00C62F29"/>
    <w:rsid w:val="00C65071"/>
    <w:rsid w:val="00C71A5A"/>
    <w:rsid w:val="00C721FB"/>
    <w:rsid w:val="00C7266A"/>
    <w:rsid w:val="00C726F7"/>
    <w:rsid w:val="00C729E8"/>
    <w:rsid w:val="00C74825"/>
    <w:rsid w:val="00C74AAD"/>
    <w:rsid w:val="00C74E43"/>
    <w:rsid w:val="00C75631"/>
    <w:rsid w:val="00C75EC5"/>
    <w:rsid w:val="00C7707D"/>
    <w:rsid w:val="00C800F3"/>
    <w:rsid w:val="00C80A6C"/>
    <w:rsid w:val="00C81F7E"/>
    <w:rsid w:val="00C83013"/>
    <w:rsid w:val="00C84710"/>
    <w:rsid w:val="00C9073D"/>
    <w:rsid w:val="00C90E5C"/>
    <w:rsid w:val="00C91357"/>
    <w:rsid w:val="00C92C02"/>
    <w:rsid w:val="00C948BA"/>
    <w:rsid w:val="00C979B0"/>
    <w:rsid w:val="00CA0BE9"/>
    <w:rsid w:val="00CA138D"/>
    <w:rsid w:val="00CA274D"/>
    <w:rsid w:val="00CA37A6"/>
    <w:rsid w:val="00CA762C"/>
    <w:rsid w:val="00CA7B50"/>
    <w:rsid w:val="00CB2A41"/>
    <w:rsid w:val="00CB2C7E"/>
    <w:rsid w:val="00CB2E3F"/>
    <w:rsid w:val="00CB4080"/>
    <w:rsid w:val="00CB4E07"/>
    <w:rsid w:val="00CB6340"/>
    <w:rsid w:val="00CC0668"/>
    <w:rsid w:val="00CC30C4"/>
    <w:rsid w:val="00CC319D"/>
    <w:rsid w:val="00CC3EE3"/>
    <w:rsid w:val="00CC5035"/>
    <w:rsid w:val="00CC7641"/>
    <w:rsid w:val="00CC7A45"/>
    <w:rsid w:val="00CD0107"/>
    <w:rsid w:val="00CD0C78"/>
    <w:rsid w:val="00CD0F43"/>
    <w:rsid w:val="00CD2B7D"/>
    <w:rsid w:val="00CD51B4"/>
    <w:rsid w:val="00CD670C"/>
    <w:rsid w:val="00CD76A6"/>
    <w:rsid w:val="00CE2BE7"/>
    <w:rsid w:val="00CE2D8D"/>
    <w:rsid w:val="00CE3D36"/>
    <w:rsid w:val="00CE4668"/>
    <w:rsid w:val="00CE6D2C"/>
    <w:rsid w:val="00CF0B26"/>
    <w:rsid w:val="00CF2F40"/>
    <w:rsid w:val="00CF4B04"/>
    <w:rsid w:val="00CF4E4D"/>
    <w:rsid w:val="00CF5C23"/>
    <w:rsid w:val="00CF5C52"/>
    <w:rsid w:val="00CF6F36"/>
    <w:rsid w:val="00D00325"/>
    <w:rsid w:val="00D032B3"/>
    <w:rsid w:val="00D074D4"/>
    <w:rsid w:val="00D132BB"/>
    <w:rsid w:val="00D13794"/>
    <w:rsid w:val="00D167B6"/>
    <w:rsid w:val="00D20D83"/>
    <w:rsid w:val="00D23B51"/>
    <w:rsid w:val="00D23D5B"/>
    <w:rsid w:val="00D24052"/>
    <w:rsid w:val="00D24386"/>
    <w:rsid w:val="00D3145B"/>
    <w:rsid w:val="00D31575"/>
    <w:rsid w:val="00D32760"/>
    <w:rsid w:val="00D329C7"/>
    <w:rsid w:val="00D34626"/>
    <w:rsid w:val="00D34FB4"/>
    <w:rsid w:val="00D3573A"/>
    <w:rsid w:val="00D40424"/>
    <w:rsid w:val="00D4257A"/>
    <w:rsid w:val="00D4323B"/>
    <w:rsid w:val="00D4341A"/>
    <w:rsid w:val="00D47A45"/>
    <w:rsid w:val="00D501A9"/>
    <w:rsid w:val="00D51774"/>
    <w:rsid w:val="00D55D1F"/>
    <w:rsid w:val="00D55E61"/>
    <w:rsid w:val="00D57A8E"/>
    <w:rsid w:val="00D60C18"/>
    <w:rsid w:val="00D61275"/>
    <w:rsid w:val="00D616F6"/>
    <w:rsid w:val="00D62665"/>
    <w:rsid w:val="00D62AD5"/>
    <w:rsid w:val="00D65EF6"/>
    <w:rsid w:val="00D66263"/>
    <w:rsid w:val="00D6741A"/>
    <w:rsid w:val="00D677CF"/>
    <w:rsid w:val="00D704EE"/>
    <w:rsid w:val="00D70BDD"/>
    <w:rsid w:val="00D720C7"/>
    <w:rsid w:val="00D72BCE"/>
    <w:rsid w:val="00D753A8"/>
    <w:rsid w:val="00D75F8F"/>
    <w:rsid w:val="00D80322"/>
    <w:rsid w:val="00D803CD"/>
    <w:rsid w:val="00D82E47"/>
    <w:rsid w:val="00D83C22"/>
    <w:rsid w:val="00D84D91"/>
    <w:rsid w:val="00D861D5"/>
    <w:rsid w:val="00D8724D"/>
    <w:rsid w:val="00D91413"/>
    <w:rsid w:val="00D94723"/>
    <w:rsid w:val="00D94A83"/>
    <w:rsid w:val="00D94DDE"/>
    <w:rsid w:val="00DA1249"/>
    <w:rsid w:val="00DA5E13"/>
    <w:rsid w:val="00DA7051"/>
    <w:rsid w:val="00DB22E9"/>
    <w:rsid w:val="00DB458E"/>
    <w:rsid w:val="00DB589D"/>
    <w:rsid w:val="00DB7F06"/>
    <w:rsid w:val="00DC0CDE"/>
    <w:rsid w:val="00DC260F"/>
    <w:rsid w:val="00DC2890"/>
    <w:rsid w:val="00DC4D72"/>
    <w:rsid w:val="00DC67D7"/>
    <w:rsid w:val="00DD2100"/>
    <w:rsid w:val="00DD3717"/>
    <w:rsid w:val="00DD59ED"/>
    <w:rsid w:val="00DE0021"/>
    <w:rsid w:val="00DE1C62"/>
    <w:rsid w:val="00DE1E98"/>
    <w:rsid w:val="00DE1F40"/>
    <w:rsid w:val="00DE474E"/>
    <w:rsid w:val="00DE4DAF"/>
    <w:rsid w:val="00DE7C4B"/>
    <w:rsid w:val="00DF0E28"/>
    <w:rsid w:val="00DF3ECF"/>
    <w:rsid w:val="00DF51EA"/>
    <w:rsid w:val="00DF7BA0"/>
    <w:rsid w:val="00E00215"/>
    <w:rsid w:val="00E006AF"/>
    <w:rsid w:val="00E011BA"/>
    <w:rsid w:val="00E021B3"/>
    <w:rsid w:val="00E02D18"/>
    <w:rsid w:val="00E03E08"/>
    <w:rsid w:val="00E0624D"/>
    <w:rsid w:val="00E07155"/>
    <w:rsid w:val="00E0788E"/>
    <w:rsid w:val="00E1176A"/>
    <w:rsid w:val="00E152A1"/>
    <w:rsid w:val="00E1580D"/>
    <w:rsid w:val="00E16ECE"/>
    <w:rsid w:val="00E1714C"/>
    <w:rsid w:val="00E17A25"/>
    <w:rsid w:val="00E22946"/>
    <w:rsid w:val="00E23E4D"/>
    <w:rsid w:val="00E24B69"/>
    <w:rsid w:val="00E25049"/>
    <w:rsid w:val="00E25775"/>
    <w:rsid w:val="00E25D16"/>
    <w:rsid w:val="00E26E47"/>
    <w:rsid w:val="00E308B6"/>
    <w:rsid w:val="00E316FB"/>
    <w:rsid w:val="00E33BAA"/>
    <w:rsid w:val="00E33EBF"/>
    <w:rsid w:val="00E346B7"/>
    <w:rsid w:val="00E35FE9"/>
    <w:rsid w:val="00E374D4"/>
    <w:rsid w:val="00E3788E"/>
    <w:rsid w:val="00E40E92"/>
    <w:rsid w:val="00E41225"/>
    <w:rsid w:val="00E4132A"/>
    <w:rsid w:val="00E41B92"/>
    <w:rsid w:val="00E436F7"/>
    <w:rsid w:val="00E4438C"/>
    <w:rsid w:val="00E457F3"/>
    <w:rsid w:val="00E46096"/>
    <w:rsid w:val="00E4789B"/>
    <w:rsid w:val="00E47EBD"/>
    <w:rsid w:val="00E5007C"/>
    <w:rsid w:val="00E50865"/>
    <w:rsid w:val="00E540C1"/>
    <w:rsid w:val="00E56E8B"/>
    <w:rsid w:val="00E61439"/>
    <w:rsid w:val="00E6282C"/>
    <w:rsid w:val="00E6299D"/>
    <w:rsid w:val="00E62C14"/>
    <w:rsid w:val="00E6307A"/>
    <w:rsid w:val="00E6330E"/>
    <w:rsid w:val="00E64DDB"/>
    <w:rsid w:val="00E6758A"/>
    <w:rsid w:val="00E71F05"/>
    <w:rsid w:val="00E7306F"/>
    <w:rsid w:val="00E73C00"/>
    <w:rsid w:val="00E77E18"/>
    <w:rsid w:val="00E82BEF"/>
    <w:rsid w:val="00E926A4"/>
    <w:rsid w:val="00E92D8B"/>
    <w:rsid w:val="00E93026"/>
    <w:rsid w:val="00E94115"/>
    <w:rsid w:val="00E957BC"/>
    <w:rsid w:val="00EA1706"/>
    <w:rsid w:val="00EA196F"/>
    <w:rsid w:val="00EA1D83"/>
    <w:rsid w:val="00EA2D89"/>
    <w:rsid w:val="00EA4062"/>
    <w:rsid w:val="00EA4882"/>
    <w:rsid w:val="00EA4DD8"/>
    <w:rsid w:val="00EA6374"/>
    <w:rsid w:val="00EB196C"/>
    <w:rsid w:val="00EB1E4E"/>
    <w:rsid w:val="00EB2AEF"/>
    <w:rsid w:val="00EB56A4"/>
    <w:rsid w:val="00EB6785"/>
    <w:rsid w:val="00EB6F8E"/>
    <w:rsid w:val="00EB75F5"/>
    <w:rsid w:val="00EB7E71"/>
    <w:rsid w:val="00EC0602"/>
    <w:rsid w:val="00EC0D10"/>
    <w:rsid w:val="00EC20F5"/>
    <w:rsid w:val="00ED0208"/>
    <w:rsid w:val="00ED186A"/>
    <w:rsid w:val="00ED2C0B"/>
    <w:rsid w:val="00ED2DC2"/>
    <w:rsid w:val="00ED2E5D"/>
    <w:rsid w:val="00ED5EB3"/>
    <w:rsid w:val="00ED61BB"/>
    <w:rsid w:val="00ED652F"/>
    <w:rsid w:val="00ED6AF0"/>
    <w:rsid w:val="00ED7473"/>
    <w:rsid w:val="00ED7D4A"/>
    <w:rsid w:val="00EE2192"/>
    <w:rsid w:val="00EE2BAB"/>
    <w:rsid w:val="00EE41D3"/>
    <w:rsid w:val="00EE4B8F"/>
    <w:rsid w:val="00EE5405"/>
    <w:rsid w:val="00EE65A2"/>
    <w:rsid w:val="00EE6DA2"/>
    <w:rsid w:val="00EE789B"/>
    <w:rsid w:val="00EF0192"/>
    <w:rsid w:val="00EF0FC1"/>
    <w:rsid w:val="00EF3E8C"/>
    <w:rsid w:val="00EF6704"/>
    <w:rsid w:val="00F0084E"/>
    <w:rsid w:val="00F01034"/>
    <w:rsid w:val="00F04980"/>
    <w:rsid w:val="00F075CE"/>
    <w:rsid w:val="00F109D4"/>
    <w:rsid w:val="00F12ED0"/>
    <w:rsid w:val="00F1313B"/>
    <w:rsid w:val="00F1518A"/>
    <w:rsid w:val="00F15592"/>
    <w:rsid w:val="00F156C7"/>
    <w:rsid w:val="00F15EE9"/>
    <w:rsid w:val="00F16C76"/>
    <w:rsid w:val="00F2053B"/>
    <w:rsid w:val="00F21D0C"/>
    <w:rsid w:val="00F21FF4"/>
    <w:rsid w:val="00F22550"/>
    <w:rsid w:val="00F22697"/>
    <w:rsid w:val="00F232C9"/>
    <w:rsid w:val="00F24A40"/>
    <w:rsid w:val="00F24EB2"/>
    <w:rsid w:val="00F31D0F"/>
    <w:rsid w:val="00F34779"/>
    <w:rsid w:val="00F348C2"/>
    <w:rsid w:val="00F3782F"/>
    <w:rsid w:val="00F435AF"/>
    <w:rsid w:val="00F44246"/>
    <w:rsid w:val="00F47585"/>
    <w:rsid w:val="00F47853"/>
    <w:rsid w:val="00F5365E"/>
    <w:rsid w:val="00F543A7"/>
    <w:rsid w:val="00F554FC"/>
    <w:rsid w:val="00F556B9"/>
    <w:rsid w:val="00F60A44"/>
    <w:rsid w:val="00F6201D"/>
    <w:rsid w:val="00F62279"/>
    <w:rsid w:val="00F667DA"/>
    <w:rsid w:val="00F70905"/>
    <w:rsid w:val="00F71D08"/>
    <w:rsid w:val="00F72128"/>
    <w:rsid w:val="00F756FC"/>
    <w:rsid w:val="00F7622D"/>
    <w:rsid w:val="00F76FFA"/>
    <w:rsid w:val="00F8372D"/>
    <w:rsid w:val="00F85E6F"/>
    <w:rsid w:val="00F86B0A"/>
    <w:rsid w:val="00F87241"/>
    <w:rsid w:val="00F909FB"/>
    <w:rsid w:val="00F91BDB"/>
    <w:rsid w:val="00F92B12"/>
    <w:rsid w:val="00F9335D"/>
    <w:rsid w:val="00F9395F"/>
    <w:rsid w:val="00F95A73"/>
    <w:rsid w:val="00F960F4"/>
    <w:rsid w:val="00F969BF"/>
    <w:rsid w:val="00FA1084"/>
    <w:rsid w:val="00FA11D7"/>
    <w:rsid w:val="00FA1BB5"/>
    <w:rsid w:val="00FA2681"/>
    <w:rsid w:val="00FA308C"/>
    <w:rsid w:val="00FA61A0"/>
    <w:rsid w:val="00FB0A60"/>
    <w:rsid w:val="00FB1901"/>
    <w:rsid w:val="00FB21E9"/>
    <w:rsid w:val="00FB2DF0"/>
    <w:rsid w:val="00FB353F"/>
    <w:rsid w:val="00FB3788"/>
    <w:rsid w:val="00FB4B6C"/>
    <w:rsid w:val="00FB577D"/>
    <w:rsid w:val="00FC0919"/>
    <w:rsid w:val="00FC233E"/>
    <w:rsid w:val="00FC2487"/>
    <w:rsid w:val="00FC278A"/>
    <w:rsid w:val="00FC3E09"/>
    <w:rsid w:val="00FC40C3"/>
    <w:rsid w:val="00FC4649"/>
    <w:rsid w:val="00FC48FC"/>
    <w:rsid w:val="00FD14EB"/>
    <w:rsid w:val="00FD2FE6"/>
    <w:rsid w:val="00FD5394"/>
    <w:rsid w:val="00FD53C6"/>
    <w:rsid w:val="00FE04E4"/>
    <w:rsid w:val="00FE1BB0"/>
    <w:rsid w:val="00FE2C37"/>
    <w:rsid w:val="00FE2D45"/>
    <w:rsid w:val="00FE2E4D"/>
    <w:rsid w:val="00FE4164"/>
    <w:rsid w:val="00FE6214"/>
    <w:rsid w:val="00FE73F9"/>
    <w:rsid w:val="00FE78C5"/>
    <w:rsid w:val="00FF1057"/>
    <w:rsid w:val="00FF172B"/>
    <w:rsid w:val="00FF18FE"/>
    <w:rsid w:val="00FF3E25"/>
    <w:rsid w:val="00FF3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2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uiPriority w:val="9"/>
    <w:qFormat/>
    <w:rsid w:val="00E4438C"/>
    <w:pPr>
      <w:spacing w:before="120"/>
      <w:outlineLvl w:val="3"/>
    </w:pPr>
  </w:style>
  <w:style w:type="paragraph" w:styleId="Heading5">
    <w:name w:val="heading 5"/>
    <w:basedOn w:val="Normal"/>
    <w:next w:val="Normalparatextnonumbers"/>
    <w:link w:val="Heading5Char"/>
    <w:uiPriority w:val="9"/>
    <w:unhideWhenUsed/>
    <w:qFormat/>
    <w:rsid w:val="009C19D9"/>
    <w:pPr>
      <w:keepNext/>
      <w:keepLines/>
      <w:spacing w:before="240" w:after="240"/>
      <w:contextualSpacing/>
      <w:outlineLvl w:val="4"/>
    </w:pPr>
    <w:rPr>
      <w:rFonts w:ascii="Helvetica" w:eastAsiaTheme="majorEastAsia" w:hAnsi="Helvetica" w:cstheme="majorBidi"/>
      <w:b/>
      <w:spacing w:val="-10"/>
      <w:kern w:val="28"/>
      <w:szCs w:val="5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CA762C"/>
    <w:rPr>
      <w:sz w:val="24"/>
    </w:rPr>
  </w:style>
  <w:style w:type="paragraph" w:customStyle="1" w:styleId="OutlineNumbered1">
    <w:name w:val="Outline Numbered 1"/>
    <w:basedOn w:val="Normal"/>
    <w:link w:val="OutlineNumbered1Char"/>
    <w:rsid w:val="00AA3F13"/>
    <w:pPr>
      <w:numPr>
        <w:numId w:val="6"/>
      </w:numPr>
      <w:spacing w:before="0" w:after="160" w:line="259" w:lineRule="auto"/>
    </w:pPr>
    <w:rPr>
      <w:rFonts w:asciiTheme="minorHAnsi" w:eastAsiaTheme="minorHAnsi" w:hAnsiTheme="minorHAnsi" w:cstheme="minorBidi"/>
      <w:b/>
      <w:bCs/>
      <w:sz w:val="22"/>
      <w:szCs w:val="22"/>
    </w:rPr>
  </w:style>
  <w:style w:type="character" w:customStyle="1" w:styleId="OutlineNumbered1Char">
    <w:name w:val="Outline Numbered 1 Char"/>
    <w:basedOn w:val="DefaultParagraphFont"/>
    <w:link w:val="OutlineNumbered1"/>
    <w:rsid w:val="00AA3F13"/>
    <w:rPr>
      <w:rFonts w:asciiTheme="minorHAnsi" w:eastAsiaTheme="minorHAnsi" w:hAnsiTheme="minorHAnsi" w:cstheme="minorBidi"/>
      <w:b/>
      <w:bCs/>
      <w:sz w:val="22"/>
      <w:szCs w:val="22"/>
    </w:rPr>
  </w:style>
  <w:style w:type="paragraph" w:customStyle="1" w:styleId="OutlineNumbered2">
    <w:name w:val="Outline Numbered 2"/>
    <w:basedOn w:val="Normal"/>
    <w:rsid w:val="00AA3F13"/>
    <w:pPr>
      <w:numPr>
        <w:ilvl w:val="1"/>
        <w:numId w:val="6"/>
      </w:numPr>
      <w:spacing w:before="0" w:after="160" w:line="259" w:lineRule="auto"/>
    </w:pPr>
    <w:rPr>
      <w:rFonts w:asciiTheme="minorHAnsi" w:eastAsiaTheme="minorHAnsi" w:hAnsiTheme="minorHAnsi" w:cstheme="minorBidi"/>
      <w:b/>
      <w:bCs/>
      <w:sz w:val="22"/>
      <w:szCs w:val="22"/>
    </w:rPr>
  </w:style>
  <w:style w:type="paragraph" w:customStyle="1" w:styleId="OutlineNumbered3">
    <w:name w:val="Outline Numbered 3"/>
    <w:basedOn w:val="Normal"/>
    <w:rsid w:val="00AA3F13"/>
    <w:pPr>
      <w:numPr>
        <w:ilvl w:val="2"/>
        <w:numId w:val="6"/>
      </w:numPr>
      <w:spacing w:before="0" w:after="160" w:line="259" w:lineRule="auto"/>
    </w:pPr>
    <w:rPr>
      <w:rFonts w:asciiTheme="minorHAnsi" w:eastAsiaTheme="minorHAnsi" w:hAnsiTheme="minorHAnsi" w:cstheme="minorBidi"/>
      <w:b/>
      <w:bCs/>
      <w:sz w:val="22"/>
      <w:szCs w:val="22"/>
    </w:rPr>
  </w:style>
  <w:style w:type="character" w:customStyle="1" w:styleId="Heading5Char">
    <w:name w:val="Heading 5 Char"/>
    <w:basedOn w:val="DefaultParagraphFont"/>
    <w:link w:val="Heading5"/>
    <w:uiPriority w:val="9"/>
    <w:rsid w:val="009C19D9"/>
    <w:rPr>
      <w:rFonts w:ascii="Helvetica" w:eastAsiaTheme="majorEastAsia" w:hAnsi="Helvetica" w:cstheme="majorBidi"/>
      <w:b/>
      <w:spacing w:val="-10"/>
      <w:kern w:val="28"/>
      <w:sz w:val="24"/>
      <w:szCs w:val="56"/>
      <w:lang w:eastAsia="en-US"/>
    </w:rPr>
  </w:style>
  <w:style w:type="paragraph" w:customStyle="1" w:styleId="Normalparatextnonumbers">
    <w:name w:val="Normal para text (no numbers)"/>
    <w:basedOn w:val="Normal"/>
    <w:qFormat/>
    <w:rsid w:val="009C19D9"/>
    <w:rPr>
      <w:rFonts w:eastAsiaTheme="minorHAnsi" w:cstheme="minorBidi"/>
      <w:sz w:val="22"/>
      <w:szCs w:val="22"/>
      <w:lang w:eastAsia="en-US"/>
    </w:rPr>
  </w:style>
  <w:style w:type="character" w:customStyle="1" w:styleId="Heading2Char">
    <w:name w:val="Heading 2 Char"/>
    <w:basedOn w:val="DefaultParagraphFont"/>
    <w:link w:val="Heading2"/>
    <w:rsid w:val="009C19D9"/>
    <w:rPr>
      <w:b/>
      <w:sz w:val="28"/>
      <w:u w:val="single"/>
    </w:rPr>
  </w:style>
  <w:style w:type="paragraph" w:styleId="Revision">
    <w:name w:val="Revision"/>
    <w:hidden/>
    <w:uiPriority w:val="99"/>
    <w:semiHidden/>
    <w:rsid w:val="00EA2D89"/>
    <w:rPr>
      <w:sz w:val="24"/>
    </w:rPr>
  </w:style>
  <w:style w:type="paragraph" w:styleId="ListParagraph">
    <w:name w:val="List Paragraph"/>
    <w:basedOn w:val="Normal"/>
    <w:uiPriority w:val="34"/>
    <w:qFormat/>
    <w:rsid w:val="00404477"/>
    <w:pPr>
      <w:ind w:left="720"/>
      <w:contextualSpacing/>
    </w:pPr>
  </w:style>
  <w:style w:type="paragraph" w:customStyle="1" w:styleId="subsectionhead">
    <w:name w:val="subsectionhead"/>
    <w:basedOn w:val="Normal"/>
    <w:rsid w:val="008035A8"/>
    <w:pPr>
      <w:spacing w:before="100" w:beforeAutospacing="1" w:after="100" w:afterAutospacing="1"/>
    </w:pPr>
    <w:rPr>
      <w:szCs w:val="24"/>
    </w:rPr>
  </w:style>
  <w:style w:type="paragraph" w:customStyle="1" w:styleId="subsection">
    <w:name w:val="subsection"/>
    <w:basedOn w:val="Normal"/>
    <w:rsid w:val="008035A8"/>
    <w:pPr>
      <w:spacing w:before="100" w:beforeAutospacing="1" w:after="100" w:afterAutospacing="1"/>
    </w:pPr>
    <w:rPr>
      <w:szCs w:val="24"/>
    </w:rPr>
  </w:style>
  <w:style w:type="paragraph" w:customStyle="1" w:styleId="paragraph">
    <w:name w:val="paragraph"/>
    <w:basedOn w:val="Normal"/>
    <w:rsid w:val="008035A8"/>
    <w:pPr>
      <w:spacing w:before="100" w:beforeAutospacing="1" w:after="100" w:afterAutospacing="1"/>
    </w:pPr>
    <w:rPr>
      <w:szCs w:val="24"/>
    </w:rPr>
  </w:style>
  <w:style w:type="paragraph" w:customStyle="1" w:styleId="acthead5">
    <w:name w:val="acthead5"/>
    <w:basedOn w:val="Normal"/>
    <w:rsid w:val="008035A8"/>
    <w:pPr>
      <w:spacing w:before="100" w:beforeAutospacing="1" w:after="100" w:afterAutospacing="1"/>
    </w:pPr>
    <w:rPr>
      <w:szCs w:val="24"/>
    </w:rPr>
  </w:style>
  <w:style w:type="character" w:customStyle="1" w:styleId="charsectno">
    <w:name w:val="charsectno"/>
    <w:basedOn w:val="DefaultParagraphFont"/>
    <w:rsid w:val="008035A8"/>
  </w:style>
  <w:style w:type="paragraph" w:customStyle="1" w:styleId="paragraphsub">
    <w:name w:val="paragraphsub"/>
    <w:basedOn w:val="Normal"/>
    <w:rsid w:val="008035A8"/>
    <w:pPr>
      <w:spacing w:before="100" w:beforeAutospacing="1" w:after="100" w:afterAutospacing="1"/>
    </w:pPr>
    <w:rPr>
      <w:szCs w:val="24"/>
    </w:rPr>
  </w:style>
  <w:style w:type="paragraph" w:customStyle="1" w:styleId="notetext">
    <w:name w:val="notetext"/>
    <w:basedOn w:val="Normal"/>
    <w:rsid w:val="008035A8"/>
    <w:pPr>
      <w:spacing w:before="100" w:beforeAutospacing="1" w:after="100" w:afterAutospacing="1"/>
    </w:pPr>
    <w:rPr>
      <w:szCs w:val="24"/>
    </w:rPr>
  </w:style>
  <w:style w:type="paragraph" w:customStyle="1" w:styleId="notepara">
    <w:name w:val="notepara"/>
    <w:basedOn w:val="Normal"/>
    <w:rsid w:val="00147886"/>
    <w:pPr>
      <w:spacing w:before="100" w:beforeAutospacing="1" w:after="100" w:afterAutospacing="1"/>
    </w:pPr>
    <w:rPr>
      <w:szCs w:val="24"/>
    </w:rPr>
  </w:style>
  <w:style w:type="paragraph" w:customStyle="1" w:styleId="Dotpoint1">
    <w:name w:val="Dot point 1"/>
    <w:basedOn w:val="Normal"/>
    <w:rsid w:val="00670DA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6682">
      <w:bodyDiv w:val="1"/>
      <w:marLeft w:val="0"/>
      <w:marRight w:val="0"/>
      <w:marTop w:val="0"/>
      <w:marBottom w:val="0"/>
      <w:divBdr>
        <w:top w:val="none" w:sz="0" w:space="0" w:color="auto"/>
        <w:left w:val="none" w:sz="0" w:space="0" w:color="auto"/>
        <w:bottom w:val="none" w:sz="0" w:space="0" w:color="auto"/>
        <w:right w:val="none" w:sz="0" w:space="0" w:color="auto"/>
      </w:divBdr>
    </w:div>
    <w:div w:id="107629627">
      <w:bodyDiv w:val="1"/>
      <w:marLeft w:val="0"/>
      <w:marRight w:val="0"/>
      <w:marTop w:val="0"/>
      <w:marBottom w:val="0"/>
      <w:divBdr>
        <w:top w:val="none" w:sz="0" w:space="0" w:color="auto"/>
        <w:left w:val="none" w:sz="0" w:space="0" w:color="auto"/>
        <w:bottom w:val="none" w:sz="0" w:space="0" w:color="auto"/>
        <w:right w:val="none" w:sz="0" w:space="0" w:color="auto"/>
      </w:divBdr>
    </w:div>
    <w:div w:id="141043360">
      <w:bodyDiv w:val="1"/>
      <w:marLeft w:val="0"/>
      <w:marRight w:val="0"/>
      <w:marTop w:val="0"/>
      <w:marBottom w:val="0"/>
      <w:divBdr>
        <w:top w:val="none" w:sz="0" w:space="0" w:color="auto"/>
        <w:left w:val="none" w:sz="0" w:space="0" w:color="auto"/>
        <w:bottom w:val="none" w:sz="0" w:space="0" w:color="auto"/>
        <w:right w:val="none" w:sz="0" w:space="0" w:color="auto"/>
      </w:divBdr>
    </w:div>
    <w:div w:id="1033964024">
      <w:bodyDiv w:val="1"/>
      <w:marLeft w:val="0"/>
      <w:marRight w:val="0"/>
      <w:marTop w:val="0"/>
      <w:marBottom w:val="0"/>
      <w:divBdr>
        <w:top w:val="none" w:sz="0" w:space="0" w:color="auto"/>
        <w:left w:val="none" w:sz="0" w:space="0" w:color="auto"/>
        <w:bottom w:val="none" w:sz="0" w:space="0" w:color="auto"/>
        <w:right w:val="none" w:sz="0" w:space="0" w:color="auto"/>
      </w:divBdr>
    </w:div>
    <w:div w:id="1368797986">
      <w:bodyDiv w:val="1"/>
      <w:marLeft w:val="0"/>
      <w:marRight w:val="0"/>
      <w:marTop w:val="0"/>
      <w:marBottom w:val="0"/>
      <w:divBdr>
        <w:top w:val="none" w:sz="0" w:space="0" w:color="auto"/>
        <w:left w:val="none" w:sz="0" w:space="0" w:color="auto"/>
        <w:bottom w:val="none" w:sz="0" w:space="0" w:color="auto"/>
        <w:right w:val="none" w:sz="0" w:space="0" w:color="auto"/>
      </w:divBdr>
    </w:div>
    <w:div w:id="184300666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0BF1E21388405F851F12C2708D692F"/>
        <w:category>
          <w:name w:val="General"/>
          <w:gallery w:val="placeholder"/>
        </w:category>
        <w:types>
          <w:type w:val="bbPlcHdr"/>
        </w:types>
        <w:behaviors>
          <w:behavior w:val="content"/>
        </w:behaviors>
        <w:guid w:val="{0C50F9CF-BF25-4F74-9FBA-4282E08BB825}"/>
      </w:docPartPr>
      <w:docPartBody>
        <w:p w:rsidR="00E61C78" w:rsidRDefault="00E61C78">
          <w:pPr>
            <w:pStyle w:val="240BF1E21388405F851F12C2708D692F"/>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78"/>
    <w:rsid w:val="00142E64"/>
    <w:rsid w:val="00314324"/>
    <w:rsid w:val="004E4875"/>
    <w:rsid w:val="00636E88"/>
    <w:rsid w:val="006678CF"/>
    <w:rsid w:val="006C0407"/>
    <w:rsid w:val="006D41B0"/>
    <w:rsid w:val="007B561F"/>
    <w:rsid w:val="007E0741"/>
    <w:rsid w:val="0084115A"/>
    <w:rsid w:val="00927F69"/>
    <w:rsid w:val="00B41C8C"/>
    <w:rsid w:val="00C3345B"/>
    <w:rsid w:val="00D95C3C"/>
    <w:rsid w:val="00E61C78"/>
    <w:rsid w:val="00EF4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875"/>
    <w:rPr>
      <w:color w:val="808080"/>
    </w:rPr>
  </w:style>
  <w:style w:type="paragraph" w:customStyle="1" w:styleId="240BF1E21388405F851F12C2708D692F">
    <w:name w:val="240BF1E21388405F851F12C2708D6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4765</Words>
  <Characters>26624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2022-03-29T04:50:00Z</dcterms:created>
  <dcterms:modified xsi:type="dcterms:W3CDTF">2022-03-29T04:50:00Z</dcterms:modified>
</cp:coreProperties>
</file>